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39BA347A"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0C3DC4">
        <w:rPr>
          <w:rFonts w:ascii="楷体" w:eastAsia="楷体" w:hAnsi="楷体" w:hint="eastAsia"/>
          <w:sz w:val="28"/>
          <w:szCs w:val="28"/>
        </w:rPr>
        <w:t>债券供给压力边际增加</w:t>
      </w:r>
      <w:r w:rsidR="00CD02EA">
        <w:rPr>
          <w:rFonts w:ascii="楷体" w:eastAsia="楷体" w:hAnsi="楷体" w:hint="eastAsia"/>
          <w:sz w:val="28"/>
          <w:szCs w:val="28"/>
        </w:rPr>
        <w:t>，</w:t>
      </w:r>
      <w:r w:rsidR="000C3DC4">
        <w:rPr>
          <w:rFonts w:ascii="楷体" w:eastAsia="楷体" w:hAnsi="楷体" w:hint="eastAsia"/>
          <w:sz w:val="28"/>
          <w:szCs w:val="28"/>
        </w:rPr>
        <w:t>长</w:t>
      </w:r>
      <w:proofErr w:type="gramStart"/>
      <w:r w:rsidR="000C3DC4">
        <w:rPr>
          <w:rFonts w:ascii="楷体" w:eastAsia="楷体" w:hAnsi="楷体" w:hint="eastAsia"/>
          <w:sz w:val="28"/>
          <w:szCs w:val="28"/>
        </w:rPr>
        <w:t>端利率</w:t>
      </w:r>
      <w:proofErr w:type="gramEnd"/>
      <w:r w:rsidR="000C3DC4">
        <w:rPr>
          <w:rFonts w:ascii="楷体" w:eastAsia="楷体" w:hAnsi="楷体" w:hint="eastAsia"/>
          <w:sz w:val="28"/>
          <w:szCs w:val="28"/>
        </w:rPr>
        <w:t>波动加大适度调整</w:t>
      </w:r>
    </w:p>
    <w:p w14:paraId="1B2C4A22" w14:textId="0BA85F85" w:rsidR="005E5CB1" w:rsidRPr="00711EF1" w:rsidRDefault="005E5CB1" w:rsidP="005E5CB1">
      <w:pPr>
        <w:pStyle w:val="Header1"/>
        <w:spacing w:before="240"/>
        <w:rPr>
          <w:rFonts w:ascii="华文楷体" w:hAnsi="华文楷体"/>
          <w:b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331E129D" w:rsidR="00695DD9" w:rsidRPr="00DF6DF8" w:rsidRDefault="00DA1B15" w:rsidP="00695DD9">
      <w:pPr>
        <w:pStyle w:val="Header1"/>
        <w:spacing w:before="240"/>
        <w:ind w:firstLine="480"/>
        <w:rPr>
          <w:rFonts w:ascii="华文楷体" w:hAnsi="华文楷体"/>
          <w:b w:val="0"/>
          <w:color w:val="auto"/>
          <w:sz w:val="24"/>
          <w:szCs w:val="24"/>
        </w:rPr>
      </w:pPr>
      <w:r w:rsidRPr="00DA1B15">
        <w:rPr>
          <w:rFonts w:ascii="华文楷体" w:hAnsi="华文楷体" w:hint="eastAsia"/>
          <w:b w:val="0"/>
          <w:color w:val="auto"/>
          <w:sz w:val="24"/>
          <w:szCs w:val="24"/>
        </w:rPr>
        <w:t>统计局公布数据显示，</w:t>
      </w:r>
      <w:r w:rsidR="00891CB5">
        <w:rPr>
          <w:rFonts w:ascii="华文楷体" w:hAnsi="华文楷体" w:hint="eastAsia"/>
          <w:b w:val="0"/>
          <w:color w:val="auto"/>
          <w:sz w:val="24"/>
          <w:szCs w:val="24"/>
        </w:rPr>
        <w:t>2021年</w:t>
      </w:r>
      <w:r w:rsidR="003A0210" w:rsidRPr="003A0210">
        <w:rPr>
          <w:rFonts w:ascii="华文楷体" w:hAnsi="华文楷体" w:hint="eastAsia"/>
          <w:b w:val="0"/>
          <w:color w:val="auto"/>
          <w:sz w:val="24"/>
          <w:szCs w:val="24"/>
        </w:rPr>
        <w:t>5月中国官方制造业PMI51.0%，较4月的51.1%下行0.1个百分点，预期值51.1%；官方非制造业PMI为55.2%，较4月回升0.3个百分点，预期值55.1%；综合PMI产出指数为54.2%，比4月高0.4个百分点。</w:t>
      </w:r>
    </w:p>
    <w:p w14:paraId="090EC56C" w14:textId="01061546" w:rsidR="0090508B" w:rsidRDefault="003A0210" w:rsidP="002D0C96">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具体来看，制造业整体变化不大，需求指数持续回落，外需再次降至荣枯线以下。</w:t>
      </w:r>
      <w:r w:rsidRPr="003A0210">
        <w:rPr>
          <w:rFonts w:ascii="华文楷体" w:hAnsi="华文楷体" w:hint="eastAsia"/>
          <w:b w:val="0"/>
          <w:color w:val="auto"/>
          <w:sz w:val="24"/>
          <w:szCs w:val="24"/>
        </w:rPr>
        <w:t>5月份中国制造业采购经理指数为51%，比4月回落0.1个百分点，连续两个月回落，但回落幅度明显减小。</w:t>
      </w:r>
    </w:p>
    <w:p w14:paraId="6D307476" w14:textId="3F3D477B" w:rsidR="00551C03" w:rsidRDefault="003A0210" w:rsidP="00551C03">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结构上，生产指数回升明显，出口仍对制造业生产形成一定支撑。</w:t>
      </w:r>
      <w:r w:rsidRPr="003A0210">
        <w:rPr>
          <w:rFonts w:ascii="华文楷体" w:hAnsi="华文楷体" w:hint="eastAsia"/>
          <w:b w:val="0"/>
          <w:color w:val="auto"/>
          <w:sz w:val="24"/>
          <w:szCs w:val="24"/>
        </w:rPr>
        <w:t>5月PMI生产指数为52.7%，较4月回升0.5个百分点</w:t>
      </w:r>
      <w:r>
        <w:rPr>
          <w:rFonts w:ascii="华文楷体" w:hAnsi="华文楷体" w:hint="eastAsia"/>
          <w:b w:val="0"/>
          <w:color w:val="auto"/>
          <w:sz w:val="24"/>
          <w:szCs w:val="24"/>
        </w:rPr>
        <w:t>，</w:t>
      </w:r>
      <w:r w:rsidRPr="003A0210">
        <w:rPr>
          <w:rFonts w:ascii="华文楷体" w:hAnsi="华文楷体" w:hint="eastAsia"/>
          <w:b w:val="0"/>
          <w:color w:val="auto"/>
          <w:sz w:val="24"/>
          <w:szCs w:val="24"/>
        </w:rPr>
        <w:t>4月较3月下降了1.7个百分点，制造业生产</w:t>
      </w:r>
      <w:r>
        <w:rPr>
          <w:rFonts w:ascii="华文楷体" w:hAnsi="华文楷体" w:hint="eastAsia"/>
          <w:b w:val="0"/>
          <w:color w:val="auto"/>
          <w:sz w:val="24"/>
          <w:szCs w:val="24"/>
        </w:rPr>
        <w:t>表现尚可</w:t>
      </w:r>
      <w:r w:rsidRPr="003A0210">
        <w:rPr>
          <w:rFonts w:ascii="华文楷体" w:hAnsi="华文楷体" w:hint="eastAsia"/>
          <w:b w:val="0"/>
          <w:color w:val="auto"/>
          <w:sz w:val="24"/>
          <w:szCs w:val="24"/>
        </w:rPr>
        <w:t>。4月规模以上工业增加值同比增长9.8%，制造业为10.3%</w:t>
      </w:r>
      <w:r>
        <w:rPr>
          <w:rFonts w:ascii="华文楷体" w:hAnsi="华文楷体" w:hint="eastAsia"/>
          <w:b w:val="0"/>
          <w:color w:val="auto"/>
          <w:sz w:val="24"/>
          <w:szCs w:val="24"/>
        </w:rPr>
        <w:t>，</w:t>
      </w:r>
      <w:r w:rsidRPr="003A0210">
        <w:rPr>
          <w:rFonts w:ascii="华文楷体" w:hAnsi="华文楷体" w:hint="eastAsia"/>
          <w:b w:val="0"/>
          <w:color w:val="auto"/>
          <w:sz w:val="24"/>
          <w:szCs w:val="24"/>
        </w:rPr>
        <w:t>两年平均增速为7.6%</w:t>
      </w:r>
      <w:r>
        <w:rPr>
          <w:rFonts w:ascii="华文楷体" w:hAnsi="华文楷体" w:hint="eastAsia"/>
          <w:b w:val="0"/>
          <w:color w:val="auto"/>
          <w:sz w:val="24"/>
          <w:szCs w:val="24"/>
        </w:rPr>
        <w:t>，</w:t>
      </w:r>
      <w:r w:rsidRPr="003A0210">
        <w:rPr>
          <w:rFonts w:ascii="华文楷体" w:hAnsi="华文楷体" w:hint="eastAsia"/>
          <w:b w:val="0"/>
          <w:color w:val="auto"/>
          <w:sz w:val="24"/>
          <w:szCs w:val="24"/>
        </w:rPr>
        <w:t>制造业生产</w:t>
      </w:r>
      <w:r>
        <w:rPr>
          <w:rFonts w:ascii="华文楷体" w:hAnsi="华文楷体" w:hint="eastAsia"/>
          <w:b w:val="0"/>
          <w:color w:val="auto"/>
          <w:sz w:val="24"/>
          <w:szCs w:val="24"/>
        </w:rPr>
        <w:t>仍基本</w:t>
      </w:r>
      <w:r w:rsidRPr="003A0210">
        <w:rPr>
          <w:rFonts w:ascii="华文楷体" w:hAnsi="华文楷体" w:hint="eastAsia"/>
          <w:b w:val="0"/>
          <w:color w:val="auto"/>
          <w:sz w:val="24"/>
          <w:szCs w:val="24"/>
        </w:rPr>
        <w:t>维持在较高水平。</w:t>
      </w:r>
    </w:p>
    <w:p w14:paraId="2CEC000B" w14:textId="02539A00" w:rsidR="003A0210" w:rsidRDefault="003A0210" w:rsidP="00551C03">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需求方面，内</w:t>
      </w:r>
      <w:r w:rsidR="00D54CC8">
        <w:rPr>
          <w:rFonts w:ascii="华文楷体" w:hAnsi="华文楷体" w:hint="eastAsia"/>
          <w:b w:val="0"/>
          <w:color w:val="auto"/>
          <w:sz w:val="24"/>
          <w:szCs w:val="24"/>
        </w:rPr>
        <w:t>需和外需</w:t>
      </w:r>
      <w:r>
        <w:rPr>
          <w:rFonts w:ascii="华文楷体" w:hAnsi="华文楷体" w:hint="eastAsia"/>
          <w:b w:val="0"/>
          <w:color w:val="auto"/>
          <w:sz w:val="24"/>
          <w:szCs w:val="24"/>
        </w:rPr>
        <w:t>均表现一定回落，新出口订单指数再次降至荣枯线以下。</w:t>
      </w:r>
      <w:r w:rsidRPr="003A0210">
        <w:rPr>
          <w:rFonts w:ascii="华文楷体" w:hAnsi="华文楷体" w:hint="eastAsia"/>
          <w:b w:val="0"/>
          <w:color w:val="auto"/>
          <w:sz w:val="24"/>
          <w:szCs w:val="24"/>
        </w:rPr>
        <w:t>5月新订单指数为51.3%，比4月回落0.7个百分点</w:t>
      </w:r>
      <w:r>
        <w:rPr>
          <w:rFonts w:ascii="华文楷体" w:hAnsi="华文楷体" w:hint="eastAsia"/>
          <w:b w:val="0"/>
          <w:color w:val="auto"/>
          <w:sz w:val="24"/>
          <w:szCs w:val="24"/>
        </w:rPr>
        <w:t>，</w:t>
      </w:r>
      <w:r w:rsidRPr="003A0210">
        <w:rPr>
          <w:rFonts w:ascii="华文楷体" w:hAnsi="华文楷体" w:hint="eastAsia"/>
          <w:b w:val="0"/>
          <w:color w:val="auto"/>
          <w:sz w:val="24"/>
          <w:szCs w:val="24"/>
        </w:rPr>
        <w:t>4月比3月回落1.6个百分点；新出口订单指数为48.3%，比4月回落2.1个百分点</w:t>
      </w:r>
      <w:r>
        <w:rPr>
          <w:rFonts w:ascii="华文楷体" w:hAnsi="华文楷体" w:hint="eastAsia"/>
          <w:b w:val="0"/>
          <w:color w:val="auto"/>
          <w:sz w:val="24"/>
          <w:szCs w:val="24"/>
        </w:rPr>
        <w:t>，</w:t>
      </w:r>
      <w:r w:rsidRPr="003A0210">
        <w:rPr>
          <w:rFonts w:ascii="华文楷体" w:hAnsi="华文楷体" w:hint="eastAsia"/>
          <w:b w:val="0"/>
          <w:color w:val="auto"/>
          <w:sz w:val="24"/>
          <w:szCs w:val="24"/>
        </w:rPr>
        <w:t>4月比3月回落0.8个百分点，再次降至荣枯线以下。</w:t>
      </w:r>
    </w:p>
    <w:p w14:paraId="2F0F077E" w14:textId="66EBC53E" w:rsidR="003A0210" w:rsidRPr="003A0210" w:rsidRDefault="003A0210" w:rsidP="00551C03">
      <w:pPr>
        <w:pStyle w:val="Header1"/>
        <w:spacing w:before="240"/>
        <w:ind w:firstLine="480"/>
        <w:rPr>
          <w:rFonts w:ascii="华文楷体" w:hAnsi="华文楷体"/>
          <w:b w:val="0"/>
          <w:color w:val="auto"/>
          <w:sz w:val="24"/>
          <w:szCs w:val="24"/>
        </w:rPr>
      </w:pPr>
      <w:r w:rsidRPr="003A0210">
        <w:rPr>
          <w:rFonts w:ascii="华文楷体" w:hAnsi="华文楷体" w:hint="eastAsia"/>
          <w:b w:val="0"/>
          <w:color w:val="auto"/>
          <w:sz w:val="24"/>
          <w:szCs w:val="24"/>
        </w:rPr>
        <w:t>5月原材料购进价格指数、出厂价格指数分别为72.8%、60.6%，分别比4月上升5.9和3.3个百分点，指数均创近年高点。但从结构来看，5月原材料购进价格指数、出厂价格指数之</w:t>
      </w:r>
      <w:proofErr w:type="gramStart"/>
      <w:r w:rsidRPr="003A0210">
        <w:rPr>
          <w:rFonts w:ascii="华文楷体" w:hAnsi="华文楷体" w:hint="eastAsia"/>
          <w:b w:val="0"/>
          <w:color w:val="auto"/>
          <w:sz w:val="24"/>
          <w:szCs w:val="24"/>
        </w:rPr>
        <w:t>差达到</w:t>
      </w:r>
      <w:proofErr w:type="gramEnd"/>
      <w:r w:rsidRPr="003A0210">
        <w:rPr>
          <w:rFonts w:ascii="华文楷体" w:hAnsi="华文楷体" w:hint="eastAsia"/>
          <w:b w:val="0"/>
          <w:color w:val="auto"/>
          <w:sz w:val="24"/>
          <w:szCs w:val="24"/>
        </w:rPr>
        <w:t>了12.2个百分点的超高水平</w:t>
      </w:r>
      <w:r>
        <w:rPr>
          <w:rFonts w:ascii="华文楷体" w:hAnsi="华文楷体" w:hint="eastAsia"/>
          <w:b w:val="0"/>
          <w:color w:val="auto"/>
          <w:sz w:val="24"/>
          <w:szCs w:val="24"/>
        </w:rPr>
        <w:t>。</w:t>
      </w:r>
    </w:p>
    <w:p w14:paraId="3CBE2EE9" w14:textId="380ED09E" w:rsidR="003A0210" w:rsidRDefault="00027744" w:rsidP="003A0210">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003A0210">
        <w:rPr>
          <w:rFonts w:ascii="华文楷体" w:hAnsi="华文楷体" w:hint="eastAsia"/>
          <w:b w:val="0"/>
          <w:color w:val="auto"/>
          <w:sz w:val="24"/>
          <w:szCs w:val="24"/>
        </w:rPr>
        <w:t>库存方面呈现一定回落，当前仍基本处于补库阶段。</w:t>
      </w:r>
      <w:r w:rsidR="003A0210" w:rsidRPr="003A0210">
        <w:rPr>
          <w:rFonts w:ascii="华文楷体" w:hAnsi="华文楷体" w:hint="eastAsia"/>
          <w:b w:val="0"/>
          <w:color w:val="auto"/>
          <w:sz w:val="24"/>
          <w:szCs w:val="24"/>
        </w:rPr>
        <w:t>5月原材料库存指数、产成品库存指数分别为47.7%和46.5%，分别较4月回落0.6、0.3个百分点。从上</w:t>
      </w:r>
      <w:r w:rsidR="00891CB5">
        <w:rPr>
          <w:rFonts w:ascii="华文楷体" w:hAnsi="华文楷体" w:hint="eastAsia"/>
          <w:b w:val="0"/>
          <w:color w:val="auto"/>
          <w:sz w:val="24"/>
          <w:szCs w:val="24"/>
        </w:rPr>
        <w:t>一</w:t>
      </w:r>
      <w:r w:rsidR="003A0210" w:rsidRPr="003A0210">
        <w:rPr>
          <w:rFonts w:ascii="华文楷体" w:hAnsi="华文楷体" w:hint="eastAsia"/>
          <w:b w:val="0"/>
          <w:color w:val="auto"/>
          <w:sz w:val="24"/>
          <w:szCs w:val="24"/>
        </w:rPr>
        <w:t>周公布的4月工业企业利润数据来看，4月工业企业营收增速和产成品存货增速双双回落</w:t>
      </w:r>
      <w:r w:rsidR="003A0210">
        <w:rPr>
          <w:rFonts w:ascii="华文楷体" w:hAnsi="华文楷体" w:hint="eastAsia"/>
          <w:b w:val="0"/>
          <w:color w:val="auto"/>
          <w:sz w:val="24"/>
          <w:szCs w:val="24"/>
        </w:rPr>
        <w:t>。</w:t>
      </w:r>
    </w:p>
    <w:p w14:paraId="2C2DD51D" w14:textId="42258E13" w:rsidR="003A0210" w:rsidRDefault="003A0210" w:rsidP="003A0210">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Pr>
          <w:rFonts w:ascii="华文楷体" w:hAnsi="华文楷体"/>
          <w:b w:val="0"/>
          <w:color w:val="auto"/>
          <w:sz w:val="24"/>
          <w:szCs w:val="24"/>
        </w:rPr>
        <w:t xml:space="preserve">    </w:t>
      </w:r>
      <w:r w:rsidRPr="003A0210">
        <w:rPr>
          <w:rFonts w:ascii="华文楷体" w:hAnsi="华文楷体" w:hint="eastAsia"/>
          <w:b w:val="0"/>
          <w:color w:val="auto"/>
          <w:sz w:val="24"/>
          <w:szCs w:val="24"/>
        </w:rPr>
        <w:t>从企业规模看，5月大、中型企业PMI分别为51.8%和51.1%，比上月上升0.1和0.8个百分点，均高于临界点；小型企业PMI为48.8%，比4月下降2.0个百分点，重新掉入荣枯线以下，连续两个月指数提升的势头中止。</w:t>
      </w:r>
    </w:p>
    <w:p w14:paraId="541CEC80" w14:textId="46DDFDF2" w:rsidR="001A56D9" w:rsidRPr="00551C03" w:rsidRDefault="003A0210"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Pr>
          <w:rFonts w:ascii="华文楷体" w:hAnsi="华文楷体"/>
          <w:b w:val="0"/>
          <w:color w:val="auto"/>
          <w:sz w:val="24"/>
          <w:szCs w:val="24"/>
        </w:rPr>
        <w:t xml:space="preserve">    </w:t>
      </w:r>
      <w:r w:rsidRPr="003A0210">
        <w:rPr>
          <w:rFonts w:ascii="华文楷体" w:hAnsi="华文楷体" w:hint="eastAsia"/>
          <w:b w:val="0"/>
          <w:color w:val="auto"/>
          <w:sz w:val="24"/>
          <w:szCs w:val="24"/>
        </w:rPr>
        <w:t>5月非制造业商务活动指数为55.2%，较4月上升0.3个百分点。服务业活动指数有一定韧性，说明服务业进一步恢复。5月建筑业商务活动指数为60.1%，比4月上升2.7个百分点</w:t>
      </w:r>
      <w:r>
        <w:rPr>
          <w:rFonts w:ascii="华文楷体" w:hAnsi="华文楷体" w:hint="eastAsia"/>
          <w:b w:val="0"/>
          <w:color w:val="auto"/>
          <w:sz w:val="24"/>
          <w:szCs w:val="24"/>
        </w:rPr>
        <w:t>。</w:t>
      </w:r>
      <w:r w:rsidRPr="003A0210">
        <w:rPr>
          <w:rFonts w:ascii="华文楷体" w:hAnsi="华文楷体" w:hint="eastAsia"/>
          <w:b w:val="0"/>
          <w:color w:val="auto"/>
          <w:sz w:val="24"/>
          <w:szCs w:val="24"/>
        </w:rPr>
        <w:t>5月服务业商务活动指数为54.3%，比4月回落0.1个百分点</w:t>
      </w:r>
      <w:r>
        <w:rPr>
          <w:rFonts w:ascii="华文楷体" w:hAnsi="华文楷体" w:hint="eastAsia"/>
          <w:b w:val="0"/>
          <w:color w:val="auto"/>
          <w:sz w:val="24"/>
          <w:szCs w:val="24"/>
        </w:rPr>
        <w:t>。</w:t>
      </w:r>
      <w:r w:rsidRPr="003A0210">
        <w:rPr>
          <w:rFonts w:ascii="华文楷体" w:hAnsi="华文楷体" w:hint="eastAsia"/>
          <w:b w:val="0"/>
          <w:color w:val="auto"/>
          <w:sz w:val="24"/>
          <w:szCs w:val="24"/>
        </w:rPr>
        <w:t>5月从业人员指数为48.9%，比上月上升0.2个百分点；其中建筑业从业人员指数为53.0%，比4月上升2.0个百分点；服务业从业人员指数为48.2%，比4月下降0.1个百分点。</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lastRenderedPageBreak/>
        <w:t>1</w:t>
      </w:r>
      <w:r>
        <w:rPr>
          <w:rFonts w:hint="eastAsia"/>
          <w:sz w:val="28"/>
          <w:szCs w:val="21"/>
          <w:lang w:eastAsia="zh-CN"/>
        </w:rPr>
        <w:t>、</w:t>
      </w:r>
      <w:r>
        <w:rPr>
          <w:rFonts w:hint="eastAsia"/>
          <w:sz w:val="28"/>
          <w:szCs w:val="21"/>
        </w:rPr>
        <w:t>资金面</w:t>
      </w:r>
    </w:p>
    <w:p w14:paraId="5B44DCF6" w14:textId="2C7604AD"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A5662C">
        <w:rPr>
          <w:rFonts w:ascii="华文楷体" w:hAnsi="华文楷体" w:hint="eastAsia"/>
          <w:sz w:val="24"/>
          <w:szCs w:val="24"/>
          <w:lang w:eastAsia="zh-CN"/>
        </w:rPr>
        <w:t>净</w:t>
      </w:r>
      <w:r w:rsidR="00026E14">
        <w:rPr>
          <w:rFonts w:ascii="华文楷体" w:hAnsi="华文楷体" w:hint="eastAsia"/>
          <w:sz w:val="24"/>
          <w:szCs w:val="24"/>
          <w:lang w:eastAsia="zh-CN"/>
        </w:rPr>
        <w:t>回笼</w:t>
      </w:r>
      <w:r w:rsidR="00C15F3D">
        <w:rPr>
          <w:rFonts w:ascii="华文楷体" w:hAnsi="华文楷体"/>
          <w:sz w:val="24"/>
          <w:szCs w:val="24"/>
          <w:lang w:eastAsia="zh-CN"/>
        </w:rPr>
        <w:t>0</w:t>
      </w:r>
      <w:r w:rsidR="00C15F3D">
        <w:rPr>
          <w:rFonts w:ascii="华文楷体" w:hAnsi="华文楷体" w:hint="eastAsia"/>
          <w:sz w:val="24"/>
          <w:szCs w:val="24"/>
          <w:lang w:eastAsia="zh-CN"/>
        </w:rPr>
        <w:t>亿</w:t>
      </w:r>
      <w:r w:rsidR="006E4B59">
        <w:rPr>
          <w:rFonts w:ascii="华文楷体" w:hAnsi="华文楷体" w:hint="eastAsia"/>
          <w:sz w:val="24"/>
          <w:szCs w:val="24"/>
          <w:lang w:eastAsia="zh-CN"/>
        </w:rPr>
        <w:t>，</w:t>
      </w:r>
      <w:r w:rsidR="000C3DC4">
        <w:rPr>
          <w:rFonts w:ascii="华文楷体" w:hAnsi="华文楷体" w:hint="eastAsia"/>
          <w:sz w:val="24"/>
          <w:szCs w:val="24"/>
          <w:lang w:eastAsia="zh-CN"/>
        </w:rPr>
        <w:t>资金面跨月归来后</w:t>
      </w:r>
      <w:proofErr w:type="gramStart"/>
      <w:r w:rsidR="000C3DC4">
        <w:rPr>
          <w:rFonts w:ascii="华文楷体" w:hAnsi="华文楷体" w:hint="eastAsia"/>
          <w:sz w:val="24"/>
          <w:szCs w:val="24"/>
          <w:lang w:eastAsia="zh-CN"/>
        </w:rPr>
        <w:t>适度回归</w:t>
      </w:r>
      <w:proofErr w:type="gramEnd"/>
      <w:r w:rsidR="000C3DC4">
        <w:rPr>
          <w:rFonts w:ascii="华文楷体" w:hAnsi="华文楷体" w:hint="eastAsia"/>
          <w:sz w:val="24"/>
          <w:szCs w:val="24"/>
          <w:lang w:eastAsia="zh-CN"/>
        </w:rPr>
        <w:t>中枢，整体仍基本维持高位震荡</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515400">
        <w:rPr>
          <w:rFonts w:ascii="华文楷体" w:hAnsi="华文楷体" w:hint="eastAsia"/>
          <w:sz w:val="24"/>
          <w:szCs w:val="24"/>
          <w:lang w:eastAsia="zh-CN"/>
        </w:rPr>
        <w:t>上</w:t>
      </w:r>
      <w:r w:rsidR="00C15F3D">
        <w:rPr>
          <w:rFonts w:ascii="华文楷体" w:hAnsi="华文楷体" w:hint="eastAsia"/>
          <w:sz w:val="24"/>
          <w:szCs w:val="24"/>
          <w:lang w:eastAsia="zh-CN"/>
        </w:rPr>
        <w:t>行</w:t>
      </w:r>
      <w:r w:rsidR="00BB0E41">
        <w:rPr>
          <w:rFonts w:ascii="华文楷体" w:hAnsi="华文楷体" w:hint="eastAsia"/>
          <w:sz w:val="24"/>
          <w:szCs w:val="24"/>
          <w:lang w:eastAsia="zh-CN"/>
        </w:rPr>
        <w:t>1</w:t>
      </w:r>
      <w:r w:rsidR="002D361C">
        <w:rPr>
          <w:rFonts w:ascii="华文楷体" w:hAnsi="华文楷体" w:hint="eastAsia"/>
          <w:sz w:val="24"/>
          <w:szCs w:val="24"/>
          <w:lang w:eastAsia="zh-CN"/>
        </w:rPr>
        <w:t>BP至</w:t>
      </w:r>
      <w:r w:rsidR="00026E14">
        <w:rPr>
          <w:rFonts w:ascii="华文楷体" w:hAnsi="华文楷体" w:hint="eastAsia"/>
          <w:sz w:val="24"/>
          <w:szCs w:val="24"/>
          <w:lang w:eastAsia="zh-CN"/>
        </w:rPr>
        <w:t>2.</w:t>
      </w:r>
      <w:r w:rsidR="00BB0E41">
        <w:rPr>
          <w:rFonts w:ascii="华文楷体" w:hAnsi="华文楷体" w:hint="eastAsia"/>
          <w:sz w:val="24"/>
          <w:szCs w:val="24"/>
          <w:lang w:eastAsia="zh-CN"/>
        </w:rPr>
        <w:t>2</w:t>
      </w:r>
      <w:r w:rsidR="000C3DC4">
        <w:rPr>
          <w:rFonts w:ascii="华文楷体" w:hAnsi="华文楷体"/>
          <w:sz w:val="24"/>
          <w:szCs w:val="24"/>
          <w:lang w:eastAsia="zh-CN"/>
        </w:rPr>
        <w:t>2</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0C3DC4">
        <w:rPr>
          <w:rFonts w:ascii="华文楷体" w:hAnsi="华文楷体" w:hint="eastAsia"/>
          <w:sz w:val="24"/>
          <w:szCs w:val="24"/>
          <w:lang w:eastAsia="zh-CN"/>
        </w:rPr>
        <w:t>下</w:t>
      </w:r>
      <w:r w:rsidR="00515400">
        <w:rPr>
          <w:rFonts w:ascii="华文楷体" w:hAnsi="华文楷体" w:hint="eastAsia"/>
          <w:sz w:val="24"/>
          <w:szCs w:val="24"/>
          <w:lang w:eastAsia="zh-CN"/>
        </w:rPr>
        <w:t>行</w:t>
      </w:r>
      <w:r w:rsidR="000C3DC4">
        <w:rPr>
          <w:rFonts w:ascii="华文楷体" w:hAnsi="华文楷体"/>
          <w:sz w:val="24"/>
          <w:szCs w:val="24"/>
          <w:lang w:eastAsia="zh-CN"/>
        </w:rPr>
        <w:t>29</w:t>
      </w:r>
      <w:r w:rsidR="00D9413F">
        <w:rPr>
          <w:rFonts w:ascii="华文楷体" w:hAnsi="华文楷体" w:hint="eastAsia"/>
          <w:sz w:val="24"/>
          <w:szCs w:val="24"/>
          <w:lang w:eastAsia="zh-CN"/>
        </w:rPr>
        <w:t>BP至</w:t>
      </w:r>
      <w:r w:rsidR="00C15F3D">
        <w:rPr>
          <w:rFonts w:ascii="华文楷体" w:hAnsi="华文楷体"/>
          <w:sz w:val="24"/>
          <w:szCs w:val="24"/>
          <w:lang w:eastAsia="zh-CN"/>
        </w:rPr>
        <w:t>2</w:t>
      </w:r>
      <w:r w:rsidR="00515400">
        <w:rPr>
          <w:rFonts w:ascii="华文楷体" w:hAnsi="华文楷体" w:hint="eastAsia"/>
          <w:sz w:val="24"/>
          <w:szCs w:val="24"/>
          <w:lang w:eastAsia="zh-CN"/>
        </w:rPr>
        <w:t>.</w:t>
      </w:r>
      <w:r w:rsidR="000C3DC4">
        <w:rPr>
          <w:rFonts w:ascii="华文楷体" w:hAnsi="华文楷体"/>
          <w:sz w:val="24"/>
          <w:szCs w:val="24"/>
          <w:lang w:eastAsia="zh-CN"/>
        </w:rPr>
        <w:t>14</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ED7CCC">
        <w:rPr>
          <w:rFonts w:ascii="华文楷体" w:hAnsi="华文楷体" w:hint="eastAsia"/>
          <w:sz w:val="24"/>
          <w:szCs w:val="24"/>
          <w:lang w:eastAsia="zh-CN"/>
        </w:rPr>
        <w:t>隔夜利率和</w:t>
      </w:r>
      <w:r w:rsidR="00B92F0A">
        <w:rPr>
          <w:rFonts w:ascii="华文楷体" w:hAnsi="华文楷体" w:hint="eastAsia"/>
          <w:sz w:val="24"/>
          <w:szCs w:val="24"/>
          <w:lang w:eastAsia="zh-CN"/>
        </w:rPr>
        <w:t>7</w:t>
      </w:r>
      <w:r w:rsidR="00ED7CCC">
        <w:rPr>
          <w:rFonts w:ascii="华文楷体" w:hAnsi="华文楷体" w:hint="eastAsia"/>
          <w:sz w:val="24"/>
          <w:szCs w:val="24"/>
          <w:lang w:eastAsia="zh-CN"/>
        </w:rPr>
        <w:t>天利率</w:t>
      </w:r>
      <w:r w:rsidR="00C15F3D">
        <w:rPr>
          <w:rFonts w:ascii="华文楷体" w:hAnsi="华文楷体" w:hint="eastAsia"/>
          <w:sz w:val="24"/>
          <w:szCs w:val="24"/>
          <w:lang w:eastAsia="zh-CN"/>
        </w:rPr>
        <w:t>利差</w:t>
      </w:r>
      <w:r w:rsidR="00026E14">
        <w:rPr>
          <w:rFonts w:ascii="华文楷体" w:hAnsi="华文楷体" w:hint="eastAsia"/>
          <w:sz w:val="24"/>
          <w:szCs w:val="24"/>
          <w:lang w:eastAsia="zh-CN"/>
        </w:rPr>
        <w:t>持续窄幅震荡</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0C3DC4">
        <w:tblPrEx>
          <w:tblCellMar>
            <w:left w:w="108" w:type="dxa"/>
            <w:right w:w="108" w:type="dxa"/>
          </w:tblCellMar>
        </w:tblPrEx>
        <w:trPr>
          <w:jc w:val="center"/>
        </w:trPr>
        <w:tc>
          <w:tcPr>
            <w:tcW w:w="4939" w:type="dxa"/>
            <w:vAlign w:val="center"/>
          </w:tcPr>
          <w:p w14:paraId="60AEAEDC" w14:textId="6B240DCE" w:rsidR="00E0626C" w:rsidRPr="003C6AC1" w:rsidRDefault="000C3DC4" w:rsidP="009A2BA0">
            <w:pPr>
              <w:jc w:val="center"/>
              <w:rPr>
                <w:noProof/>
                <w:sz w:val="20"/>
              </w:rPr>
            </w:pPr>
            <w:r>
              <w:rPr>
                <w:noProof/>
              </w:rPr>
              <w:drawing>
                <wp:inline distT="0" distB="0" distL="0" distR="0" wp14:anchorId="613292CB" wp14:editId="78657047">
                  <wp:extent cx="2999105" cy="1747989"/>
                  <wp:effectExtent l="0" t="0" r="0" b="5080"/>
                  <wp:docPr id="1" name="图表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0D9F2E5B" w:rsidR="00E0626C" w:rsidRPr="00F62F43" w:rsidRDefault="000C3DC4" w:rsidP="009A2BA0">
            <w:pPr>
              <w:jc w:val="center"/>
              <w:rPr>
                <w:noProof/>
                <w:sz w:val="16"/>
                <w:szCs w:val="18"/>
              </w:rPr>
            </w:pPr>
            <w:r>
              <w:rPr>
                <w:noProof/>
              </w:rPr>
              <w:drawing>
                <wp:inline distT="0" distB="0" distL="0" distR="0" wp14:anchorId="2EC20E8F" wp14:editId="3B489488">
                  <wp:extent cx="2998470" cy="1775212"/>
                  <wp:effectExtent l="0" t="0" r="0" b="0"/>
                  <wp:docPr id="2" name="图表 2">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5DBD8EC9"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64451B">
        <w:rPr>
          <w:rFonts w:ascii="华文楷体" w:hAnsi="华文楷体" w:hint="eastAsia"/>
          <w:sz w:val="24"/>
          <w:szCs w:val="24"/>
          <w:lang w:eastAsia="zh-CN"/>
        </w:rPr>
        <w:t>方面，中长期</w:t>
      </w:r>
      <w:proofErr w:type="gramStart"/>
      <w:r w:rsidR="0064451B">
        <w:rPr>
          <w:rFonts w:ascii="华文楷体" w:hAnsi="华文楷体" w:hint="eastAsia"/>
          <w:sz w:val="24"/>
          <w:szCs w:val="24"/>
          <w:lang w:eastAsia="zh-CN"/>
        </w:rPr>
        <w:t>限品种</w:t>
      </w:r>
      <w:proofErr w:type="gramEnd"/>
      <w:r w:rsidR="008C1A52">
        <w:rPr>
          <w:rFonts w:ascii="华文楷体" w:hAnsi="华文楷体" w:hint="eastAsia"/>
          <w:sz w:val="24"/>
          <w:szCs w:val="24"/>
          <w:lang w:eastAsia="zh-CN"/>
        </w:rPr>
        <w:t>适度上行调整</w:t>
      </w:r>
      <w:r w:rsidR="006629A0">
        <w:rPr>
          <w:rFonts w:ascii="华文楷体" w:hAnsi="华文楷体" w:hint="eastAsia"/>
          <w:sz w:val="24"/>
          <w:szCs w:val="24"/>
          <w:lang w:eastAsia="zh-CN"/>
        </w:rPr>
        <w:t>，</w:t>
      </w:r>
      <w:r w:rsidR="0064451B">
        <w:rPr>
          <w:rFonts w:ascii="华文楷体" w:hAnsi="华文楷体" w:hint="eastAsia"/>
          <w:sz w:val="24"/>
          <w:szCs w:val="24"/>
          <w:lang w:eastAsia="zh-CN"/>
        </w:rPr>
        <w:t>一部分受到获利情绪影响，</w:t>
      </w:r>
      <w:r w:rsidR="006629A0">
        <w:rPr>
          <w:rFonts w:ascii="华文楷体" w:hAnsi="华文楷体" w:hint="eastAsia"/>
          <w:sz w:val="24"/>
          <w:szCs w:val="24"/>
          <w:lang w:eastAsia="zh-CN"/>
        </w:rPr>
        <w:t>1Y</w:t>
      </w:r>
      <w:proofErr w:type="gramStart"/>
      <w:r w:rsidR="006629A0">
        <w:rPr>
          <w:rFonts w:ascii="华文楷体" w:hAnsi="华文楷体" w:hint="eastAsia"/>
          <w:sz w:val="24"/>
          <w:szCs w:val="24"/>
          <w:lang w:eastAsia="zh-CN"/>
        </w:rPr>
        <w:t>内品种</w:t>
      </w:r>
      <w:proofErr w:type="gramEnd"/>
      <w:r w:rsidR="006629A0">
        <w:rPr>
          <w:rFonts w:ascii="华文楷体" w:hAnsi="华文楷体" w:hint="eastAsia"/>
          <w:sz w:val="24"/>
          <w:szCs w:val="24"/>
          <w:lang w:eastAsia="zh-CN"/>
        </w:rPr>
        <w:t>表现相对</w:t>
      </w:r>
      <w:r w:rsidR="0064451B">
        <w:rPr>
          <w:rFonts w:ascii="华文楷体" w:hAnsi="华文楷体" w:hint="eastAsia"/>
          <w:sz w:val="24"/>
          <w:szCs w:val="24"/>
          <w:lang w:eastAsia="zh-CN"/>
        </w:rPr>
        <w:t>平稳，期限利差</w:t>
      </w:r>
      <w:proofErr w:type="gramStart"/>
      <w:r w:rsidR="0064451B">
        <w:rPr>
          <w:rFonts w:ascii="华文楷体" w:hAnsi="华文楷体" w:hint="eastAsia"/>
          <w:sz w:val="24"/>
          <w:szCs w:val="24"/>
          <w:lang w:eastAsia="zh-CN"/>
        </w:rPr>
        <w:t>小幅走阔</w:t>
      </w:r>
      <w:proofErr w:type="gramEnd"/>
      <w:r w:rsidR="006629A0">
        <w:rPr>
          <w:rFonts w:ascii="华文楷体" w:hAnsi="华文楷体" w:hint="eastAsia"/>
          <w:sz w:val="24"/>
          <w:szCs w:val="24"/>
          <w:lang w:eastAsia="zh-CN"/>
        </w:rPr>
        <w:t>。</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64451B">
        <w:rPr>
          <w:rFonts w:ascii="华文楷体" w:hAnsi="华文楷体"/>
          <w:sz w:val="24"/>
          <w:szCs w:val="24"/>
          <w:lang w:eastAsia="zh-CN"/>
        </w:rPr>
        <w:t>70</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17B47">
        <w:rPr>
          <w:rFonts w:ascii="华文楷体" w:hAnsi="华文楷体" w:hint="eastAsia"/>
          <w:sz w:val="24"/>
          <w:szCs w:val="24"/>
          <w:lang w:eastAsia="zh-CN"/>
        </w:rPr>
        <w:t>9</w:t>
      </w:r>
      <w:r w:rsidR="0064451B">
        <w:rPr>
          <w:rFonts w:ascii="华文楷体" w:hAnsi="华文楷体"/>
          <w:sz w:val="24"/>
          <w:szCs w:val="24"/>
          <w:lang w:eastAsia="zh-CN"/>
        </w:rPr>
        <w:t>9</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64451B">
        <w:rPr>
          <w:rFonts w:ascii="华文楷体" w:hAnsi="华文楷体" w:hint="eastAsia"/>
          <w:sz w:val="24"/>
          <w:szCs w:val="24"/>
          <w:lang w:eastAsia="zh-CN"/>
        </w:rPr>
        <w:t>上行1</w:t>
      </w:r>
      <w:r w:rsidR="0064451B">
        <w:rPr>
          <w:rFonts w:ascii="华文楷体" w:hAnsi="华文楷体"/>
          <w:sz w:val="24"/>
          <w:szCs w:val="24"/>
          <w:lang w:eastAsia="zh-CN"/>
        </w:rPr>
        <w:t>.0</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DD03B3">
        <w:rPr>
          <w:rFonts w:ascii="华文楷体" w:hAnsi="华文楷体" w:hint="eastAsia"/>
          <w:sz w:val="24"/>
          <w:szCs w:val="24"/>
          <w:lang w:eastAsia="zh-CN"/>
        </w:rPr>
        <w:t>上行</w:t>
      </w:r>
      <w:proofErr w:type="gramEnd"/>
      <w:r w:rsidR="00277FA3">
        <w:rPr>
          <w:rFonts w:ascii="华文楷体" w:hAnsi="华文楷体" w:hint="eastAsia"/>
          <w:sz w:val="24"/>
          <w:szCs w:val="24"/>
          <w:lang w:eastAsia="zh-CN"/>
        </w:rPr>
        <w:t>3</w:t>
      </w:r>
      <w:r w:rsidR="00277FA3">
        <w:rPr>
          <w:rFonts w:ascii="华文楷体" w:hAnsi="华文楷体"/>
          <w:sz w:val="24"/>
          <w:szCs w:val="24"/>
          <w:lang w:eastAsia="zh-CN"/>
        </w:rPr>
        <w:t>.5</w:t>
      </w:r>
      <w:r w:rsidR="00DD03B3">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1F098C">
        <w:rPr>
          <w:rFonts w:ascii="华文楷体" w:hAnsi="华文楷体" w:hint="eastAsia"/>
          <w:sz w:val="24"/>
          <w:szCs w:val="24"/>
          <w:lang w:eastAsia="zh-CN"/>
        </w:rPr>
        <w:t>4</w:t>
      </w:r>
      <w:r w:rsidR="0064451B">
        <w:rPr>
          <w:rFonts w:ascii="华文楷体" w:hAnsi="华文楷体"/>
          <w:sz w:val="24"/>
          <w:szCs w:val="24"/>
          <w:lang w:eastAsia="zh-CN"/>
        </w:rPr>
        <w:t>4</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64451B">
        <w:tblPrEx>
          <w:tblCellMar>
            <w:left w:w="108" w:type="dxa"/>
            <w:right w:w="108" w:type="dxa"/>
          </w:tblCellMar>
        </w:tblPrEx>
        <w:trPr>
          <w:jc w:val="center"/>
        </w:trPr>
        <w:tc>
          <w:tcPr>
            <w:tcW w:w="4939" w:type="dxa"/>
            <w:vAlign w:val="center"/>
          </w:tcPr>
          <w:p w14:paraId="678C97B0" w14:textId="135A13E5" w:rsidR="00E0626C" w:rsidRPr="007E0340" w:rsidRDefault="0064451B" w:rsidP="002104B2">
            <w:pPr>
              <w:rPr>
                <w:noProof/>
              </w:rPr>
            </w:pPr>
            <w:r>
              <w:rPr>
                <w:noProof/>
              </w:rPr>
              <w:drawing>
                <wp:inline distT="0" distB="0" distL="0" distR="0" wp14:anchorId="01B9E7A0" wp14:editId="6C8A5AD6">
                  <wp:extent cx="2999105" cy="1770849"/>
                  <wp:effectExtent l="0" t="0" r="0" b="1270"/>
                  <wp:docPr id="3" name="图表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1E42C0BB" w:rsidR="00E0626C" w:rsidRPr="007E0340" w:rsidRDefault="0064451B" w:rsidP="009A2BA0">
            <w:pPr>
              <w:jc w:val="center"/>
              <w:rPr>
                <w:noProof/>
                <w:szCs w:val="18"/>
              </w:rPr>
            </w:pPr>
            <w:r>
              <w:rPr>
                <w:noProof/>
              </w:rPr>
              <w:drawing>
                <wp:inline distT="0" distB="0" distL="0" distR="0" wp14:anchorId="01E8840E" wp14:editId="66913AD1">
                  <wp:extent cx="2998470" cy="1756797"/>
                  <wp:effectExtent l="0" t="0" r="0" b="0"/>
                  <wp:docPr id="9" name="图表 9">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732ABCB6"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9F6C52" w:rsidRPr="009F6C52">
        <w:rPr>
          <w:rFonts w:ascii="华文楷体" w:hAnsi="华文楷体" w:hint="eastAsia"/>
          <w:sz w:val="24"/>
          <w:szCs w:val="24"/>
          <w:lang w:eastAsia="zh-CN"/>
        </w:rPr>
        <w:t>多数期限适度下行，1Y期限和5Y期限品种小幅上行。1Y</w:t>
      </w:r>
      <w:proofErr w:type="gramStart"/>
      <w:r w:rsidR="009F6C52" w:rsidRPr="009F6C52">
        <w:rPr>
          <w:rFonts w:ascii="华文楷体" w:hAnsi="华文楷体" w:hint="eastAsia"/>
          <w:sz w:val="24"/>
          <w:szCs w:val="24"/>
          <w:lang w:eastAsia="zh-CN"/>
        </w:rPr>
        <w:t>期限短融上行</w:t>
      </w:r>
      <w:proofErr w:type="gramEnd"/>
      <w:r w:rsidR="009F6C52" w:rsidRPr="009F6C52">
        <w:rPr>
          <w:rFonts w:ascii="华文楷体" w:hAnsi="华文楷体" w:hint="eastAsia"/>
          <w:sz w:val="24"/>
          <w:szCs w:val="24"/>
          <w:lang w:eastAsia="zh-CN"/>
        </w:rPr>
        <w:t>0-3BP，3年AAA企业债下行1-3BP，5Y企业债上行0-3BP，</w:t>
      </w:r>
      <w:proofErr w:type="gramStart"/>
      <w:r w:rsidR="009F6C52" w:rsidRPr="009F6C52">
        <w:rPr>
          <w:rFonts w:ascii="华文楷体" w:hAnsi="华文楷体" w:hint="eastAsia"/>
          <w:sz w:val="24"/>
          <w:szCs w:val="24"/>
          <w:lang w:eastAsia="zh-CN"/>
        </w:rPr>
        <w:t>城投债</w:t>
      </w:r>
      <w:proofErr w:type="gramEnd"/>
      <w:r w:rsidR="009F6C52" w:rsidRPr="009F6C52">
        <w:rPr>
          <w:rFonts w:ascii="华文楷体" w:hAnsi="华文楷体" w:hint="eastAsia"/>
          <w:sz w:val="24"/>
          <w:szCs w:val="24"/>
          <w:lang w:eastAsia="zh-CN"/>
        </w:rPr>
        <w:t>3Y期限品种下行0-1BP，5Y品种上行0-1BP，7Y品种下行0-4BP。</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F31B87">
        <w:rPr>
          <w:rFonts w:ascii="华文楷体" w:hAnsi="华文楷体" w:hint="eastAsia"/>
          <w:sz w:val="24"/>
          <w:szCs w:val="24"/>
          <w:lang w:eastAsia="zh-CN"/>
        </w:rPr>
        <w:t>17</w:t>
      </w:r>
      <w:r w:rsidR="00DD03B3">
        <w:rPr>
          <w:rFonts w:ascii="华文楷体" w:hAnsi="华文楷体" w:hint="eastAsia"/>
          <w:sz w:val="24"/>
          <w:szCs w:val="24"/>
          <w:lang w:eastAsia="zh-CN"/>
        </w:rPr>
        <w:t>-</w:t>
      </w:r>
      <w:r w:rsidR="00F31B87">
        <w:rPr>
          <w:rFonts w:ascii="华文楷体" w:hAnsi="华文楷体" w:hint="eastAsia"/>
          <w:sz w:val="24"/>
          <w:szCs w:val="24"/>
          <w:lang w:eastAsia="zh-CN"/>
        </w:rPr>
        <w:t>21</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891CB5">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w:t>
      </w:r>
      <w:r w:rsidR="00F31B87">
        <w:rPr>
          <w:rFonts w:ascii="华文楷体" w:hAnsi="华文楷体" w:hint="eastAsia"/>
          <w:sz w:val="24"/>
          <w:szCs w:val="24"/>
          <w:lang w:eastAsia="zh-CN"/>
        </w:rPr>
        <w:t>0</w:t>
      </w:r>
      <w:r w:rsidR="00254AC8">
        <w:rPr>
          <w:rFonts w:ascii="华文楷体" w:hAnsi="华文楷体" w:hint="eastAsia"/>
          <w:sz w:val="24"/>
          <w:szCs w:val="24"/>
          <w:lang w:eastAsia="zh-CN"/>
        </w:rPr>
        <w:t>-18</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891CB5">
        <w:rPr>
          <w:rFonts w:ascii="华文楷体" w:hAnsi="华文楷体" w:hint="eastAsia"/>
          <w:sz w:val="24"/>
          <w:szCs w:val="24"/>
          <w:lang w:eastAsia="zh-CN"/>
        </w:rPr>
        <w:t>，</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9F6C52">
        <w:rPr>
          <w:rFonts w:ascii="华文楷体" w:hAnsi="华文楷体" w:hint="eastAsia"/>
          <w:sz w:val="24"/>
          <w:szCs w:val="24"/>
          <w:lang w:eastAsia="zh-CN"/>
        </w:rPr>
        <w:t>6</w:t>
      </w:r>
      <w:r w:rsidR="001F098C">
        <w:rPr>
          <w:rFonts w:ascii="华文楷体" w:hAnsi="华文楷体" w:hint="eastAsia"/>
          <w:sz w:val="24"/>
          <w:szCs w:val="24"/>
          <w:lang w:eastAsia="zh-CN"/>
        </w:rPr>
        <w:t>-1</w:t>
      </w:r>
      <w:r w:rsidR="009F6C52">
        <w:rPr>
          <w:rFonts w:ascii="华文楷体" w:hAnsi="华文楷体"/>
          <w:sz w:val="24"/>
          <w:szCs w:val="24"/>
          <w:lang w:eastAsia="zh-CN"/>
        </w:rPr>
        <w:t>4</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638" w:type="dxa"/>
              <w:tblLook w:val="04A0" w:firstRow="1" w:lastRow="0" w:firstColumn="1" w:lastColumn="0" w:noHBand="0" w:noVBand="1"/>
            </w:tblPr>
            <w:tblGrid>
              <w:gridCol w:w="1160"/>
              <w:gridCol w:w="942"/>
              <w:gridCol w:w="942"/>
              <w:gridCol w:w="942"/>
              <w:gridCol w:w="942"/>
              <w:gridCol w:w="1195"/>
              <w:gridCol w:w="689"/>
              <w:gridCol w:w="942"/>
              <w:gridCol w:w="942"/>
              <w:gridCol w:w="942"/>
            </w:tblGrid>
            <w:tr w:rsidR="009F6C52" w:rsidRPr="009F6C52" w14:paraId="776D6D88" w14:textId="77777777" w:rsidTr="009F6C52">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06B3EF18"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收益率(%)</w:t>
                  </w:r>
                </w:p>
              </w:tc>
              <w:tc>
                <w:tcPr>
                  <w:tcW w:w="942" w:type="dxa"/>
                  <w:tcBorders>
                    <w:top w:val="nil"/>
                    <w:left w:val="nil"/>
                    <w:bottom w:val="single" w:sz="12" w:space="0" w:color="FFFFFF"/>
                    <w:right w:val="single" w:sz="8" w:space="0" w:color="FFFFFF"/>
                  </w:tcBorders>
                  <w:shd w:val="clear" w:color="000000" w:fill="F79646"/>
                  <w:noWrap/>
                  <w:vAlign w:val="center"/>
                  <w:hideMark/>
                </w:tcPr>
                <w:p w14:paraId="3FE814B4"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56F24F1"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53E90C70"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2E8F0B31"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1195" w:type="dxa"/>
                  <w:tcBorders>
                    <w:top w:val="nil"/>
                    <w:left w:val="nil"/>
                    <w:bottom w:val="single" w:sz="12" w:space="0" w:color="FFFFFF"/>
                    <w:right w:val="single" w:sz="8" w:space="0" w:color="FFFFFF"/>
                  </w:tcBorders>
                  <w:shd w:val="clear" w:color="000000" w:fill="F79646"/>
                  <w:noWrap/>
                  <w:vAlign w:val="center"/>
                  <w:hideMark/>
                </w:tcPr>
                <w:p w14:paraId="40AD1CDC"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息差</w:t>
                  </w:r>
                </w:p>
              </w:tc>
              <w:tc>
                <w:tcPr>
                  <w:tcW w:w="689" w:type="dxa"/>
                  <w:tcBorders>
                    <w:top w:val="nil"/>
                    <w:left w:val="nil"/>
                    <w:bottom w:val="single" w:sz="12" w:space="0" w:color="FFFFFF"/>
                    <w:right w:val="single" w:sz="8" w:space="0" w:color="FFFFFF"/>
                  </w:tcBorders>
                  <w:shd w:val="clear" w:color="000000" w:fill="F79646"/>
                  <w:noWrap/>
                  <w:vAlign w:val="center"/>
                  <w:hideMark/>
                </w:tcPr>
                <w:p w14:paraId="4C38F764"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0779E81"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8089946"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0CECE72D"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r>
            <w:tr w:rsidR="009F6C52" w:rsidRPr="009F6C52" w14:paraId="3693F098" w14:textId="77777777" w:rsidTr="009F6C52">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3C0FDF7C"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47FD733C"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2.90 </w:t>
                  </w:r>
                </w:p>
              </w:tc>
              <w:tc>
                <w:tcPr>
                  <w:tcW w:w="942" w:type="dxa"/>
                  <w:tcBorders>
                    <w:top w:val="nil"/>
                    <w:left w:val="nil"/>
                    <w:bottom w:val="single" w:sz="8" w:space="0" w:color="FFFFFF"/>
                    <w:right w:val="single" w:sz="8" w:space="0" w:color="FFFFFF"/>
                  </w:tcBorders>
                  <w:shd w:val="clear" w:color="000000" w:fill="FCD5B4"/>
                  <w:noWrap/>
                  <w:vAlign w:val="center"/>
                  <w:hideMark/>
                </w:tcPr>
                <w:p w14:paraId="613AA0C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3.02 </w:t>
                  </w:r>
                </w:p>
              </w:tc>
              <w:tc>
                <w:tcPr>
                  <w:tcW w:w="942" w:type="dxa"/>
                  <w:tcBorders>
                    <w:top w:val="nil"/>
                    <w:left w:val="nil"/>
                    <w:bottom w:val="single" w:sz="8" w:space="0" w:color="FFFFFF"/>
                    <w:right w:val="single" w:sz="8" w:space="0" w:color="FFFFFF"/>
                  </w:tcBorders>
                  <w:shd w:val="clear" w:color="000000" w:fill="FCD5B4"/>
                  <w:noWrap/>
                  <w:vAlign w:val="center"/>
                  <w:hideMark/>
                </w:tcPr>
                <w:p w14:paraId="2138012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3.25 </w:t>
                  </w:r>
                </w:p>
              </w:tc>
              <w:tc>
                <w:tcPr>
                  <w:tcW w:w="942" w:type="dxa"/>
                  <w:tcBorders>
                    <w:top w:val="nil"/>
                    <w:left w:val="nil"/>
                    <w:bottom w:val="single" w:sz="8" w:space="0" w:color="FFFFFF"/>
                    <w:right w:val="single" w:sz="8" w:space="0" w:color="FFFFFF"/>
                  </w:tcBorders>
                  <w:shd w:val="clear" w:color="000000" w:fill="FCD5B4"/>
                  <w:noWrap/>
                  <w:vAlign w:val="center"/>
                  <w:hideMark/>
                </w:tcPr>
                <w:p w14:paraId="7C9070A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5.45 </w:t>
                  </w:r>
                </w:p>
              </w:tc>
              <w:tc>
                <w:tcPr>
                  <w:tcW w:w="1195" w:type="dxa"/>
                  <w:tcBorders>
                    <w:top w:val="nil"/>
                    <w:left w:val="nil"/>
                    <w:bottom w:val="single" w:sz="8" w:space="0" w:color="FFFFFF"/>
                    <w:right w:val="single" w:sz="8" w:space="0" w:color="FFFFFF"/>
                  </w:tcBorders>
                  <w:shd w:val="clear" w:color="000000" w:fill="FCD5B4"/>
                  <w:noWrap/>
                  <w:vAlign w:val="center"/>
                  <w:hideMark/>
                </w:tcPr>
                <w:p w14:paraId="4C3FC2AA"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CP</w:t>
                  </w:r>
                </w:p>
              </w:tc>
              <w:tc>
                <w:tcPr>
                  <w:tcW w:w="689" w:type="dxa"/>
                  <w:tcBorders>
                    <w:top w:val="nil"/>
                    <w:left w:val="nil"/>
                    <w:bottom w:val="single" w:sz="8" w:space="0" w:color="FFFFFF"/>
                    <w:right w:val="single" w:sz="8" w:space="0" w:color="FFFFFF"/>
                  </w:tcBorders>
                  <w:shd w:val="clear" w:color="000000" w:fill="FCD5B4"/>
                  <w:noWrap/>
                  <w:vAlign w:val="center"/>
                  <w:hideMark/>
                </w:tcPr>
                <w:p w14:paraId="451BCC8C"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0.51 </w:t>
                  </w:r>
                </w:p>
              </w:tc>
              <w:tc>
                <w:tcPr>
                  <w:tcW w:w="942" w:type="dxa"/>
                  <w:tcBorders>
                    <w:top w:val="nil"/>
                    <w:left w:val="nil"/>
                    <w:bottom w:val="single" w:sz="8" w:space="0" w:color="FFFFFF"/>
                    <w:right w:val="single" w:sz="8" w:space="0" w:color="FFFFFF"/>
                  </w:tcBorders>
                  <w:shd w:val="clear" w:color="000000" w:fill="FCD5B4"/>
                  <w:noWrap/>
                  <w:vAlign w:val="center"/>
                  <w:hideMark/>
                </w:tcPr>
                <w:p w14:paraId="5682FA1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0.63 </w:t>
                  </w:r>
                </w:p>
              </w:tc>
              <w:tc>
                <w:tcPr>
                  <w:tcW w:w="942" w:type="dxa"/>
                  <w:tcBorders>
                    <w:top w:val="nil"/>
                    <w:left w:val="nil"/>
                    <w:bottom w:val="single" w:sz="8" w:space="0" w:color="FFFFFF"/>
                    <w:right w:val="single" w:sz="8" w:space="0" w:color="FFFFFF"/>
                  </w:tcBorders>
                  <w:shd w:val="clear" w:color="000000" w:fill="FCD5B4"/>
                  <w:noWrap/>
                  <w:vAlign w:val="center"/>
                  <w:hideMark/>
                </w:tcPr>
                <w:p w14:paraId="79C0248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0.86 </w:t>
                  </w:r>
                </w:p>
              </w:tc>
              <w:tc>
                <w:tcPr>
                  <w:tcW w:w="942" w:type="dxa"/>
                  <w:tcBorders>
                    <w:top w:val="nil"/>
                    <w:left w:val="nil"/>
                    <w:bottom w:val="single" w:sz="8" w:space="0" w:color="FFFFFF"/>
                    <w:right w:val="single" w:sz="8" w:space="0" w:color="FFFFFF"/>
                  </w:tcBorders>
                  <w:shd w:val="clear" w:color="000000" w:fill="FCD5B4"/>
                  <w:noWrap/>
                  <w:vAlign w:val="center"/>
                  <w:hideMark/>
                </w:tcPr>
                <w:p w14:paraId="5B4664C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3.06 </w:t>
                  </w:r>
                </w:p>
              </w:tc>
            </w:tr>
            <w:tr w:rsidR="009F6C52" w:rsidRPr="009F6C52" w14:paraId="2517187C"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6481BEB3"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607DBDC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3.38 </w:t>
                  </w:r>
                </w:p>
              </w:tc>
              <w:tc>
                <w:tcPr>
                  <w:tcW w:w="942" w:type="dxa"/>
                  <w:tcBorders>
                    <w:top w:val="nil"/>
                    <w:left w:val="nil"/>
                    <w:bottom w:val="single" w:sz="8" w:space="0" w:color="FFFFFF"/>
                    <w:right w:val="single" w:sz="8" w:space="0" w:color="FFFFFF"/>
                  </w:tcBorders>
                  <w:shd w:val="clear" w:color="000000" w:fill="FDE9D9"/>
                  <w:noWrap/>
                  <w:vAlign w:val="center"/>
                  <w:hideMark/>
                </w:tcPr>
                <w:p w14:paraId="52E76D7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3.54 </w:t>
                  </w:r>
                </w:p>
              </w:tc>
              <w:tc>
                <w:tcPr>
                  <w:tcW w:w="942" w:type="dxa"/>
                  <w:tcBorders>
                    <w:top w:val="nil"/>
                    <w:left w:val="nil"/>
                    <w:bottom w:val="single" w:sz="8" w:space="0" w:color="FFFFFF"/>
                    <w:right w:val="single" w:sz="8" w:space="0" w:color="FFFFFF"/>
                  </w:tcBorders>
                  <w:shd w:val="clear" w:color="000000" w:fill="FDE9D9"/>
                  <w:noWrap/>
                  <w:vAlign w:val="center"/>
                  <w:hideMark/>
                </w:tcPr>
                <w:p w14:paraId="135E473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3.97 </w:t>
                  </w:r>
                </w:p>
              </w:tc>
              <w:tc>
                <w:tcPr>
                  <w:tcW w:w="942" w:type="dxa"/>
                  <w:tcBorders>
                    <w:top w:val="nil"/>
                    <w:left w:val="nil"/>
                    <w:bottom w:val="single" w:sz="8" w:space="0" w:color="FFFFFF"/>
                    <w:right w:val="single" w:sz="8" w:space="0" w:color="FFFFFF"/>
                  </w:tcBorders>
                  <w:shd w:val="clear" w:color="000000" w:fill="FDE9D9"/>
                  <w:noWrap/>
                  <w:vAlign w:val="center"/>
                  <w:hideMark/>
                </w:tcPr>
                <w:p w14:paraId="22DEE78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6.17 </w:t>
                  </w:r>
                </w:p>
              </w:tc>
              <w:tc>
                <w:tcPr>
                  <w:tcW w:w="1195" w:type="dxa"/>
                  <w:tcBorders>
                    <w:top w:val="nil"/>
                    <w:left w:val="nil"/>
                    <w:bottom w:val="single" w:sz="8" w:space="0" w:color="FFFFFF"/>
                    <w:right w:val="single" w:sz="8" w:space="0" w:color="FFFFFF"/>
                  </w:tcBorders>
                  <w:shd w:val="clear" w:color="000000" w:fill="FDE9D9"/>
                  <w:noWrap/>
                  <w:vAlign w:val="center"/>
                  <w:hideMark/>
                </w:tcPr>
                <w:p w14:paraId="5C657BD0"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MTN3Y</w:t>
                  </w:r>
                </w:p>
              </w:tc>
              <w:tc>
                <w:tcPr>
                  <w:tcW w:w="689" w:type="dxa"/>
                  <w:tcBorders>
                    <w:top w:val="nil"/>
                    <w:left w:val="nil"/>
                    <w:bottom w:val="single" w:sz="8" w:space="0" w:color="FFFFFF"/>
                    <w:right w:val="single" w:sz="8" w:space="0" w:color="FFFFFF"/>
                  </w:tcBorders>
                  <w:shd w:val="clear" w:color="000000" w:fill="FDE9D9"/>
                  <w:noWrap/>
                  <w:vAlign w:val="center"/>
                  <w:hideMark/>
                </w:tcPr>
                <w:p w14:paraId="3C4BBCD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0.57 </w:t>
                  </w:r>
                </w:p>
              </w:tc>
              <w:tc>
                <w:tcPr>
                  <w:tcW w:w="942" w:type="dxa"/>
                  <w:tcBorders>
                    <w:top w:val="nil"/>
                    <w:left w:val="nil"/>
                    <w:bottom w:val="single" w:sz="8" w:space="0" w:color="FFFFFF"/>
                    <w:right w:val="single" w:sz="8" w:space="0" w:color="FFFFFF"/>
                  </w:tcBorders>
                  <w:shd w:val="clear" w:color="000000" w:fill="FDE9D9"/>
                  <w:noWrap/>
                  <w:vAlign w:val="center"/>
                  <w:hideMark/>
                </w:tcPr>
                <w:p w14:paraId="4099767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0.73 </w:t>
                  </w:r>
                </w:p>
              </w:tc>
              <w:tc>
                <w:tcPr>
                  <w:tcW w:w="942" w:type="dxa"/>
                  <w:tcBorders>
                    <w:top w:val="nil"/>
                    <w:left w:val="nil"/>
                    <w:bottom w:val="single" w:sz="8" w:space="0" w:color="FFFFFF"/>
                    <w:right w:val="single" w:sz="8" w:space="0" w:color="FFFFFF"/>
                  </w:tcBorders>
                  <w:shd w:val="clear" w:color="000000" w:fill="FDE9D9"/>
                  <w:noWrap/>
                  <w:vAlign w:val="center"/>
                  <w:hideMark/>
                </w:tcPr>
                <w:p w14:paraId="5A62FA6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1.16 </w:t>
                  </w:r>
                </w:p>
              </w:tc>
              <w:tc>
                <w:tcPr>
                  <w:tcW w:w="942" w:type="dxa"/>
                  <w:tcBorders>
                    <w:top w:val="nil"/>
                    <w:left w:val="nil"/>
                    <w:bottom w:val="single" w:sz="8" w:space="0" w:color="FFFFFF"/>
                    <w:right w:val="single" w:sz="8" w:space="0" w:color="FFFFFF"/>
                  </w:tcBorders>
                  <w:shd w:val="clear" w:color="000000" w:fill="FDE9D9"/>
                  <w:noWrap/>
                  <w:vAlign w:val="center"/>
                  <w:hideMark/>
                </w:tcPr>
                <w:p w14:paraId="222CA08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3.36 </w:t>
                  </w:r>
                </w:p>
              </w:tc>
            </w:tr>
            <w:tr w:rsidR="009F6C52" w:rsidRPr="009F6C52" w14:paraId="7575FA2F" w14:textId="77777777" w:rsidTr="009F6C52">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021324CB"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337727C2"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3.63 </w:t>
                  </w:r>
                </w:p>
              </w:tc>
              <w:tc>
                <w:tcPr>
                  <w:tcW w:w="942" w:type="dxa"/>
                  <w:tcBorders>
                    <w:top w:val="nil"/>
                    <w:left w:val="nil"/>
                    <w:bottom w:val="single" w:sz="8" w:space="0" w:color="FFFFFF"/>
                    <w:right w:val="single" w:sz="8" w:space="0" w:color="FFFFFF"/>
                  </w:tcBorders>
                  <w:shd w:val="clear" w:color="000000" w:fill="FCD5B4"/>
                  <w:noWrap/>
                  <w:vAlign w:val="center"/>
                  <w:hideMark/>
                </w:tcPr>
                <w:p w14:paraId="7D3D172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3.90 </w:t>
                  </w:r>
                </w:p>
              </w:tc>
              <w:tc>
                <w:tcPr>
                  <w:tcW w:w="942" w:type="dxa"/>
                  <w:tcBorders>
                    <w:top w:val="nil"/>
                    <w:left w:val="nil"/>
                    <w:bottom w:val="single" w:sz="8" w:space="0" w:color="FFFFFF"/>
                    <w:right w:val="single" w:sz="8" w:space="0" w:color="FFFFFF"/>
                  </w:tcBorders>
                  <w:shd w:val="clear" w:color="000000" w:fill="FCD5B4"/>
                  <w:noWrap/>
                  <w:vAlign w:val="center"/>
                  <w:hideMark/>
                </w:tcPr>
                <w:p w14:paraId="2BAEA75C"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4.43 </w:t>
                  </w:r>
                </w:p>
              </w:tc>
              <w:tc>
                <w:tcPr>
                  <w:tcW w:w="942" w:type="dxa"/>
                  <w:tcBorders>
                    <w:top w:val="nil"/>
                    <w:left w:val="nil"/>
                    <w:bottom w:val="single" w:sz="8" w:space="0" w:color="FFFFFF"/>
                    <w:right w:val="single" w:sz="8" w:space="0" w:color="FFFFFF"/>
                  </w:tcBorders>
                  <w:shd w:val="clear" w:color="000000" w:fill="FCD5B4"/>
                  <w:noWrap/>
                  <w:vAlign w:val="center"/>
                  <w:hideMark/>
                </w:tcPr>
                <w:p w14:paraId="66574D0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6.63 </w:t>
                  </w:r>
                </w:p>
              </w:tc>
              <w:tc>
                <w:tcPr>
                  <w:tcW w:w="1195" w:type="dxa"/>
                  <w:tcBorders>
                    <w:top w:val="nil"/>
                    <w:left w:val="nil"/>
                    <w:bottom w:val="single" w:sz="8" w:space="0" w:color="FFFFFF"/>
                    <w:right w:val="single" w:sz="8" w:space="0" w:color="FFFFFF"/>
                  </w:tcBorders>
                  <w:shd w:val="clear" w:color="000000" w:fill="FCD5B4"/>
                  <w:noWrap/>
                  <w:vAlign w:val="center"/>
                  <w:hideMark/>
                </w:tcPr>
                <w:p w14:paraId="3E343415"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MTN5Y</w:t>
                  </w:r>
                </w:p>
              </w:tc>
              <w:tc>
                <w:tcPr>
                  <w:tcW w:w="689" w:type="dxa"/>
                  <w:tcBorders>
                    <w:top w:val="nil"/>
                    <w:left w:val="nil"/>
                    <w:bottom w:val="single" w:sz="8" w:space="0" w:color="FFFFFF"/>
                    <w:right w:val="single" w:sz="8" w:space="0" w:color="FFFFFF"/>
                  </w:tcBorders>
                  <w:shd w:val="clear" w:color="000000" w:fill="FCD5B4"/>
                  <w:noWrap/>
                  <w:vAlign w:val="center"/>
                  <w:hideMark/>
                </w:tcPr>
                <w:p w14:paraId="73BED83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0.66 </w:t>
                  </w:r>
                </w:p>
              </w:tc>
              <w:tc>
                <w:tcPr>
                  <w:tcW w:w="942" w:type="dxa"/>
                  <w:tcBorders>
                    <w:top w:val="nil"/>
                    <w:left w:val="nil"/>
                    <w:bottom w:val="single" w:sz="8" w:space="0" w:color="FFFFFF"/>
                    <w:right w:val="single" w:sz="8" w:space="0" w:color="FFFFFF"/>
                  </w:tcBorders>
                  <w:shd w:val="clear" w:color="000000" w:fill="FCD5B4"/>
                  <w:noWrap/>
                  <w:vAlign w:val="center"/>
                  <w:hideMark/>
                </w:tcPr>
                <w:p w14:paraId="7B7A17A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0.93 </w:t>
                  </w:r>
                </w:p>
              </w:tc>
              <w:tc>
                <w:tcPr>
                  <w:tcW w:w="942" w:type="dxa"/>
                  <w:tcBorders>
                    <w:top w:val="nil"/>
                    <w:left w:val="nil"/>
                    <w:bottom w:val="single" w:sz="8" w:space="0" w:color="FFFFFF"/>
                    <w:right w:val="single" w:sz="8" w:space="0" w:color="FFFFFF"/>
                  </w:tcBorders>
                  <w:shd w:val="clear" w:color="000000" w:fill="FCD5B4"/>
                  <w:noWrap/>
                  <w:vAlign w:val="center"/>
                  <w:hideMark/>
                </w:tcPr>
                <w:p w14:paraId="15EAB27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1.46 </w:t>
                  </w:r>
                </w:p>
              </w:tc>
              <w:tc>
                <w:tcPr>
                  <w:tcW w:w="942" w:type="dxa"/>
                  <w:tcBorders>
                    <w:top w:val="nil"/>
                    <w:left w:val="nil"/>
                    <w:bottom w:val="single" w:sz="8" w:space="0" w:color="FFFFFF"/>
                    <w:right w:val="single" w:sz="8" w:space="0" w:color="FFFFFF"/>
                  </w:tcBorders>
                  <w:shd w:val="clear" w:color="000000" w:fill="FCD5B4"/>
                  <w:noWrap/>
                  <w:vAlign w:val="center"/>
                  <w:hideMark/>
                </w:tcPr>
                <w:p w14:paraId="67CE6E9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3.66 </w:t>
                  </w:r>
                </w:p>
              </w:tc>
            </w:tr>
            <w:tr w:rsidR="009F6C52" w:rsidRPr="009F6C52" w14:paraId="6D96A0BD"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4A0BE106"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44C4781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3.31 </w:t>
                  </w:r>
                </w:p>
              </w:tc>
              <w:tc>
                <w:tcPr>
                  <w:tcW w:w="942" w:type="dxa"/>
                  <w:tcBorders>
                    <w:top w:val="nil"/>
                    <w:left w:val="nil"/>
                    <w:bottom w:val="single" w:sz="8" w:space="0" w:color="FFFFFF"/>
                    <w:right w:val="single" w:sz="8" w:space="0" w:color="FFFFFF"/>
                  </w:tcBorders>
                  <w:shd w:val="clear" w:color="000000" w:fill="FDE9D9"/>
                  <w:noWrap/>
                  <w:vAlign w:val="center"/>
                  <w:hideMark/>
                </w:tcPr>
                <w:p w14:paraId="403F430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3.59 </w:t>
                  </w:r>
                </w:p>
              </w:tc>
              <w:tc>
                <w:tcPr>
                  <w:tcW w:w="942" w:type="dxa"/>
                  <w:tcBorders>
                    <w:top w:val="nil"/>
                    <w:left w:val="nil"/>
                    <w:bottom w:val="single" w:sz="8" w:space="0" w:color="FFFFFF"/>
                    <w:right w:val="single" w:sz="8" w:space="0" w:color="FFFFFF"/>
                  </w:tcBorders>
                  <w:shd w:val="clear" w:color="000000" w:fill="FDE9D9"/>
                  <w:noWrap/>
                  <w:vAlign w:val="center"/>
                  <w:hideMark/>
                </w:tcPr>
                <w:p w14:paraId="55FB1A0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4.01 </w:t>
                  </w:r>
                </w:p>
              </w:tc>
              <w:tc>
                <w:tcPr>
                  <w:tcW w:w="942" w:type="dxa"/>
                  <w:tcBorders>
                    <w:top w:val="nil"/>
                    <w:left w:val="nil"/>
                    <w:bottom w:val="single" w:sz="8" w:space="0" w:color="FFFFFF"/>
                    <w:right w:val="single" w:sz="8" w:space="0" w:color="FFFFFF"/>
                  </w:tcBorders>
                  <w:shd w:val="clear" w:color="000000" w:fill="FDE9D9"/>
                  <w:noWrap/>
                  <w:vAlign w:val="center"/>
                  <w:hideMark/>
                </w:tcPr>
                <w:p w14:paraId="1D21E751"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6.21 </w:t>
                  </w:r>
                </w:p>
              </w:tc>
              <w:tc>
                <w:tcPr>
                  <w:tcW w:w="1195" w:type="dxa"/>
                  <w:tcBorders>
                    <w:top w:val="nil"/>
                    <w:left w:val="nil"/>
                    <w:bottom w:val="single" w:sz="8" w:space="0" w:color="FFFFFF"/>
                    <w:right w:val="single" w:sz="8" w:space="0" w:color="FFFFFF"/>
                  </w:tcBorders>
                  <w:shd w:val="clear" w:color="000000" w:fill="FDE9D9"/>
                  <w:noWrap/>
                  <w:vAlign w:val="center"/>
                  <w:hideMark/>
                </w:tcPr>
                <w:p w14:paraId="38B3DC6D"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企业债3Y</w:t>
                  </w:r>
                </w:p>
              </w:tc>
              <w:tc>
                <w:tcPr>
                  <w:tcW w:w="689" w:type="dxa"/>
                  <w:tcBorders>
                    <w:top w:val="nil"/>
                    <w:left w:val="nil"/>
                    <w:bottom w:val="single" w:sz="8" w:space="0" w:color="FFFFFF"/>
                    <w:right w:val="single" w:sz="8" w:space="0" w:color="FFFFFF"/>
                  </w:tcBorders>
                  <w:shd w:val="clear" w:color="000000" w:fill="FDE9D9"/>
                  <w:noWrap/>
                  <w:vAlign w:val="center"/>
                  <w:hideMark/>
                </w:tcPr>
                <w:p w14:paraId="671C1EC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0.50 </w:t>
                  </w:r>
                </w:p>
              </w:tc>
              <w:tc>
                <w:tcPr>
                  <w:tcW w:w="942" w:type="dxa"/>
                  <w:tcBorders>
                    <w:top w:val="nil"/>
                    <w:left w:val="nil"/>
                    <w:bottom w:val="single" w:sz="8" w:space="0" w:color="FFFFFF"/>
                    <w:right w:val="single" w:sz="8" w:space="0" w:color="FFFFFF"/>
                  </w:tcBorders>
                  <w:shd w:val="clear" w:color="000000" w:fill="FDE9D9"/>
                  <w:noWrap/>
                  <w:vAlign w:val="center"/>
                  <w:hideMark/>
                </w:tcPr>
                <w:p w14:paraId="3CD6C38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0.78 </w:t>
                  </w:r>
                </w:p>
              </w:tc>
              <w:tc>
                <w:tcPr>
                  <w:tcW w:w="942" w:type="dxa"/>
                  <w:tcBorders>
                    <w:top w:val="nil"/>
                    <w:left w:val="nil"/>
                    <w:bottom w:val="single" w:sz="8" w:space="0" w:color="FFFFFF"/>
                    <w:right w:val="single" w:sz="8" w:space="0" w:color="FFFFFF"/>
                  </w:tcBorders>
                  <w:shd w:val="clear" w:color="000000" w:fill="FDE9D9"/>
                  <w:noWrap/>
                  <w:vAlign w:val="center"/>
                  <w:hideMark/>
                </w:tcPr>
                <w:p w14:paraId="161864E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1.20 </w:t>
                  </w:r>
                </w:p>
              </w:tc>
              <w:tc>
                <w:tcPr>
                  <w:tcW w:w="942" w:type="dxa"/>
                  <w:tcBorders>
                    <w:top w:val="nil"/>
                    <w:left w:val="nil"/>
                    <w:bottom w:val="single" w:sz="8" w:space="0" w:color="FFFFFF"/>
                    <w:right w:val="single" w:sz="8" w:space="0" w:color="FFFFFF"/>
                  </w:tcBorders>
                  <w:shd w:val="clear" w:color="000000" w:fill="FDE9D9"/>
                  <w:noWrap/>
                  <w:vAlign w:val="center"/>
                  <w:hideMark/>
                </w:tcPr>
                <w:p w14:paraId="40E35DE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3.40 </w:t>
                  </w:r>
                </w:p>
              </w:tc>
            </w:tr>
            <w:tr w:rsidR="009F6C52" w:rsidRPr="009F6C52" w14:paraId="40686949" w14:textId="77777777" w:rsidTr="009F6C52">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46A15E7B"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37B27D3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3.64 </w:t>
                  </w:r>
                </w:p>
              </w:tc>
              <w:tc>
                <w:tcPr>
                  <w:tcW w:w="942" w:type="dxa"/>
                  <w:tcBorders>
                    <w:top w:val="nil"/>
                    <w:left w:val="nil"/>
                    <w:bottom w:val="single" w:sz="8" w:space="0" w:color="FFFFFF"/>
                    <w:right w:val="single" w:sz="8" w:space="0" w:color="FFFFFF"/>
                  </w:tcBorders>
                  <w:shd w:val="clear" w:color="000000" w:fill="FCD5B4"/>
                  <w:noWrap/>
                  <w:vAlign w:val="center"/>
                  <w:hideMark/>
                </w:tcPr>
                <w:p w14:paraId="557A4301"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3.89 </w:t>
                  </w:r>
                </w:p>
              </w:tc>
              <w:tc>
                <w:tcPr>
                  <w:tcW w:w="942" w:type="dxa"/>
                  <w:tcBorders>
                    <w:top w:val="nil"/>
                    <w:left w:val="nil"/>
                    <w:bottom w:val="single" w:sz="8" w:space="0" w:color="FFFFFF"/>
                    <w:right w:val="single" w:sz="8" w:space="0" w:color="FFFFFF"/>
                  </w:tcBorders>
                  <w:shd w:val="clear" w:color="000000" w:fill="FCD5B4"/>
                  <w:noWrap/>
                  <w:vAlign w:val="center"/>
                  <w:hideMark/>
                </w:tcPr>
                <w:p w14:paraId="4E6954A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4.45 </w:t>
                  </w:r>
                </w:p>
              </w:tc>
              <w:tc>
                <w:tcPr>
                  <w:tcW w:w="942" w:type="dxa"/>
                  <w:tcBorders>
                    <w:top w:val="nil"/>
                    <w:left w:val="nil"/>
                    <w:bottom w:val="single" w:sz="8" w:space="0" w:color="FFFFFF"/>
                    <w:right w:val="single" w:sz="8" w:space="0" w:color="FFFFFF"/>
                  </w:tcBorders>
                  <w:shd w:val="clear" w:color="000000" w:fill="FCD5B4"/>
                  <w:noWrap/>
                  <w:vAlign w:val="center"/>
                  <w:hideMark/>
                </w:tcPr>
                <w:p w14:paraId="39E17BF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6.65 </w:t>
                  </w:r>
                </w:p>
              </w:tc>
              <w:tc>
                <w:tcPr>
                  <w:tcW w:w="1195" w:type="dxa"/>
                  <w:tcBorders>
                    <w:top w:val="nil"/>
                    <w:left w:val="nil"/>
                    <w:bottom w:val="single" w:sz="8" w:space="0" w:color="FFFFFF"/>
                    <w:right w:val="single" w:sz="8" w:space="0" w:color="FFFFFF"/>
                  </w:tcBorders>
                  <w:shd w:val="clear" w:color="000000" w:fill="FCD5B4"/>
                  <w:noWrap/>
                  <w:vAlign w:val="center"/>
                  <w:hideMark/>
                </w:tcPr>
                <w:p w14:paraId="1A5D586C"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企业债5Y</w:t>
                  </w:r>
                </w:p>
              </w:tc>
              <w:tc>
                <w:tcPr>
                  <w:tcW w:w="689" w:type="dxa"/>
                  <w:tcBorders>
                    <w:top w:val="nil"/>
                    <w:left w:val="nil"/>
                    <w:bottom w:val="single" w:sz="8" w:space="0" w:color="FFFFFF"/>
                    <w:right w:val="single" w:sz="8" w:space="0" w:color="FFFFFF"/>
                  </w:tcBorders>
                  <w:shd w:val="clear" w:color="000000" w:fill="FCD5B4"/>
                  <w:noWrap/>
                  <w:vAlign w:val="center"/>
                  <w:hideMark/>
                </w:tcPr>
                <w:p w14:paraId="0A15E8B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0.67 </w:t>
                  </w:r>
                </w:p>
              </w:tc>
              <w:tc>
                <w:tcPr>
                  <w:tcW w:w="942" w:type="dxa"/>
                  <w:tcBorders>
                    <w:top w:val="nil"/>
                    <w:left w:val="nil"/>
                    <w:bottom w:val="single" w:sz="8" w:space="0" w:color="FFFFFF"/>
                    <w:right w:val="single" w:sz="8" w:space="0" w:color="FFFFFF"/>
                  </w:tcBorders>
                  <w:shd w:val="clear" w:color="000000" w:fill="FCD5B4"/>
                  <w:noWrap/>
                  <w:vAlign w:val="center"/>
                  <w:hideMark/>
                </w:tcPr>
                <w:p w14:paraId="058DD19C"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0.91 </w:t>
                  </w:r>
                </w:p>
              </w:tc>
              <w:tc>
                <w:tcPr>
                  <w:tcW w:w="942" w:type="dxa"/>
                  <w:tcBorders>
                    <w:top w:val="nil"/>
                    <w:left w:val="nil"/>
                    <w:bottom w:val="single" w:sz="8" w:space="0" w:color="FFFFFF"/>
                    <w:right w:val="single" w:sz="8" w:space="0" w:color="FFFFFF"/>
                  </w:tcBorders>
                  <w:shd w:val="clear" w:color="000000" w:fill="FCD5B4"/>
                  <w:noWrap/>
                  <w:vAlign w:val="center"/>
                  <w:hideMark/>
                </w:tcPr>
                <w:p w14:paraId="2CAEFD5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1.47 </w:t>
                  </w:r>
                </w:p>
              </w:tc>
              <w:tc>
                <w:tcPr>
                  <w:tcW w:w="942" w:type="dxa"/>
                  <w:tcBorders>
                    <w:top w:val="nil"/>
                    <w:left w:val="nil"/>
                    <w:bottom w:val="single" w:sz="8" w:space="0" w:color="FFFFFF"/>
                    <w:right w:val="single" w:sz="8" w:space="0" w:color="FFFFFF"/>
                  </w:tcBorders>
                  <w:shd w:val="clear" w:color="000000" w:fill="FCD5B4"/>
                  <w:noWrap/>
                  <w:vAlign w:val="center"/>
                  <w:hideMark/>
                </w:tcPr>
                <w:p w14:paraId="50394712"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3.67 </w:t>
                  </w:r>
                </w:p>
              </w:tc>
            </w:tr>
            <w:tr w:rsidR="009F6C52" w:rsidRPr="009F6C52" w14:paraId="145FF548"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009BF701"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7A5FA0E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3.85 </w:t>
                  </w:r>
                </w:p>
              </w:tc>
              <w:tc>
                <w:tcPr>
                  <w:tcW w:w="942" w:type="dxa"/>
                  <w:tcBorders>
                    <w:top w:val="nil"/>
                    <w:left w:val="nil"/>
                    <w:bottom w:val="single" w:sz="8" w:space="0" w:color="FFFFFF"/>
                    <w:right w:val="single" w:sz="8" w:space="0" w:color="FFFFFF"/>
                  </w:tcBorders>
                  <w:shd w:val="clear" w:color="000000" w:fill="FDE9D9"/>
                  <w:noWrap/>
                  <w:vAlign w:val="center"/>
                  <w:hideMark/>
                </w:tcPr>
                <w:p w14:paraId="41AC98F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4.14 </w:t>
                  </w:r>
                </w:p>
              </w:tc>
              <w:tc>
                <w:tcPr>
                  <w:tcW w:w="942" w:type="dxa"/>
                  <w:tcBorders>
                    <w:top w:val="nil"/>
                    <w:left w:val="nil"/>
                    <w:bottom w:val="single" w:sz="8" w:space="0" w:color="FFFFFF"/>
                    <w:right w:val="single" w:sz="8" w:space="0" w:color="FFFFFF"/>
                  </w:tcBorders>
                  <w:shd w:val="clear" w:color="000000" w:fill="FDE9D9"/>
                  <w:noWrap/>
                  <w:vAlign w:val="center"/>
                  <w:hideMark/>
                </w:tcPr>
                <w:p w14:paraId="1574C8B2"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4.69 </w:t>
                  </w:r>
                </w:p>
              </w:tc>
              <w:tc>
                <w:tcPr>
                  <w:tcW w:w="942" w:type="dxa"/>
                  <w:tcBorders>
                    <w:top w:val="nil"/>
                    <w:left w:val="nil"/>
                    <w:bottom w:val="single" w:sz="8" w:space="0" w:color="FFFFFF"/>
                    <w:right w:val="single" w:sz="8" w:space="0" w:color="FFFFFF"/>
                  </w:tcBorders>
                  <w:shd w:val="clear" w:color="000000" w:fill="FDE9D9"/>
                  <w:noWrap/>
                  <w:vAlign w:val="center"/>
                  <w:hideMark/>
                </w:tcPr>
                <w:p w14:paraId="3C44186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6.89 </w:t>
                  </w:r>
                </w:p>
              </w:tc>
              <w:tc>
                <w:tcPr>
                  <w:tcW w:w="1195" w:type="dxa"/>
                  <w:tcBorders>
                    <w:top w:val="nil"/>
                    <w:left w:val="nil"/>
                    <w:bottom w:val="single" w:sz="8" w:space="0" w:color="FFFFFF"/>
                    <w:right w:val="single" w:sz="8" w:space="0" w:color="FFFFFF"/>
                  </w:tcBorders>
                  <w:shd w:val="clear" w:color="000000" w:fill="FDE9D9"/>
                  <w:noWrap/>
                  <w:vAlign w:val="center"/>
                  <w:hideMark/>
                </w:tcPr>
                <w:p w14:paraId="1B68E2B0"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企业债7Y</w:t>
                  </w:r>
                </w:p>
              </w:tc>
              <w:tc>
                <w:tcPr>
                  <w:tcW w:w="689" w:type="dxa"/>
                  <w:tcBorders>
                    <w:top w:val="nil"/>
                    <w:left w:val="nil"/>
                    <w:bottom w:val="single" w:sz="8" w:space="0" w:color="FFFFFF"/>
                    <w:right w:val="single" w:sz="8" w:space="0" w:color="FFFFFF"/>
                  </w:tcBorders>
                  <w:shd w:val="clear" w:color="000000" w:fill="FDE9D9"/>
                  <w:noWrap/>
                  <w:vAlign w:val="center"/>
                  <w:hideMark/>
                </w:tcPr>
                <w:p w14:paraId="21CD476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0.77 </w:t>
                  </w:r>
                </w:p>
              </w:tc>
              <w:tc>
                <w:tcPr>
                  <w:tcW w:w="942" w:type="dxa"/>
                  <w:tcBorders>
                    <w:top w:val="nil"/>
                    <w:left w:val="nil"/>
                    <w:bottom w:val="single" w:sz="8" w:space="0" w:color="FFFFFF"/>
                    <w:right w:val="single" w:sz="8" w:space="0" w:color="FFFFFF"/>
                  </w:tcBorders>
                  <w:shd w:val="clear" w:color="000000" w:fill="FDE9D9"/>
                  <w:noWrap/>
                  <w:vAlign w:val="center"/>
                  <w:hideMark/>
                </w:tcPr>
                <w:p w14:paraId="5B39804D"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1.06 </w:t>
                  </w:r>
                </w:p>
              </w:tc>
              <w:tc>
                <w:tcPr>
                  <w:tcW w:w="942" w:type="dxa"/>
                  <w:tcBorders>
                    <w:top w:val="nil"/>
                    <w:left w:val="nil"/>
                    <w:bottom w:val="single" w:sz="8" w:space="0" w:color="FFFFFF"/>
                    <w:right w:val="single" w:sz="8" w:space="0" w:color="FFFFFF"/>
                  </w:tcBorders>
                  <w:shd w:val="clear" w:color="000000" w:fill="FDE9D9"/>
                  <w:noWrap/>
                  <w:vAlign w:val="center"/>
                  <w:hideMark/>
                </w:tcPr>
                <w:p w14:paraId="47FBFF2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1.61 </w:t>
                  </w:r>
                </w:p>
              </w:tc>
              <w:tc>
                <w:tcPr>
                  <w:tcW w:w="942" w:type="dxa"/>
                  <w:tcBorders>
                    <w:top w:val="nil"/>
                    <w:left w:val="nil"/>
                    <w:bottom w:val="single" w:sz="8" w:space="0" w:color="FFFFFF"/>
                    <w:right w:val="single" w:sz="8" w:space="0" w:color="FFFFFF"/>
                  </w:tcBorders>
                  <w:shd w:val="clear" w:color="000000" w:fill="FDE9D9"/>
                  <w:noWrap/>
                  <w:vAlign w:val="center"/>
                  <w:hideMark/>
                </w:tcPr>
                <w:p w14:paraId="2978A50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3.81 </w:t>
                  </w:r>
                </w:p>
              </w:tc>
            </w:tr>
            <w:tr w:rsidR="009F6C52" w:rsidRPr="009F6C52" w14:paraId="530144E7" w14:textId="77777777" w:rsidTr="009F6C52">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405188AC"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12F50D32"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3.38 </w:t>
                  </w:r>
                </w:p>
              </w:tc>
              <w:tc>
                <w:tcPr>
                  <w:tcW w:w="942" w:type="dxa"/>
                  <w:tcBorders>
                    <w:top w:val="nil"/>
                    <w:left w:val="nil"/>
                    <w:bottom w:val="single" w:sz="8" w:space="0" w:color="FFFFFF"/>
                    <w:right w:val="single" w:sz="8" w:space="0" w:color="FFFFFF"/>
                  </w:tcBorders>
                  <w:shd w:val="clear" w:color="000000" w:fill="FCD5B4"/>
                  <w:noWrap/>
                  <w:vAlign w:val="center"/>
                  <w:hideMark/>
                </w:tcPr>
                <w:p w14:paraId="5E08016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3.50 </w:t>
                  </w:r>
                </w:p>
              </w:tc>
              <w:tc>
                <w:tcPr>
                  <w:tcW w:w="942" w:type="dxa"/>
                  <w:tcBorders>
                    <w:top w:val="nil"/>
                    <w:left w:val="nil"/>
                    <w:bottom w:val="single" w:sz="8" w:space="0" w:color="FFFFFF"/>
                    <w:right w:val="single" w:sz="8" w:space="0" w:color="FFFFFF"/>
                  </w:tcBorders>
                  <w:shd w:val="clear" w:color="000000" w:fill="FCD5B4"/>
                  <w:noWrap/>
                  <w:vAlign w:val="center"/>
                  <w:hideMark/>
                </w:tcPr>
                <w:p w14:paraId="742B3FE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3.75 </w:t>
                  </w:r>
                </w:p>
              </w:tc>
              <w:tc>
                <w:tcPr>
                  <w:tcW w:w="942" w:type="dxa"/>
                  <w:tcBorders>
                    <w:top w:val="nil"/>
                    <w:left w:val="nil"/>
                    <w:bottom w:val="single" w:sz="8" w:space="0" w:color="FFFFFF"/>
                    <w:right w:val="single" w:sz="8" w:space="0" w:color="FFFFFF"/>
                  </w:tcBorders>
                  <w:shd w:val="clear" w:color="000000" w:fill="FCD5B4"/>
                  <w:noWrap/>
                  <w:vAlign w:val="center"/>
                  <w:hideMark/>
                </w:tcPr>
                <w:p w14:paraId="3A409A6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6.38 </w:t>
                  </w:r>
                </w:p>
              </w:tc>
              <w:tc>
                <w:tcPr>
                  <w:tcW w:w="1195" w:type="dxa"/>
                  <w:tcBorders>
                    <w:top w:val="nil"/>
                    <w:left w:val="nil"/>
                    <w:bottom w:val="single" w:sz="8" w:space="0" w:color="FFFFFF"/>
                    <w:right w:val="single" w:sz="8" w:space="0" w:color="FFFFFF"/>
                  </w:tcBorders>
                  <w:shd w:val="clear" w:color="000000" w:fill="FCD5B4"/>
                  <w:noWrap/>
                  <w:vAlign w:val="center"/>
                  <w:hideMark/>
                </w:tcPr>
                <w:p w14:paraId="5B702E85"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3Y</w:t>
                  </w:r>
                </w:p>
              </w:tc>
              <w:tc>
                <w:tcPr>
                  <w:tcW w:w="689" w:type="dxa"/>
                  <w:tcBorders>
                    <w:top w:val="nil"/>
                    <w:left w:val="nil"/>
                    <w:bottom w:val="single" w:sz="8" w:space="0" w:color="FFFFFF"/>
                    <w:right w:val="single" w:sz="8" w:space="0" w:color="FFFFFF"/>
                  </w:tcBorders>
                  <w:shd w:val="clear" w:color="000000" w:fill="FCD5B4"/>
                  <w:noWrap/>
                  <w:vAlign w:val="center"/>
                  <w:hideMark/>
                </w:tcPr>
                <w:p w14:paraId="79B57AA1"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0.58 </w:t>
                  </w:r>
                </w:p>
              </w:tc>
              <w:tc>
                <w:tcPr>
                  <w:tcW w:w="942" w:type="dxa"/>
                  <w:tcBorders>
                    <w:top w:val="nil"/>
                    <w:left w:val="nil"/>
                    <w:bottom w:val="single" w:sz="8" w:space="0" w:color="FFFFFF"/>
                    <w:right w:val="single" w:sz="8" w:space="0" w:color="FFFFFF"/>
                  </w:tcBorders>
                  <w:shd w:val="clear" w:color="000000" w:fill="FCD5B4"/>
                  <w:noWrap/>
                  <w:vAlign w:val="center"/>
                  <w:hideMark/>
                </w:tcPr>
                <w:p w14:paraId="422E7C4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0.70 </w:t>
                  </w:r>
                </w:p>
              </w:tc>
              <w:tc>
                <w:tcPr>
                  <w:tcW w:w="942" w:type="dxa"/>
                  <w:tcBorders>
                    <w:top w:val="nil"/>
                    <w:left w:val="nil"/>
                    <w:bottom w:val="single" w:sz="8" w:space="0" w:color="FFFFFF"/>
                    <w:right w:val="single" w:sz="8" w:space="0" w:color="FFFFFF"/>
                  </w:tcBorders>
                  <w:shd w:val="clear" w:color="000000" w:fill="FCD5B4"/>
                  <w:noWrap/>
                  <w:vAlign w:val="center"/>
                  <w:hideMark/>
                </w:tcPr>
                <w:p w14:paraId="0C62B17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0.94 </w:t>
                  </w:r>
                </w:p>
              </w:tc>
              <w:tc>
                <w:tcPr>
                  <w:tcW w:w="942" w:type="dxa"/>
                  <w:tcBorders>
                    <w:top w:val="nil"/>
                    <w:left w:val="nil"/>
                    <w:bottom w:val="single" w:sz="8" w:space="0" w:color="FFFFFF"/>
                    <w:right w:val="single" w:sz="8" w:space="0" w:color="FFFFFF"/>
                  </w:tcBorders>
                  <w:shd w:val="clear" w:color="000000" w:fill="FCD5B4"/>
                  <w:noWrap/>
                  <w:vAlign w:val="center"/>
                  <w:hideMark/>
                </w:tcPr>
                <w:p w14:paraId="414018B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3.57 </w:t>
                  </w:r>
                </w:p>
              </w:tc>
            </w:tr>
            <w:tr w:rsidR="009F6C52" w:rsidRPr="009F6C52" w14:paraId="43DAE3F6"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72BD27A2"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5DA66A4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3.67 </w:t>
                  </w:r>
                </w:p>
              </w:tc>
              <w:tc>
                <w:tcPr>
                  <w:tcW w:w="942" w:type="dxa"/>
                  <w:tcBorders>
                    <w:top w:val="nil"/>
                    <w:left w:val="nil"/>
                    <w:bottom w:val="single" w:sz="8" w:space="0" w:color="FFFFFF"/>
                    <w:right w:val="single" w:sz="8" w:space="0" w:color="FFFFFF"/>
                  </w:tcBorders>
                  <w:shd w:val="clear" w:color="000000" w:fill="FDE9D9"/>
                  <w:noWrap/>
                  <w:vAlign w:val="center"/>
                  <w:hideMark/>
                </w:tcPr>
                <w:p w14:paraId="5447624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3.85 </w:t>
                  </w:r>
                </w:p>
              </w:tc>
              <w:tc>
                <w:tcPr>
                  <w:tcW w:w="942" w:type="dxa"/>
                  <w:tcBorders>
                    <w:top w:val="nil"/>
                    <w:left w:val="nil"/>
                    <w:bottom w:val="single" w:sz="8" w:space="0" w:color="FFFFFF"/>
                    <w:right w:val="single" w:sz="8" w:space="0" w:color="FFFFFF"/>
                  </w:tcBorders>
                  <w:shd w:val="clear" w:color="000000" w:fill="FDE9D9"/>
                  <w:noWrap/>
                  <w:vAlign w:val="center"/>
                  <w:hideMark/>
                </w:tcPr>
                <w:p w14:paraId="51924B1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4.30 </w:t>
                  </w:r>
                </w:p>
              </w:tc>
              <w:tc>
                <w:tcPr>
                  <w:tcW w:w="942" w:type="dxa"/>
                  <w:tcBorders>
                    <w:top w:val="nil"/>
                    <w:left w:val="nil"/>
                    <w:bottom w:val="single" w:sz="8" w:space="0" w:color="FFFFFF"/>
                    <w:right w:val="single" w:sz="8" w:space="0" w:color="FFFFFF"/>
                  </w:tcBorders>
                  <w:shd w:val="clear" w:color="000000" w:fill="FDE9D9"/>
                  <w:noWrap/>
                  <w:vAlign w:val="center"/>
                  <w:hideMark/>
                </w:tcPr>
                <w:p w14:paraId="74583AAC"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7.28 </w:t>
                  </w:r>
                </w:p>
              </w:tc>
              <w:tc>
                <w:tcPr>
                  <w:tcW w:w="1195" w:type="dxa"/>
                  <w:tcBorders>
                    <w:top w:val="nil"/>
                    <w:left w:val="nil"/>
                    <w:bottom w:val="single" w:sz="8" w:space="0" w:color="FFFFFF"/>
                    <w:right w:val="single" w:sz="8" w:space="0" w:color="FFFFFF"/>
                  </w:tcBorders>
                  <w:shd w:val="clear" w:color="000000" w:fill="FDE9D9"/>
                  <w:noWrap/>
                  <w:vAlign w:val="center"/>
                  <w:hideMark/>
                </w:tcPr>
                <w:p w14:paraId="77CFDFF4"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5Y</w:t>
                  </w:r>
                </w:p>
              </w:tc>
              <w:tc>
                <w:tcPr>
                  <w:tcW w:w="689" w:type="dxa"/>
                  <w:tcBorders>
                    <w:top w:val="nil"/>
                    <w:left w:val="nil"/>
                    <w:bottom w:val="single" w:sz="8" w:space="0" w:color="FFFFFF"/>
                    <w:right w:val="single" w:sz="8" w:space="0" w:color="FFFFFF"/>
                  </w:tcBorders>
                  <w:shd w:val="clear" w:color="000000" w:fill="FDE9D9"/>
                  <w:noWrap/>
                  <w:vAlign w:val="center"/>
                  <w:hideMark/>
                </w:tcPr>
                <w:p w14:paraId="7CCF7D1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0.69 </w:t>
                  </w:r>
                </w:p>
              </w:tc>
              <w:tc>
                <w:tcPr>
                  <w:tcW w:w="942" w:type="dxa"/>
                  <w:tcBorders>
                    <w:top w:val="nil"/>
                    <w:left w:val="nil"/>
                    <w:bottom w:val="single" w:sz="8" w:space="0" w:color="FFFFFF"/>
                    <w:right w:val="single" w:sz="8" w:space="0" w:color="FFFFFF"/>
                  </w:tcBorders>
                  <w:shd w:val="clear" w:color="000000" w:fill="FDE9D9"/>
                  <w:noWrap/>
                  <w:vAlign w:val="center"/>
                  <w:hideMark/>
                </w:tcPr>
                <w:p w14:paraId="3EFDBE8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0.87 </w:t>
                  </w:r>
                </w:p>
              </w:tc>
              <w:tc>
                <w:tcPr>
                  <w:tcW w:w="942" w:type="dxa"/>
                  <w:tcBorders>
                    <w:top w:val="nil"/>
                    <w:left w:val="nil"/>
                    <w:bottom w:val="single" w:sz="8" w:space="0" w:color="FFFFFF"/>
                    <w:right w:val="single" w:sz="8" w:space="0" w:color="FFFFFF"/>
                  </w:tcBorders>
                  <w:shd w:val="clear" w:color="000000" w:fill="FDE9D9"/>
                  <w:noWrap/>
                  <w:vAlign w:val="center"/>
                  <w:hideMark/>
                </w:tcPr>
                <w:p w14:paraId="27833AA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1.33 </w:t>
                  </w:r>
                </w:p>
              </w:tc>
              <w:tc>
                <w:tcPr>
                  <w:tcW w:w="942" w:type="dxa"/>
                  <w:tcBorders>
                    <w:top w:val="nil"/>
                    <w:left w:val="nil"/>
                    <w:bottom w:val="single" w:sz="8" w:space="0" w:color="FFFFFF"/>
                    <w:right w:val="single" w:sz="8" w:space="0" w:color="FFFFFF"/>
                  </w:tcBorders>
                  <w:shd w:val="clear" w:color="000000" w:fill="FDE9D9"/>
                  <w:noWrap/>
                  <w:vAlign w:val="center"/>
                  <w:hideMark/>
                </w:tcPr>
                <w:p w14:paraId="706DEAF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4.31 </w:t>
                  </w:r>
                </w:p>
              </w:tc>
            </w:tr>
            <w:tr w:rsidR="009F6C52" w:rsidRPr="009F6C52" w14:paraId="4EA64DFA" w14:textId="77777777" w:rsidTr="009F6C52">
              <w:trPr>
                <w:trHeight w:val="290"/>
              </w:trPr>
              <w:tc>
                <w:tcPr>
                  <w:tcW w:w="1160" w:type="dxa"/>
                  <w:tcBorders>
                    <w:top w:val="nil"/>
                    <w:left w:val="nil"/>
                    <w:bottom w:val="nil"/>
                    <w:right w:val="nil"/>
                  </w:tcBorders>
                  <w:shd w:val="clear" w:color="000000" w:fill="FCD5B4"/>
                  <w:noWrap/>
                  <w:vAlign w:val="center"/>
                  <w:hideMark/>
                </w:tcPr>
                <w:p w14:paraId="3F682810"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19D5C38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3.88 </w:t>
                  </w:r>
                </w:p>
              </w:tc>
              <w:tc>
                <w:tcPr>
                  <w:tcW w:w="942" w:type="dxa"/>
                  <w:tcBorders>
                    <w:top w:val="nil"/>
                    <w:left w:val="nil"/>
                    <w:bottom w:val="single" w:sz="8" w:space="0" w:color="FFFFFF"/>
                    <w:right w:val="single" w:sz="8" w:space="0" w:color="FFFFFF"/>
                  </w:tcBorders>
                  <w:shd w:val="clear" w:color="000000" w:fill="FCD5B4"/>
                  <w:noWrap/>
                  <w:vAlign w:val="center"/>
                  <w:hideMark/>
                </w:tcPr>
                <w:p w14:paraId="38BB0A7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4.08 </w:t>
                  </w:r>
                </w:p>
              </w:tc>
              <w:tc>
                <w:tcPr>
                  <w:tcW w:w="942" w:type="dxa"/>
                  <w:tcBorders>
                    <w:top w:val="nil"/>
                    <w:left w:val="nil"/>
                    <w:bottom w:val="single" w:sz="8" w:space="0" w:color="FFFFFF"/>
                    <w:right w:val="single" w:sz="8" w:space="0" w:color="FFFFFF"/>
                  </w:tcBorders>
                  <w:shd w:val="clear" w:color="000000" w:fill="FCD5B4"/>
                  <w:noWrap/>
                  <w:vAlign w:val="center"/>
                  <w:hideMark/>
                </w:tcPr>
                <w:p w14:paraId="7A8CDA01"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4.58 </w:t>
                  </w:r>
                </w:p>
              </w:tc>
              <w:tc>
                <w:tcPr>
                  <w:tcW w:w="942" w:type="dxa"/>
                  <w:tcBorders>
                    <w:top w:val="nil"/>
                    <w:left w:val="nil"/>
                    <w:bottom w:val="single" w:sz="8" w:space="0" w:color="FFFFFF"/>
                    <w:right w:val="single" w:sz="8" w:space="0" w:color="FFFFFF"/>
                  </w:tcBorders>
                  <w:shd w:val="clear" w:color="000000" w:fill="FCD5B4"/>
                  <w:noWrap/>
                  <w:vAlign w:val="center"/>
                  <w:hideMark/>
                </w:tcPr>
                <w:p w14:paraId="08945EB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7.56 </w:t>
                  </w:r>
                </w:p>
              </w:tc>
              <w:tc>
                <w:tcPr>
                  <w:tcW w:w="1195" w:type="dxa"/>
                  <w:tcBorders>
                    <w:top w:val="nil"/>
                    <w:left w:val="nil"/>
                    <w:bottom w:val="nil"/>
                    <w:right w:val="nil"/>
                  </w:tcBorders>
                  <w:shd w:val="clear" w:color="000000" w:fill="FCD5B4"/>
                  <w:noWrap/>
                  <w:vAlign w:val="center"/>
                  <w:hideMark/>
                </w:tcPr>
                <w:p w14:paraId="3F0239D1"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7Y</w:t>
                  </w:r>
                </w:p>
              </w:tc>
              <w:tc>
                <w:tcPr>
                  <w:tcW w:w="689" w:type="dxa"/>
                  <w:tcBorders>
                    <w:top w:val="nil"/>
                    <w:left w:val="nil"/>
                    <w:bottom w:val="single" w:sz="8" w:space="0" w:color="FFFFFF"/>
                    <w:right w:val="single" w:sz="8" w:space="0" w:color="FFFFFF"/>
                  </w:tcBorders>
                  <w:shd w:val="clear" w:color="000000" w:fill="FCD5B4"/>
                  <w:noWrap/>
                  <w:vAlign w:val="center"/>
                  <w:hideMark/>
                </w:tcPr>
                <w:p w14:paraId="5370EEA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0.80 </w:t>
                  </w:r>
                </w:p>
              </w:tc>
              <w:tc>
                <w:tcPr>
                  <w:tcW w:w="942" w:type="dxa"/>
                  <w:tcBorders>
                    <w:top w:val="nil"/>
                    <w:left w:val="nil"/>
                    <w:bottom w:val="single" w:sz="8" w:space="0" w:color="FFFFFF"/>
                    <w:right w:val="single" w:sz="8" w:space="0" w:color="FFFFFF"/>
                  </w:tcBorders>
                  <w:shd w:val="clear" w:color="000000" w:fill="FCD5B4"/>
                  <w:noWrap/>
                  <w:vAlign w:val="center"/>
                  <w:hideMark/>
                </w:tcPr>
                <w:p w14:paraId="2E7F58F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1.00 </w:t>
                  </w:r>
                </w:p>
              </w:tc>
              <w:tc>
                <w:tcPr>
                  <w:tcW w:w="942" w:type="dxa"/>
                  <w:tcBorders>
                    <w:top w:val="nil"/>
                    <w:left w:val="nil"/>
                    <w:bottom w:val="single" w:sz="8" w:space="0" w:color="FFFFFF"/>
                    <w:right w:val="single" w:sz="8" w:space="0" w:color="FFFFFF"/>
                  </w:tcBorders>
                  <w:shd w:val="clear" w:color="000000" w:fill="FCD5B4"/>
                  <w:noWrap/>
                  <w:vAlign w:val="center"/>
                  <w:hideMark/>
                </w:tcPr>
                <w:p w14:paraId="6684408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1.50 </w:t>
                  </w:r>
                </w:p>
              </w:tc>
              <w:tc>
                <w:tcPr>
                  <w:tcW w:w="942" w:type="dxa"/>
                  <w:tcBorders>
                    <w:top w:val="nil"/>
                    <w:left w:val="nil"/>
                    <w:bottom w:val="single" w:sz="8" w:space="0" w:color="FFFFFF"/>
                    <w:right w:val="single" w:sz="8" w:space="0" w:color="FFFFFF"/>
                  </w:tcBorders>
                  <w:shd w:val="clear" w:color="000000" w:fill="FCD5B4"/>
                  <w:noWrap/>
                  <w:vAlign w:val="center"/>
                  <w:hideMark/>
                </w:tcPr>
                <w:p w14:paraId="7AACB4F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4.48 </w:t>
                  </w:r>
                </w:p>
              </w:tc>
            </w:tr>
            <w:tr w:rsidR="009F6C52" w:rsidRPr="009F6C52" w14:paraId="104345F0" w14:textId="77777777" w:rsidTr="009F6C52">
              <w:trPr>
                <w:trHeight w:val="150"/>
              </w:trPr>
              <w:tc>
                <w:tcPr>
                  <w:tcW w:w="1160" w:type="dxa"/>
                  <w:tcBorders>
                    <w:top w:val="nil"/>
                    <w:left w:val="nil"/>
                    <w:bottom w:val="nil"/>
                    <w:right w:val="nil"/>
                  </w:tcBorders>
                  <w:shd w:val="clear" w:color="auto" w:fill="auto"/>
                  <w:noWrap/>
                  <w:vAlign w:val="center"/>
                  <w:hideMark/>
                </w:tcPr>
                <w:p w14:paraId="5D0A5426" w14:textId="77777777" w:rsidR="009F6C52" w:rsidRPr="009F6C52" w:rsidRDefault="009F6C52" w:rsidP="009F6C52">
                  <w:pPr>
                    <w:widowControl/>
                    <w:jc w:val="center"/>
                    <w:rPr>
                      <w:rFonts w:eastAsia="等线" w:cs="Calibri"/>
                      <w:color w:val="000000"/>
                      <w:kern w:val="0"/>
                      <w:szCs w:val="21"/>
                    </w:rPr>
                  </w:pPr>
                </w:p>
              </w:tc>
              <w:tc>
                <w:tcPr>
                  <w:tcW w:w="942" w:type="dxa"/>
                  <w:tcBorders>
                    <w:top w:val="nil"/>
                    <w:left w:val="nil"/>
                    <w:bottom w:val="nil"/>
                    <w:right w:val="nil"/>
                  </w:tcBorders>
                  <w:shd w:val="clear" w:color="auto" w:fill="auto"/>
                  <w:noWrap/>
                  <w:vAlign w:val="center"/>
                  <w:hideMark/>
                </w:tcPr>
                <w:p w14:paraId="704B17F5"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0BE31043"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20F3905E"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3AF61834" w14:textId="77777777" w:rsidR="009F6C52" w:rsidRPr="009F6C52" w:rsidRDefault="009F6C52" w:rsidP="009F6C52">
                  <w:pPr>
                    <w:widowControl/>
                    <w:jc w:val="center"/>
                    <w:rPr>
                      <w:rFonts w:ascii="Times New Roman" w:eastAsia="Times New Roman" w:hAnsi="Times New Roman"/>
                      <w:kern w:val="0"/>
                      <w:sz w:val="20"/>
                      <w:szCs w:val="20"/>
                    </w:rPr>
                  </w:pPr>
                </w:p>
              </w:tc>
              <w:tc>
                <w:tcPr>
                  <w:tcW w:w="1195" w:type="dxa"/>
                  <w:tcBorders>
                    <w:top w:val="nil"/>
                    <w:left w:val="nil"/>
                    <w:bottom w:val="nil"/>
                    <w:right w:val="nil"/>
                  </w:tcBorders>
                  <w:shd w:val="clear" w:color="auto" w:fill="auto"/>
                  <w:noWrap/>
                  <w:vAlign w:val="center"/>
                  <w:hideMark/>
                </w:tcPr>
                <w:p w14:paraId="0E0B4342" w14:textId="77777777" w:rsidR="009F6C52" w:rsidRPr="009F6C52" w:rsidRDefault="009F6C52" w:rsidP="009F6C52">
                  <w:pPr>
                    <w:widowControl/>
                    <w:jc w:val="center"/>
                    <w:rPr>
                      <w:rFonts w:ascii="Times New Roman" w:eastAsia="Times New Roman" w:hAnsi="Times New Roman"/>
                      <w:kern w:val="0"/>
                      <w:sz w:val="20"/>
                      <w:szCs w:val="20"/>
                    </w:rPr>
                  </w:pPr>
                </w:p>
              </w:tc>
              <w:tc>
                <w:tcPr>
                  <w:tcW w:w="689" w:type="dxa"/>
                  <w:tcBorders>
                    <w:top w:val="nil"/>
                    <w:left w:val="nil"/>
                    <w:bottom w:val="nil"/>
                    <w:right w:val="nil"/>
                  </w:tcBorders>
                  <w:shd w:val="clear" w:color="auto" w:fill="auto"/>
                  <w:noWrap/>
                  <w:vAlign w:val="center"/>
                  <w:hideMark/>
                </w:tcPr>
                <w:p w14:paraId="611FEF93"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2136C7E0"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4D9E9E50"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592C36E8" w14:textId="77777777" w:rsidR="009F6C52" w:rsidRPr="009F6C52" w:rsidRDefault="009F6C52" w:rsidP="009F6C52">
                  <w:pPr>
                    <w:widowControl/>
                    <w:jc w:val="center"/>
                    <w:rPr>
                      <w:rFonts w:ascii="Times New Roman" w:eastAsia="Times New Roman" w:hAnsi="Times New Roman"/>
                      <w:kern w:val="0"/>
                      <w:sz w:val="20"/>
                      <w:szCs w:val="20"/>
                    </w:rPr>
                  </w:pPr>
                </w:p>
              </w:tc>
            </w:tr>
            <w:tr w:rsidR="009F6C52" w:rsidRPr="009F6C52" w14:paraId="4FD65478" w14:textId="77777777" w:rsidTr="009F6C52">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7FDED1FD" w14:textId="77777777" w:rsidR="009F6C52" w:rsidRPr="009F6C52" w:rsidRDefault="009F6C52" w:rsidP="009F6C52">
                  <w:pPr>
                    <w:widowControl/>
                    <w:jc w:val="center"/>
                    <w:rPr>
                      <w:rFonts w:ascii="楷体" w:eastAsia="楷体" w:hAnsi="楷体" w:cs="宋体"/>
                      <w:b/>
                      <w:bCs/>
                      <w:color w:val="FFFFFF"/>
                      <w:kern w:val="0"/>
                      <w:sz w:val="20"/>
                      <w:szCs w:val="20"/>
                    </w:rPr>
                  </w:pPr>
                  <w:proofErr w:type="gramStart"/>
                  <w:r w:rsidRPr="009F6C52">
                    <w:rPr>
                      <w:rFonts w:ascii="楷体" w:eastAsia="楷体" w:hAnsi="楷体" w:cs="宋体" w:hint="eastAsia"/>
                      <w:b/>
                      <w:bCs/>
                      <w:color w:val="FFFFFF"/>
                      <w:kern w:val="0"/>
                      <w:sz w:val="20"/>
                      <w:szCs w:val="20"/>
                    </w:rPr>
                    <w:t>周变化</w:t>
                  </w:r>
                  <w:proofErr w:type="gramEnd"/>
                  <w:r w:rsidRPr="009F6C52">
                    <w:rPr>
                      <w:rFonts w:ascii="楷体" w:eastAsia="楷体" w:hAnsi="楷体" w:cs="宋体" w:hint="eastAsia"/>
                      <w:b/>
                      <w:bCs/>
                      <w:color w:val="FFFFFF"/>
                      <w:kern w:val="0"/>
                      <w:sz w:val="20"/>
                      <w:szCs w:val="20"/>
                    </w:rPr>
                    <w:t>(BP)</w:t>
                  </w:r>
                </w:p>
              </w:tc>
              <w:tc>
                <w:tcPr>
                  <w:tcW w:w="942" w:type="dxa"/>
                  <w:tcBorders>
                    <w:top w:val="nil"/>
                    <w:left w:val="nil"/>
                    <w:bottom w:val="single" w:sz="12" w:space="0" w:color="FFFFFF"/>
                    <w:right w:val="single" w:sz="8" w:space="0" w:color="FFFFFF"/>
                  </w:tcBorders>
                  <w:shd w:val="clear" w:color="000000" w:fill="F79646"/>
                  <w:noWrap/>
                  <w:vAlign w:val="center"/>
                  <w:hideMark/>
                </w:tcPr>
                <w:p w14:paraId="222AD3E5"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600FAAC4"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54171258"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14279E73"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1195" w:type="dxa"/>
                  <w:tcBorders>
                    <w:top w:val="nil"/>
                    <w:left w:val="nil"/>
                    <w:bottom w:val="single" w:sz="12" w:space="0" w:color="FFFFFF"/>
                    <w:right w:val="single" w:sz="8" w:space="0" w:color="FFFFFF"/>
                  </w:tcBorders>
                  <w:shd w:val="clear" w:color="000000" w:fill="F79646"/>
                  <w:noWrap/>
                  <w:vAlign w:val="center"/>
                  <w:hideMark/>
                </w:tcPr>
                <w:p w14:paraId="4EF66B82"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息差</w:t>
                  </w:r>
                </w:p>
              </w:tc>
              <w:tc>
                <w:tcPr>
                  <w:tcW w:w="689" w:type="dxa"/>
                  <w:tcBorders>
                    <w:top w:val="nil"/>
                    <w:left w:val="nil"/>
                    <w:bottom w:val="single" w:sz="12" w:space="0" w:color="FFFFFF"/>
                    <w:right w:val="single" w:sz="8" w:space="0" w:color="FFFFFF"/>
                  </w:tcBorders>
                  <w:shd w:val="clear" w:color="000000" w:fill="F79646"/>
                  <w:noWrap/>
                  <w:vAlign w:val="center"/>
                  <w:hideMark/>
                </w:tcPr>
                <w:p w14:paraId="5E8729E0"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025E5371"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77B3BA17"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4F6EC5C"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r>
            <w:tr w:rsidR="009F6C52" w:rsidRPr="009F6C52" w14:paraId="56E58925" w14:textId="77777777" w:rsidTr="009F6C52">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6C7371A2"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23DB3F3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0.7 </w:t>
                  </w:r>
                </w:p>
              </w:tc>
              <w:tc>
                <w:tcPr>
                  <w:tcW w:w="942" w:type="dxa"/>
                  <w:tcBorders>
                    <w:top w:val="nil"/>
                    <w:left w:val="nil"/>
                    <w:bottom w:val="single" w:sz="8" w:space="0" w:color="FFFFFF"/>
                    <w:right w:val="single" w:sz="8" w:space="0" w:color="FFFFFF"/>
                  </w:tcBorders>
                  <w:shd w:val="clear" w:color="000000" w:fill="FCD5B4"/>
                  <w:noWrap/>
                  <w:vAlign w:val="center"/>
                  <w:hideMark/>
                </w:tcPr>
                <w:p w14:paraId="2D1552C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2.7 </w:t>
                  </w:r>
                </w:p>
              </w:tc>
              <w:tc>
                <w:tcPr>
                  <w:tcW w:w="942" w:type="dxa"/>
                  <w:tcBorders>
                    <w:top w:val="nil"/>
                    <w:left w:val="nil"/>
                    <w:bottom w:val="single" w:sz="8" w:space="0" w:color="FFFFFF"/>
                    <w:right w:val="single" w:sz="8" w:space="0" w:color="FFFFFF"/>
                  </w:tcBorders>
                  <w:shd w:val="clear" w:color="000000" w:fill="FCD5B4"/>
                  <w:noWrap/>
                  <w:vAlign w:val="center"/>
                  <w:hideMark/>
                </w:tcPr>
                <w:p w14:paraId="2615C422"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-0.3 </w:t>
                  </w:r>
                </w:p>
              </w:tc>
              <w:tc>
                <w:tcPr>
                  <w:tcW w:w="942" w:type="dxa"/>
                  <w:tcBorders>
                    <w:top w:val="nil"/>
                    <w:left w:val="nil"/>
                    <w:bottom w:val="single" w:sz="8" w:space="0" w:color="FFFFFF"/>
                    <w:right w:val="single" w:sz="8" w:space="0" w:color="FFFFFF"/>
                  </w:tcBorders>
                  <w:shd w:val="clear" w:color="000000" w:fill="FCD5B4"/>
                  <w:noWrap/>
                  <w:vAlign w:val="center"/>
                  <w:hideMark/>
                </w:tcPr>
                <w:p w14:paraId="2C12216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-0.3 </w:t>
                  </w:r>
                </w:p>
              </w:tc>
              <w:tc>
                <w:tcPr>
                  <w:tcW w:w="1195" w:type="dxa"/>
                  <w:tcBorders>
                    <w:top w:val="nil"/>
                    <w:left w:val="nil"/>
                    <w:bottom w:val="single" w:sz="8" w:space="0" w:color="FFFFFF"/>
                    <w:right w:val="single" w:sz="8" w:space="0" w:color="FFFFFF"/>
                  </w:tcBorders>
                  <w:shd w:val="clear" w:color="000000" w:fill="FCD5B4"/>
                  <w:noWrap/>
                  <w:vAlign w:val="center"/>
                  <w:hideMark/>
                </w:tcPr>
                <w:p w14:paraId="4E97FFC0"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CP</w:t>
                  </w:r>
                </w:p>
              </w:tc>
              <w:tc>
                <w:tcPr>
                  <w:tcW w:w="689" w:type="dxa"/>
                  <w:tcBorders>
                    <w:top w:val="nil"/>
                    <w:left w:val="nil"/>
                    <w:bottom w:val="single" w:sz="8" w:space="0" w:color="FFFFFF"/>
                    <w:right w:val="single" w:sz="8" w:space="0" w:color="FFFFFF"/>
                  </w:tcBorders>
                  <w:shd w:val="clear" w:color="000000" w:fill="FCD5B4"/>
                  <w:noWrap/>
                  <w:vAlign w:val="center"/>
                  <w:hideMark/>
                </w:tcPr>
                <w:p w14:paraId="383B3D5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2.3 </w:t>
                  </w:r>
                </w:p>
              </w:tc>
              <w:tc>
                <w:tcPr>
                  <w:tcW w:w="942" w:type="dxa"/>
                  <w:tcBorders>
                    <w:top w:val="nil"/>
                    <w:left w:val="nil"/>
                    <w:bottom w:val="single" w:sz="8" w:space="0" w:color="FFFFFF"/>
                    <w:right w:val="single" w:sz="8" w:space="0" w:color="FFFFFF"/>
                  </w:tcBorders>
                  <w:shd w:val="clear" w:color="000000" w:fill="FCD5B4"/>
                  <w:noWrap/>
                  <w:vAlign w:val="center"/>
                  <w:hideMark/>
                </w:tcPr>
                <w:p w14:paraId="53AD359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4.3 </w:t>
                  </w:r>
                </w:p>
              </w:tc>
              <w:tc>
                <w:tcPr>
                  <w:tcW w:w="942" w:type="dxa"/>
                  <w:tcBorders>
                    <w:top w:val="nil"/>
                    <w:left w:val="nil"/>
                    <w:bottom w:val="single" w:sz="8" w:space="0" w:color="FFFFFF"/>
                    <w:right w:val="single" w:sz="8" w:space="0" w:color="FFFFFF"/>
                  </w:tcBorders>
                  <w:shd w:val="clear" w:color="000000" w:fill="FCD5B4"/>
                  <w:noWrap/>
                  <w:vAlign w:val="center"/>
                  <w:hideMark/>
                </w:tcPr>
                <w:p w14:paraId="36ED5C1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1.4 </w:t>
                  </w:r>
                </w:p>
              </w:tc>
              <w:tc>
                <w:tcPr>
                  <w:tcW w:w="942" w:type="dxa"/>
                  <w:tcBorders>
                    <w:top w:val="nil"/>
                    <w:left w:val="nil"/>
                    <w:bottom w:val="single" w:sz="8" w:space="0" w:color="FFFFFF"/>
                    <w:right w:val="single" w:sz="8" w:space="0" w:color="FFFFFF"/>
                  </w:tcBorders>
                  <w:shd w:val="clear" w:color="000000" w:fill="FCD5B4"/>
                  <w:noWrap/>
                  <w:vAlign w:val="center"/>
                  <w:hideMark/>
                </w:tcPr>
                <w:p w14:paraId="4AF2925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1.4 </w:t>
                  </w:r>
                </w:p>
              </w:tc>
            </w:tr>
            <w:tr w:rsidR="009F6C52" w:rsidRPr="009F6C52" w14:paraId="1B0C33AF"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3ECB3359"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147DAE2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-0.5 </w:t>
                  </w:r>
                </w:p>
              </w:tc>
              <w:tc>
                <w:tcPr>
                  <w:tcW w:w="942" w:type="dxa"/>
                  <w:tcBorders>
                    <w:top w:val="nil"/>
                    <w:left w:val="nil"/>
                    <w:bottom w:val="single" w:sz="8" w:space="0" w:color="FFFFFF"/>
                    <w:right w:val="single" w:sz="8" w:space="0" w:color="FFFFFF"/>
                  </w:tcBorders>
                  <w:shd w:val="clear" w:color="000000" w:fill="FDE9D9"/>
                  <w:noWrap/>
                  <w:vAlign w:val="center"/>
                  <w:hideMark/>
                </w:tcPr>
                <w:p w14:paraId="348FF42D"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-0.5 </w:t>
                  </w:r>
                </w:p>
              </w:tc>
              <w:tc>
                <w:tcPr>
                  <w:tcW w:w="942" w:type="dxa"/>
                  <w:tcBorders>
                    <w:top w:val="nil"/>
                    <w:left w:val="nil"/>
                    <w:bottom w:val="single" w:sz="8" w:space="0" w:color="FFFFFF"/>
                    <w:right w:val="single" w:sz="8" w:space="0" w:color="FFFFFF"/>
                  </w:tcBorders>
                  <w:shd w:val="clear" w:color="000000" w:fill="FDE9D9"/>
                  <w:noWrap/>
                  <w:vAlign w:val="center"/>
                  <w:hideMark/>
                </w:tcPr>
                <w:p w14:paraId="1197378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-4.5 </w:t>
                  </w:r>
                </w:p>
              </w:tc>
              <w:tc>
                <w:tcPr>
                  <w:tcW w:w="942" w:type="dxa"/>
                  <w:tcBorders>
                    <w:top w:val="nil"/>
                    <w:left w:val="nil"/>
                    <w:bottom w:val="single" w:sz="8" w:space="0" w:color="FFFFFF"/>
                    <w:right w:val="single" w:sz="8" w:space="0" w:color="FFFFFF"/>
                  </w:tcBorders>
                  <w:shd w:val="clear" w:color="000000" w:fill="FDE9D9"/>
                  <w:noWrap/>
                  <w:vAlign w:val="center"/>
                  <w:hideMark/>
                </w:tcPr>
                <w:p w14:paraId="713A972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-5.5 </w:t>
                  </w:r>
                </w:p>
              </w:tc>
              <w:tc>
                <w:tcPr>
                  <w:tcW w:w="1195" w:type="dxa"/>
                  <w:tcBorders>
                    <w:top w:val="nil"/>
                    <w:left w:val="nil"/>
                    <w:bottom w:val="single" w:sz="8" w:space="0" w:color="FFFFFF"/>
                    <w:right w:val="single" w:sz="8" w:space="0" w:color="FFFFFF"/>
                  </w:tcBorders>
                  <w:shd w:val="clear" w:color="000000" w:fill="FDE9D9"/>
                  <w:noWrap/>
                  <w:vAlign w:val="center"/>
                  <w:hideMark/>
                </w:tcPr>
                <w:p w14:paraId="6FC49956"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MTN3Y</w:t>
                  </w:r>
                </w:p>
              </w:tc>
              <w:tc>
                <w:tcPr>
                  <w:tcW w:w="689" w:type="dxa"/>
                  <w:tcBorders>
                    <w:top w:val="nil"/>
                    <w:left w:val="nil"/>
                    <w:bottom w:val="single" w:sz="8" w:space="0" w:color="FFFFFF"/>
                    <w:right w:val="single" w:sz="8" w:space="0" w:color="FFFFFF"/>
                  </w:tcBorders>
                  <w:shd w:val="clear" w:color="000000" w:fill="FDE9D9"/>
                  <w:noWrap/>
                  <w:vAlign w:val="center"/>
                  <w:hideMark/>
                </w:tcPr>
                <w:p w14:paraId="643B7C0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-4.9 </w:t>
                  </w:r>
                </w:p>
              </w:tc>
              <w:tc>
                <w:tcPr>
                  <w:tcW w:w="942" w:type="dxa"/>
                  <w:tcBorders>
                    <w:top w:val="nil"/>
                    <w:left w:val="nil"/>
                    <w:bottom w:val="single" w:sz="8" w:space="0" w:color="FFFFFF"/>
                    <w:right w:val="single" w:sz="8" w:space="0" w:color="FFFFFF"/>
                  </w:tcBorders>
                  <w:shd w:val="clear" w:color="000000" w:fill="FDE9D9"/>
                  <w:noWrap/>
                  <w:vAlign w:val="center"/>
                  <w:hideMark/>
                </w:tcPr>
                <w:p w14:paraId="591278F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-4.9 </w:t>
                  </w:r>
                </w:p>
              </w:tc>
              <w:tc>
                <w:tcPr>
                  <w:tcW w:w="942" w:type="dxa"/>
                  <w:tcBorders>
                    <w:top w:val="nil"/>
                    <w:left w:val="nil"/>
                    <w:bottom w:val="single" w:sz="8" w:space="0" w:color="FFFFFF"/>
                    <w:right w:val="single" w:sz="8" w:space="0" w:color="FFFFFF"/>
                  </w:tcBorders>
                  <w:shd w:val="clear" w:color="000000" w:fill="FDE9D9"/>
                  <w:noWrap/>
                  <w:vAlign w:val="center"/>
                  <w:hideMark/>
                </w:tcPr>
                <w:p w14:paraId="34B70301"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-8.9 </w:t>
                  </w:r>
                </w:p>
              </w:tc>
              <w:tc>
                <w:tcPr>
                  <w:tcW w:w="942" w:type="dxa"/>
                  <w:tcBorders>
                    <w:top w:val="nil"/>
                    <w:left w:val="nil"/>
                    <w:bottom w:val="single" w:sz="8" w:space="0" w:color="FFFFFF"/>
                    <w:right w:val="single" w:sz="8" w:space="0" w:color="FFFFFF"/>
                  </w:tcBorders>
                  <w:shd w:val="clear" w:color="000000" w:fill="FDE9D9"/>
                  <w:noWrap/>
                  <w:vAlign w:val="center"/>
                  <w:hideMark/>
                </w:tcPr>
                <w:p w14:paraId="6BFB197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-9.9 </w:t>
                  </w:r>
                </w:p>
              </w:tc>
            </w:tr>
            <w:tr w:rsidR="009F6C52" w:rsidRPr="009F6C52" w14:paraId="0A9ED5C8" w14:textId="77777777" w:rsidTr="009F6C52">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3E27916C"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0F02B5B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0.9 </w:t>
                  </w:r>
                </w:p>
              </w:tc>
              <w:tc>
                <w:tcPr>
                  <w:tcW w:w="942" w:type="dxa"/>
                  <w:tcBorders>
                    <w:top w:val="nil"/>
                    <w:left w:val="nil"/>
                    <w:bottom w:val="single" w:sz="8" w:space="0" w:color="FFFFFF"/>
                    <w:right w:val="single" w:sz="8" w:space="0" w:color="FFFFFF"/>
                  </w:tcBorders>
                  <w:shd w:val="clear" w:color="000000" w:fill="FCD5B4"/>
                  <w:noWrap/>
                  <w:vAlign w:val="center"/>
                  <w:hideMark/>
                </w:tcPr>
                <w:p w14:paraId="7601693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0.9 </w:t>
                  </w:r>
                </w:p>
              </w:tc>
              <w:tc>
                <w:tcPr>
                  <w:tcW w:w="942" w:type="dxa"/>
                  <w:tcBorders>
                    <w:top w:val="nil"/>
                    <w:left w:val="nil"/>
                    <w:bottom w:val="single" w:sz="8" w:space="0" w:color="FFFFFF"/>
                    <w:right w:val="single" w:sz="8" w:space="0" w:color="FFFFFF"/>
                  </w:tcBorders>
                  <w:shd w:val="clear" w:color="000000" w:fill="FCD5B4"/>
                  <w:noWrap/>
                  <w:vAlign w:val="center"/>
                  <w:hideMark/>
                </w:tcPr>
                <w:p w14:paraId="2F2E775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2.9 </w:t>
                  </w:r>
                </w:p>
              </w:tc>
              <w:tc>
                <w:tcPr>
                  <w:tcW w:w="942" w:type="dxa"/>
                  <w:tcBorders>
                    <w:top w:val="nil"/>
                    <w:left w:val="nil"/>
                    <w:bottom w:val="single" w:sz="8" w:space="0" w:color="FFFFFF"/>
                    <w:right w:val="single" w:sz="8" w:space="0" w:color="FFFFFF"/>
                  </w:tcBorders>
                  <w:shd w:val="clear" w:color="000000" w:fill="FCD5B4"/>
                  <w:noWrap/>
                  <w:vAlign w:val="center"/>
                  <w:hideMark/>
                </w:tcPr>
                <w:p w14:paraId="24A510F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1.9 </w:t>
                  </w:r>
                </w:p>
              </w:tc>
              <w:tc>
                <w:tcPr>
                  <w:tcW w:w="1195" w:type="dxa"/>
                  <w:tcBorders>
                    <w:top w:val="nil"/>
                    <w:left w:val="nil"/>
                    <w:bottom w:val="single" w:sz="8" w:space="0" w:color="FFFFFF"/>
                    <w:right w:val="single" w:sz="8" w:space="0" w:color="FFFFFF"/>
                  </w:tcBorders>
                  <w:shd w:val="clear" w:color="000000" w:fill="FCD5B4"/>
                  <w:noWrap/>
                  <w:vAlign w:val="center"/>
                  <w:hideMark/>
                </w:tcPr>
                <w:p w14:paraId="6B88645D"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MTN5Y</w:t>
                  </w:r>
                </w:p>
              </w:tc>
              <w:tc>
                <w:tcPr>
                  <w:tcW w:w="689" w:type="dxa"/>
                  <w:tcBorders>
                    <w:top w:val="nil"/>
                    <w:left w:val="nil"/>
                    <w:bottom w:val="single" w:sz="8" w:space="0" w:color="FFFFFF"/>
                    <w:right w:val="single" w:sz="8" w:space="0" w:color="FFFFFF"/>
                  </w:tcBorders>
                  <w:shd w:val="clear" w:color="000000" w:fill="FCD5B4"/>
                  <w:noWrap/>
                  <w:vAlign w:val="center"/>
                  <w:hideMark/>
                </w:tcPr>
                <w:p w14:paraId="6A7F2A0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-3.4 </w:t>
                  </w:r>
                </w:p>
              </w:tc>
              <w:tc>
                <w:tcPr>
                  <w:tcW w:w="942" w:type="dxa"/>
                  <w:tcBorders>
                    <w:top w:val="nil"/>
                    <w:left w:val="nil"/>
                    <w:bottom w:val="single" w:sz="8" w:space="0" w:color="FFFFFF"/>
                    <w:right w:val="single" w:sz="8" w:space="0" w:color="FFFFFF"/>
                  </w:tcBorders>
                  <w:shd w:val="clear" w:color="000000" w:fill="FCD5B4"/>
                  <w:noWrap/>
                  <w:vAlign w:val="center"/>
                  <w:hideMark/>
                </w:tcPr>
                <w:p w14:paraId="2B7D7F6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-3.4 </w:t>
                  </w:r>
                </w:p>
              </w:tc>
              <w:tc>
                <w:tcPr>
                  <w:tcW w:w="942" w:type="dxa"/>
                  <w:tcBorders>
                    <w:top w:val="nil"/>
                    <w:left w:val="nil"/>
                    <w:bottom w:val="single" w:sz="8" w:space="0" w:color="FFFFFF"/>
                    <w:right w:val="single" w:sz="8" w:space="0" w:color="FFFFFF"/>
                  </w:tcBorders>
                  <w:shd w:val="clear" w:color="000000" w:fill="FCD5B4"/>
                  <w:noWrap/>
                  <w:vAlign w:val="center"/>
                  <w:hideMark/>
                </w:tcPr>
                <w:p w14:paraId="088D793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-1.4 </w:t>
                  </w:r>
                </w:p>
              </w:tc>
              <w:tc>
                <w:tcPr>
                  <w:tcW w:w="942" w:type="dxa"/>
                  <w:tcBorders>
                    <w:top w:val="nil"/>
                    <w:left w:val="nil"/>
                    <w:bottom w:val="single" w:sz="8" w:space="0" w:color="FFFFFF"/>
                    <w:right w:val="single" w:sz="8" w:space="0" w:color="FFFFFF"/>
                  </w:tcBorders>
                  <w:shd w:val="clear" w:color="000000" w:fill="FCD5B4"/>
                  <w:noWrap/>
                  <w:vAlign w:val="center"/>
                  <w:hideMark/>
                </w:tcPr>
                <w:p w14:paraId="36703B4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-2.4 </w:t>
                  </w:r>
                </w:p>
              </w:tc>
            </w:tr>
            <w:tr w:rsidR="009F6C52" w:rsidRPr="009F6C52" w14:paraId="1E4ECDA6"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0A7C1BF9"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5649C96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-2.5 </w:t>
                  </w:r>
                </w:p>
              </w:tc>
              <w:tc>
                <w:tcPr>
                  <w:tcW w:w="942" w:type="dxa"/>
                  <w:tcBorders>
                    <w:top w:val="nil"/>
                    <w:left w:val="nil"/>
                    <w:bottom w:val="single" w:sz="8" w:space="0" w:color="FFFFFF"/>
                    <w:right w:val="single" w:sz="8" w:space="0" w:color="FFFFFF"/>
                  </w:tcBorders>
                  <w:shd w:val="clear" w:color="000000" w:fill="FDE9D9"/>
                  <w:noWrap/>
                  <w:vAlign w:val="center"/>
                  <w:hideMark/>
                </w:tcPr>
                <w:p w14:paraId="67C0DCE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-1.5 </w:t>
                  </w:r>
                </w:p>
              </w:tc>
              <w:tc>
                <w:tcPr>
                  <w:tcW w:w="942" w:type="dxa"/>
                  <w:tcBorders>
                    <w:top w:val="nil"/>
                    <w:left w:val="nil"/>
                    <w:bottom w:val="single" w:sz="8" w:space="0" w:color="FFFFFF"/>
                    <w:right w:val="single" w:sz="8" w:space="0" w:color="FFFFFF"/>
                  </w:tcBorders>
                  <w:shd w:val="clear" w:color="000000" w:fill="FDE9D9"/>
                  <w:noWrap/>
                  <w:vAlign w:val="center"/>
                  <w:hideMark/>
                </w:tcPr>
                <w:p w14:paraId="6CE8156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-2.5 </w:t>
                  </w:r>
                </w:p>
              </w:tc>
              <w:tc>
                <w:tcPr>
                  <w:tcW w:w="942" w:type="dxa"/>
                  <w:tcBorders>
                    <w:top w:val="nil"/>
                    <w:left w:val="nil"/>
                    <w:bottom w:val="single" w:sz="8" w:space="0" w:color="FFFFFF"/>
                    <w:right w:val="single" w:sz="8" w:space="0" w:color="FFFFFF"/>
                  </w:tcBorders>
                  <w:shd w:val="clear" w:color="000000" w:fill="FDE9D9"/>
                  <w:noWrap/>
                  <w:vAlign w:val="center"/>
                  <w:hideMark/>
                </w:tcPr>
                <w:p w14:paraId="1E8A488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-2.5 </w:t>
                  </w:r>
                </w:p>
              </w:tc>
              <w:tc>
                <w:tcPr>
                  <w:tcW w:w="1195" w:type="dxa"/>
                  <w:tcBorders>
                    <w:top w:val="nil"/>
                    <w:left w:val="nil"/>
                    <w:bottom w:val="single" w:sz="8" w:space="0" w:color="FFFFFF"/>
                    <w:right w:val="single" w:sz="8" w:space="0" w:color="FFFFFF"/>
                  </w:tcBorders>
                  <w:shd w:val="clear" w:color="000000" w:fill="FDE9D9"/>
                  <w:noWrap/>
                  <w:vAlign w:val="center"/>
                  <w:hideMark/>
                </w:tcPr>
                <w:p w14:paraId="3A0CD508"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企业债3Y</w:t>
                  </w:r>
                </w:p>
              </w:tc>
              <w:tc>
                <w:tcPr>
                  <w:tcW w:w="689" w:type="dxa"/>
                  <w:tcBorders>
                    <w:top w:val="nil"/>
                    <w:left w:val="nil"/>
                    <w:bottom w:val="single" w:sz="8" w:space="0" w:color="FFFFFF"/>
                    <w:right w:val="single" w:sz="8" w:space="0" w:color="FFFFFF"/>
                  </w:tcBorders>
                  <w:shd w:val="clear" w:color="000000" w:fill="FDE9D9"/>
                  <w:noWrap/>
                  <w:vAlign w:val="center"/>
                  <w:hideMark/>
                </w:tcPr>
                <w:p w14:paraId="19556F0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-6.8 </w:t>
                  </w:r>
                </w:p>
              </w:tc>
              <w:tc>
                <w:tcPr>
                  <w:tcW w:w="942" w:type="dxa"/>
                  <w:tcBorders>
                    <w:top w:val="nil"/>
                    <w:left w:val="nil"/>
                    <w:bottom w:val="single" w:sz="8" w:space="0" w:color="FFFFFF"/>
                    <w:right w:val="single" w:sz="8" w:space="0" w:color="FFFFFF"/>
                  </w:tcBorders>
                  <w:shd w:val="clear" w:color="000000" w:fill="FDE9D9"/>
                  <w:noWrap/>
                  <w:vAlign w:val="center"/>
                  <w:hideMark/>
                </w:tcPr>
                <w:p w14:paraId="7D90E7D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-5.9 </w:t>
                  </w:r>
                </w:p>
              </w:tc>
              <w:tc>
                <w:tcPr>
                  <w:tcW w:w="942" w:type="dxa"/>
                  <w:tcBorders>
                    <w:top w:val="nil"/>
                    <w:left w:val="nil"/>
                    <w:bottom w:val="single" w:sz="8" w:space="0" w:color="FFFFFF"/>
                    <w:right w:val="single" w:sz="8" w:space="0" w:color="FFFFFF"/>
                  </w:tcBorders>
                  <w:shd w:val="clear" w:color="000000" w:fill="FDE9D9"/>
                  <w:noWrap/>
                  <w:vAlign w:val="center"/>
                  <w:hideMark/>
                </w:tcPr>
                <w:p w14:paraId="3B1BC2F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-6.8 </w:t>
                  </w:r>
                </w:p>
              </w:tc>
              <w:tc>
                <w:tcPr>
                  <w:tcW w:w="942" w:type="dxa"/>
                  <w:tcBorders>
                    <w:top w:val="nil"/>
                    <w:left w:val="nil"/>
                    <w:bottom w:val="single" w:sz="8" w:space="0" w:color="FFFFFF"/>
                    <w:right w:val="single" w:sz="8" w:space="0" w:color="FFFFFF"/>
                  </w:tcBorders>
                  <w:shd w:val="clear" w:color="000000" w:fill="FDE9D9"/>
                  <w:noWrap/>
                  <w:vAlign w:val="center"/>
                  <w:hideMark/>
                </w:tcPr>
                <w:p w14:paraId="3313EBE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-6.8 </w:t>
                  </w:r>
                </w:p>
              </w:tc>
            </w:tr>
            <w:tr w:rsidR="009F6C52" w:rsidRPr="009F6C52" w14:paraId="6A4D7E79" w14:textId="77777777" w:rsidTr="009F6C52">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50341805"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798A52ED"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2.9 </w:t>
                  </w:r>
                </w:p>
              </w:tc>
              <w:tc>
                <w:tcPr>
                  <w:tcW w:w="942" w:type="dxa"/>
                  <w:tcBorders>
                    <w:top w:val="nil"/>
                    <w:left w:val="nil"/>
                    <w:bottom w:val="single" w:sz="8" w:space="0" w:color="FFFFFF"/>
                    <w:right w:val="single" w:sz="8" w:space="0" w:color="FFFFFF"/>
                  </w:tcBorders>
                  <w:shd w:val="clear" w:color="000000" w:fill="FCD5B4"/>
                  <w:noWrap/>
                  <w:vAlign w:val="center"/>
                  <w:hideMark/>
                </w:tcPr>
                <w:p w14:paraId="4A9C4981"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0.9 </w:t>
                  </w:r>
                </w:p>
              </w:tc>
              <w:tc>
                <w:tcPr>
                  <w:tcW w:w="942" w:type="dxa"/>
                  <w:tcBorders>
                    <w:top w:val="nil"/>
                    <w:left w:val="nil"/>
                    <w:bottom w:val="single" w:sz="8" w:space="0" w:color="FFFFFF"/>
                    <w:right w:val="single" w:sz="8" w:space="0" w:color="FFFFFF"/>
                  </w:tcBorders>
                  <w:shd w:val="clear" w:color="000000" w:fill="FCD5B4"/>
                  <w:noWrap/>
                  <w:vAlign w:val="center"/>
                  <w:hideMark/>
                </w:tcPr>
                <w:p w14:paraId="68BCB9F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3.9 </w:t>
                  </w:r>
                </w:p>
              </w:tc>
              <w:tc>
                <w:tcPr>
                  <w:tcW w:w="942" w:type="dxa"/>
                  <w:tcBorders>
                    <w:top w:val="nil"/>
                    <w:left w:val="nil"/>
                    <w:bottom w:val="single" w:sz="8" w:space="0" w:color="FFFFFF"/>
                    <w:right w:val="single" w:sz="8" w:space="0" w:color="FFFFFF"/>
                  </w:tcBorders>
                  <w:shd w:val="clear" w:color="000000" w:fill="FCD5B4"/>
                  <w:noWrap/>
                  <w:vAlign w:val="center"/>
                  <w:hideMark/>
                </w:tcPr>
                <w:p w14:paraId="2B38473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3.9 </w:t>
                  </w:r>
                </w:p>
              </w:tc>
              <w:tc>
                <w:tcPr>
                  <w:tcW w:w="1195" w:type="dxa"/>
                  <w:tcBorders>
                    <w:top w:val="nil"/>
                    <w:left w:val="nil"/>
                    <w:bottom w:val="single" w:sz="8" w:space="0" w:color="FFFFFF"/>
                    <w:right w:val="single" w:sz="8" w:space="0" w:color="FFFFFF"/>
                  </w:tcBorders>
                  <w:shd w:val="clear" w:color="000000" w:fill="FCD5B4"/>
                  <w:noWrap/>
                  <w:vAlign w:val="center"/>
                  <w:hideMark/>
                </w:tcPr>
                <w:p w14:paraId="29104805"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企业债5Y</w:t>
                  </w:r>
                </w:p>
              </w:tc>
              <w:tc>
                <w:tcPr>
                  <w:tcW w:w="689" w:type="dxa"/>
                  <w:tcBorders>
                    <w:top w:val="nil"/>
                    <w:left w:val="nil"/>
                    <w:bottom w:val="single" w:sz="8" w:space="0" w:color="FFFFFF"/>
                    <w:right w:val="single" w:sz="8" w:space="0" w:color="FFFFFF"/>
                  </w:tcBorders>
                  <w:shd w:val="clear" w:color="000000" w:fill="FCD5B4"/>
                  <w:noWrap/>
                  <w:vAlign w:val="center"/>
                  <w:hideMark/>
                </w:tcPr>
                <w:p w14:paraId="70A7AF2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-1.5 </w:t>
                  </w:r>
                </w:p>
              </w:tc>
              <w:tc>
                <w:tcPr>
                  <w:tcW w:w="942" w:type="dxa"/>
                  <w:tcBorders>
                    <w:top w:val="nil"/>
                    <w:left w:val="nil"/>
                    <w:bottom w:val="single" w:sz="8" w:space="0" w:color="FFFFFF"/>
                    <w:right w:val="single" w:sz="8" w:space="0" w:color="FFFFFF"/>
                  </w:tcBorders>
                  <w:shd w:val="clear" w:color="000000" w:fill="FCD5B4"/>
                  <w:noWrap/>
                  <w:vAlign w:val="center"/>
                  <w:hideMark/>
                </w:tcPr>
                <w:p w14:paraId="6BF71BA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-3.5 </w:t>
                  </w:r>
                </w:p>
              </w:tc>
              <w:tc>
                <w:tcPr>
                  <w:tcW w:w="942" w:type="dxa"/>
                  <w:tcBorders>
                    <w:top w:val="nil"/>
                    <w:left w:val="nil"/>
                    <w:bottom w:val="single" w:sz="8" w:space="0" w:color="FFFFFF"/>
                    <w:right w:val="single" w:sz="8" w:space="0" w:color="FFFFFF"/>
                  </w:tcBorders>
                  <w:shd w:val="clear" w:color="000000" w:fill="FCD5B4"/>
                  <w:noWrap/>
                  <w:vAlign w:val="center"/>
                  <w:hideMark/>
                </w:tcPr>
                <w:p w14:paraId="01EC76D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-0.5 </w:t>
                  </w:r>
                </w:p>
              </w:tc>
              <w:tc>
                <w:tcPr>
                  <w:tcW w:w="942" w:type="dxa"/>
                  <w:tcBorders>
                    <w:top w:val="nil"/>
                    <w:left w:val="nil"/>
                    <w:bottom w:val="single" w:sz="8" w:space="0" w:color="FFFFFF"/>
                    <w:right w:val="single" w:sz="8" w:space="0" w:color="FFFFFF"/>
                  </w:tcBorders>
                  <w:shd w:val="clear" w:color="000000" w:fill="FCD5B4"/>
                  <w:noWrap/>
                  <w:vAlign w:val="center"/>
                  <w:hideMark/>
                </w:tcPr>
                <w:p w14:paraId="6798C1B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-0.5 </w:t>
                  </w:r>
                </w:p>
              </w:tc>
            </w:tr>
            <w:tr w:rsidR="009F6C52" w:rsidRPr="009F6C52" w14:paraId="59FF030B"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39F9E0BE"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422FAB5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-1.8 </w:t>
                  </w:r>
                </w:p>
              </w:tc>
              <w:tc>
                <w:tcPr>
                  <w:tcW w:w="942" w:type="dxa"/>
                  <w:tcBorders>
                    <w:top w:val="nil"/>
                    <w:left w:val="nil"/>
                    <w:bottom w:val="single" w:sz="8" w:space="0" w:color="FFFFFF"/>
                    <w:right w:val="single" w:sz="8" w:space="0" w:color="FFFFFF"/>
                  </w:tcBorders>
                  <w:shd w:val="clear" w:color="000000" w:fill="FDE9D9"/>
                  <w:noWrap/>
                  <w:vAlign w:val="center"/>
                  <w:hideMark/>
                </w:tcPr>
                <w:p w14:paraId="39CE26E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-1.8 </w:t>
                  </w:r>
                </w:p>
              </w:tc>
              <w:tc>
                <w:tcPr>
                  <w:tcW w:w="942" w:type="dxa"/>
                  <w:tcBorders>
                    <w:top w:val="nil"/>
                    <w:left w:val="nil"/>
                    <w:bottom w:val="single" w:sz="8" w:space="0" w:color="FFFFFF"/>
                    <w:right w:val="single" w:sz="8" w:space="0" w:color="FFFFFF"/>
                  </w:tcBorders>
                  <w:shd w:val="clear" w:color="000000" w:fill="FDE9D9"/>
                  <w:noWrap/>
                  <w:vAlign w:val="center"/>
                  <w:hideMark/>
                </w:tcPr>
                <w:p w14:paraId="34B6C85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0.2 </w:t>
                  </w:r>
                </w:p>
              </w:tc>
              <w:tc>
                <w:tcPr>
                  <w:tcW w:w="942" w:type="dxa"/>
                  <w:tcBorders>
                    <w:top w:val="nil"/>
                    <w:left w:val="nil"/>
                    <w:bottom w:val="single" w:sz="8" w:space="0" w:color="FFFFFF"/>
                    <w:right w:val="single" w:sz="8" w:space="0" w:color="FFFFFF"/>
                  </w:tcBorders>
                  <w:shd w:val="clear" w:color="000000" w:fill="FDE9D9"/>
                  <w:noWrap/>
                  <w:vAlign w:val="center"/>
                  <w:hideMark/>
                </w:tcPr>
                <w:p w14:paraId="63300DA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0.2 </w:t>
                  </w:r>
                </w:p>
              </w:tc>
              <w:tc>
                <w:tcPr>
                  <w:tcW w:w="1195" w:type="dxa"/>
                  <w:tcBorders>
                    <w:top w:val="nil"/>
                    <w:left w:val="nil"/>
                    <w:bottom w:val="single" w:sz="8" w:space="0" w:color="FFFFFF"/>
                    <w:right w:val="single" w:sz="8" w:space="0" w:color="FFFFFF"/>
                  </w:tcBorders>
                  <w:shd w:val="clear" w:color="000000" w:fill="FDE9D9"/>
                  <w:noWrap/>
                  <w:vAlign w:val="center"/>
                  <w:hideMark/>
                </w:tcPr>
                <w:p w14:paraId="45881F39"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企业债7Y</w:t>
                  </w:r>
                </w:p>
              </w:tc>
              <w:tc>
                <w:tcPr>
                  <w:tcW w:w="689" w:type="dxa"/>
                  <w:tcBorders>
                    <w:top w:val="nil"/>
                    <w:left w:val="nil"/>
                    <w:bottom w:val="single" w:sz="8" w:space="0" w:color="FFFFFF"/>
                    <w:right w:val="single" w:sz="8" w:space="0" w:color="FFFFFF"/>
                  </w:tcBorders>
                  <w:shd w:val="clear" w:color="000000" w:fill="FDE9D9"/>
                  <w:noWrap/>
                  <w:vAlign w:val="center"/>
                  <w:hideMark/>
                </w:tcPr>
                <w:p w14:paraId="1222B4F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-4.1 </w:t>
                  </w:r>
                </w:p>
              </w:tc>
              <w:tc>
                <w:tcPr>
                  <w:tcW w:w="942" w:type="dxa"/>
                  <w:tcBorders>
                    <w:top w:val="nil"/>
                    <w:left w:val="nil"/>
                    <w:bottom w:val="single" w:sz="8" w:space="0" w:color="FFFFFF"/>
                    <w:right w:val="single" w:sz="8" w:space="0" w:color="FFFFFF"/>
                  </w:tcBorders>
                  <w:shd w:val="clear" w:color="000000" w:fill="FDE9D9"/>
                  <w:noWrap/>
                  <w:vAlign w:val="center"/>
                  <w:hideMark/>
                </w:tcPr>
                <w:p w14:paraId="58850061"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-4.1 </w:t>
                  </w:r>
                </w:p>
              </w:tc>
              <w:tc>
                <w:tcPr>
                  <w:tcW w:w="942" w:type="dxa"/>
                  <w:tcBorders>
                    <w:top w:val="nil"/>
                    <w:left w:val="nil"/>
                    <w:bottom w:val="single" w:sz="8" w:space="0" w:color="FFFFFF"/>
                    <w:right w:val="single" w:sz="8" w:space="0" w:color="FFFFFF"/>
                  </w:tcBorders>
                  <w:shd w:val="clear" w:color="000000" w:fill="FDE9D9"/>
                  <w:noWrap/>
                  <w:vAlign w:val="center"/>
                  <w:hideMark/>
                </w:tcPr>
                <w:p w14:paraId="016C803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-2.1 </w:t>
                  </w:r>
                </w:p>
              </w:tc>
              <w:tc>
                <w:tcPr>
                  <w:tcW w:w="942" w:type="dxa"/>
                  <w:tcBorders>
                    <w:top w:val="nil"/>
                    <w:left w:val="nil"/>
                    <w:bottom w:val="single" w:sz="8" w:space="0" w:color="FFFFFF"/>
                    <w:right w:val="single" w:sz="8" w:space="0" w:color="FFFFFF"/>
                  </w:tcBorders>
                  <w:shd w:val="clear" w:color="000000" w:fill="FDE9D9"/>
                  <w:noWrap/>
                  <w:vAlign w:val="center"/>
                  <w:hideMark/>
                </w:tcPr>
                <w:p w14:paraId="3A7FF5A1"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-2.1 </w:t>
                  </w:r>
                </w:p>
              </w:tc>
            </w:tr>
            <w:tr w:rsidR="009F6C52" w:rsidRPr="009F6C52" w14:paraId="0184CC1D" w14:textId="77777777" w:rsidTr="009F6C52">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2724B555"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464D4CC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-0.1 </w:t>
                  </w:r>
                </w:p>
              </w:tc>
              <w:tc>
                <w:tcPr>
                  <w:tcW w:w="942" w:type="dxa"/>
                  <w:tcBorders>
                    <w:top w:val="nil"/>
                    <w:left w:val="nil"/>
                    <w:bottom w:val="single" w:sz="8" w:space="0" w:color="FFFFFF"/>
                    <w:right w:val="single" w:sz="8" w:space="0" w:color="FFFFFF"/>
                  </w:tcBorders>
                  <w:shd w:val="clear" w:color="000000" w:fill="FCD5B4"/>
                  <w:noWrap/>
                  <w:vAlign w:val="center"/>
                  <w:hideMark/>
                </w:tcPr>
                <w:p w14:paraId="1E87526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-0.1 </w:t>
                  </w:r>
                </w:p>
              </w:tc>
              <w:tc>
                <w:tcPr>
                  <w:tcW w:w="942" w:type="dxa"/>
                  <w:tcBorders>
                    <w:top w:val="nil"/>
                    <w:left w:val="nil"/>
                    <w:bottom w:val="single" w:sz="8" w:space="0" w:color="FFFFFF"/>
                    <w:right w:val="single" w:sz="8" w:space="0" w:color="FFFFFF"/>
                  </w:tcBorders>
                  <w:shd w:val="clear" w:color="000000" w:fill="FCD5B4"/>
                  <w:noWrap/>
                  <w:vAlign w:val="center"/>
                  <w:hideMark/>
                </w:tcPr>
                <w:p w14:paraId="4870E04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1.9 </w:t>
                  </w:r>
                </w:p>
              </w:tc>
              <w:tc>
                <w:tcPr>
                  <w:tcW w:w="942" w:type="dxa"/>
                  <w:tcBorders>
                    <w:top w:val="nil"/>
                    <w:left w:val="nil"/>
                    <w:bottom w:val="single" w:sz="8" w:space="0" w:color="FFFFFF"/>
                    <w:right w:val="single" w:sz="8" w:space="0" w:color="FFFFFF"/>
                  </w:tcBorders>
                  <w:shd w:val="clear" w:color="000000" w:fill="FCD5B4"/>
                  <w:noWrap/>
                  <w:vAlign w:val="center"/>
                  <w:hideMark/>
                </w:tcPr>
                <w:p w14:paraId="2D59F49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-2.1 </w:t>
                  </w:r>
                </w:p>
              </w:tc>
              <w:tc>
                <w:tcPr>
                  <w:tcW w:w="1195" w:type="dxa"/>
                  <w:tcBorders>
                    <w:top w:val="nil"/>
                    <w:left w:val="nil"/>
                    <w:bottom w:val="single" w:sz="8" w:space="0" w:color="FFFFFF"/>
                    <w:right w:val="single" w:sz="8" w:space="0" w:color="FFFFFF"/>
                  </w:tcBorders>
                  <w:shd w:val="clear" w:color="000000" w:fill="FCD5B4"/>
                  <w:noWrap/>
                  <w:vAlign w:val="center"/>
                  <w:hideMark/>
                </w:tcPr>
                <w:p w14:paraId="6F09200A"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3Y</w:t>
                  </w:r>
                </w:p>
              </w:tc>
              <w:tc>
                <w:tcPr>
                  <w:tcW w:w="689" w:type="dxa"/>
                  <w:tcBorders>
                    <w:top w:val="nil"/>
                    <w:left w:val="nil"/>
                    <w:bottom w:val="single" w:sz="8" w:space="0" w:color="FFFFFF"/>
                    <w:right w:val="single" w:sz="8" w:space="0" w:color="FFFFFF"/>
                  </w:tcBorders>
                  <w:shd w:val="clear" w:color="000000" w:fill="FCD5B4"/>
                  <w:noWrap/>
                  <w:vAlign w:val="center"/>
                  <w:hideMark/>
                </w:tcPr>
                <w:p w14:paraId="4C1F2202"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-4.5 </w:t>
                  </w:r>
                </w:p>
              </w:tc>
              <w:tc>
                <w:tcPr>
                  <w:tcW w:w="942" w:type="dxa"/>
                  <w:tcBorders>
                    <w:top w:val="nil"/>
                    <w:left w:val="nil"/>
                    <w:bottom w:val="single" w:sz="8" w:space="0" w:color="FFFFFF"/>
                    <w:right w:val="single" w:sz="8" w:space="0" w:color="FFFFFF"/>
                  </w:tcBorders>
                  <w:shd w:val="clear" w:color="000000" w:fill="FCD5B4"/>
                  <w:noWrap/>
                  <w:vAlign w:val="center"/>
                  <w:hideMark/>
                </w:tcPr>
                <w:p w14:paraId="616882A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-4.5 </w:t>
                  </w:r>
                </w:p>
              </w:tc>
              <w:tc>
                <w:tcPr>
                  <w:tcW w:w="942" w:type="dxa"/>
                  <w:tcBorders>
                    <w:top w:val="nil"/>
                    <w:left w:val="nil"/>
                    <w:bottom w:val="single" w:sz="8" w:space="0" w:color="FFFFFF"/>
                    <w:right w:val="single" w:sz="8" w:space="0" w:color="FFFFFF"/>
                  </w:tcBorders>
                  <w:shd w:val="clear" w:color="000000" w:fill="FCD5B4"/>
                  <w:noWrap/>
                  <w:vAlign w:val="center"/>
                  <w:hideMark/>
                </w:tcPr>
                <w:p w14:paraId="016988B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-2.5 </w:t>
                  </w:r>
                </w:p>
              </w:tc>
              <w:tc>
                <w:tcPr>
                  <w:tcW w:w="942" w:type="dxa"/>
                  <w:tcBorders>
                    <w:top w:val="nil"/>
                    <w:left w:val="nil"/>
                    <w:bottom w:val="single" w:sz="8" w:space="0" w:color="FFFFFF"/>
                    <w:right w:val="single" w:sz="8" w:space="0" w:color="FFFFFF"/>
                  </w:tcBorders>
                  <w:shd w:val="clear" w:color="000000" w:fill="FCD5B4"/>
                  <w:noWrap/>
                  <w:vAlign w:val="center"/>
                  <w:hideMark/>
                </w:tcPr>
                <w:p w14:paraId="48AF20A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-6.5 </w:t>
                  </w:r>
                </w:p>
              </w:tc>
            </w:tr>
            <w:tr w:rsidR="009F6C52" w:rsidRPr="009F6C52" w14:paraId="6E063645"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5E9735DF"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69FA94D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0.4 </w:t>
                  </w:r>
                </w:p>
              </w:tc>
              <w:tc>
                <w:tcPr>
                  <w:tcW w:w="942" w:type="dxa"/>
                  <w:tcBorders>
                    <w:top w:val="nil"/>
                    <w:left w:val="nil"/>
                    <w:bottom w:val="single" w:sz="8" w:space="0" w:color="FFFFFF"/>
                    <w:right w:val="single" w:sz="8" w:space="0" w:color="FFFFFF"/>
                  </w:tcBorders>
                  <w:shd w:val="clear" w:color="000000" w:fill="FDE9D9"/>
                  <w:noWrap/>
                  <w:vAlign w:val="center"/>
                  <w:hideMark/>
                </w:tcPr>
                <w:p w14:paraId="4D2CBF7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 xml:space="preserve">0.4 </w:t>
                  </w:r>
                </w:p>
              </w:tc>
              <w:tc>
                <w:tcPr>
                  <w:tcW w:w="942" w:type="dxa"/>
                  <w:tcBorders>
                    <w:top w:val="nil"/>
                    <w:left w:val="nil"/>
                    <w:bottom w:val="single" w:sz="8" w:space="0" w:color="FFFFFF"/>
                    <w:right w:val="single" w:sz="8" w:space="0" w:color="FFFFFF"/>
                  </w:tcBorders>
                  <w:shd w:val="clear" w:color="000000" w:fill="FDE9D9"/>
                  <w:noWrap/>
                  <w:vAlign w:val="center"/>
                  <w:hideMark/>
                </w:tcPr>
                <w:p w14:paraId="48BA1D62"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-3.6 </w:t>
                  </w:r>
                </w:p>
              </w:tc>
              <w:tc>
                <w:tcPr>
                  <w:tcW w:w="942" w:type="dxa"/>
                  <w:tcBorders>
                    <w:top w:val="nil"/>
                    <w:left w:val="nil"/>
                    <w:bottom w:val="single" w:sz="8" w:space="0" w:color="FFFFFF"/>
                    <w:right w:val="single" w:sz="8" w:space="0" w:color="FFFFFF"/>
                  </w:tcBorders>
                  <w:shd w:val="clear" w:color="000000" w:fill="FDE9D9"/>
                  <w:noWrap/>
                  <w:vAlign w:val="center"/>
                  <w:hideMark/>
                </w:tcPr>
                <w:p w14:paraId="27061AA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-2.6 </w:t>
                  </w:r>
                </w:p>
              </w:tc>
              <w:tc>
                <w:tcPr>
                  <w:tcW w:w="1195" w:type="dxa"/>
                  <w:tcBorders>
                    <w:top w:val="nil"/>
                    <w:left w:val="nil"/>
                    <w:bottom w:val="single" w:sz="8" w:space="0" w:color="FFFFFF"/>
                    <w:right w:val="single" w:sz="8" w:space="0" w:color="FFFFFF"/>
                  </w:tcBorders>
                  <w:shd w:val="clear" w:color="000000" w:fill="FDE9D9"/>
                  <w:noWrap/>
                  <w:vAlign w:val="center"/>
                  <w:hideMark/>
                </w:tcPr>
                <w:p w14:paraId="303A7C80"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5Y</w:t>
                  </w:r>
                </w:p>
              </w:tc>
              <w:tc>
                <w:tcPr>
                  <w:tcW w:w="689" w:type="dxa"/>
                  <w:tcBorders>
                    <w:top w:val="nil"/>
                    <w:left w:val="nil"/>
                    <w:bottom w:val="single" w:sz="8" w:space="0" w:color="FFFFFF"/>
                    <w:right w:val="single" w:sz="8" w:space="0" w:color="FFFFFF"/>
                  </w:tcBorders>
                  <w:shd w:val="clear" w:color="000000" w:fill="FDE9D9"/>
                  <w:noWrap/>
                  <w:vAlign w:val="center"/>
                  <w:hideMark/>
                </w:tcPr>
                <w:p w14:paraId="4EC6F492"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-3.9 </w:t>
                  </w:r>
                </w:p>
              </w:tc>
              <w:tc>
                <w:tcPr>
                  <w:tcW w:w="942" w:type="dxa"/>
                  <w:tcBorders>
                    <w:top w:val="nil"/>
                    <w:left w:val="nil"/>
                    <w:bottom w:val="single" w:sz="8" w:space="0" w:color="FFFFFF"/>
                    <w:right w:val="single" w:sz="8" w:space="0" w:color="FFFFFF"/>
                  </w:tcBorders>
                  <w:shd w:val="clear" w:color="000000" w:fill="FDE9D9"/>
                  <w:noWrap/>
                  <w:vAlign w:val="center"/>
                  <w:hideMark/>
                </w:tcPr>
                <w:p w14:paraId="41A1561D"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-3.9 </w:t>
                  </w:r>
                </w:p>
              </w:tc>
              <w:tc>
                <w:tcPr>
                  <w:tcW w:w="942" w:type="dxa"/>
                  <w:tcBorders>
                    <w:top w:val="nil"/>
                    <w:left w:val="nil"/>
                    <w:bottom w:val="single" w:sz="8" w:space="0" w:color="FFFFFF"/>
                    <w:right w:val="single" w:sz="8" w:space="0" w:color="FFFFFF"/>
                  </w:tcBorders>
                  <w:shd w:val="clear" w:color="000000" w:fill="FDE9D9"/>
                  <w:noWrap/>
                  <w:vAlign w:val="center"/>
                  <w:hideMark/>
                </w:tcPr>
                <w:p w14:paraId="65715E8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-7.9 </w:t>
                  </w:r>
                </w:p>
              </w:tc>
              <w:tc>
                <w:tcPr>
                  <w:tcW w:w="942" w:type="dxa"/>
                  <w:tcBorders>
                    <w:top w:val="nil"/>
                    <w:left w:val="nil"/>
                    <w:bottom w:val="single" w:sz="8" w:space="0" w:color="FFFFFF"/>
                    <w:right w:val="single" w:sz="8" w:space="0" w:color="FFFFFF"/>
                  </w:tcBorders>
                  <w:shd w:val="clear" w:color="000000" w:fill="FDE9D9"/>
                  <w:noWrap/>
                  <w:vAlign w:val="center"/>
                  <w:hideMark/>
                </w:tcPr>
                <w:p w14:paraId="4944C35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-6.9 </w:t>
                  </w:r>
                </w:p>
              </w:tc>
            </w:tr>
            <w:tr w:rsidR="009F6C52" w:rsidRPr="009F6C52" w14:paraId="033E46EB" w14:textId="77777777" w:rsidTr="009F6C52">
              <w:trPr>
                <w:trHeight w:val="290"/>
              </w:trPr>
              <w:tc>
                <w:tcPr>
                  <w:tcW w:w="1160" w:type="dxa"/>
                  <w:tcBorders>
                    <w:top w:val="nil"/>
                    <w:left w:val="nil"/>
                    <w:bottom w:val="nil"/>
                    <w:right w:val="nil"/>
                  </w:tcBorders>
                  <w:shd w:val="clear" w:color="000000" w:fill="FCD5B4"/>
                  <w:noWrap/>
                  <w:vAlign w:val="center"/>
                  <w:hideMark/>
                </w:tcPr>
                <w:p w14:paraId="7F5CDD37"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289F736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-0.9 </w:t>
                  </w:r>
                </w:p>
              </w:tc>
              <w:tc>
                <w:tcPr>
                  <w:tcW w:w="942" w:type="dxa"/>
                  <w:tcBorders>
                    <w:top w:val="nil"/>
                    <w:left w:val="nil"/>
                    <w:bottom w:val="single" w:sz="8" w:space="0" w:color="FFFFFF"/>
                    <w:right w:val="single" w:sz="8" w:space="0" w:color="FFFFFF"/>
                  </w:tcBorders>
                  <w:shd w:val="clear" w:color="000000" w:fill="FCD5B4"/>
                  <w:noWrap/>
                  <w:vAlign w:val="center"/>
                  <w:hideMark/>
                </w:tcPr>
                <w:p w14:paraId="081B09F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-3.9 </w:t>
                  </w:r>
                </w:p>
              </w:tc>
              <w:tc>
                <w:tcPr>
                  <w:tcW w:w="942" w:type="dxa"/>
                  <w:tcBorders>
                    <w:top w:val="nil"/>
                    <w:left w:val="nil"/>
                    <w:bottom w:val="single" w:sz="8" w:space="0" w:color="FFFFFF"/>
                    <w:right w:val="single" w:sz="8" w:space="0" w:color="FFFFFF"/>
                  </w:tcBorders>
                  <w:shd w:val="clear" w:color="000000" w:fill="FCD5B4"/>
                  <w:noWrap/>
                  <w:vAlign w:val="center"/>
                  <w:hideMark/>
                </w:tcPr>
                <w:p w14:paraId="105A108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-4.9 </w:t>
                  </w:r>
                </w:p>
              </w:tc>
              <w:tc>
                <w:tcPr>
                  <w:tcW w:w="942" w:type="dxa"/>
                  <w:tcBorders>
                    <w:top w:val="nil"/>
                    <w:left w:val="nil"/>
                    <w:bottom w:val="single" w:sz="8" w:space="0" w:color="FFFFFF"/>
                    <w:right w:val="single" w:sz="8" w:space="0" w:color="FFFFFF"/>
                  </w:tcBorders>
                  <w:shd w:val="clear" w:color="000000" w:fill="FCD5B4"/>
                  <w:noWrap/>
                  <w:vAlign w:val="center"/>
                  <w:hideMark/>
                </w:tcPr>
                <w:p w14:paraId="6A384BE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-3.9 </w:t>
                  </w:r>
                </w:p>
              </w:tc>
              <w:tc>
                <w:tcPr>
                  <w:tcW w:w="1195" w:type="dxa"/>
                  <w:tcBorders>
                    <w:top w:val="nil"/>
                    <w:left w:val="nil"/>
                    <w:bottom w:val="nil"/>
                    <w:right w:val="nil"/>
                  </w:tcBorders>
                  <w:shd w:val="clear" w:color="000000" w:fill="FCD5B4"/>
                  <w:noWrap/>
                  <w:vAlign w:val="center"/>
                  <w:hideMark/>
                </w:tcPr>
                <w:p w14:paraId="0CC3CBDC"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7Y</w:t>
                  </w:r>
                </w:p>
              </w:tc>
              <w:tc>
                <w:tcPr>
                  <w:tcW w:w="689" w:type="dxa"/>
                  <w:tcBorders>
                    <w:top w:val="nil"/>
                    <w:left w:val="nil"/>
                    <w:bottom w:val="single" w:sz="8" w:space="0" w:color="FFFFFF"/>
                    <w:right w:val="single" w:sz="8" w:space="0" w:color="FFFFFF"/>
                  </w:tcBorders>
                  <w:shd w:val="clear" w:color="000000" w:fill="FCD5B4"/>
                  <w:noWrap/>
                  <w:vAlign w:val="center"/>
                  <w:hideMark/>
                </w:tcPr>
                <w:p w14:paraId="4E70779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-3.1 </w:t>
                  </w:r>
                </w:p>
              </w:tc>
              <w:tc>
                <w:tcPr>
                  <w:tcW w:w="942" w:type="dxa"/>
                  <w:tcBorders>
                    <w:top w:val="nil"/>
                    <w:left w:val="nil"/>
                    <w:bottom w:val="single" w:sz="8" w:space="0" w:color="FFFFFF"/>
                    <w:right w:val="single" w:sz="8" w:space="0" w:color="FFFFFF"/>
                  </w:tcBorders>
                  <w:shd w:val="clear" w:color="000000" w:fill="FCD5B4"/>
                  <w:noWrap/>
                  <w:vAlign w:val="center"/>
                  <w:hideMark/>
                </w:tcPr>
                <w:p w14:paraId="4BA885F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-6.1 </w:t>
                  </w:r>
                </w:p>
              </w:tc>
              <w:tc>
                <w:tcPr>
                  <w:tcW w:w="942" w:type="dxa"/>
                  <w:tcBorders>
                    <w:top w:val="nil"/>
                    <w:left w:val="nil"/>
                    <w:bottom w:val="single" w:sz="8" w:space="0" w:color="FFFFFF"/>
                    <w:right w:val="single" w:sz="8" w:space="0" w:color="FFFFFF"/>
                  </w:tcBorders>
                  <w:shd w:val="clear" w:color="000000" w:fill="FCD5B4"/>
                  <w:noWrap/>
                  <w:vAlign w:val="center"/>
                  <w:hideMark/>
                </w:tcPr>
                <w:p w14:paraId="1B2831B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-7.1 </w:t>
                  </w:r>
                </w:p>
              </w:tc>
              <w:tc>
                <w:tcPr>
                  <w:tcW w:w="942" w:type="dxa"/>
                  <w:tcBorders>
                    <w:top w:val="nil"/>
                    <w:left w:val="nil"/>
                    <w:bottom w:val="single" w:sz="8" w:space="0" w:color="FFFFFF"/>
                    <w:right w:val="single" w:sz="8" w:space="0" w:color="FFFFFF"/>
                  </w:tcBorders>
                  <w:shd w:val="clear" w:color="000000" w:fill="FCD5B4"/>
                  <w:noWrap/>
                  <w:vAlign w:val="center"/>
                  <w:hideMark/>
                </w:tcPr>
                <w:p w14:paraId="7008234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FF0000"/>
                      <w:kern w:val="0"/>
                      <w:szCs w:val="21"/>
                    </w:rPr>
                    <w:t xml:space="preserve">-6.1 </w:t>
                  </w:r>
                </w:p>
              </w:tc>
            </w:tr>
            <w:tr w:rsidR="009F6C52" w:rsidRPr="009F6C52" w14:paraId="2952458C" w14:textId="77777777" w:rsidTr="009F6C52">
              <w:trPr>
                <w:trHeight w:val="150"/>
              </w:trPr>
              <w:tc>
                <w:tcPr>
                  <w:tcW w:w="1160" w:type="dxa"/>
                  <w:tcBorders>
                    <w:top w:val="nil"/>
                    <w:left w:val="nil"/>
                    <w:bottom w:val="nil"/>
                    <w:right w:val="nil"/>
                  </w:tcBorders>
                  <w:shd w:val="clear" w:color="auto" w:fill="auto"/>
                  <w:noWrap/>
                  <w:vAlign w:val="center"/>
                  <w:hideMark/>
                </w:tcPr>
                <w:p w14:paraId="07335D0C" w14:textId="77777777" w:rsidR="009F6C52" w:rsidRPr="009F6C52" w:rsidRDefault="009F6C52" w:rsidP="009F6C52">
                  <w:pPr>
                    <w:widowControl/>
                    <w:jc w:val="center"/>
                    <w:rPr>
                      <w:rFonts w:eastAsia="等线" w:cs="Calibri"/>
                      <w:color w:val="000000"/>
                      <w:kern w:val="0"/>
                      <w:szCs w:val="21"/>
                    </w:rPr>
                  </w:pPr>
                </w:p>
              </w:tc>
              <w:tc>
                <w:tcPr>
                  <w:tcW w:w="942" w:type="dxa"/>
                  <w:tcBorders>
                    <w:top w:val="nil"/>
                    <w:left w:val="nil"/>
                    <w:bottom w:val="nil"/>
                    <w:right w:val="nil"/>
                  </w:tcBorders>
                  <w:shd w:val="clear" w:color="auto" w:fill="auto"/>
                  <w:noWrap/>
                  <w:vAlign w:val="center"/>
                  <w:hideMark/>
                </w:tcPr>
                <w:p w14:paraId="58854743"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0C0BC521"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3A96277B"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2D755EC5" w14:textId="77777777" w:rsidR="009F6C52" w:rsidRPr="009F6C52" w:rsidRDefault="009F6C52" w:rsidP="009F6C52">
                  <w:pPr>
                    <w:widowControl/>
                    <w:jc w:val="center"/>
                    <w:rPr>
                      <w:rFonts w:ascii="Times New Roman" w:eastAsia="Times New Roman" w:hAnsi="Times New Roman"/>
                      <w:kern w:val="0"/>
                      <w:sz w:val="20"/>
                      <w:szCs w:val="20"/>
                    </w:rPr>
                  </w:pPr>
                </w:p>
              </w:tc>
              <w:tc>
                <w:tcPr>
                  <w:tcW w:w="1195" w:type="dxa"/>
                  <w:tcBorders>
                    <w:top w:val="nil"/>
                    <w:left w:val="nil"/>
                    <w:bottom w:val="nil"/>
                    <w:right w:val="nil"/>
                  </w:tcBorders>
                  <w:shd w:val="clear" w:color="auto" w:fill="auto"/>
                  <w:noWrap/>
                  <w:vAlign w:val="center"/>
                  <w:hideMark/>
                </w:tcPr>
                <w:p w14:paraId="0AC1712E" w14:textId="77777777" w:rsidR="009F6C52" w:rsidRPr="009F6C52" w:rsidRDefault="009F6C52" w:rsidP="009F6C52">
                  <w:pPr>
                    <w:widowControl/>
                    <w:jc w:val="center"/>
                    <w:rPr>
                      <w:rFonts w:ascii="Times New Roman" w:eastAsia="Times New Roman" w:hAnsi="Times New Roman"/>
                      <w:kern w:val="0"/>
                      <w:sz w:val="20"/>
                      <w:szCs w:val="20"/>
                    </w:rPr>
                  </w:pPr>
                </w:p>
              </w:tc>
              <w:tc>
                <w:tcPr>
                  <w:tcW w:w="689" w:type="dxa"/>
                  <w:tcBorders>
                    <w:top w:val="nil"/>
                    <w:left w:val="nil"/>
                    <w:bottom w:val="nil"/>
                    <w:right w:val="nil"/>
                  </w:tcBorders>
                  <w:shd w:val="clear" w:color="auto" w:fill="auto"/>
                  <w:noWrap/>
                  <w:vAlign w:val="center"/>
                  <w:hideMark/>
                </w:tcPr>
                <w:p w14:paraId="3A1F9B5F"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6998650C"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16697FE3" w14:textId="77777777" w:rsidR="009F6C52" w:rsidRPr="009F6C52" w:rsidRDefault="009F6C52" w:rsidP="009F6C52">
                  <w:pPr>
                    <w:widowControl/>
                    <w:jc w:val="center"/>
                    <w:rPr>
                      <w:rFonts w:ascii="Times New Roman" w:eastAsia="Times New Roman" w:hAnsi="Times New Roman"/>
                      <w:kern w:val="0"/>
                      <w:sz w:val="20"/>
                      <w:szCs w:val="20"/>
                    </w:rPr>
                  </w:pPr>
                </w:p>
              </w:tc>
              <w:tc>
                <w:tcPr>
                  <w:tcW w:w="942" w:type="dxa"/>
                  <w:tcBorders>
                    <w:top w:val="nil"/>
                    <w:left w:val="nil"/>
                    <w:bottom w:val="nil"/>
                    <w:right w:val="nil"/>
                  </w:tcBorders>
                  <w:shd w:val="clear" w:color="auto" w:fill="auto"/>
                  <w:noWrap/>
                  <w:vAlign w:val="center"/>
                  <w:hideMark/>
                </w:tcPr>
                <w:p w14:paraId="685BEAF9" w14:textId="77777777" w:rsidR="009F6C52" w:rsidRPr="009F6C52" w:rsidRDefault="009F6C52" w:rsidP="009F6C52">
                  <w:pPr>
                    <w:widowControl/>
                    <w:jc w:val="center"/>
                    <w:rPr>
                      <w:rFonts w:ascii="Times New Roman" w:eastAsia="Times New Roman" w:hAnsi="Times New Roman"/>
                      <w:kern w:val="0"/>
                      <w:sz w:val="20"/>
                      <w:szCs w:val="20"/>
                    </w:rPr>
                  </w:pPr>
                </w:p>
              </w:tc>
            </w:tr>
            <w:tr w:rsidR="009F6C52" w:rsidRPr="009F6C52" w14:paraId="0BCAAD2A" w14:textId="77777777" w:rsidTr="009F6C52">
              <w:trPr>
                <w:trHeight w:val="290"/>
              </w:trPr>
              <w:tc>
                <w:tcPr>
                  <w:tcW w:w="1160" w:type="dxa"/>
                  <w:tcBorders>
                    <w:top w:val="nil"/>
                    <w:left w:val="nil"/>
                    <w:bottom w:val="single" w:sz="12" w:space="0" w:color="FFFFFF"/>
                    <w:right w:val="single" w:sz="8" w:space="0" w:color="FFFFFF"/>
                  </w:tcBorders>
                  <w:shd w:val="clear" w:color="000000" w:fill="F79646"/>
                  <w:noWrap/>
                  <w:vAlign w:val="center"/>
                  <w:hideMark/>
                </w:tcPr>
                <w:p w14:paraId="5442E5B3"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收益率分位</w:t>
                  </w:r>
                </w:p>
              </w:tc>
              <w:tc>
                <w:tcPr>
                  <w:tcW w:w="942" w:type="dxa"/>
                  <w:tcBorders>
                    <w:top w:val="nil"/>
                    <w:left w:val="nil"/>
                    <w:bottom w:val="single" w:sz="12" w:space="0" w:color="FFFFFF"/>
                    <w:right w:val="single" w:sz="8" w:space="0" w:color="FFFFFF"/>
                  </w:tcBorders>
                  <w:shd w:val="clear" w:color="000000" w:fill="F79646"/>
                  <w:noWrap/>
                  <w:vAlign w:val="center"/>
                  <w:hideMark/>
                </w:tcPr>
                <w:p w14:paraId="2572D5B3"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417D0D6B"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75789018"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2D3CDAD6"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1195" w:type="dxa"/>
                  <w:tcBorders>
                    <w:top w:val="nil"/>
                    <w:left w:val="nil"/>
                    <w:bottom w:val="single" w:sz="12" w:space="0" w:color="FFFFFF"/>
                    <w:right w:val="single" w:sz="8" w:space="0" w:color="FFFFFF"/>
                  </w:tcBorders>
                  <w:shd w:val="clear" w:color="000000" w:fill="F79646"/>
                  <w:noWrap/>
                  <w:vAlign w:val="center"/>
                  <w:hideMark/>
                </w:tcPr>
                <w:p w14:paraId="12A40FCC"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息差</w:t>
                  </w:r>
                </w:p>
              </w:tc>
              <w:tc>
                <w:tcPr>
                  <w:tcW w:w="689" w:type="dxa"/>
                  <w:tcBorders>
                    <w:top w:val="nil"/>
                    <w:left w:val="nil"/>
                    <w:bottom w:val="single" w:sz="12" w:space="0" w:color="FFFFFF"/>
                    <w:right w:val="single" w:sz="8" w:space="0" w:color="FFFFFF"/>
                  </w:tcBorders>
                  <w:shd w:val="clear" w:color="000000" w:fill="F79646"/>
                  <w:noWrap/>
                  <w:vAlign w:val="center"/>
                  <w:hideMark/>
                </w:tcPr>
                <w:p w14:paraId="3AFEC699"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AAA</w:t>
                  </w:r>
                </w:p>
              </w:tc>
              <w:tc>
                <w:tcPr>
                  <w:tcW w:w="942" w:type="dxa"/>
                  <w:tcBorders>
                    <w:top w:val="nil"/>
                    <w:left w:val="nil"/>
                    <w:bottom w:val="single" w:sz="12" w:space="0" w:color="FFFFFF"/>
                    <w:right w:val="single" w:sz="8" w:space="0" w:color="FFFFFF"/>
                  </w:tcBorders>
                  <w:shd w:val="clear" w:color="000000" w:fill="F79646"/>
                  <w:noWrap/>
                  <w:vAlign w:val="center"/>
                  <w:hideMark/>
                </w:tcPr>
                <w:p w14:paraId="5B15ABFB"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69739233"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c>
                <w:tcPr>
                  <w:tcW w:w="942" w:type="dxa"/>
                  <w:tcBorders>
                    <w:top w:val="nil"/>
                    <w:left w:val="nil"/>
                    <w:bottom w:val="single" w:sz="12" w:space="0" w:color="FFFFFF"/>
                    <w:right w:val="single" w:sz="8" w:space="0" w:color="FFFFFF"/>
                  </w:tcBorders>
                  <w:shd w:val="clear" w:color="000000" w:fill="F79646"/>
                  <w:noWrap/>
                  <w:vAlign w:val="center"/>
                  <w:hideMark/>
                </w:tcPr>
                <w:p w14:paraId="11BC9C73" w14:textId="77777777" w:rsidR="009F6C52" w:rsidRPr="009F6C52" w:rsidRDefault="009F6C52" w:rsidP="009F6C52">
                  <w:pPr>
                    <w:widowControl/>
                    <w:jc w:val="center"/>
                    <w:rPr>
                      <w:rFonts w:ascii="楷体" w:eastAsia="楷体" w:hAnsi="楷体" w:cs="宋体"/>
                      <w:b/>
                      <w:bCs/>
                      <w:color w:val="FFFFFF"/>
                      <w:kern w:val="0"/>
                      <w:sz w:val="20"/>
                      <w:szCs w:val="20"/>
                    </w:rPr>
                  </w:pPr>
                  <w:r w:rsidRPr="009F6C52">
                    <w:rPr>
                      <w:rFonts w:ascii="楷体" w:eastAsia="楷体" w:hAnsi="楷体" w:cs="宋体" w:hint="eastAsia"/>
                      <w:b/>
                      <w:bCs/>
                      <w:color w:val="FFFFFF"/>
                      <w:kern w:val="0"/>
                      <w:sz w:val="20"/>
                      <w:szCs w:val="20"/>
                    </w:rPr>
                    <w:t>AA-</w:t>
                  </w:r>
                </w:p>
              </w:tc>
            </w:tr>
            <w:tr w:rsidR="009F6C52" w:rsidRPr="009F6C52" w14:paraId="15CB31E2" w14:textId="77777777" w:rsidTr="009F6C52">
              <w:trPr>
                <w:trHeight w:val="300"/>
              </w:trPr>
              <w:tc>
                <w:tcPr>
                  <w:tcW w:w="1160" w:type="dxa"/>
                  <w:tcBorders>
                    <w:top w:val="nil"/>
                    <w:left w:val="nil"/>
                    <w:bottom w:val="single" w:sz="8" w:space="0" w:color="FFFFFF"/>
                    <w:right w:val="single" w:sz="8" w:space="0" w:color="FFFFFF"/>
                  </w:tcBorders>
                  <w:shd w:val="clear" w:color="000000" w:fill="FCD5B4"/>
                  <w:noWrap/>
                  <w:vAlign w:val="center"/>
                  <w:hideMark/>
                </w:tcPr>
                <w:p w14:paraId="7961DF60"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CP</w:t>
                  </w:r>
                </w:p>
              </w:tc>
              <w:tc>
                <w:tcPr>
                  <w:tcW w:w="942" w:type="dxa"/>
                  <w:tcBorders>
                    <w:top w:val="nil"/>
                    <w:left w:val="nil"/>
                    <w:bottom w:val="single" w:sz="8" w:space="0" w:color="FFFFFF"/>
                    <w:right w:val="single" w:sz="8" w:space="0" w:color="FFFFFF"/>
                  </w:tcBorders>
                  <w:shd w:val="clear" w:color="000000" w:fill="FCD5B4"/>
                  <w:noWrap/>
                  <w:vAlign w:val="center"/>
                  <w:hideMark/>
                </w:tcPr>
                <w:p w14:paraId="3AC34BC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21%</w:t>
                  </w:r>
                </w:p>
              </w:tc>
              <w:tc>
                <w:tcPr>
                  <w:tcW w:w="942" w:type="dxa"/>
                  <w:tcBorders>
                    <w:top w:val="nil"/>
                    <w:left w:val="nil"/>
                    <w:bottom w:val="single" w:sz="8" w:space="0" w:color="FFFFFF"/>
                    <w:right w:val="single" w:sz="8" w:space="0" w:color="FFFFFF"/>
                  </w:tcBorders>
                  <w:shd w:val="clear" w:color="000000" w:fill="FCD5B4"/>
                  <w:noWrap/>
                  <w:vAlign w:val="center"/>
                  <w:hideMark/>
                </w:tcPr>
                <w:p w14:paraId="713EEC5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18%</w:t>
                  </w:r>
                </w:p>
              </w:tc>
              <w:tc>
                <w:tcPr>
                  <w:tcW w:w="942" w:type="dxa"/>
                  <w:tcBorders>
                    <w:top w:val="nil"/>
                    <w:left w:val="nil"/>
                    <w:bottom w:val="single" w:sz="8" w:space="0" w:color="FFFFFF"/>
                    <w:right w:val="single" w:sz="8" w:space="0" w:color="FFFFFF"/>
                  </w:tcBorders>
                  <w:shd w:val="clear" w:color="000000" w:fill="FCD5B4"/>
                  <w:noWrap/>
                  <w:vAlign w:val="center"/>
                  <w:hideMark/>
                </w:tcPr>
                <w:p w14:paraId="15FD46F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18%</w:t>
                  </w:r>
                </w:p>
              </w:tc>
              <w:tc>
                <w:tcPr>
                  <w:tcW w:w="942" w:type="dxa"/>
                  <w:tcBorders>
                    <w:top w:val="nil"/>
                    <w:left w:val="nil"/>
                    <w:bottom w:val="single" w:sz="8" w:space="0" w:color="FFFFFF"/>
                    <w:right w:val="single" w:sz="8" w:space="0" w:color="FFFFFF"/>
                  </w:tcBorders>
                  <w:shd w:val="clear" w:color="000000" w:fill="FCD5B4"/>
                  <w:noWrap/>
                  <w:vAlign w:val="center"/>
                  <w:hideMark/>
                </w:tcPr>
                <w:p w14:paraId="3097E2F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49%</w:t>
                  </w:r>
                </w:p>
              </w:tc>
              <w:tc>
                <w:tcPr>
                  <w:tcW w:w="1195" w:type="dxa"/>
                  <w:tcBorders>
                    <w:top w:val="nil"/>
                    <w:left w:val="nil"/>
                    <w:bottom w:val="single" w:sz="8" w:space="0" w:color="FFFFFF"/>
                    <w:right w:val="single" w:sz="8" w:space="0" w:color="FFFFFF"/>
                  </w:tcBorders>
                  <w:shd w:val="clear" w:color="000000" w:fill="FCD5B4"/>
                  <w:noWrap/>
                  <w:vAlign w:val="center"/>
                  <w:hideMark/>
                </w:tcPr>
                <w:p w14:paraId="4DEB2640"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CP</w:t>
                  </w:r>
                </w:p>
              </w:tc>
              <w:tc>
                <w:tcPr>
                  <w:tcW w:w="689" w:type="dxa"/>
                  <w:tcBorders>
                    <w:top w:val="nil"/>
                    <w:left w:val="nil"/>
                    <w:bottom w:val="single" w:sz="8" w:space="0" w:color="FFFFFF"/>
                    <w:right w:val="single" w:sz="8" w:space="0" w:color="FFFFFF"/>
                  </w:tcBorders>
                  <w:shd w:val="clear" w:color="000000" w:fill="FCD5B4"/>
                  <w:noWrap/>
                  <w:vAlign w:val="center"/>
                  <w:hideMark/>
                </w:tcPr>
                <w:p w14:paraId="51273D2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4%</w:t>
                  </w:r>
                </w:p>
              </w:tc>
              <w:tc>
                <w:tcPr>
                  <w:tcW w:w="942" w:type="dxa"/>
                  <w:tcBorders>
                    <w:top w:val="nil"/>
                    <w:left w:val="nil"/>
                    <w:bottom w:val="single" w:sz="8" w:space="0" w:color="FFFFFF"/>
                    <w:right w:val="single" w:sz="8" w:space="0" w:color="FFFFFF"/>
                  </w:tcBorders>
                  <w:shd w:val="clear" w:color="000000" w:fill="FCD5B4"/>
                  <w:noWrap/>
                  <w:vAlign w:val="center"/>
                  <w:hideMark/>
                </w:tcPr>
                <w:p w14:paraId="69616A6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w:t>
                  </w:r>
                </w:p>
              </w:tc>
              <w:tc>
                <w:tcPr>
                  <w:tcW w:w="942" w:type="dxa"/>
                  <w:tcBorders>
                    <w:top w:val="nil"/>
                    <w:left w:val="nil"/>
                    <w:bottom w:val="single" w:sz="8" w:space="0" w:color="FFFFFF"/>
                    <w:right w:val="single" w:sz="8" w:space="0" w:color="FFFFFF"/>
                  </w:tcBorders>
                  <w:shd w:val="clear" w:color="000000" w:fill="FCD5B4"/>
                  <w:noWrap/>
                  <w:vAlign w:val="center"/>
                  <w:hideMark/>
                </w:tcPr>
                <w:p w14:paraId="593B4FC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3%</w:t>
                  </w:r>
                </w:p>
              </w:tc>
              <w:tc>
                <w:tcPr>
                  <w:tcW w:w="942" w:type="dxa"/>
                  <w:tcBorders>
                    <w:top w:val="nil"/>
                    <w:left w:val="nil"/>
                    <w:bottom w:val="single" w:sz="8" w:space="0" w:color="FFFFFF"/>
                    <w:right w:val="single" w:sz="8" w:space="0" w:color="FFFFFF"/>
                  </w:tcBorders>
                  <w:shd w:val="clear" w:color="000000" w:fill="FCD5B4"/>
                  <w:noWrap/>
                  <w:vAlign w:val="center"/>
                  <w:hideMark/>
                </w:tcPr>
                <w:p w14:paraId="537049C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62%</w:t>
                  </w:r>
                </w:p>
              </w:tc>
            </w:tr>
            <w:tr w:rsidR="009F6C52" w:rsidRPr="009F6C52" w14:paraId="5DB80070"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2F4575BB"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MTN3Y</w:t>
                  </w:r>
                </w:p>
              </w:tc>
              <w:tc>
                <w:tcPr>
                  <w:tcW w:w="942" w:type="dxa"/>
                  <w:tcBorders>
                    <w:top w:val="nil"/>
                    <w:left w:val="nil"/>
                    <w:bottom w:val="single" w:sz="8" w:space="0" w:color="FFFFFF"/>
                    <w:right w:val="single" w:sz="8" w:space="0" w:color="FFFFFF"/>
                  </w:tcBorders>
                  <w:shd w:val="clear" w:color="000000" w:fill="FDE9D9"/>
                  <w:noWrap/>
                  <w:vAlign w:val="center"/>
                  <w:hideMark/>
                </w:tcPr>
                <w:p w14:paraId="16C25D7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18%</w:t>
                  </w:r>
                </w:p>
              </w:tc>
              <w:tc>
                <w:tcPr>
                  <w:tcW w:w="942" w:type="dxa"/>
                  <w:tcBorders>
                    <w:top w:val="nil"/>
                    <w:left w:val="nil"/>
                    <w:bottom w:val="single" w:sz="8" w:space="0" w:color="FFFFFF"/>
                    <w:right w:val="single" w:sz="8" w:space="0" w:color="FFFFFF"/>
                  </w:tcBorders>
                  <w:shd w:val="clear" w:color="000000" w:fill="FDE9D9"/>
                  <w:noWrap/>
                  <w:vAlign w:val="center"/>
                  <w:hideMark/>
                </w:tcPr>
                <w:p w14:paraId="3988E34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13%</w:t>
                  </w:r>
                </w:p>
              </w:tc>
              <w:tc>
                <w:tcPr>
                  <w:tcW w:w="942" w:type="dxa"/>
                  <w:tcBorders>
                    <w:top w:val="nil"/>
                    <w:left w:val="nil"/>
                    <w:bottom w:val="single" w:sz="8" w:space="0" w:color="FFFFFF"/>
                    <w:right w:val="single" w:sz="8" w:space="0" w:color="FFFFFF"/>
                  </w:tcBorders>
                  <w:shd w:val="clear" w:color="000000" w:fill="FDE9D9"/>
                  <w:noWrap/>
                  <w:vAlign w:val="center"/>
                  <w:hideMark/>
                </w:tcPr>
                <w:p w14:paraId="5384832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16%</w:t>
                  </w:r>
                </w:p>
              </w:tc>
              <w:tc>
                <w:tcPr>
                  <w:tcW w:w="942" w:type="dxa"/>
                  <w:tcBorders>
                    <w:top w:val="nil"/>
                    <w:left w:val="nil"/>
                    <w:bottom w:val="single" w:sz="8" w:space="0" w:color="FFFFFF"/>
                    <w:right w:val="single" w:sz="8" w:space="0" w:color="FFFFFF"/>
                  </w:tcBorders>
                  <w:shd w:val="clear" w:color="000000" w:fill="FDE9D9"/>
                  <w:noWrap/>
                  <w:vAlign w:val="center"/>
                  <w:hideMark/>
                </w:tcPr>
                <w:p w14:paraId="1DA8068C"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55%</w:t>
                  </w:r>
                </w:p>
              </w:tc>
              <w:tc>
                <w:tcPr>
                  <w:tcW w:w="1195" w:type="dxa"/>
                  <w:tcBorders>
                    <w:top w:val="nil"/>
                    <w:left w:val="nil"/>
                    <w:bottom w:val="single" w:sz="8" w:space="0" w:color="FFFFFF"/>
                    <w:right w:val="single" w:sz="8" w:space="0" w:color="FFFFFF"/>
                  </w:tcBorders>
                  <w:shd w:val="clear" w:color="000000" w:fill="FDE9D9"/>
                  <w:noWrap/>
                  <w:vAlign w:val="center"/>
                  <w:hideMark/>
                </w:tcPr>
                <w:p w14:paraId="520FF61C"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MTN3Y</w:t>
                  </w:r>
                </w:p>
              </w:tc>
              <w:tc>
                <w:tcPr>
                  <w:tcW w:w="689" w:type="dxa"/>
                  <w:tcBorders>
                    <w:top w:val="nil"/>
                    <w:left w:val="nil"/>
                    <w:bottom w:val="single" w:sz="8" w:space="0" w:color="FFFFFF"/>
                    <w:right w:val="single" w:sz="8" w:space="0" w:color="FFFFFF"/>
                  </w:tcBorders>
                  <w:shd w:val="clear" w:color="000000" w:fill="FDE9D9"/>
                  <w:noWrap/>
                  <w:vAlign w:val="center"/>
                  <w:hideMark/>
                </w:tcPr>
                <w:p w14:paraId="4961746D"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4%</w:t>
                  </w:r>
                </w:p>
              </w:tc>
              <w:tc>
                <w:tcPr>
                  <w:tcW w:w="942" w:type="dxa"/>
                  <w:tcBorders>
                    <w:top w:val="nil"/>
                    <w:left w:val="nil"/>
                    <w:bottom w:val="single" w:sz="8" w:space="0" w:color="FFFFFF"/>
                    <w:right w:val="single" w:sz="8" w:space="0" w:color="FFFFFF"/>
                  </w:tcBorders>
                  <w:shd w:val="clear" w:color="000000" w:fill="FDE9D9"/>
                  <w:noWrap/>
                  <w:vAlign w:val="center"/>
                  <w:hideMark/>
                </w:tcPr>
                <w:p w14:paraId="3ABC54C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0%</w:t>
                  </w:r>
                </w:p>
              </w:tc>
              <w:tc>
                <w:tcPr>
                  <w:tcW w:w="942" w:type="dxa"/>
                  <w:tcBorders>
                    <w:top w:val="nil"/>
                    <w:left w:val="nil"/>
                    <w:bottom w:val="single" w:sz="8" w:space="0" w:color="FFFFFF"/>
                    <w:right w:val="single" w:sz="8" w:space="0" w:color="FFFFFF"/>
                  </w:tcBorders>
                  <w:shd w:val="clear" w:color="000000" w:fill="FDE9D9"/>
                  <w:noWrap/>
                  <w:vAlign w:val="center"/>
                  <w:hideMark/>
                </w:tcPr>
                <w:p w14:paraId="660D7F0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DE9D9"/>
                  <w:noWrap/>
                  <w:vAlign w:val="center"/>
                  <w:hideMark/>
                </w:tcPr>
                <w:p w14:paraId="2ECF31D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60%</w:t>
                  </w:r>
                </w:p>
              </w:tc>
            </w:tr>
            <w:tr w:rsidR="009F6C52" w:rsidRPr="009F6C52" w14:paraId="49CF9F25" w14:textId="77777777" w:rsidTr="009F6C52">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76F5A1C6"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MTN5Y</w:t>
                  </w:r>
                </w:p>
              </w:tc>
              <w:tc>
                <w:tcPr>
                  <w:tcW w:w="942" w:type="dxa"/>
                  <w:tcBorders>
                    <w:top w:val="nil"/>
                    <w:left w:val="nil"/>
                    <w:bottom w:val="single" w:sz="8" w:space="0" w:color="FFFFFF"/>
                    <w:right w:val="single" w:sz="8" w:space="0" w:color="FFFFFF"/>
                  </w:tcBorders>
                  <w:shd w:val="clear" w:color="000000" w:fill="FCD5B4"/>
                  <w:noWrap/>
                  <w:vAlign w:val="center"/>
                  <w:hideMark/>
                </w:tcPr>
                <w:p w14:paraId="484C2802"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12%</w:t>
                  </w:r>
                </w:p>
              </w:tc>
              <w:tc>
                <w:tcPr>
                  <w:tcW w:w="942" w:type="dxa"/>
                  <w:tcBorders>
                    <w:top w:val="nil"/>
                    <w:left w:val="nil"/>
                    <w:bottom w:val="single" w:sz="8" w:space="0" w:color="FFFFFF"/>
                    <w:right w:val="single" w:sz="8" w:space="0" w:color="FFFFFF"/>
                  </w:tcBorders>
                  <w:shd w:val="clear" w:color="000000" w:fill="FCD5B4"/>
                  <w:noWrap/>
                  <w:vAlign w:val="center"/>
                  <w:hideMark/>
                </w:tcPr>
                <w:p w14:paraId="2CA7B0F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CD5B4"/>
                  <w:noWrap/>
                  <w:vAlign w:val="center"/>
                  <w:hideMark/>
                </w:tcPr>
                <w:p w14:paraId="383CBE3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12%</w:t>
                  </w:r>
                </w:p>
              </w:tc>
              <w:tc>
                <w:tcPr>
                  <w:tcW w:w="942" w:type="dxa"/>
                  <w:tcBorders>
                    <w:top w:val="nil"/>
                    <w:left w:val="nil"/>
                    <w:bottom w:val="single" w:sz="8" w:space="0" w:color="FFFFFF"/>
                    <w:right w:val="single" w:sz="8" w:space="0" w:color="FFFFFF"/>
                  </w:tcBorders>
                  <w:shd w:val="clear" w:color="000000" w:fill="FCD5B4"/>
                  <w:noWrap/>
                  <w:vAlign w:val="center"/>
                  <w:hideMark/>
                </w:tcPr>
                <w:p w14:paraId="0D59E63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50%</w:t>
                  </w:r>
                </w:p>
              </w:tc>
              <w:tc>
                <w:tcPr>
                  <w:tcW w:w="1195" w:type="dxa"/>
                  <w:tcBorders>
                    <w:top w:val="nil"/>
                    <w:left w:val="nil"/>
                    <w:bottom w:val="single" w:sz="8" w:space="0" w:color="FFFFFF"/>
                    <w:right w:val="single" w:sz="8" w:space="0" w:color="FFFFFF"/>
                  </w:tcBorders>
                  <w:shd w:val="clear" w:color="000000" w:fill="FCD5B4"/>
                  <w:noWrap/>
                  <w:vAlign w:val="center"/>
                  <w:hideMark/>
                </w:tcPr>
                <w:p w14:paraId="4CE1F2EC"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MTN5Y</w:t>
                  </w:r>
                </w:p>
              </w:tc>
              <w:tc>
                <w:tcPr>
                  <w:tcW w:w="689" w:type="dxa"/>
                  <w:tcBorders>
                    <w:top w:val="nil"/>
                    <w:left w:val="nil"/>
                    <w:bottom w:val="single" w:sz="8" w:space="0" w:color="FFFFFF"/>
                    <w:right w:val="single" w:sz="8" w:space="0" w:color="FFFFFF"/>
                  </w:tcBorders>
                  <w:shd w:val="clear" w:color="000000" w:fill="FCD5B4"/>
                  <w:noWrap/>
                  <w:vAlign w:val="center"/>
                  <w:hideMark/>
                </w:tcPr>
                <w:p w14:paraId="133115E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3%</w:t>
                  </w:r>
                </w:p>
              </w:tc>
              <w:tc>
                <w:tcPr>
                  <w:tcW w:w="942" w:type="dxa"/>
                  <w:tcBorders>
                    <w:top w:val="nil"/>
                    <w:left w:val="nil"/>
                    <w:bottom w:val="single" w:sz="8" w:space="0" w:color="FFFFFF"/>
                    <w:right w:val="single" w:sz="8" w:space="0" w:color="FFFFFF"/>
                  </w:tcBorders>
                  <w:shd w:val="clear" w:color="000000" w:fill="FCD5B4"/>
                  <w:noWrap/>
                  <w:vAlign w:val="center"/>
                  <w:hideMark/>
                </w:tcPr>
                <w:p w14:paraId="5D216A3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3%</w:t>
                  </w:r>
                </w:p>
              </w:tc>
              <w:tc>
                <w:tcPr>
                  <w:tcW w:w="942" w:type="dxa"/>
                  <w:tcBorders>
                    <w:top w:val="nil"/>
                    <w:left w:val="nil"/>
                    <w:bottom w:val="single" w:sz="8" w:space="0" w:color="FFFFFF"/>
                    <w:right w:val="single" w:sz="8" w:space="0" w:color="FFFFFF"/>
                  </w:tcBorders>
                  <w:shd w:val="clear" w:color="000000" w:fill="FCD5B4"/>
                  <w:noWrap/>
                  <w:vAlign w:val="center"/>
                  <w:hideMark/>
                </w:tcPr>
                <w:p w14:paraId="65F5E95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5%</w:t>
                  </w:r>
                </w:p>
              </w:tc>
              <w:tc>
                <w:tcPr>
                  <w:tcW w:w="942" w:type="dxa"/>
                  <w:tcBorders>
                    <w:top w:val="nil"/>
                    <w:left w:val="nil"/>
                    <w:bottom w:val="single" w:sz="8" w:space="0" w:color="FFFFFF"/>
                    <w:right w:val="single" w:sz="8" w:space="0" w:color="FFFFFF"/>
                  </w:tcBorders>
                  <w:shd w:val="clear" w:color="000000" w:fill="FCD5B4"/>
                  <w:noWrap/>
                  <w:vAlign w:val="center"/>
                  <w:hideMark/>
                </w:tcPr>
                <w:p w14:paraId="2605DBD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57%</w:t>
                  </w:r>
                </w:p>
              </w:tc>
            </w:tr>
            <w:tr w:rsidR="009F6C52" w:rsidRPr="009F6C52" w14:paraId="38DE63B7"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3D1938B1"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企业债3Y</w:t>
                  </w:r>
                </w:p>
              </w:tc>
              <w:tc>
                <w:tcPr>
                  <w:tcW w:w="942" w:type="dxa"/>
                  <w:tcBorders>
                    <w:top w:val="nil"/>
                    <w:left w:val="nil"/>
                    <w:bottom w:val="single" w:sz="8" w:space="0" w:color="FFFFFF"/>
                    <w:right w:val="single" w:sz="8" w:space="0" w:color="FFFFFF"/>
                  </w:tcBorders>
                  <w:shd w:val="clear" w:color="000000" w:fill="FDE9D9"/>
                  <w:noWrap/>
                  <w:vAlign w:val="center"/>
                  <w:hideMark/>
                </w:tcPr>
                <w:p w14:paraId="0BA0A782"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DE9D9"/>
                  <w:noWrap/>
                  <w:vAlign w:val="center"/>
                  <w:hideMark/>
                </w:tcPr>
                <w:p w14:paraId="2D46EB76"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DE9D9"/>
                  <w:noWrap/>
                  <w:vAlign w:val="center"/>
                  <w:hideMark/>
                </w:tcPr>
                <w:p w14:paraId="14C3E16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18%</w:t>
                  </w:r>
                </w:p>
              </w:tc>
              <w:tc>
                <w:tcPr>
                  <w:tcW w:w="942" w:type="dxa"/>
                  <w:tcBorders>
                    <w:top w:val="nil"/>
                    <w:left w:val="nil"/>
                    <w:bottom w:val="single" w:sz="8" w:space="0" w:color="FFFFFF"/>
                    <w:right w:val="single" w:sz="8" w:space="0" w:color="FFFFFF"/>
                  </w:tcBorders>
                  <w:shd w:val="clear" w:color="000000" w:fill="FDE9D9"/>
                  <w:noWrap/>
                  <w:vAlign w:val="center"/>
                  <w:hideMark/>
                </w:tcPr>
                <w:p w14:paraId="39AB674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55%</w:t>
                  </w:r>
                </w:p>
              </w:tc>
              <w:tc>
                <w:tcPr>
                  <w:tcW w:w="1195" w:type="dxa"/>
                  <w:tcBorders>
                    <w:top w:val="nil"/>
                    <w:left w:val="nil"/>
                    <w:bottom w:val="single" w:sz="8" w:space="0" w:color="FFFFFF"/>
                    <w:right w:val="single" w:sz="8" w:space="0" w:color="FFFFFF"/>
                  </w:tcBorders>
                  <w:shd w:val="clear" w:color="000000" w:fill="FDE9D9"/>
                  <w:noWrap/>
                  <w:vAlign w:val="center"/>
                  <w:hideMark/>
                </w:tcPr>
                <w:p w14:paraId="7FA65C2B"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企业债3Y</w:t>
                  </w:r>
                </w:p>
              </w:tc>
              <w:tc>
                <w:tcPr>
                  <w:tcW w:w="689" w:type="dxa"/>
                  <w:tcBorders>
                    <w:top w:val="nil"/>
                    <w:left w:val="nil"/>
                    <w:bottom w:val="single" w:sz="8" w:space="0" w:color="FFFFFF"/>
                    <w:right w:val="single" w:sz="8" w:space="0" w:color="FFFFFF"/>
                  </w:tcBorders>
                  <w:shd w:val="clear" w:color="000000" w:fill="FDE9D9"/>
                  <w:noWrap/>
                  <w:vAlign w:val="center"/>
                  <w:hideMark/>
                </w:tcPr>
                <w:p w14:paraId="2C2AD91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w:t>
                  </w:r>
                </w:p>
              </w:tc>
              <w:tc>
                <w:tcPr>
                  <w:tcW w:w="942" w:type="dxa"/>
                  <w:tcBorders>
                    <w:top w:val="nil"/>
                    <w:left w:val="nil"/>
                    <w:bottom w:val="single" w:sz="8" w:space="0" w:color="FFFFFF"/>
                    <w:right w:val="single" w:sz="8" w:space="0" w:color="FFFFFF"/>
                  </w:tcBorders>
                  <w:shd w:val="clear" w:color="000000" w:fill="FDE9D9"/>
                  <w:noWrap/>
                  <w:vAlign w:val="center"/>
                  <w:hideMark/>
                </w:tcPr>
                <w:p w14:paraId="02D7A17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2%</w:t>
                  </w:r>
                </w:p>
              </w:tc>
              <w:tc>
                <w:tcPr>
                  <w:tcW w:w="942" w:type="dxa"/>
                  <w:tcBorders>
                    <w:top w:val="nil"/>
                    <w:left w:val="nil"/>
                    <w:bottom w:val="single" w:sz="8" w:space="0" w:color="FFFFFF"/>
                    <w:right w:val="single" w:sz="8" w:space="0" w:color="FFFFFF"/>
                  </w:tcBorders>
                  <w:shd w:val="clear" w:color="000000" w:fill="FDE9D9"/>
                  <w:noWrap/>
                  <w:vAlign w:val="center"/>
                  <w:hideMark/>
                </w:tcPr>
                <w:p w14:paraId="255A6F6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13%</w:t>
                  </w:r>
                </w:p>
              </w:tc>
              <w:tc>
                <w:tcPr>
                  <w:tcW w:w="942" w:type="dxa"/>
                  <w:tcBorders>
                    <w:top w:val="nil"/>
                    <w:left w:val="nil"/>
                    <w:bottom w:val="single" w:sz="8" w:space="0" w:color="FFFFFF"/>
                    <w:right w:val="single" w:sz="8" w:space="0" w:color="FFFFFF"/>
                  </w:tcBorders>
                  <w:shd w:val="clear" w:color="000000" w:fill="FDE9D9"/>
                  <w:noWrap/>
                  <w:vAlign w:val="center"/>
                  <w:hideMark/>
                </w:tcPr>
                <w:p w14:paraId="1971ABF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62%</w:t>
                  </w:r>
                </w:p>
              </w:tc>
            </w:tr>
            <w:tr w:rsidR="009F6C52" w:rsidRPr="009F6C52" w14:paraId="295D910A" w14:textId="77777777" w:rsidTr="009F6C52">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46A44689"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企业债5Y</w:t>
                  </w:r>
                </w:p>
              </w:tc>
              <w:tc>
                <w:tcPr>
                  <w:tcW w:w="942" w:type="dxa"/>
                  <w:tcBorders>
                    <w:top w:val="nil"/>
                    <w:left w:val="nil"/>
                    <w:bottom w:val="single" w:sz="8" w:space="0" w:color="FFFFFF"/>
                    <w:right w:val="single" w:sz="8" w:space="0" w:color="FFFFFF"/>
                  </w:tcBorders>
                  <w:shd w:val="clear" w:color="000000" w:fill="FCD5B4"/>
                  <w:noWrap/>
                  <w:vAlign w:val="center"/>
                  <w:hideMark/>
                </w:tcPr>
                <w:p w14:paraId="2732D48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14%</w:t>
                  </w:r>
                </w:p>
              </w:tc>
              <w:tc>
                <w:tcPr>
                  <w:tcW w:w="942" w:type="dxa"/>
                  <w:tcBorders>
                    <w:top w:val="nil"/>
                    <w:left w:val="nil"/>
                    <w:bottom w:val="single" w:sz="8" w:space="0" w:color="FFFFFF"/>
                    <w:right w:val="single" w:sz="8" w:space="0" w:color="FFFFFF"/>
                  </w:tcBorders>
                  <w:shd w:val="clear" w:color="000000" w:fill="FCD5B4"/>
                  <w:noWrap/>
                  <w:vAlign w:val="center"/>
                  <w:hideMark/>
                </w:tcPr>
                <w:p w14:paraId="64111CC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CD5B4"/>
                  <w:noWrap/>
                  <w:vAlign w:val="center"/>
                  <w:hideMark/>
                </w:tcPr>
                <w:p w14:paraId="7F8B072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CD5B4"/>
                  <w:noWrap/>
                  <w:vAlign w:val="center"/>
                  <w:hideMark/>
                </w:tcPr>
                <w:p w14:paraId="139DD70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48%</w:t>
                  </w:r>
                </w:p>
              </w:tc>
              <w:tc>
                <w:tcPr>
                  <w:tcW w:w="1195" w:type="dxa"/>
                  <w:tcBorders>
                    <w:top w:val="nil"/>
                    <w:left w:val="nil"/>
                    <w:bottom w:val="single" w:sz="8" w:space="0" w:color="FFFFFF"/>
                    <w:right w:val="single" w:sz="8" w:space="0" w:color="FFFFFF"/>
                  </w:tcBorders>
                  <w:shd w:val="clear" w:color="000000" w:fill="FCD5B4"/>
                  <w:noWrap/>
                  <w:vAlign w:val="center"/>
                  <w:hideMark/>
                </w:tcPr>
                <w:p w14:paraId="294F1790"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企业债5Y</w:t>
                  </w:r>
                </w:p>
              </w:tc>
              <w:tc>
                <w:tcPr>
                  <w:tcW w:w="689" w:type="dxa"/>
                  <w:tcBorders>
                    <w:top w:val="nil"/>
                    <w:left w:val="nil"/>
                    <w:bottom w:val="single" w:sz="8" w:space="0" w:color="FFFFFF"/>
                    <w:right w:val="single" w:sz="8" w:space="0" w:color="FFFFFF"/>
                  </w:tcBorders>
                  <w:shd w:val="clear" w:color="000000" w:fill="FCD5B4"/>
                  <w:noWrap/>
                  <w:vAlign w:val="center"/>
                  <w:hideMark/>
                </w:tcPr>
                <w:p w14:paraId="5A47B7F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4%</w:t>
                  </w:r>
                </w:p>
              </w:tc>
              <w:tc>
                <w:tcPr>
                  <w:tcW w:w="942" w:type="dxa"/>
                  <w:tcBorders>
                    <w:top w:val="nil"/>
                    <w:left w:val="nil"/>
                    <w:bottom w:val="single" w:sz="8" w:space="0" w:color="FFFFFF"/>
                    <w:right w:val="single" w:sz="8" w:space="0" w:color="FFFFFF"/>
                  </w:tcBorders>
                  <w:shd w:val="clear" w:color="000000" w:fill="FCD5B4"/>
                  <w:noWrap/>
                  <w:vAlign w:val="center"/>
                  <w:hideMark/>
                </w:tcPr>
                <w:p w14:paraId="0C6A6C7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0%</w:t>
                  </w:r>
                </w:p>
              </w:tc>
              <w:tc>
                <w:tcPr>
                  <w:tcW w:w="942" w:type="dxa"/>
                  <w:tcBorders>
                    <w:top w:val="nil"/>
                    <w:left w:val="nil"/>
                    <w:bottom w:val="single" w:sz="8" w:space="0" w:color="FFFFFF"/>
                    <w:right w:val="single" w:sz="8" w:space="0" w:color="FFFFFF"/>
                  </w:tcBorders>
                  <w:shd w:val="clear" w:color="000000" w:fill="FCD5B4"/>
                  <w:noWrap/>
                  <w:vAlign w:val="center"/>
                  <w:hideMark/>
                </w:tcPr>
                <w:p w14:paraId="69CF8E8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6%</w:t>
                  </w:r>
                </w:p>
              </w:tc>
              <w:tc>
                <w:tcPr>
                  <w:tcW w:w="942" w:type="dxa"/>
                  <w:tcBorders>
                    <w:top w:val="nil"/>
                    <w:left w:val="nil"/>
                    <w:bottom w:val="single" w:sz="8" w:space="0" w:color="FFFFFF"/>
                    <w:right w:val="single" w:sz="8" w:space="0" w:color="FFFFFF"/>
                  </w:tcBorders>
                  <w:shd w:val="clear" w:color="000000" w:fill="FCD5B4"/>
                  <w:noWrap/>
                  <w:vAlign w:val="center"/>
                  <w:hideMark/>
                </w:tcPr>
                <w:p w14:paraId="5A9BE2ED"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57%</w:t>
                  </w:r>
                </w:p>
              </w:tc>
            </w:tr>
            <w:tr w:rsidR="009F6C52" w:rsidRPr="009F6C52" w14:paraId="1D390232"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0591F88A"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企业债7Y</w:t>
                  </w:r>
                </w:p>
              </w:tc>
              <w:tc>
                <w:tcPr>
                  <w:tcW w:w="942" w:type="dxa"/>
                  <w:tcBorders>
                    <w:top w:val="nil"/>
                    <w:left w:val="nil"/>
                    <w:bottom w:val="single" w:sz="8" w:space="0" w:color="FFFFFF"/>
                    <w:right w:val="single" w:sz="8" w:space="0" w:color="FFFFFF"/>
                  </w:tcBorders>
                  <w:shd w:val="clear" w:color="000000" w:fill="FDE9D9"/>
                  <w:noWrap/>
                  <w:vAlign w:val="center"/>
                  <w:hideMark/>
                </w:tcPr>
                <w:p w14:paraId="4BF879A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DE9D9"/>
                  <w:noWrap/>
                  <w:vAlign w:val="center"/>
                  <w:hideMark/>
                </w:tcPr>
                <w:p w14:paraId="1661073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6%</w:t>
                  </w:r>
                </w:p>
              </w:tc>
              <w:tc>
                <w:tcPr>
                  <w:tcW w:w="942" w:type="dxa"/>
                  <w:tcBorders>
                    <w:top w:val="nil"/>
                    <w:left w:val="nil"/>
                    <w:bottom w:val="single" w:sz="8" w:space="0" w:color="FFFFFF"/>
                    <w:right w:val="single" w:sz="8" w:space="0" w:color="FFFFFF"/>
                  </w:tcBorders>
                  <w:shd w:val="clear" w:color="000000" w:fill="FDE9D9"/>
                  <w:noWrap/>
                  <w:vAlign w:val="center"/>
                  <w:hideMark/>
                </w:tcPr>
                <w:p w14:paraId="235E9E4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DE9D9"/>
                  <w:noWrap/>
                  <w:vAlign w:val="center"/>
                  <w:hideMark/>
                </w:tcPr>
                <w:p w14:paraId="7FE9CBD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41%</w:t>
                  </w:r>
                </w:p>
              </w:tc>
              <w:tc>
                <w:tcPr>
                  <w:tcW w:w="1195" w:type="dxa"/>
                  <w:tcBorders>
                    <w:top w:val="nil"/>
                    <w:left w:val="nil"/>
                    <w:bottom w:val="single" w:sz="8" w:space="0" w:color="FFFFFF"/>
                    <w:right w:val="single" w:sz="8" w:space="0" w:color="FFFFFF"/>
                  </w:tcBorders>
                  <w:shd w:val="clear" w:color="000000" w:fill="FDE9D9"/>
                  <w:noWrap/>
                  <w:vAlign w:val="center"/>
                  <w:hideMark/>
                </w:tcPr>
                <w:p w14:paraId="473E326D" w14:textId="77777777" w:rsidR="009F6C52" w:rsidRPr="009F6C52" w:rsidRDefault="009F6C52" w:rsidP="009F6C52">
                  <w:pPr>
                    <w:widowControl/>
                    <w:jc w:val="center"/>
                    <w:rPr>
                      <w:rFonts w:ascii="楷体" w:eastAsia="楷体" w:hAnsi="楷体" w:cs="宋体"/>
                      <w:color w:val="000000"/>
                      <w:kern w:val="0"/>
                      <w:sz w:val="20"/>
                      <w:szCs w:val="20"/>
                    </w:rPr>
                  </w:pPr>
                  <w:r w:rsidRPr="009F6C52">
                    <w:rPr>
                      <w:rFonts w:ascii="楷体" w:eastAsia="楷体" w:hAnsi="楷体" w:cs="宋体" w:hint="eastAsia"/>
                      <w:color w:val="000000"/>
                      <w:kern w:val="0"/>
                      <w:sz w:val="20"/>
                      <w:szCs w:val="20"/>
                    </w:rPr>
                    <w:t>企业债7Y</w:t>
                  </w:r>
                </w:p>
              </w:tc>
              <w:tc>
                <w:tcPr>
                  <w:tcW w:w="689" w:type="dxa"/>
                  <w:tcBorders>
                    <w:top w:val="nil"/>
                    <w:left w:val="nil"/>
                    <w:bottom w:val="single" w:sz="8" w:space="0" w:color="FFFFFF"/>
                    <w:right w:val="single" w:sz="8" w:space="0" w:color="FFFFFF"/>
                  </w:tcBorders>
                  <w:shd w:val="clear" w:color="000000" w:fill="FDE9D9"/>
                  <w:noWrap/>
                  <w:vAlign w:val="center"/>
                  <w:hideMark/>
                </w:tcPr>
                <w:p w14:paraId="38215D5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9%</w:t>
                  </w:r>
                </w:p>
              </w:tc>
              <w:tc>
                <w:tcPr>
                  <w:tcW w:w="942" w:type="dxa"/>
                  <w:tcBorders>
                    <w:top w:val="nil"/>
                    <w:left w:val="nil"/>
                    <w:bottom w:val="single" w:sz="8" w:space="0" w:color="FFFFFF"/>
                    <w:right w:val="single" w:sz="8" w:space="0" w:color="FFFFFF"/>
                  </w:tcBorders>
                  <w:shd w:val="clear" w:color="000000" w:fill="FDE9D9"/>
                  <w:noWrap/>
                  <w:vAlign w:val="center"/>
                  <w:hideMark/>
                </w:tcPr>
                <w:p w14:paraId="730668A2"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4%</w:t>
                  </w:r>
                </w:p>
              </w:tc>
              <w:tc>
                <w:tcPr>
                  <w:tcW w:w="942" w:type="dxa"/>
                  <w:tcBorders>
                    <w:top w:val="nil"/>
                    <w:left w:val="nil"/>
                    <w:bottom w:val="single" w:sz="8" w:space="0" w:color="FFFFFF"/>
                    <w:right w:val="single" w:sz="8" w:space="0" w:color="FFFFFF"/>
                  </w:tcBorders>
                  <w:shd w:val="clear" w:color="000000" w:fill="FDE9D9"/>
                  <w:noWrap/>
                  <w:vAlign w:val="center"/>
                  <w:hideMark/>
                </w:tcPr>
                <w:p w14:paraId="57E8F82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9%</w:t>
                  </w:r>
                </w:p>
              </w:tc>
              <w:tc>
                <w:tcPr>
                  <w:tcW w:w="942" w:type="dxa"/>
                  <w:tcBorders>
                    <w:top w:val="nil"/>
                    <w:left w:val="nil"/>
                    <w:bottom w:val="single" w:sz="8" w:space="0" w:color="FFFFFF"/>
                    <w:right w:val="single" w:sz="8" w:space="0" w:color="FFFFFF"/>
                  </w:tcBorders>
                  <w:shd w:val="clear" w:color="000000" w:fill="FDE9D9"/>
                  <w:noWrap/>
                  <w:vAlign w:val="center"/>
                  <w:hideMark/>
                </w:tcPr>
                <w:p w14:paraId="1F83C56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55%</w:t>
                  </w:r>
                </w:p>
              </w:tc>
            </w:tr>
            <w:tr w:rsidR="009F6C52" w:rsidRPr="009F6C52" w14:paraId="0A088E52" w14:textId="77777777" w:rsidTr="009F6C52">
              <w:trPr>
                <w:trHeight w:val="290"/>
              </w:trPr>
              <w:tc>
                <w:tcPr>
                  <w:tcW w:w="1160" w:type="dxa"/>
                  <w:tcBorders>
                    <w:top w:val="nil"/>
                    <w:left w:val="nil"/>
                    <w:bottom w:val="single" w:sz="8" w:space="0" w:color="FFFFFF"/>
                    <w:right w:val="single" w:sz="8" w:space="0" w:color="FFFFFF"/>
                  </w:tcBorders>
                  <w:shd w:val="clear" w:color="000000" w:fill="FCD5B4"/>
                  <w:noWrap/>
                  <w:vAlign w:val="center"/>
                  <w:hideMark/>
                </w:tcPr>
                <w:p w14:paraId="2F1602B8"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3Y</w:t>
                  </w:r>
                </w:p>
              </w:tc>
              <w:tc>
                <w:tcPr>
                  <w:tcW w:w="942" w:type="dxa"/>
                  <w:tcBorders>
                    <w:top w:val="nil"/>
                    <w:left w:val="nil"/>
                    <w:bottom w:val="single" w:sz="8" w:space="0" w:color="FFFFFF"/>
                    <w:right w:val="single" w:sz="8" w:space="0" w:color="FFFFFF"/>
                  </w:tcBorders>
                  <w:shd w:val="clear" w:color="000000" w:fill="FCD5B4"/>
                  <w:noWrap/>
                  <w:vAlign w:val="center"/>
                  <w:hideMark/>
                </w:tcPr>
                <w:p w14:paraId="7A731C6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13%</w:t>
                  </w:r>
                </w:p>
              </w:tc>
              <w:tc>
                <w:tcPr>
                  <w:tcW w:w="942" w:type="dxa"/>
                  <w:tcBorders>
                    <w:top w:val="nil"/>
                    <w:left w:val="nil"/>
                    <w:bottom w:val="single" w:sz="8" w:space="0" w:color="FFFFFF"/>
                    <w:right w:val="single" w:sz="8" w:space="0" w:color="FFFFFF"/>
                  </w:tcBorders>
                  <w:shd w:val="clear" w:color="000000" w:fill="FCD5B4"/>
                  <w:noWrap/>
                  <w:vAlign w:val="center"/>
                  <w:hideMark/>
                </w:tcPr>
                <w:p w14:paraId="2D160AF7"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CD5B4"/>
                  <w:noWrap/>
                  <w:vAlign w:val="center"/>
                  <w:hideMark/>
                </w:tcPr>
                <w:p w14:paraId="41AF745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11%</w:t>
                  </w:r>
                </w:p>
              </w:tc>
              <w:tc>
                <w:tcPr>
                  <w:tcW w:w="942" w:type="dxa"/>
                  <w:tcBorders>
                    <w:top w:val="nil"/>
                    <w:left w:val="nil"/>
                    <w:bottom w:val="single" w:sz="8" w:space="0" w:color="FFFFFF"/>
                    <w:right w:val="single" w:sz="8" w:space="0" w:color="FFFFFF"/>
                  </w:tcBorders>
                  <w:shd w:val="clear" w:color="000000" w:fill="FCD5B4"/>
                  <w:noWrap/>
                  <w:vAlign w:val="center"/>
                  <w:hideMark/>
                </w:tcPr>
                <w:p w14:paraId="030EA91D"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65%</w:t>
                  </w:r>
                </w:p>
              </w:tc>
              <w:tc>
                <w:tcPr>
                  <w:tcW w:w="1195" w:type="dxa"/>
                  <w:tcBorders>
                    <w:top w:val="nil"/>
                    <w:left w:val="nil"/>
                    <w:bottom w:val="single" w:sz="8" w:space="0" w:color="FFFFFF"/>
                    <w:right w:val="single" w:sz="8" w:space="0" w:color="FFFFFF"/>
                  </w:tcBorders>
                  <w:shd w:val="clear" w:color="000000" w:fill="FCD5B4"/>
                  <w:noWrap/>
                  <w:vAlign w:val="center"/>
                  <w:hideMark/>
                </w:tcPr>
                <w:p w14:paraId="647A74E8"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3Y</w:t>
                  </w:r>
                </w:p>
              </w:tc>
              <w:tc>
                <w:tcPr>
                  <w:tcW w:w="689" w:type="dxa"/>
                  <w:tcBorders>
                    <w:top w:val="nil"/>
                    <w:left w:val="nil"/>
                    <w:bottom w:val="single" w:sz="8" w:space="0" w:color="FFFFFF"/>
                    <w:right w:val="single" w:sz="8" w:space="0" w:color="FFFFFF"/>
                  </w:tcBorders>
                  <w:shd w:val="clear" w:color="000000" w:fill="FCD5B4"/>
                  <w:noWrap/>
                  <w:vAlign w:val="center"/>
                  <w:hideMark/>
                </w:tcPr>
                <w:p w14:paraId="48E3CB0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3%</w:t>
                  </w:r>
                </w:p>
              </w:tc>
              <w:tc>
                <w:tcPr>
                  <w:tcW w:w="942" w:type="dxa"/>
                  <w:tcBorders>
                    <w:top w:val="nil"/>
                    <w:left w:val="nil"/>
                    <w:bottom w:val="single" w:sz="8" w:space="0" w:color="FFFFFF"/>
                    <w:right w:val="single" w:sz="8" w:space="0" w:color="FFFFFF"/>
                  </w:tcBorders>
                  <w:shd w:val="clear" w:color="000000" w:fill="FCD5B4"/>
                  <w:noWrap/>
                  <w:vAlign w:val="center"/>
                  <w:hideMark/>
                </w:tcPr>
                <w:p w14:paraId="65F1188B"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3%</w:t>
                  </w:r>
                </w:p>
              </w:tc>
              <w:tc>
                <w:tcPr>
                  <w:tcW w:w="942" w:type="dxa"/>
                  <w:tcBorders>
                    <w:top w:val="nil"/>
                    <w:left w:val="nil"/>
                    <w:bottom w:val="single" w:sz="8" w:space="0" w:color="FFFFFF"/>
                    <w:right w:val="single" w:sz="8" w:space="0" w:color="FFFFFF"/>
                  </w:tcBorders>
                  <w:shd w:val="clear" w:color="000000" w:fill="FCD5B4"/>
                  <w:noWrap/>
                  <w:vAlign w:val="center"/>
                  <w:hideMark/>
                </w:tcPr>
                <w:p w14:paraId="6D478B7F"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6%</w:t>
                  </w:r>
                </w:p>
              </w:tc>
              <w:tc>
                <w:tcPr>
                  <w:tcW w:w="942" w:type="dxa"/>
                  <w:tcBorders>
                    <w:top w:val="nil"/>
                    <w:left w:val="nil"/>
                    <w:bottom w:val="single" w:sz="8" w:space="0" w:color="FFFFFF"/>
                    <w:right w:val="single" w:sz="8" w:space="0" w:color="FFFFFF"/>
                  </w:tcBorders>
                  <w:shd w:val="clear" w:color="000000" w:fill="FCD5B4"/>
                  <w:noWrap/>
                  <w:vAlign w:val="center"/>
                  <w:hideMark/>
                </w:tcPr>
                <w:p w14:paraId="6CBF82C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78%</w:t>
                  </w:r>
                </w:p>
              </w:tc>
            </w:tr>
            <w:tr w:rsidR="009F6C52" w:rsidRPr="009F6C52" w14:paraId="1DF08D6F" w14:textId="77777777" w:rsidTr="009F6C52">
              <w:trPr>
                <w:trHeight w:val="290"/>
              </w:trPr>
              <w:tc>
                <w:tcPr>
                  <w:tcW w:w="1160" w:type="dxa"/>
                  <w:tcBorders>
                    <w:top w:val="nil"/>
                    <w:left w:val="nil"/>
                    <w:bottom w:val="single" w:sz="8" w:space="0" w:color="FFFFFF"/>
                    <w:right w:val="single" w:sz="8" w:space="0" w:color="FFFFFF"/>
                  </w:tcBorders>
                  <w:shd w:val="clear" w:color="000000" w:fill="FDE9D9"/>
                  <w:noWrap/>
                  <w:vAlign w:val="center"/>
                  <w:hideMark/>
                </w:tcPr>
                <w:p w14:paraId="05488FAC"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5Y</w:t>
                  </w:r>
                </w:p>
              </w:tc>
              <w:tc>
                <w:tcPr>
                  <w:tcW w:w="942" w:type="dxa"/>
                  <w:tcBorders>
                    <w:top w:val="nil"/>
                    <w:left w:val="nil"/>
                    <w:bottom w:val="single" w:sz="8" w:space="0" w:color="FFFFFF"/>
                    <w:right w:val="single" w:sz="8" w:space="0" w:color="FFFFFF"/>
                  </w:tcBorders>
                  <w:shd w:val="clear" w:color="000000" w:fill="FDE9D9"/>
                  <w:noWrap/>
                  <w:vAlign w:val="center"/>
                  <w:hideMark/>
                </w:tcPr>
                <w:p w14:paraId="4BBC6F9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DE9D9"/>
                  <w:noWrap/>
                  <w:vAlign w:val="center"/>
                  <w:hideMark/>
                </w:tcPr>
                <w:p w14:paraId="1711868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DE9D9"/>
                  <w:noWrap/>
                  <w:vAlign w:val="center"/>
                  <w:hideMark/>
                </w:tcPr>
                <w:p w14:paraId="1662323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15%</w:t>
                  </w:r>
                </w:p>
              </w:tc>
              <w:tc>
                <w:tcPr>
                  <w:tcW w:w="942" w:type="dxa"/>
                  <w:tcBorders>
                    <w:top w:val="nil"/>
                    <w:left w:val="nil"/>
                    <w:bottom w:val="single" w:sz="8" w:space="0" w:color="FFFFFF"/>
                    <w:right w:val="single" w:sz="8" w:space="0" w:color="FFFFFF"/>
                  </w:tcBorders>
                  <w:shd w:val="clear" w:color="000000" w:fill="FDE9D9"/>
                  <w:noWrap/>
                  <w:vAlign w:val="center"/>
                  <w:hideMark/>
                </w:tcPr>
                <w:p w14:paraId="502C8380"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80%</w:t>
                  </w:r>
                </w:p>
              </w:tc>
              <w:tc>
                <w:tcPr>
                  <w:tcW w:w="1195" w:type="dxa"/>
                  <w:tcBorders>
                    <w:top w:val="nil"/>
                    <w:left w:val="nil"/>
                    <w:bottom w:val="single" w:sz="8" w:space="0" w:color="FFFFFF"/>
                    <w:right w:val="single" w:sz="8" w:space="0" w:color="FFFFFF"/>
                  </w:tcBorders>
                  <w:shd w:val="clear" w:color="000000" w:fill="FDE9D9"/>
                  <w:noWrap/>
                  <w:vAlign w:val="center"/>
                  <w:hideMark/>
                </w:tcPr>
                <w:p w14:paraId="56BDAF73"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5Y</w:t>
                  </w:r>
                </w:p>
              </w:tc>
              <w:tc>
                <w:tcPr>
                  <w:tcW w:w="689" w:type="dxa"/>
                  <w:tcBorders>
                    <w:top w:val="nil"/>
                    <w:left w:val="nil"/>
                    <w:bottom w:val="single" w:sz="8" w:space="0" w:color="FFFFFF"/>
                    <w:right w:val="single" w:sz="8" w:space="0" w:color="FFFFFF"/>
                  </w:tcBorders>
                  <w:shd w:val="clear" w:color="000000" w:fill="FDE9D9"/>
                  <w:noWrap/>
                  <w:vAlign w:val="center"/>
                  <w:hideMark/>
                </w:tcPr>
                <w:p w14:paraId="4600A279"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3%</w:t>
                  </w:r>
                </w:p>
              </w:tc>
              <w:tc>
                <w:tcPr>
                  <w:tcW w:w="942" w:type="dxa"/>
                  <w:tcBorders>
                    <w:top w:val="nil"/>
                    <w:left w:val="nil"/>
                    <w:bottom w:val="single" w:sz="8" w:space="0" w:color="FFFFFF"/>
                    <w:right w:val="single" w:sz="8" w:space="0" w:color="FFFFFF"/>
                  </w:tcBorders>
                  <w:shd w:val="clear" w:color="000000" w:fill="FDE9D9"/>
                  <w:noWrap/>
                  <w:vAlign w:val="center"/>
                  <w:hideMark/>
                </w:tcPr>
                <w:p w14:paraId="2165D1AD"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4%</w:t>
                  </w:r>
                </w:p>
              </w:tc>
              <w:tc>
                <w:tcPr>
                  <w:tcW w:w="942" w:type="dxa"/>
                  <w:tcBorders>
                    <w:top w:val="nil"/>
                    <w:left w:val="nil"/>
                    <w:bottom w:val="single" w:sz="8" w:space="0" w:color="FFFFFF"/>
                    <w:right w:val="single" w:sz="8" w:space="0" w:color="FFFFFF"/>
                  </w:tcBorders>
                  <w:shd w:val="clear" w:color="000000" w:fill="FDE9D9"/>
                  <w:noWrap/>
                  <w:vAlign w:val="center"/>
                  <w:hideMark/>
                </w:tcPr>
                <w:p w14:paraId="5A29ABE5"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13%</w:t>
                  </w:r>
                </w:p>
              </w:tc>
              <w:tc>
                <w:tcPr>
                  <w:tcW w:w="942" w:type="dxa"/>
                  <w:tcBorders>
                    <w:top w:val="nil"/>
                    <w:left w:val="nil"/>
                    <w:bottom w:val="single" w:sz="8" w:space="0" w:color="FFFFFF"/>
                    <w:right w:val="single" w:sz="8" w:space="0" w:color="FFFFFF"/>
                  </w:tcBorders>
                  <w:shd w:val="clear" w:color="000000" w:fill="FFC7CE"/>
                  <w:noWrap/>
                  <w:vAlign w:val="center"/>
                  <w:hideMark/>
                </w:tcPr>
                <w:p w14:paraId="0BB44610" w14:textId="77777777" w:rsidR="009F6C52" w:rsidRPr="009F6C52" w:rsidRDefault="009F6C52" w:rsidP="009F6C52">
                  <w:pPr>
                    <w:widowControl/>
                    <w:jc w:val="center"/>
                    <w:rPr>
                      <w:rFonts w:eastAsia="等线" w:cs="Calibri"/>
                      <w:color w:val="9C0006"/>
                      <w:kern w:val="0"/>
                      <w:szCs w:val="21"/>
                    </w:rPr>
                  </w:pPr>
                  <w:r w:rsidRPr="009F6C52">
                    <w:rPr>
                      <w:rFonts w:eastAsia="等线" w:cs="Calibri"/>
                      <w:color w:val="9C0006"/>
                      <w:kern w:val="0"/>
                      <w:szCs w:val="21"/>
                    </w:rPr>
                    <w:t>90%</w:t>
                  </w:r>
                </w:p>
              </w:tc>
            </w:tr>
            <w:tr w:rsidR="009F6C52" w:rsidRPr="009F6C52" w14:paraId="7140D686" w14:textId="77777777" w:rsidTr="009F6C52">
              <w:trPr>
                <w:trHeight w:val="290"/>
              </w:trPr>
              <w:tc>
                <w:tcPr>
                  <w:tcW w:w="1160" w:type="dxa"/>
                  <w:tcBorders>
                    <w:top w:val="nil"/>
                    <w:left w:val="nil"/>
                    <w:bottom w:val="nil"/>
                    <w:right w:val="nil"/>
                  </w:tcBorders>
                  <w:shd w:val="clear" w:color="000000" w:fill="FCD5B4"/>
                  <w:noWrap/>
                  <w:vAlign w:val="center"/>
                  <w:hideMark/>
                </w:tcPr>
                <w:p w14:paraId="306EA8F4"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7Y</w:t>
                  </w:r>
                </w:p>
              </w:tc>
              <w:tc>
                <w:tcPr>
                  <w:tcW w:w="942" w:type="dxa"/>
                  <w:tcBorders>
                    <w:top w:val="nil"/>
                    <w:left w:val="nil"/>
                    <w:bottom w:val="single" w:sz="8" w:space="0" w:color="FFFFFF"/>
                    <w:right w:val="single" w:sz="8" w:space="0" w:color="FFFFFF"/>
                  </w:tcBorders>
                  <w:shd w:val="clear" w:color="000000" w:fill="FCD5B4"/>
                  <w:noWrap/>
                  <w:vAlign w:val="center"/>
                  <w:hideMark/>
                </w:tcPr>
                <w:p w14:paraId="20545303"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CD5B4"/>
                  <w:noWrap/>
                  <w:vAlign w:val="center"/>
                  <w:hideMark/>
                </w:tcPr>
                <w:p w14:paraId="5E0160AC"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9%</w:t>
                  </w:r>
                </w:p>
              </w:tc>
              <w:tc>
                <w:tcPr>
                  <w:tcW w:w="942" w:type="dxa"/>
                  <w:tcBorders>
                    <w:top w:val="nil"/>
                    <w:left w:val="nil"/>
                    <w:bottom w:val="single" w:sz="8" w:space="0" w:color="FFFFFF"/>
                    <w:right w:val="single" w:sz="8" w:space="0" w:color="FFFFFF"/>
                  </w:tcBorders>
                  <w:shd w:val="clear" w:color="000000" w:fill="FCD5B4"/>
                  <w:noWrap/>
                  <w:vAlign w:val="center"/>
                  <w:hideMark/>
                </w:tcPr>
                <w:p w14:paraId="75E6845E"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11%</w:t>
                  </w:r>
                </w:p>
              </w:tc>
              <w:tc>
                <w:tcPr>
                  <w:tcW w:w="942" w:type="dxa"/>
                  <w:tcBorders>
                    <w:top w:val="nil"/>
                    <w:left w:val="nil"/>
                    <w:bottom w:val="single" w:sz="8" w:space="0" w:color="FFFFFF"/>
                    <w:right w:val="single" w:sz="8" w:space="0" w:color="FFFFFF"/>
                  </w:tcBorders>
                  <w:shd w:val="clear" w:color="000000" w:fill="FCD5B4"/>
                  <w:noWrap/>
                  <w:vAlign w:val="center"/>
                  <w:hideMark/>
                </w:tcPr>
                <w:p w14:paraId="2770FAD8"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74%</w:t>
                  </w:r>
                </w:p>
              </w:tc>
              <w:tc>
                <w:tcPr>
                  <w:tcW w:w="1195" w:type="dxa"/>
                  <w:tcBorders>
                    <w:top w:val="nil"/>
                    <w:left w:val="nil"/>
                    <w:bottom w:val="nil"/>
                    <w:right w:val="nil"/>
                  </w:tcBorders>
                  <w:shd w:val="clear" w:color="000000" w:fill="FCD5B4"/>
                  <w:noWrap/>
                  <w:vAlign w:val="center"/>
                  <w:hideMark/>
                </w:tcPr>
                <w:p w14:paraId="3453EB23" w14:textId="77777777" w:rsidR="009F6C52" w:rsidRPr="009F6C52" w:rsidRDefault="009F6C52" w:rsidP="009F6C52">
                  <w:pPr>
                    <w:widowControl/>
                    <w:jc w:val="center"/>
                    <w:rPr>
                      <w:rFonts w:ascii="楷体" w:eastAsia="楷体" w:hAnsi="楷体" w:cs="宋体"/>
                      <w:color w:val="000000"/>
                      <w:kern w:val="0"/>
                      <w:sz w:val="20"/>
                      <w:szCs w:val="20"/>
                    </w:rPr>
                  </w:pPr>
                  <w:proofErr w:type="gramStart"/>
                  <w:r w:rsidRPr="009F6C52">
                    <w:rPr>
                      <w:rFonts w:ascii="楷体" w:eastAsia="楷体" w:hAnsi="楷体" w:cs="宋体" w:hint="eastAsia"/>
                      <w:color w:val="000000"/>
                      <w:kern w:val="0"/>
                      <w:sz w:val="20"/>
                      <w:szCs w:val="20"/>
                    </w:rPr>
                    <w:t>城投债</w:t>
                  </w:r>
                  <w:proofErr w:type="gramEnd"/>
                  <w:r w:rsidRPr="009F6C52">
                    <w:rPr>
                      <w:rFonts w:ascii="楷体" w:eastAsia="楷体" w:hAnsi="楷体" w:cs="宋体" w:hint="eastAsia"/>
                      <w:color w:val="000000"/>
                      <w:kern w:val="0"/>
                      <w:sz w:val="20"/>
                      <w:szCs w:val="20"/>
                    </w:rPr>
                    <w:t>7Y</w:t>
                  </w:r>
                </w:p>
              </w:tc>
              <w:tc>
                <w:tcPr>
                  <w:tcW w:w="689" w:type="dxa"/>
                  <w:tcBorders>
                    <w:top w:val="nil"/>
                    <w:left w:val="nil"/>
                    <w:bottom w:val="single" w:sz="8" w:space="0" w:color="FFFFFF"/>
                    <w:right w:val="single" w:sz="8" w:space="0" w:color="FFFFFF"/>
                  </w:tcBorders>
                  <w:shd w:val="clear" w:color="000000" w:fill="FCD5B4"/>
                  <w:noWrap/>
                  <w:vAlign w:val="center"/>
                  <w:hideMark/>
                </w:tcPr>
                <w:p w14:paraId="1270802C"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4%</w:t>
                  </w:r>
                </w:p>
              </w:tc>
              <w:tc>
                <w:tcPr>
                  <w:tcW w:w="942" w:type="dxa"/>
                  <w:tcBorders>
                    <w:top w:val="nil"/>
                    <w:left w:val="nil"/>
                    <w:bottom w:val="single" w:sz="8" w:space="0" w:color="FFFFFF"/>
                    <w:right w:val="single" w:sz="8" w:space="0" w:color="FFFFFF"/>
                  </w:tcBorders>
                  <w:shd w:val="clear" w:color="000000" w:fill="FCD5B4"/>
                  <w:noWrap/>
                  <w:vAlign w:val="center"/>
                  <w:hideMark/>
                </w:tcPr>
                <w:p w14:paraId="00F1E564"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3%</w:t>
                  </w:r>
                </w:p>
              </w:tc>
              <w:tc>
                <w:tcPr>
                  <w:tcW w:w="942" w:type="dxa"/>
                  <w:tcBorders>
                    <w:top w:val="nil"/>
                    <w:left w:val="nil"/>
                    <w:bottom w:val="single" w:sz="8" w:space="0" w:color="FFFFFF"/>
                    <w:right w:val="single" w:sz="8" w:space="0" w:color="FFFFFF"/>
                  </w:tcBorders>
                  <w:shd w:val="clear" w:color="000000" w:fill="FCD5B4"/>
                  <w:noWrap/>
                  <w:vAlign w:val="center"/>
                  <w:hideMark/>
                </w:tcPr>
                <w:p w14:paraId="5AF9D2CA" w14:textId="77777777" w:rsidR="009F6C52" w:rsidRPr="009F6C52" w:rsidRDefault="009F6C52" w:rsidP="009F6C52">
                  <w:pPr>
                    <w:widowControl/>
                    <w:jc w:val="center"/>
                    <w:rPr>
                      <w:rFonts w:eastAsia="等线" w:cs="Calibri"/>
                      <w:color w:val="000000"/>
                      <w:kern w:val="0"/>
                      <w:szCs w:val="21"/>
                    </w:rPr>
                  </w:pPr>
                  <w:r w:rsidRPr="009F6C52">
                    <w:rPr>
                      <w:rFonts w:eastAsia="等线" w:cs="Calibri"/>
                      <w:color w:val="000000"/>
                      <w:kern w:val="0"/>
                      <w:szCs w:val="21"/>
                    </w:rPr>
                    <w:t>10%</w:t>
                  </w:r>
                </w:p>
              </w:tc>
              <w:tc>
                <w:tcPr>
                  <w:tcW w:w="942" w:type="dxa"/>
                  <w:tcBorders>
                    <w:top w:val="nil"/>
                    <w:left w:val="nil"/>
                    <w:bottom w:val="single" w:sz="8" w:space="0" w:color="FFFFFF"/>
                    <w:right w:val="single" w:sz="8" w:space="0" w:color="FFFFFF"/>
                  </w:tcBorders>
                  <w:shd w:val="clear" w:color="000000" w:fill="FFC7CE"/>
                  <w:noWrap/>
                  <w:vAlign w:val="center"/>
                  <w:hideMark/>
                </w:tcPr>
                <w:p w14:paraId="3D1888B2" w14:textId="77777777" w:rsidR="009F6C52" w:rsidRPr="009F6C52" w:rsidRDefault="009F6C52" w:rsidP="009F6C52">
                  <w:pPr>
                    <w:widowControl/>
                    <w:jc w:val="center"/>
                    <w:rPr>
                      <w:rFonts w:eastAsia="等线" w:cs="Calibri"/>
                      <w:color w:val="9C0006"/>
                      <w:kern w:val="0"/>
                      <w:szCs w:val="21"/>
                    </w:rPr>
                  </w:pPr>
                  <w:r w:rsidRPr="009F6C52">
                    <w:rPr>
                      <w:rFonts w:eastAsia="等线" w:cs="Calibri"/>
                      <w:color w:val="9C0006"/>
                      <w:kern w:val="0"/>
                      <w:szCs w:val="21"/>
                    </w:rPr>
                    <w:t>86%</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704EA561"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5437B0">
        <w:rPr>
          <w:rFonts w:ascii="华文楷体" w:hAnsi="华文楷体" w:hint="eastAsia"/>
          <w:sz w:val="24"/>
          <w:szCs w:val="24"/>
          <w:lang w:eastAsia="zh-CN"/>
        </w:rPr>
        <w:t>，</w:t>
      </w:r>
      <w:r w:rsidR="00D909DA" w:rsidRPr="00D909DA">
        <w:rPr>
          <w:rFonts w:ascii="华文楷体" w:hAnsi="华文楷体" w:hint="eastAsia"/>
          <w:sz w:val="24"/>
          <w:szCs w:val="24"/>
          <w:lang w:eastAsia="zh-CN"/>
        </w:rPr>
        <w:t>各主要板块指数震荡为主，除上证50、沪深300外多数板块成交量上涨。</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D909DA">
        <w:rPr>
          <w:rFonts w:ascii="华文楷体" w:hAnsi="华文楷体" w:hint="eastAsia"/>
          <w:sz w:val="24"/>
          <w:szCs w:val="24"/>
          <w:lang w:eastAsia="zh-CN"/>
        </w:rPr>
        <w:t>-</w:t>
      </w:r>
      <w:r w:rsidR="00D909DA">
        <w:rPr>
          <w:rFonts w:ascii="华文楷体" w:hAnsi="华文楷体"/>
          <w:sz w:val="24"/>
          <w:szCs w:val="24"/>
          <w:lang w:eastAsia="zh-CN"/>
        </w:rPr>
        <w:t>0.2</w:t>
      </w:r>
      <w:r w:rsidR="00AC28BB">
        <w:rPr>
          <w:rFonts w:ascii="华文楷体" w:hAnsi="华文楷体"/>
          <w:sz w:val="24"/>
          <w:szCs w:val="24"/>
          <w:lang w:eastAsia="zh-CN"/>
        </w:rPr>
        <w:t>%、</w:t>
      </w:r>
      <w:r w:rsidR="001F098C">
        <w:rPr>
          <w:rFonts w:ascii="华文楷体" w:hAnsi="华文楷体" w:hint="eastAsia"/>
          <w:sz w:val="24"/>
          <w:szCs w:val="24"/>
          <w:lang w:eastAsia="zh-CN"/>
        </w:rPr>
        <w:t>+</w:t>
      </w:r>
      <w:r w:rsidR="00D909DA">
        <w:rPr>
          <w:rFonts w:ascii="华文楷体" w:hAnsi="华文楷体"/>
          <w:sz w:val="24"/>
          <w:szCs w:val="24"/>
          <w:lang w:eastAsia="zh-CN"/>
        </w:rPr>
        <w:t>0.3</w:t>
      </w:r>
      <w:r w:rsidR="00AC28BB">
        <w:rPr>
          <w:rFonts w:ascii="华文楷体" w:hAnsi="华文楷体"/>
          <w:sz w:val="24"/>
          <w:szCs w:val="24"/>
          <w:lang w:eastAsia="zh-CN"/>
        </w:rPr>
        <w:t>%、</w:t>
      </w:r>
      <w:r w:rsidR="00D909DA">
        <w:rPr>
          <w:rFonts w:ascii="华文楷体" w:hAnsi="华文楷体" w:hint="eastAsia"/>
          <w:sz w:val="24"/>
          <w:szCs w:val="24"/>
          <w:lang w:eastAsia="zh-CN"/>
        </w:rPr>
        <w:t>-</w:t>
      </w:r>
      <w:r w:rsidR="00D909DA">
        <w:rPr>
          <w:rFonts w:ascii="华文楷体" w:hAnsi="华文楷体"/>
          <w:sz w:val="24"/>
          <w:szCs w:val="24"/>
          <w:lang w:eastAsia="zh-CN"/>
        </w:rPr>
        <w:t>1.3</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D909DA">
        <w:rPr>
          <w:rFonts w:ascii="华文楷体" w:hAnsi="华文楷体" w:hint="eastAsia"/>
          <w:sz w:val="24"/>
          <w:szCs w:val="24"/>
          <w:lang w:eastAsia="zh-CN"/>
        </w:rPr>
        <w:t>-</w:t>
      </w:r>
      <w:r w:rsidR="00D909DA">
        <w:rPr>
          <w:rFonts w:ascii="华文楷体" w:hAnsi="华文楷体"/>
          <w:sz w:val="24"/>
          <w:szCs w:val="24"/>
          <w:lang w:eastAsia="zh-CN"/>
        </w:rPr>
        <w:t>0.7</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3E33BA">
        <w:rPr>
          <w:rFonts w:ascii="华文楷体" w:hAnsi="华文楷体" w:hint="eastAsia"/>
          <w:sz w:val="24"/>
          <w:szCs w:val="24"/>
          <w:lang w:eastAsia="zh-CN"/>
        </w:rPr>
        <w:t>上</w:t>
      </w:r>
      <w:r w:rsidR="00307DB0">
        <w:rPr>
          <w:rFonts w:ascii="华文楷体" w:hAnsi="华文楷体" w:hint="eastAsia"/>
          <w:sz w:val="24"/>
          <w:szCs w:val="24"/>
          <w:lang w:eastAsia="zh-CN"/>
        </w:rPr>
        <w:t>周</w:t>
      </w:r>
      <w:r w:rsidR="002C4A75">
        <w:rPr>
          <w:rFonts w:ascii="华文楷体" w:hAnsi="华文楷体" w:hint="eastAsia"/>
          <w:sz w:val="24"/>
          <w:szCs w:val="24"/>
          <w:lang w:eastAsia="zh-CN"/>
        </w:rPr>
        <w:t>涨幅收窄</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r w:rsidR="00976757">
        <w:rPr>
          <w:rFonts w:ascii="华文楷体" w:hAnsi="华文楷体" w:hint="eastAsia"/>
          <w:sz w:val="24"/>
          <w:szCs w:val="24"/>
          <w:lang w:eastAsia="zh-CN"/>
        </w:rPr>
        <w:t>微</w:t>
      </w:r>
      <w:proofErr w:type="gramEnd"/>
      <w:r w:rsidR="00976757">
        <w:rPr>
          <w:rFonts w:ascii="华文楷体" w:hAnsi="华文楷体" w:hint="eastAsia"/>
          <w:sz w:val="24"/>
          <w:szCs w:val="24"/>
          <w:lang w:eastAsia="zh-CN"/>
        </w:rPr>
        <w:t>涨</w:t>
      </w:r>
      <w:r w:rsidR="00D909DA">
        <w:rPr>
          <w:rFonts w:ascii="华文楷体" w:hAnsi="华文楷体"/>
          <w:sz w:val="24"/>
          <w:szCs w:val="24"/>
          <w:lang w:eastAsia="zh-CN"/>
        </w:rPr>
        <w:t>0.1</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D909DA">
        <w:tblPrEx>
          <w:tblCellMar>
            <w:left w:w="108" w:type="dxa"/>
            <w:right w:w="108" w:type="dxa"/>
          </w:tblCellMar>
        </w:tblPrEx>
        <w:trPr>
          <w:trHeight w:val="2921"/>
          <w:jc w:val="center"/>
        </w:trPr>
        <w:tc>
          <w:tcPr>
            <w:tcW w:w="4939" w:type="dxa"/>
            <w:vAlign w:val="center"/>
          </w:tcPr>
          <w:p w14:paraId="5C83721A" w14:textId="59713223" w:rsidR="00E0626C" w:rsidRPr="00345C30" w:rsidRDefault="00D909DA" w:rsidP="00345C30">
            <w:pPr>
              <w:widowControl/>
              <w:jc w:val="left"/>
              <w:rPr>
                <w:rFonts w:ascii="宋体" w:hAnsi="宋体" w:cs="宋体"/>
                <w:kern w:val="0"/>
                <w:sz w:val="24"/>
                <w:szCs w:val="24"/>
              </w:rPr>
            </w:pPr>
            <w:r w:rsidRPr="00D909DA">
              <w:rPr>
                <w:rFonts w:ascii="宋体" w:hAnsi="宋体" w:cs="宋体"/>
                <w:noProof/>
                <w:kern w:val="0"/>
                <w:sz w:val="24"/>
                <w:szCs w:val="24"/>
              </w:rPr>
              <w:drawing>
                <wp:anchor distT="0" distB="0" distL="114300" distR="114300" simplePos="0" relativeHeight="251658240" behindDoc="1" locked="0" layoutInCell="1" allowOverlap="1" wp14:anchorId="3EDDD6AA" wp14:editId="20E6A21E">
                  <wp:simplePos x="0" y="0"/>
                  <wp:positionH relativeFrom="column">
                    <wp:posOffset>2119</wp:posOffset>
                  </wp:positionH>
                  <wp:positionV relativeFrom="paragraph">
                    <wp:posOffset>18616</wp:posOffset>
                  </wp:positionV>
                  <wp:extent cx="3132499" cy="1943100"/>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32499" cy="19431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938" w:type="dxa"/>
            <w:vAlign w:val="center"/>
          </w:tcPr>
          <w:p w14:paraId="39BD4383" w14:textId="4E273CF9" w:rsidR="00E0626C" w:rsidRPr="007E0340" w:rsidRDefault="00D909DA" w:rsidP="009A2BA0">
            <w:pPr>
              <w:jc w:val="center"/>
              <w:rPr>
                <w:noProof/>
                <w:szCs w:val="18"/>
              </w:rPr>
            </w:pPr>
            <w:r>
              <w:rPr>
                <w:noProof/>
              </w:rPr>
              <w:drawing>
                <wp:inline distT="0" distB="0" distL="0" distR="0" wp14:anchorId="525AF373" wp14:editId="56564BB3">
                  <wp:extent cx="2998470" cy="1926231"/>
                  <wp:effectExtent l="0" t="0" r="0" b="0"/>
                  <wp:docPr id="12" name="图表 12">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5E4BC144"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891CB5">
        <w:rPr>
          <w:rFonts w:ascii="华文楷体" w:hAnsi="华文楷体" w:hint="eastAsia"/>
          <w:sz w:val="24"/>
          <w:szCs w:val="24"/>
          <w:lang w:eastAsia="zh-CN"/>
        </w:rPr>
        <w:t>上</w:t>
      </w:r>
      <w:r w:rsidR="00A20244" w:rsidRPr="00A20244">
        <w:rPr>
          <w:rFonts w:ascii="华文楷体" w:hAnsi="华文楷体" w:hint="eastAsia"/>
          <w:sz w:val="24"/>
          <w:szCs w:val="24"/>
          <w:lang w:eastAsia="zh-CN"/>
        </w:rPr>
        <w:t>周主要港口动力煤平均价环比下跌3.04%，较上一周</w:t>
      </w:r>
      <w:r w:rsidR="00A20244">
        <w:rPr>
          <w:rFonts w:ascii="华文楷体" w:hAnsi="华文楷体" w:hint="eastAsia"/>
          <w:sz w:val="24"/>
          <w:szCs w:val="24"/>
          <w:lang w:eastAsia="zh-CN"/>
        </w:rPr>
        <w:t>跌幅收窄</w:t>
      </w:r>
      <w:r w:rsidR="00A20244" w:rsidRPr="00A20244">
        <w:rPr>
          <w:rFonts w:ascii="华文楷体" w:hAnsi="华文楷体" w:hint="eastAsia"/>
          <w:sz w:val="24"/>
          <w:szCs w:val="24"/>
          <w:lang w:eastAsia="zh-CN"/>
        </w:rPr>
        <w:t>0.4</w:t>
      </w:r>
      <w:r w:rsidR="00A20244">
        <w:rPr>
          <w:rFonts w:ascii="华文楷体" w:hAnsi="华文楷体" w:hint="eastAsia"/>
          <w:sz w:val="24"/>
          <w:szCs w:val="24"/>
          <w:lang w:eastAsia="zh-CN"/>
        </w:rPr>
        <w:t>%</w:t>
      </w:r>
      <w:r w:rsidR="00D17748" w:rsidRPr="00D17748">
        <w:rPr>
          <w:rFonts w:ascii="华文楷体" w:hAnsi="华文楷体" w:hint="eastAsia"/>
          <w:sz w:val="24"/>
          <w:szCs w:val="24"/>
          <w:lang w:eastAsia="zh-CN"/>
        </w:rPr>
        <w:t>。</w:t>
      </w:r>
      <w:r w:rsidR="00A20244" w:rsidRPr="00A20244">
        <w:rPr>
          <w:rFonts w:ascii="华文楷体" w:hAnsi="华文楷体" w:hint="eastAsia"/>
          <w:sz w:val="24"/>
          <w:szCs w:val="24"/>
          <w:lang w:eastAsia="zh-CN"/>
        </w:rPr>
        <w:t>PTA产业链负荷率下降2.4个百分点至81.42%。南华玻璃指数均值在3527.34，环比上行3.32%。</w:t>
      </w:r>
      <w:r w:rsidR="00891CB5">
        <w:rPr>
          <w:rFonts w:ascii="华文楷体" w:hAnsi="华文楷体" w:hint="eastAsia"/>
          <w:sz w:val="24"/>
          <w:szCs w:val="24"/>
          <w:lang w:eastAsia="zh-CN"/>
        </w:rPr>
        <w:t>上</w:t>
      </w:r>
      <w:r w:rsidR="00A20244" w:rsidRPr="00A20244">
        <w:rPr>
          <w:rFonts w:ascii="华文楷体" w:hAnsi="华文楷体" w:hint="eastAsia"/>
          <w:sz w:val="24"/>
          <w:szCs w:val="24"/>
          <w:lang w:eastAsia="zh-CN"/>
        </w:rPr>
        <w:t>周</w:t>
      </w:r>
      <w:proofErr w:type="spellStart"/>
      <w:r w:rsidR="00A20244" w:rsidRPr="00A20244">
        <w:rPr>
          <w:rFonts w:ascii="华文楷体" w:hAnsi="华文楷体" w:hint="eastAsia"/>
          <w:sz w:val="24"/>
          <w:szCs w:val="24"/>
          <w:lang w:eastAsia="zh-CN"/>
        </w:rPr>
        <w:t>Myspic</w:t>
      </w:r>
      <w:proofErr w:type="spellEnd"/>
      <w:r w:rsidR="00A20244" w:rsidRPr="00A20244">
        <w:rPr>
          <w:rFonts w:ascii="华文楷体" w:hAnsi="华文楷体" w:hint="eastAsia"/>
          <w:sz w:val="24"/>
          <w:szCs w:val="24"/>
          <w:lang w:eastAsia="zh-CN"/>
        </w:rPr>
        <w:t>综合全国钢铁价格指数上行2.69%，主要品种价格环比上涨2-3%左右。按品种看，螺纹钢、热卷、高线价格</w:t>
      </w:r>
      <w:r w:rsidR="00891CB5">
        <w:rPr>
          <w:rFonts w:ascii="华文楷体" w:hAnsi="华文楷体" w:hint="eastAsia"/>
          <w:sz w:val="24"/>
          <w:szCs w:val="24"/>
          <w:lang w:eastAsia="zh-CN"/>
        </w:rPr>
        <w:t>上</w:t>
      </w:r>
      <w:r w:rsidR="00A20244" w:rsidRPr="00A20244">
        <w:rPr>
          <w:rFonts w:ascii="华文楷体" w:hAnsi="华文楷体" w:hint="eastAsia"/>
          <w:sz w:val="24"/>
          <w:szCs w:val="24"/>
          <w:lang w:eastAsia="zh-CN"/>
        </w:rPr>
        <w:t>周分别上涨2.93%、3.22%、3.15%，结束连续两周的回调态势。库存方面，主要钢材品种库存环比下降1.05%，去</w:t>
      </w:r>
      <w:proofErr w:type="gramStart"/>
      <w:r w:rsidR="00A20244" w:rsidRPr="00A20244">
        <w:rPr>
          <w:rFonts w:ascii="华文楷体" w:hAnsi="华文楷体" w:hint="eastAsia"/>
          <w:sz w:val="24"/>
          <w:szCs w:val="24"/>
          <w:lang w:eastAsia="zh-CN"/>
        </w:rPr>
        <w:t>库速度</w:t>
      </w:r>
      <w:proofErr w:type="gramEnd"/>
      <w:r w:rsidR="00A20244" w:rsidRPr="00A20244">
        <w:rPr>
          <w:rFonts w:ascii="华文楷体" w:hAnsi="华文楷体" w:hint="eastAsia"/>
          <w:sz w:val="24"/>
          <w:szCs w:val="24"/>
          <w:lang w:eastAsia="zh-CN"/>
        </w:rPr>
        <w:t>继续放慢，其中，螺纹钢、热卷、线材总库存分别变化-1.83%、+1.65%、-4.27%。</w:t>
      </w:r>
    </w:p>
    <w:p w14:paraId="21425444" w14:textId="2201FEF5"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A20244" w:rsidRPr="00A20244">
        <w:rPr>
          <w:rFonts w:ascii="华文楷体" w:hAnsi="华文楷体" w:hint="eastAsia"/>
          <w:sz w:val="24"/>
          <w:szCs w:val="24"/>
          <w:lang w:eastAsia="zh-CN"/>
        </w:rPr>
        <w:t>30大中城市商品房平均成交</w:t>
      </w:r>
      <w:proofErr w:type="gramStart"/>
      <w:r w:rsidR="00A20244" w:rsidRPr="00A20244">
        <w:rPr>
          <w:rFonts w:ascii="华文楷体" w:hAnsi="华文楷体" w:hint="eastAsia"/>
          <w:sz w:val="24"/>
          <w:szCs w:val="24"/>
          <w:lang w:eastAsia="zh-CN"/>
        </w:rPr>
        <w:t>面积环</w:t>
      </w:r>
      <w:proofErr w:type="gramEnd"/>
      <w:r w:rsidR="00A20244" w:rsidRPr="00A20244">
        <w:rPr>
          <w:rFonts w:ascii="华文楷体" w:hAnsi="华文楷体" w:hint="eastAsia"/>
          <w:sz w:val="24"/>
          <w:szCs w:val="24"/>
          <w:lang w:eastAsia="zh-CN"/>
        </w:rPr>
        <w:t>比回落2.31%。其中，一、二、三线城市分别变化-14.85%、+1.62%、-1.6%，新房供给下降、二手房成交规模小幅回落1%。拿地方面，上周100大中城市土地成交</w:t>
      </w:r>
      <w:proofErr w:type="gramStart"/>
      <w:r w:rsidR="00A20244" w:rsidRPr="00A20244">
        <w:rPr>
          <w:rFonts w:ascii="华文楷体" w:hAnsi="华文楷体" w:hint="eastAsia"/>
          <w:sz w:val="24"/>
          <w:szCs w:val="24"/>
          <w:lang w:eastAsia="zh-CN"/>
        </w:rPr>
        <w:t>面积环</w:t>
      </w:r>
      <w:proofErr w:type="gramEnd"/>
      <w:r w:rsidR="00A20244" w:rsidRPr="00A20244">
        <w:rPr>
          <w:rFonts w:ascii="华文楷体" w:hAnsi="华文楷体" w:hint="eastAsia"/>
          <w:sz w:val="24"/>
          <w:szCs w:val="24"/>
          <w:lang w:eastAsia="zh-CN"/>
        </w:rPr>
        <w:t>比下降约18%，其中，一、二、三线城市分别变化 +108%、-11%、-42.5%</w:t>
      </w:r>
      <w:r w:rsidR="00AE5690">
        <w:rPr>
          <w:rFonts w:ascii="华文楷体" w:hAnsi="华文楷体" w:hint="eastAsia"/>
          <w:sz w:val="24"/>
          <w:szCs w:val="24"/>
          <w:lang w:eastAsia="zh-CN"/>
        </w:rPr>
        <w:t>。</w:t>
      </w:r>
    </w:p>
    <w:p w14:paraId="77CCCEDF" w14:textId="58EA5801"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1F098C" w:rsidRPr="001F098C">
        <w:rPr>
          <w:rFonts w:ascii="华文楷体" w:hAnsi="华文楷体" w:hint="eastAsia"/>
          <w:sz w:val="24"/>
          <w:szCs w:val="24"/>
          <w:lang w:eastAsia="zh-CN"/>
        </w:rPr>
        <w:t>出口方面，</w:t>
      </w:r>
      <w:r w:rsidR="00A20244" w:rsidRPr="00A20244">
        <w:rPr>
          <w:rFonts w:ascii="华文楷体" w:hAnsi="华文楷体" w:hint="eastAsia"/>
          <w:bCs/>
          <w:sz w:val="24"/>
          <w:szCs w:val="24"/>
          <w:lang w:eastAsia="zh-CN"/>
        </w:rPr>
        <w:t>上海出口集装箱指数（SCFI）</w:t>
      </w:r>
      <w:r w:rsidR="00891CB5">
        <w:rPr>
          <w:rFonts w:ascii="华文楷体" w:hAnsi="华文楷体" w:hint="eastAsia"/>
          <w:bCs/>
          <w:sz w:val="24"/>
          <w:szCs w:val="24"/>
          <w:lang w:eastAsia="zh-CN"/>
        </w:rPr>
        <w:t>上</w:t>
      </w:r>
      <w:r w:rsidR="00A20244" w:rsidRPr="00A20244">
        <w:rPr>
          <w:rFonts w:ascii="华文楷体" w:hAnsi="华文楷体" w:hint="eastAsia"/>
          <w:bCs/>
          <w:sz w:val="24"/>
          <w:szCs w:val="24"/>
          <w:lang w:eastAsia="zh-CN"/>
        </w:rPr>
        <w:t>周环比回升3.36%，中国出口集装箱运价指数（CCFI）上行3.37%</w:t>
      </w:r>
      <w:r w:rsidR="003B19EF" w:rsidRPr="003B19EF">
        <w:rPr>
          <w:rFonts w:ascii="华文楷体" w:hAnsi="华文楷体" w:hint="eastAsia"/>
          <w:bCs/>
          <w:sz w:val="24"/>
          <w:szCs w:val="24"/>
          <w:lang w:eastAsia="zh-CN"/>
        </w:rPr>
        <w:t>。</w:t>
      </w:r>
      <w:r w:rsidR="001F098C">
        <w:rPr>
          <w:rFonts w:ascii="华文楷体" w:hAnsi="华文楷体" w:hint="eastAsia"/>
          <w:bCs/>
          <w:sz w:val="24"/>
          <w:szCs w:val="24"/>
          <w:lang w:eastAsia="zh-CN"/>
        </w:rPr>
        <w:t>进口方面，</w:t>
      </w:r>
      <w:r w:rsidR="00A20244" w:rsidRPr="00A20244">
        <w:rPr>
          <w:rFonts w:ascii="华文楷体" w:hAnsi="华文楷体" w:hint="eastAsia"/>
          <w:bCs/>
          <w:sz w:val="24"/>
          <w:szCs w:val="24"/>
          <w:lang w:eastAsia="zh-CN"/>
        </w:rPr>
        <w:t>波罗的海干散货</w:t>
      </w:r>
      <w:proofErr w:type="gramStart"/>
      <w:r w:rsidR="00A20244" w:rsidRPr="00A20244">
        <w:rPr>
          <w:rFonts w:ascii="华文楷体" w:hAnsi="华文楷体" w:hint="eastAsia"/>
          <w:bCs/>
          <w:sz w:val="24"/>
          <w:szCs w:val="24"/>
          <w:lang w:eastAsia="zh-CN"/>
        </w:rPr>
        <w:t>指数环</w:t>
      </w:r>
      <w:proofErr w:type="gramEnd"/>
      <w:r w:rsidR="00A20244" w:rsidRPr="00A20244">
        <w:rPr>
          <w:rFonts w:ascii="华文楷体" w:hAnsi="华文楷体" w:hint="eastAsia"/>
          <w:bCs/>
          <w:sz w:val="24"/>
          <w:szCs w:val="24"/>
          <w:lang w:eastAsia="zh-CN"/>
        </w:rPr>
        <w:t>比进一步下行8.87%，中国进口干散货运价</w:t>
      </w:r>
      <w:proofErr w:type="gramStart"/>
      <w:r w:rsidR="00A20244" w:rsidRPr="00A20244">
        <w:rPr>
          <w:rFonts w:ascii="华文楷体" w:hAnsi="华文楷体" w:hint="eastAsia"/>
          <w:bCs/>
          <w:sz w:val="24"/>
          <w:szCs w:val="24"/>
          <w:lang w:eastAsia="zh-CN"/>
        </w:rPr>
        <w:t>指数环</w:t>
      </w:r>
      <w:proofErr w:type="gramEnd"/>
      <w:r w:rsidR="00A20244" w:rsidRPr="00A20244">
        <w:rPr>
          <w:rFonts w:ascii="华文楷体" w:hAnsi="华文楷体" w:hint="eastAsia"/>
          <w:bCs/>
          <w:sz w:val="24"/>
          <w:szCs w:val="24"/>
          <w:lang w:eastAsia="zh-CN"/>
        </w:rPr>
        <w:t>比下行6.81%。</w:t>
      </w:r>
    </w:p>
    <w:p w14:paraId="50CC8233" w14:textId="66749916" w:rsidR="00065754"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891CB5">
        <w:rPr>
          <w:rFonts w:ascii="华文楷体" w:hAnsi="华文楷体" w:hint="eastAsia"/>
          <w:bCs/>
          <w:sz w:val="24"/>
          <w:szCs w:val="24"/>
          <w:lang w:eastAsia="zh-CN"/>
        </w:rPr>
        <w:t>上</w:t>
      </w:r>
      <w:r w:rsidR="003B19EF" w:rsidRPr="003B19EF">
        <w:rPr>
          <w:rFonts w:ascii="华文楷体" w:hAnsi="华文楷体" w:hint="eastAsia"/>
          <w:bCs/>
          <w:sz w:val="24"/>
          <w:szCs w:val="24"/>
          <w:lang w:eastAsia="zh-CN"/>
        </w:rPr>
        <w:t>周</w:t>
      </w:r>
      <w:r w:rsidR="001F098C" w:rsidRPr="001F098C">
        <w:rPr>
          <w:rFonts w:ascii="华文楷体" w:hAnsi="华文楷体" w:hint="eastAsia"/>
          <w:bCs/>
          <w:sz w:val="24"/>
          <w:szCs w:val="24"/>
          <w:lang w:eastAsia="zh-CN"/>
        </w:rPr>
        <w:t>猪价方面，</w:t>
      </w:r>
      <w:r w:rsidR="00065754" w:rsidRPr="00065754">
        <w:rPr>
          <w:rFonts w:ascii="华文楷体" w:hAnsi="华文楷体" w:hint="eastAsia"/>
          <w:bCs/>
          <w:sz w:val="24"/>
          <w:szCs w:val="24"/>
          <w:lang w:eastAsia="zh-CN"/>
        </w:rPr>
        <w:t>农业部公布的全国平均批发价下降至24.92元/公斤，环比跌幅扩大至5.08%。蔬菜、牛肉、水产品转跌，农产品和菜篮子批发价格指数分别下降0.93%和1.08%，跌幅扩大</w:t>
      </w:r>
      <w:r w:rsidR="00065754">
        <w:rPr>
          <w:rFonts w:ascii="华文楷体" w:hAnsi="华文楷体" w:hint="eastAsia"/>
          <w:bCs/>
          <w:sz w:val="24"/>
          <w:szCs w:val="24"/>
          <w:lang w:eastAsia="zh-CN"/>
        </w:rPr>
        <w:t>。</w:t>
      </w:r>
      <w:r w:rsidR="003B19EF" w:rsidRPr="003B19EF">
        <w:rPr>
          <w:rFonts w:ascii="华文楷体" w:hAnsi="华文楷体" w:hint="eastAsia"/>
          <w:bCs/>
          <w:sz w:val="24"/>
          <w:szCs w:val="24"/>
          <w:lang w:eastAsia="zh-CN"/>
        </w:rPr>
        <w:t>工业品价格方面，</w:t>
      </w:r>
      <w:r w:rsidR="00891CB5">
        <w:rPr>
          <w:rFonts w:ascii="华文楷体" w:hAnsi="华文楷体" w:hint="eastAsia"/>
          <w:bCs/>
          <w:sz w:val="24"/>
          <w:szCs w:val="24"/>
          <w:lang w:eastAsia="zh-CN"/>
        </w:rPr>
        <w:t>上</w:t>
      </w:r>
      <w:r w:rsidR="00065754" w:rsidRPr="00065754">
        <w:rPr>
          <w:rFonts w:ascii="华文楷体" w:hAnsi="华文楷体" w:hint="eastAsia"/>
          <w:bCs/>
          <w:sz w:val="24"/>
          <w:szCs w:val="24"/>
          <w:lang w:eastAsia="zh-CN"/>
        </w:rPr>
        <w:t>周国内长江有色市场铜价小幅上涨1.37%，铝、铅、锌价分别变化+0.88%、-0.19%、+2.0%；海外方面，LME铜、铝、铅、</w:t>
      </w:r>
      <w:proofErr w:type="gramStart"/>
      <w:r w:rsidR="00065754" w:rsidRPr="00065754">
        <w:rPr>
          <w:rFonts w:ascii="华文楷体" w:hAnsi="华文楷体" w:hint="eastAsia"/>
          <w:bCs/>
          <w:sz w:val="24"/>
          <w:szCs w:val="24"/>
          <w:lang w:eastAsia="zh-CN"/>
        </w:rPr>
        <w:t>锌环比</w:t>
      </w:r>
      <w:proofErr w:type="gramEnd"/>
      <w:r w:rsidR="00065754" w:rsidRPr="00065754">
        <w:rPr>
          <w:rFonts w:ascii="华文楷体" w:hAnsi="华文楷体" w:hint="eastAsia"/>
          <w:bCs/>
          <w:sz w:val="24"/>
          <w:szCs w:val="24"/>
          <w:lang w:eastAsia="zh-CN"/>
        </w:rPr>
        <w:t>分别上涨1.08%、2.45%、0.70%、1.79%。</w:t>
      </w:r>
    </w:p>
    <w:p w14:paraId="3425BC76" w14:textId="16B509BC"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AE5690" w:rsidRPr="00AE5690">
        <w:rPr>
          <w:rFonts w:ascii="华文楷体" w:hAnsi="华文楷体" w:hint="eastAsia"/>
          <w:bCs/>
          <w:sz w:val="24"/>
          <w:szCs w:val="24"/>
          <w:lang w:eastAsia="zh-CN"/>
        </w:rPr>
        <w:t>乘联会最新数据显示，</w:t>
      </w:r>
      <w:r w:rsidR="00065754" w:rsidRPr="00065754">
        <w:rPr>
          <w:rFonts w:ascii="华文楷体" w:hAnsi="华文楷体" w:hint="eastAsia"/>
          <w:bCs/>
          <w:sz w:val="24"/>
          <w:szCs w:val="24"/>
          <w:lang w:eastAsia="zh-CN"/>
        </w:rPr>
        <w:t>5月第四周日均零售在8.6万辆左右，基本持平4月同期表现，较</w:t>
      </w:r>
      <w:r w:rsidR="00CE3898">
        <w:rPr>
          <w:rFonts w:ascii="华文楷体" w:hAnsi="华文楷体" w:hint="eastAsia"/>
          <w:bCs/>
          <w:sz w:val="24"/>
          <w:szCs w:val="24"/>
          <w:lang w:eastAsia="zh-CN"/>
        </w:rPr>
        <w:t>20</w:t>
      </w:r>
      <w:r w:rsidR="00065754" w:rsidRPr="00065754">
        <w:rPr>
          <w:rFonts w:ascii="华文楷体" w:hAnsi="华文楷体" w:hint="eastAsia"/>
          <w:bCs/>
          <w:sz w:val="24"/>
          <w:szCs w:val="24"/>
          <w:lang w:eastAsia="zh-CN"/>
        </w:rPr>
        <w:t>19年同期增长16%</w:t>
      </w:r>
      <w:r w:rsidR="00AE5690">
        <w:rPr>
          <w:rFonts w:ascii="华文楷体" w:hAnsi="华文楷体" w:hint="eastAsia"/>
          <w:bCs/>
          <w:sz w:val="24"/>
          <w:szCs w:val="24"/>
          <w:lang w:eastAsia="zh-CN"/>
        </w:rPr>
        <w:t>。</w:t>
      </w:r>
      <w:r w:rsidR="00065754" w:rsidRPr="00065754">
        <w:rPr>
          <w:rFonts w:ascii="华文楷体" w:hAnsi="华文楷体" w:hint="eastAsia"/>
          <w:bCs/>
          <w:sz w:val="24"/>
          <w:szCs w:val="24"/>
          <w:lang w:eastAsia="zh-CN"/>
        </w:rPr>
        <w:t>全月</w:t>
      </w:r>
      <w:proofErr w:type="gramStart"/>
      <w:r w:rsidR="00065754" w:rsidRPr="00065754">
        <w:rPr>
          <w:rFonts w:ascii="华文楷体" w:hAnsi="华文楷体" w:hint="eastAsia"/>
          <w:bCs/>
          <w:sz w:val="24"/>
          <w:szCs w:val="24"/>
          <w:lang w:eastAsia="zh-CN"/>
        </w:rPr>
        <w:t>销量环</w:t>
      </w:r>
      <w:proofErr w:type="gramEnd"/>
      <w:r w:rsidR="00065754" w:rsidRPr="00065754">
        <w:rPr>
          <w:rFonts w:ascii="华文楷体" w:hAnsi="华文楷体" w:hint="eastAsia"/>
          <w:bCs/>
          <w:sz w:val="24"/>
          <w:szCs w:val="24"/>
          <w:lang w:eastAsia="zh-CN"/>
        </w:rPr>
        <w:t>比4月增长3%，同比增4%。批发方面，当周主要厂商批发销量为日均7.53万辆，环比4月下降8%</w:t>
      </w:r>
      <w:r w:rsidR="00065754">
        <w:rPr>
          <w:rFonts w:ascii="华文楷体" w:hAnsi="华文楷体" w:hint="eastAsia"/>
          <w:bCs/>
          <w:sz w:val="24"/>
          <w:szCs w:val="24"/>
          <w:lang w:eastAsia="zh-CN"/>
        </w:rPr>
        <w:t>。</w:t>
      </w:r>
    </w:p>
    <w:p w14:paraId="6C0621FD" w14:textId="2221E0D2"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065754" w:rsidRPr="00065754">
        <w:rPr>
          <w:rFonts w:ascii="华文楷体" w:hAnsi="华文楷体" w:hint="eastAsia"/>
          <w:bCs/>
          <w:sz w:val="24"/>
          <w:szCs w:val="24"/>
          <w:lang w:eastAsia="zh-CN"/>
        </w:rPr>
        <w:t>布伦</w:t>
      </w:r>
      <w:proofErr w:type="gramStart"/>
      <w:r w:rsidR="00065754" w:rsidRPr="00065754">
        <w:rPr>
          <w:rFonts w:ascii="华文楷体" w:hAnsi="华文楷体" w:hint="eastAsia"/>
          <w:bCs/>
          <w:sz w:val="24"/>
          <w:szCs w:val="24"/>
          <w:lang w:eastAsia="zh-CN"/>
        </w:rPr>
        <w:t>特</w:t>
      </w:r>
      <w:proofErr w:type="gramEnd"/>
      <w:r w:rsidR="00065754" w:rsidRPr="00065754">
        <w:rPr>
          <w:rFonts w:ascii="华文楷体" w:hAnsi="华文楷体" w:hint="eastAsia"/>
          <w:bCs/>
          <w:sz w:val="24"/>
          <w:szCs w:val="24"/>
          <w:lang w:eastAsia="zh-CN"/>
        </w:rPr>
        <w:t>原油环比上</w:t>
      </w:r>
      <w:r w:rsidR="00891CB5">
        <w:rPr>
          <w:rFonts w:ascii="华文楷体" w:hAnsi="华文楷体" w:hint="eastAsia"/>
          <w:bCs/>
          <w:sz w:val="24"/>
          <w:szCs w:val="24"/>
          <w:lang w:eastAsia="zh-CN"/>
        </w:rPr>
        <w:t>一</w:t>
      </w:r>
      <w:r w:rsidR="00065754" w:rsidRPr="00065754">
        <w:rPr>
          <w:rFonts w:ascii="华文楷体" w:hAnsi="华文楷体" w:hint="eastAsia"/>
          <w:bCs/>
          <w:sz w:val="24"/>
          <w:szCs w:val="24"/>
          <w:lang w:eastAsia="zh-CN"/>
        </w:rPr>
        <w:t>周五涨3.25%至71.89美元/桶；WTI原油价格涨4.98%至69.62美元/桶。</w:t>
      </w:r>
      <w:bookmarkStart w:id="2" w:name="_GoBack"/>
      <w:bookmarkEnd w:id="2"/>
    </w:p>
    <w:p w14:paraId="35D3E229" w14:textId="7C9E35AD" w:rsidR="00DA6262" w:rsidRDefault="00891CB5" w:rsidP="00F07541">
      <w:pPr>
        <w:pStyle w:val="Body-text"/>
        <w:ind w:firstLineChars="200" w:firstLine="480"/>
        <w:rPr>
          <w:rFonts w:ascii="Helvetica" w:hAnsi="Helvetica"/>
          <w:color w:val="000000"/>
          <w:spacing w:val="8"/>
          <w:sz w:val="23"/>
          <w:szCs w:val="23"/>
          <w:shd w:val="clear" w:color="auto" w:fill="FFFFFF"/>
          <w:lang w:eastAsia="zh-CN"/>
        </w:rPr>
      </w:pPr>
      <w:r>
        <w:rPr>
          <w:rFonts w:ascii="华文楷体" w:hAnsi="华文楷体" w:hint="eastAsia"/>
          <w:b/>
          <w:bCs/>
          <w:sz w:val="24"/>
          <w:szCs w:val="24"/>
          <w:lang w:eastAsia="zh-CN"/>
        </w:rPr>
        <w:t>本</w:t>
      </w:r>
      <w:r w:rsidR="00A058AB" w:rsidRPr="00C866C2">
        <w:rPr>
          <w:rFonts w:ascii="华文楷体" w:hAnsi="华文楷体" w:hint="eastAsia"/>
          <w:b/>
          <w:bCs/>
          <w:sz w:val="24"/>
          <w:szCs w:val="24"/>
          <w:lang w:eastAsia="zh-CN"/>
        </w:rPr>
        <w:t>周</w:t>
      </w:r>
      <w:r w:rsidR="00A058AB">
        <w:rPr>
          <w:rFonts w:ascii="华文楷体" w:hAnsi="华文楷体" w:hint="eastAsia"/>
          <w:b/>
          <w:bCs/>
          <w:sz w:val="24"/>
          <w:szCs w:val="24"/>
          <w:lang w:eastAsia="zh-CN"/>
        </w:rPr>
        <w:t>关注</w:t>
      </w:r>
      <w:r w:rsidR="00A058AB">
        <w:rPr>
          <w:rFonts w:ascii="华文楷体" w:hAnsi="华文楷体" w:hint="eastAsia"/>
          <w:bCs/>
          <w:sz w:val="24"/>
          <w:szCs w:val="24"/>
          <w:lang w:eastAsia="zh-CN"/>
        </w:rPr>
        <w:t>：</w:t>
      </w:r>
      <w:r w:rsidR="005559FC">
        <w:rPr>
          <w:rFonts w:ascii="华文楷体" w:hAnsi="华文楷体" w:hint="eastAsia"/>
          <w:bCs/>
          <w:sz w:val="24"/>
          <w:szCs w:val="24"/>
          <w:lang w:eastAsia="zh-CN"/>
        </w:rPr>
        <w:t>疫情、5月进出口数据（周一）</w:t>
      </w:r>
      <w:r w:rsidR="00065754" w:rsidRPr="00065754">
        <w:rPr>
          <w:rFonts w:ascii="华文楷体" w:hAnsi="华文楷体" w:hint="eastAsia"/>
          <w:bCs/>
          <w:sz w:val="24"/>
          <w:szCs w:val="24"/>
          <w:lang w:eastAsia="zh-CN"/>
        </w:rPr>
        <w:t>、5月通胀数据、5月金融数据</w:t>
      </w:r>
      <w:r w:rsidR="005559FC">
        <w:rPr>
          <w:rFonts w:ascii="华文楷体" w:hAnsi="华文楷体" w:hint="eastAsia"/>
          <w:bCs/>
          <w:sz w:val="24"/>
          <w:szCs w:val="24"/>
          <w:lang w:eastAsia="zh-CN"/>
        </w:rPr>
        <w:t>、美国C</w:t>
      </w:r>
      <w:r w:rsidR="005559FC">
        <w:rPr>
          <w:rFonts w:ascii="华文楷体" w:hAnsi="华文楷体"/>
          <w:bCs/>
          <w:sz w:val="24"/>
          <w:szCs w:val="24"/>
          <w:lang w:eastAsia="zh-CN"/>
        </w:rPr>
        <w:t>PI</w:t>
      </w:r>
      <w:r w:rsidR="005559FC">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7B84ABE5"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9F7E49">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539CC6E5"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940723" w:rsidRPr="00940723">
        <w:rPr>
          <w:rFonts w:ascii="华文楷体" w:hAnsi="华文楷体" w:hint="eastAsia"/>
          <w:sz w:val="24"/>
          <w:szCs w:val="24"/>
          <w:lang w:eastAsia="zh-CN"/>
        </w:rPr>
        <w:t>从基本面和数据出发，5月制造业PMI数据整体平稳，但出口订单走弱。高频数据上，关注原油上涨的持续性表现，防范其对后续通胀可能带来</w:t>
      </w:r>
      <w:r w:rsidR="009F7E49">
        <w:rPr>
          <w:rFonts w:ascii="华文楷体" w:hAnsi="华文楷体" w:hint="eastAsia"/>
          <w:sz w:val="24"/>
          <w:szCs w:val="24"/>
          <w:lang w:eastAsia="zh-CN"/>
        </w:rPr>
        <w:t>的</w:t>
      </w:r>
      <w:r w:rsidR="00940723" w:rsidRPr="00940723">
        <w:rPr>
          <w:rFonts w:ascii="华文楷体" w:hAnsi="华文楷体" w:hint="eastAsia"/>
          <w:sz w:val="24"/>
          <w:szCs w:val="24"/>
          <w:lang w:eastAsia="zh-CN"/>
        </w:rPr>
        <w:t>压力。资金面较前期波动加大，</w:t>
      </w:r>
      <w:proofErr w:type="gramStart"/>
      <w:r w:rsidR="00940723" w:rsidRPr="00940723">
        <w:rPr>
          <w:rFonts w:ascii="华文楷体" w:hAnsi="华文楷体" w:hint="eastAsia"/>
          <w:sz w:val="24"/>
          <w:szCs w:val="24"/>
          <w:lang w:eastAsia="zh-CN"/>
        </w:rPr>
        <w:t>周度资金</w:t>
      </w:r>
      <w:proofErr w:type="gramEnd"/>
      <w:r w:rsidR="00940723" w:rsidRPr="00940723">
        <w:rPr>
          <w:rFonts w:ascii="华文楷体" w:hAnsi="华文楷体" w:hint="eastAsia"/>
          <w:sz w:val="24"/>
          <w:szCs w:val="24"/>
          <w:lang w:eastAsia="zh-CN"/>
        </w:rPr>
        <w:t>利率中枢略有上行，债券供给较5月边际压力逐渐增加。债券表现上，国债期货情绪略弱，区间震荡后在</w:t>
      </w:r>
      <w:r w:rsidR="009F7E49">
        <w:rPr>
          <w:rFonts w:ascii="华文楷体" w:hAnsi="华文楷体" w:hint="eastAsia"/>
          <w:sz w:val="24"/>
          <w:szCs w:val="24"/>
          <w:lang w:eastAsia="zh-CN"/>
        </w:rPr>
        <w:t>上</w:t>
      </w:r>
      <w:r w:rsidR="00940723" w:rsidRPr="00940723">
        <w:rPr>
          <w:rFonts w:ascii="华文楷体" w:hAnsi="华文楷体" w:hint="eastAsia"/>
          <w:sz w:val="24"/>
          <w:szCs w:val="24"/>
          <w:lang w:eastAsia="zh-CN"/>
        </w:rPr>
        <w:t>周五出现明显上行调整，不排除部分机构在当前位置进行获利了结。</w:t>
      </w:r>
    </w:p>
    <w:p w14:paraId="2C3F4BD1" w14:textId="408716EF"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940723" w:rsidRPr="00940723">
        <w:rPr>
          <w:rFonts w:ascii="华文楷体" w:hAnsi="华文楷体" w:hint="eastAsia"/>
          <w:sz w:val="24"/>
          <w:szCs w:val="24"/>
          <w:lang w:eastAsia="zh-CN"/>
        </w:rPr>
        <w:t>1Y和5Y期限表现略弱，表现相对较好的是3Y中票和7年城投债，信用债品种上，市场开始更多关注票面配置价值。从行业表现看，不同行业之间利差走势分化。上游和中游周期行业不同等级走势分化，中游制造和下游周期行业利差整体收窄。下半年经济的增长点或仍主要在制造业投资，关注煤炭、有色、化工等行业中高等级产业债的投资机会。</w:t>
      </w:r>
    </w:p>
    <w:p w14:paraId="4C893BAE" w14:textId="432242AB"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940723" w:rsidRPr="00940723">
        <w:rPr>
          <w:rFonts w:ascii="华文楷体" w:hAnsi="华文楷体" w:hint="eastAsia"/>
          <w:sz w:val="24"/>
          <w:szCs w:val="24"/>
          <w:lang w:eastAsia="zh-CN"/>
        </w:rPr>
        <w:t>短期呈现震荡走势，中</w:t>
      </w:r>
      <w:proofErr w:type="gramStart"/>
      <w:r w:rsidR="00940723" w:rsidRPr="00940723">
        <w:rPr>
          <w:rFonts w:ascii="华文楷体" w:hAnsi="华文楷体" w:hint="eastAsia"/>
          <w:sz w:val="24"/>
          <w:szCs w:val="24"/>
          <w:lang w:eastAsia="zh-CN"/>
        </w:rPr>
        <w:t>证转债指数</w:t>
      </w:r>
      <w:proofErr w:type="gramEnd"/>
      <w:r w:rsidR="00940723" w:rsidRPr="00940723">
        <w:rPr>
          <w:rFonts w:ascii="华文楷体" w:hAnsi="华文楷体" w:hint="eastAsia"/>
          <w:sz w:val="24"/>
          <w:szCs w:val="24"/>
          <w:lang w:eastAsia="zh-CN"/>
        </w:rPr>
        <w:t>表现相对平稳，涨幅略高于</w:t>
      </w:r>
      <w:proofErr w:type="gramStart"/>
      <w:r w:rsidR="00940723" w:rsidRPr="00940723">
        <w:rPr>
          <w:rFonts w:ascii="华文楷体" w:hAnsi="华文楷体" w:hint="eastAsia"/>
          <w:sz w:val="24"/>
          <w:szCs w:val="24"/>
          <w:lang w:eastAsia="zh-CN"/>
        </w:rPr>
        <w:t>中证全指</w:t>
      </w:r>
      <w:proofErr w:type="gramEnd"/>
      <w:r w:rsidR="00940723" w:rsidRPr="00940723">
        <w:rPr>
          <w:rFonts w:ascii="华文楷体" w:hAnsi="华文楷体" w:hint="eastAsia"/>
          <w:sz w:val="24"/>
          <w:szCs w:val="24"/>
          <w:lang w:eastAsia="zh-CN"/>
        </w:rPr>
        <w:t>。北向资金仍保持净流入，核心资产仍受青睐，板块表现上仍以结构性行情为主。转债品种中，高平价</w:t>
      </w:r>
      <w:proofErr w:type="gramStart"/>
      <w:r w:rsidR="00940723" w:rsidRPr="00940723">
        <w:rPr>
          <w:rFonts w:ascii="华文楷体" w:hAnsi="华文楷体" w:hint="eastAsia"/>
          <w:sz w:val="24"/>
          <w:szCs w:val="24"/>
          <w:lang w:eastAsia="zh-CN"/>
        </w:rPr>
        <w:t>券</w:t>
      </w:r>
      <w:proofErr w:type="gramEnd"/>
      <w:r w:rsidR="00940723" w:rsidRPr="00940723">
        <w:rPr>
          <w:rFonts w:ascii="华文楷体" w:hAnsi="华文楷体" w:hint="eastAsia"/>
          <w:sz w:val="24"/>
          <w:szCs w:val="24"/>
          <w:lang w:eastAsia="zh-CN"/>
        </w:rPr>
        <w:t>和超高平价</w:t>
      </w:r>
      <w:proofErr w:type="gramStart"/>
      <w:r w:rsidR="00940723" w:rsidRPr="00940723">
        <w:rPr>
          <w:rFonts w:ascii="华文楷体" w:hAnsi="华文楷体" w:hint="eastAsia"/>
          <w:sz w:val="24"/>
          <w:szCs w:val="24"/>
          <w:lang w:eastAsia="zh-CN"/>
        </w:rPr>
        <w:t>券</w:t>
      </w:r>
      <w:proofErr w:type="gramEnd"/>
      <w:r w:rsidR="00940723" w:rsidRPr="00940723">
        <w:rPr>
          <w:rFonts w:ascii="华文楷体" w:hAnsi="华文楷体" w:hint="eastAsia"/>
          <w:sz w:val="24"/>
          <w:szCs w:val="24"/>
          <w:lang w:eastAsia="zh-CN"/>
        </w:rPr>
        <w:t>表现最佳，主要是一些股性较强的中、小规模</w:t>
      </w:r>
      <w:proofErr w:type="gramStart"/>
      <w:r w:rsidR="00940723" w:rsidRPr="00940723">
        <w:rPr>
          <w:rFonts w:ascii="华文楷体" w:hAnsi="华文楷体" w:hint="eastAsia"/>
          <w:sz w:val="24"/>
          <w:szCs w:val="24"/>
          <w:lang w:eastAsia="zh-CN"/>
        </w:rPr>
        <w:t>券</w:t>
      </w:r>
      <w:proofErr w:type="gramEnd"/>
      <w:r w:rsidR="00940723" w:rsidRPr="00940723">
        <w:rPr>
          <w:rFonts w:ascii="华文楷体" w:hAnsi="华文楷体" w:hint="eastAsia"/>
          <w:sz w:val="24"/>
          <w:szCs w:val="24"/>
          <w:lang w:eastAsia="zh-CN"/>
        </w:rPr>
        <w:t>跟随正股上涨，取得较高的涨幅。后续持续关注</w:t>
      </w:r>
      <w:proofErr w:type="gramStart"/>
      <w:r w:rsidR="00940723" w:rsidRPr="00940723">
        <w:rPr>
          <w:rFonts w:ascii="华文楷体" w:hAnsi="华文楷体" w:hint="eastAsia"/>
          <w:sz w:val="24"/>
          <w:szCs w:val="24"/>
          <w:lang w:eastAsia="zh-CN"/>
        </w:rPr>
        <w:t>业绩超</w:t>
      </w:r>
      <w:proofErr w:type="gramEnd"/>
      <w:r w:rsidR="00940723" w:rsidRPr="00940723">
        <w:rPr>
          <w:rFonts w:ascii="华文楷体" w:hAnsi="华文楷体" w:hint="eastAsia"/>
          <w:sz w:val="24"/>
          <w:szCs w:val="24"/>
          <w:lang w:eastAsia="zh-CN"/>
        </w:rPr>
        <w:t>预期、对应正股估值低的转债以及盈利能力强、业绩确定性高的正股对应的转债。</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0DE678C3" w:rsidR="001D35B3" w:rsidRPr="006A5F34" w:rsidRDefault="001D35B3" w:rsidP="001858A9">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AE643A">
              <w:rPr>
                <w:rFonts w:hint="eastAsia"/>
              </w:rPr>
              <w:t>震荡上行</w:t>
            </w:r>
          </w:p>
        </w:tc>
        <w:tc>
          <w:tcPr>
            <w:tcW w:w="4938" w:type="dxa"/>
            <w:vAlign w:val="center"/>
          </w:tcPr>
          <w:p w14:paraId="02A10F26" w14:textId="2BEE6D26"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AE643A">
              <w:rPr>
                <w:rFonts w:hint="eastAsia"/>
              </w:rPr>
              <w:t>小幅回调</w:t>
            </w:r>
          </w:p>
        </w:tc>
      </w:tr>
      <w:tr w:rsidR="001D35B3" w:rsidRPr="006A5F34" w14:paraId="205667F1" w14:textId="77777777" w:rsidTr="00AE643A">
        <w:tblPrEx>
          <w:tblCellMar>
            <w:left w:w="108" w:type="dxa"/>
            <w:right w:w="108" w:type="dxa"/>
          </w:tblCellMar>
        </w:tblPrEx>
        <w:trPr>
          <w:jc w:val="center"/>
        </w:trPr>
        <w:tc>
          <w:tcPr>
            <w:tcW w:w="4939" w:type="dxa"/>
            <w:vAlign w:val="center"/>
          </w:tcPr>
          <w:p w14:paraId="56C782C2" w14:textId="3C33F9E4" w:rsidR="001D35B3" w:rsidRPr="007E0340" w:rsidRDefault="00AE643A" w:rsidP="009A2BA0">
            <w:pPr>
              <w:jc w:val="center"/>
              <w:rPr>
                <w:noProof/>
              </w:rPr>
            </w:pPr>
            <w:r>
              <w:rPr>
                <w:noProof/>
              </w:rPr>
              <w:drawing>
                <wp:inline distT="0" distB="0" distL="0" distR="0" wp14:anchorId="31067180" wp14:editId="3EAFC54C">
                  <wp:extent cx="2999105" cy="1967852"/>
                  <wp:effectExtent l="0" t="0" r="0" b="0"/>
                  <wp:docPr id="13" name="图表 1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7764C1DE" w:rsidR="001D35B3" w:rsidRPr="007E0340" w:rsidRDefault="00AE643A" w:rsidP="009A2BA0">
            <w:pPr>
              <w:jc w:val="center"/>
              <w:rPr>
                <w:noProof/>
                <w:szCs w:val="18"/>
              </w:rPr>
            </w:pPr>
            <w:r>
              <w:rPr>
                <w:noProof/>
              </w:rPr>
              <w:drawing>
                <wp:inline distT="0" distB="0" distL="0" distR="0" wp14:anchorId="6F6E5290" wp14:editId="693B6302">
                  <wp:extent cx="2998470" cy="1947564"/>
                  <wp:effectExtent l="0" t="0" r="0" b="0"/>
                  <wp:docPr id="14" name="图表 14">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4D7C4D30" w:rsidR="001D35B3" w:rsidRPr="006A5F34" w:rsidRDefault="001D35B3" w:rsidP="00966A21">
            <w:pPr>
              <w:pStyle w:val="ChartHeading"/>
              <w:jc w:val="both"/>
            </w:pPr>
            <w:r w:rsidRPr="006A5F34">
              <w:rPr>
                <w:rFonts w:hint="eastAsia"/>
              </w:rPr>
              <w:t>图表</w:t>
            </w:r>
            <w:r w:rsidRPr="006A5F34">
              <w:t>.</w:t>
            </w:r>
            <w:r>
              <w:t xml:space="preserve"> </w:t>
            </w:r>
            <w:r w:rsidR="00FF26B0">
              <w:rPr>
                <w:rFonts w:hint="eastAsia"/>
              </w:rPr>
              <w:t>人民币汇率</w:t>
            </w:r>
            <w:r w:rsidR="00966A21">
              <w:rPr>
                <w:rFonts w:hint="eastAsia"/>
              </w:rPr>
              <w:t>小幅</w:t>
            </w:r>
            <w:r w:rsidR="00AE643A">
              <w:rPr>
                <w:rFonts w:hint="eastAsia"/>
              </w:rPr>
              <w:t>贬值</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AE643A">
        <w:tblPrEx>
          <w:tblCellMar>
            <w:left w:w="108" w:type="dxa"/>
            <w:right w:w="108" w:type="dxa"/>
          </w:tblCellMar>
        </w:tblPrEx>
        <w:trPr>
          <w:trHeight w:val="2987"/>
          <w:jc w:val="center"/>
        </w:trPr>
        <w:tc>
          <w:tcPr>
            <w:tcW w:w="4939" w:type="dxa"/>
            <w:vAlign w:val="center"/>
          </w:tcPr>
          <w:p w14:paraId="0BAC1731" w14:textId="0D488683" w:rsidR="001D35B3" w:rsidRPr="007E0340" w:rsidRDefault="00AE643A" w:rsidP="009A2BA0">
            <w:pPr>
              <w:jc w:val="center"/>
              <w:rPr>
                <w:noProof/>
              </w:rPr>
            </w:pPr>
            <w:r>
              <w:rPr>
                <w:noProof/>
              </w:rPr>
              <w:drawing>
                <wp:inline distT="0" distB="0" distL="0" distR="0" wp14:anchorId="325D03E4" wp14:editId="34A9FB83">
                  <wp:extent cx="2999105" cy="1965111"/>
                  <wp:effectExtent l="0" t="0" r="10795" b="0"/>
                  <wp:docPr id="15" name="图表 15">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2107275F" w:rsidR="001D35B3" w:rsidRPr="007E0340" w:rsidRDefault="00AE643A" w:rsidP="009A2BA0">
            <w:pPr>
              <w:jc w:val="center"/>
              <w:rPr>
                <w:noProof/>
                <w:szCs w:val="18"/>
              </w:rPr>
            </w:pPr>
            <w:r>
              <w:rPr>
                <w:noProof/>
              </w:rPr>
              <w:drawing>
                <wp:inline distT="0" distB="0" distL="0" distR="0" wp14:anchorId="2A7E3690" wp14:editId="6F9DA85C">
                  <wp:extent cx="2998470" cy="1918555"/>
                  <wp:effectExtent l="0" t="0" r="0" b="5715"/>
                  <wp:docPr id="18" name="图表 18">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551A67E6" w14:textId="77777777" w:rsidR="009F7E49" w:rsidRPr="00B54024" w:rsidRDefault="00594303" w:rsidP="009F7E49">
      <w:pPr>
        <w:rPr>
          <w:sz w:val="18"/>
          <w:szCs w:val="18"/>
        </w:rPr>
      </w:pPr>
      <w:r>
        <w:rPr>
          <w:rFonts w:ascii="华文楷体" w:hAnsi="华文楷体"/>
          <w:sz w:val="24"/>
          <w:szCs w:val="24"/>
        </w:rPr>
        <w:br w:type="page"/>
      </w:r>
      <w:r w:rsidR="009F7E49" w:rsidRPr="00B54024">
        <w:rPr>
          <w:rFonts w:ascii="微软雅黑" w:eastAsia="微软雅黑" w:hAnsi="微软雅黑" w:hint="eastAsia"/>
          <w:color w:val="474747"/>
          <w:sz w:val="18"/>
          <w:szCs w:val="18"/>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009F7E49" w:rsidRPr="00B54024">
        <w:rPr>
          <w:rFonts w:ascii="微软雅黑" w:eastAsia="微软雅黑" w:hAnsi="微软雅黑" w:hint="eastAsia"/>
          <w:color w:val="474747"/>
          <w:sz w:val="18"/>
          <w:szCs w:val="18"/>
          <w:shd w:val="clear" w:color="auto" w:fill="FFFFFF"/>
        </w:rPr>
        <w:t>作出</w:t>
      </w:r>
      <w:proofErr w:type="gramEnd"/>
      <w:r w:rsidR="009F7E49" w:rsidRPr="00B54024">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p w14:paraId="36DE518D" w14:textId="19879D34" w:rsidR="001170AF" w:rsidRPr="009F7E49" w:rsidRDefault="001170AF" w:rsidP="009F7E49">
      <w:pPr>
        <w:widowControl/>
        <w:jc w:val="left"/>
        <w:rPr>
          <w:rFonts w:ascii="华文楷体" w:eastAsia="华文楷体" w:hAnsi="华文楷体"/>
          <w:kern w:val="0"/>
          <w:sz w:val="24"/>
          <w:szCs w:val="24"/>
        </w:rPr>
      </w:pPr>
    </w:p>
    <w:sectPr w:rsidR="001170AF" w:rsidRPr="009F7E4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33E3B9" w14:textId="77777777" w:rsidR="00954DC0" w:rsidRDefault="00954DC0">
      <w:r>
        <w:separator/>
      </w:r>
    </w:p>
  </w:endnote>
  <w:endnote w:type="continuationSeparator" w:id="0">
    <w:p w14:paraId="7015EF0C" w14:textId="77777777" w:rsidR="00954DC0" w:rsidRDefault="00954D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DA1B15" w:rsidRDefault="00DA1B15">
        <w:pPr>
          <w:pStyle w:val="a4"/>
          <w:jc w:val="right"/>
        </w:pPr>
        <w:r>
          <w:fldChar w:fldCharType="begin"/>
        </w:r>
        <w:r>
          <w:instrText>PAGE   \* MERGEFORMAT</w:instrText>
        </w:r>
        <w:r>
          <w:fldChar w:fldCharType="separate"/>
        </w:r>
        <w:r w:rsidR="00CE3898" w:rsidRPr="00CE3898">
          <w:rPr>
            <w:noProof/>
            <w:lang w:val="zh-CN"/>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2CA999" w14:textId="77777777" w:rsidR="00954DC0" w:rsidRDefault="00954DC0">
      <w:r>
        <w:separator/>
      </w:r>
    </w:p>
  </w:footnote>
  <w:footnote w:type="continuationSeparator" w:id="0">
    <w:p w14:paraId="5ED61DF5" w14:textId="77777777" w:rsidR="00954DC0" w:rsidRDefault="00954D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DA1B15" w:rsidRDefault="00DA1B15"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3BA"/>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29A0"/>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CB5"/>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185"/>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DC0"/>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040"/>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9F7E49"/>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D51"/>
    <w:rsid w:val="00CE0E87"/>
    <w:rsid w:val="00CE0F29"/>
    <w:rsid w:val="00CE10A8"/>
    <w:rsid w:val="00CE1665"/>
    <w:rsid w:val="00CE2A41"/>
    <w:rsid w:val="00CE33B0"/>
    <w:rsid w:val="00CE33C3"/>
    <w:rsid w:val="00CE3749"/>
    <w:rsid w:val="00CE3898"/>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F:\&#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44197</c:v>
                </c:pt>
                <c:pt idx="1">
                  <c:v>44204</c:v>
                </c:pt>
                <c:pt idx="2">
                  <c:v>44211</c:v>
                </c:pt>
                <c:pt idx="3">
                  <c:v>44218</c:v>
                </c:pt>
                <c:pt idx="4">
                  <c:v>44225</c:v>
                </c:pt>
                <c:pt idx="5">
                  <c:v>44232</c:v>
                </c:pt>
                <c:pt idx="6">
                  <c:v>44239</c:v>
                </c:pt>
                <c:pt idx="7">
                  <c:v>44246</c:v>
                </c:pt>
                <c:pt idx="8">
                  <c:v>44253</c:v>
                </c:pt>
                <c:pt idx="9">
                  <c:v>44260</c:v>
                </c:pt>
                <c:pt idx="10">
                  <c:v>44267</c:v>
                </c:pt>
                <c:pt idx="11">
                  <c:v>44274</c:v>
                </c:pt>
                <c:pt idx="12">
                  <c:v>44281</c:v>
                </c:pt>
                <c:pt idx="13">
                  <c:v>44288</c:v>
                </c:pt>
                <c:pt idx="14">
                  <c:v>44295</c:v>
                </c:pt>
                <c:pt idx="15">
                  <c:v>44302</c:v>
                </c:pt>
                <c:pt idx="16">
                  <c:v>44309</c:v>
                </c:pt>
                <c:pt idx="17">
                  <c:v>44316</c:v>
                </c:pt>
                <c:pt idx="18">
                  <c:v>44323</c:v>
                </c:pt>
                <c:pt idx="19">
                  <c:v>44330</c:v>
                </c:pt>
                <c:pt idx="20">
                  <c:v>44337</c:v>
                </c:pt>
                <c:pt idx="21">
                  <c:v>44344</c:v>
                </c:pt>
                <c:pt idx="22">
                  <c:v>44351</c:v>
                </c:pt>
              </c:numCache>
            </c:numRef>
          </c:cat>
          <c:val>
            <c:numRef>
              <c:f>央行!$B$5:$B$27</c:f>
              <c:numCache>
                <c:formatCode>###,###,###,###,##0.00</c:formatCode>
                <c:ptCount val="23"/>
                <c:pt idx="0">
                  <c:v>1750</c:v>
                </c:pt>
                <c:pt idx="1">
                  <c:v>550</c:v>
                </c:pt>
                <c:pt idx="2">
                  <c:v>160</c:v>
                </c:pt>
                <c:pt idx="3">
                  <c:v>6140</c:v>
                </c:pt>
                <c:pt idx="4">
                  <c:v>3890</c:v>
                </c:pt>
                <c:pt idx="5">
                  <c:v>4800</c:v>
                </c:pt>
                <c:pt idx="6">
                  <c:v>2300</c:v>
                </c:pt>
                <c:pt idx="7">
                  <c:v>400</c:v>
                </c:pt>
                <c:pt idx="8">
                  <c:v>800</c:v>
                </c:pt>
                <c:pt idx="9">
                  <c:v>550</c:v>
                </c:pt>
                <c:pt idx="10">
                  <c:v>500</c:v>
                </c:pt>
                <c:pt idx="11">
                  <c:v>500</c:v>
                </c:pt>
                <c:pt idx="12">
                  <c:v>550</c:v>
                </c:pt>
                <c:pt idx="13">
                  <c:v>500</c:v>
                </c:pt>
                <c:pt idx="14">
                  <c:v>400</c:v>
                </c:pt>
                <c:pt idx="15">
                  <c:v>500</c:v>
                </c:pt>
                <c:pt idx="16">
                  <c:v>500</c:v>
                </c:pt>
                <c:pt idx="17">
                  <c:v>650</c:v>
                </c:pt>
                <c:pt idx="18">
                  <c:v>200</c:v>
                </c:pt>
                <c:pt idx="19">
                  <c:v>600</c:v>
                </c:pt>
                <c:pt idx="20">
                  <c:v>500</c:v>
                </c:pt>
                <c:pt idx="21">
                  <c:v>550</c:v>
                </c:pt>
                <c:pt idx="22">
                  <c:v>500</c:v>
                </c:pt>
              </c:numCache>
            </c:numRef>
          </c:val>
          <c:extLst xmlns:c16r2="http://schemas.microsoft.com/office/drawing/2015/06/chart">
            <c:ext xmlns:c16="http://schemas.microsoft.com/office/drawing/2014/chart" uri="{C3380CC4-5D6E-409C-BE32-E72D297353CC}">
              <c16:uniqueId val="{00000000-2985-42F9-B571-EC24133EBB0F}"/>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44197</c:v>
                </c:pt>
                <c:pt idx="1">
                  <c:v>44204</c:v>
                </c:pt>
                <c:pt idx="2">
                  <c:v>44211</c:v>
                </c:pt>
                <c:pt idx="3">
                  <c:v>44218</c:v>
                </c:pt>
                <c:pt idx="4">
                  <c:v>44225</c:v>
                </c:pt>
                <c:pt idx="5">
                  <c:v>44232</c:v>
                </c:pt>
                <c:pt idx="6">
                  <c:v>44239</c:v>
                </c:pt>
                <c:pt idx="7">
                  <c:v>44246</c:v>
                </c:pt>
                <c:pt idx="8">
                  <c:v>44253</c:v>
                </c:pt>
                <c:pt idx="9">
                  <c:v>44260</c:v>
                </c:pt>
                <c:pt idx="10">
                  <c:v>44267</c:v>
                </c:pt>
                <c:pt idx="11">
                  <c:v>44274</c:v>
                </c:pt>
                <c:pt idx="12">
                  <c:v>44281</c:v>
                </c:pt>
                <c:pt idx="13">
                  <c:v>44288</c:v>
                </c:pt>
                <c:pt idx="14">
                  <c:v>44295</c:v>
                </c:pt>
                <c:pt idx="15">
                  <c:v>44302</c:v>
                </c:pt>
                <c:pt idx="16">
                  <c:v>44309</c:v>
                </c:pt>
                <c:pt idx="17">
                  <c:v>44316</c:v>
                </c:pt>
                <c:pt idx="18">
                  <c:v>44323</c:v>
                </c:pt>
                <c:pt idx="19">
                  <c:v>44330</c:v>
                </c:pt>
                <c:pt idx="20">
                  <c:v>44337</c:v>
                </c:pt>
                <c:pt idx="21">
                  <c:v>44344</c:v>
                </c:pt>
                <c:pt idx="22">
                  <c:v>44351</c:v>
                </c:pt>
              </c:numCache>
            </c:numRef>
          </c:cat>
          <c:val>
            <c:numRef>
              <c:f>央行!$C$5:$C$27</c:f>
              <c:numCache>
                <c:formatCode>###,###,###,###,##0.00</c:formatCode>
                <c:ptCount val="23"/>
                <c:pt idx="0">
                  <c:v>-800</c:v>
                </c:pt>
                <c:pt idx="1">
                  <c:v>-5200</c:v>
                </c:pt>
                <c:pt idx="2">
                  <c:v>-550</c:v>
                </c:pt>
                <c:pt idx="3">
                  <c:v>-160</c:v>
                </c:pt>
                <c:pt idx="4">
                  <c:v>-6190</c:v>
                </c:pt>
                <c:pt idx="5">
                  <c:v>-3840</c:v>
                </c:pt>
                <c:pt idx="6">
                  <c:v>-2800</c:v>
                </c:pt>
                <c:pt idx="7">
                  <c:v>-3800</c:v>
                </c:pt>
                <c:pt idx="8">
                  <c:v>-950</c:v>
                </c:pt>
                <c:pt idx="9">
                  <c:v>-800</c:v>
                </c:pt>
                <c:pt idx="10">
                  <c:v>-500</c:v>
                </c:pt>
                <c:pt idx="11">
                  <c:v>-500</c:v>
                </c:pt>
                <c:pt idx="12">
                  <c:v>-550</c:v>
                </c:pt>
                <c:pt idx="13">
                  <c:v>-500</c:v>
                </c:pt>
                <c:pt idx="14">
                  <c:v>-500</c:v>
                </c:pt>
                <c:pt idx="15">
                  <c:v>-400</c:v>
                </c:pt>
                <c:pt idx="16">
                  <c:v>-500</c:v>
                </c:pt>
                <c:pt idx="17">
                  <c:v>-550</c:v>
                </c:pt>
                <c:pt idx="18">
                  <c:v>-600</c:v>
                </c:pt>
                <c:pt idx="19">
                  <c:v>-200</c:v>
                </c:pt>
                <c:pt idx="20">
                  <c:v>-600</c:v>
                </c:pt>
                <c:pt idx="21">
                  <c:v>-550</c:v>
                </c:pt>
                <c:pt idx="22">
                  <c:v>-500</c:v>
                </c:pt>
              </c:numCache>
            </c:numRef>
          </c:val>
          <c:extLst xmlns:c16r2="http://schemas.microsoft.com/office/drawing/2015/06/chart">
            <c:ext xmlns:c16="http://schemas.microsoft.com/office/drawing/2014/chart" uri="{C3380CC4-5D6E-409C-BE32-E72D297353CC}">
              <c16:uniqueId val="{00000001-2985-42F9-B571-EC24133EBB0F}"/>
            </c:ext>
          </c:extLst>
        </c:ser>
        <c:dLbls>
          <c:showLegendKey val="0"/>
          <c:showVal val="0"/>
          <c:showCatName val="0"/>
          <c:showSerName val="0"/>
          <c:showPercent val="0"/>
          <c:showBubbleSize val="0"/>
        </c:dLbls>
        <c:gapWidth val="150"/>
        <c:overlap val="100"/>
        <c:axId val="364161664"/>
        <c:axId val="36416384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44197</c:v>
                </c:pt>
                <c:pt idx="1">
                  <c:v>44204</c:v>
                </c:pt>
                <c:pt idx="2">
                  <c:v>44211</c:v>
                </c:pt>
                <c:pt idx="3">
                  <c:v>44218</c:v>
                </c:pt>
                <c:pt idx="4">
                  <c:v>44225</c:v>
                </c:pt>
                <c:pt idx="5">
                  <c:v>44232</c:v>
                </c:pt>
                <c:pt idx="6">
                  <c:v>44239</c:v>
                </c:pt>
                <c:pt idx="7">
                  <c:v>44246</c:v>
                </c:pt>
                <c:pt idx="8">
                  <c:v>44253</c:v>
                </c:pt>
                <c:pt idx="9">
                  <c:v>44260</c:v>
                </c:pt>
                <c:pt idx="10">
                  <c:v>44267</c:v>
                </c:pt>
                <c:pt idx="11">
                  <c:v>44274</c:v>
                </c:pt>
                <c:pt idx="12">
                  <c:v>44281</c:v>
                </c:pt>
                <c:pt idx="13">
                  <c:v>44288</c:v>
                </c:pt>
                <c:pt idx="14">
                  <c:v>44295</c:v>
                </c:pt>
                <c:pt idx="15">
                  <c:v>44302</c:v>
                </c:pt>
                <c:pt idx="16">
                  <c:v>44309</c:v>
                </c:pt>
                <c:pt idx="17">
                  <c:v>44316</c:v>
                </c:pt>
                <c:pt idx="18">
                  <c:v>44323</c:v>
                </c:pt>
                <c:pt idx="19">
                  <c:v>44330</c:v>
                </c:pt>
                <c:pt idx="20">
                  <c:v>44337</c:v>
                </c:pt>
                <c:pt idx="21">
                  <c:v>44344</c:v>
                </c:pt>
                <c:pt idx="22">
                  <c:v>44351</c:v>
                </c:pt>
              </c:numCache>
            </c:numRef>
          </c:cat>
          <c:val>
            <c:numRef>
              <c:f>央行!$D$5:$D$27</c:f>
              <c:numCache>
                <c:formatCode>###,###,###,###,##0.00</c:formatCode>
                <c:ptCount val="23"/>
                <c:pt idx="0">
                  <c:v>950</c:v>
                </c:pt>
                <c:pt idx="1">
                  <c:v>-4650</c:v>
                </c:pt>
                <c:pt idx="2">
                  <c:v>-390</c:v>
                </c:pt>
                <c:pt idx="3">
                  <c:v>5980</c:v>
                </c:pt>
                <c:pt idx="4">
                  <c:v>-2300</c:v>
                </c:pt>
                <c:pt idx="5">
                  <c:v>960</c:v>
                </c:pt>
                <c:pt idx="6">
                  <c:v>-500</c:v>
                </c:pt>
                <c:pt idx="7">
                  <c:v>-3400</c:v>
                </c:pt>
                <c:pt idx="8">
                  <c:v>-150</c:v>
                </c:pt>
                <c:pt idx="9">
                  <c:v>-250</c:v>
                </c:pt>
                <c:pt idx="10">
                  <c:v>0</c:v>
                </c:pt>
                <c:pt idx="11">
                  <c:v>0</c:v>
                </c:pt>
                <c:pt idx="12">
                  <c:v>0</c:v>
                </c:pt>
                <c:pt idx="13">
                  <c:v>0</c:v>
                </c:pt>
                <c:pt idx="14">
                  <c:v>-100</c:v>
                </c:pt>
                <c:pt idx="15">
                  <c:v>100</c:v>
                </c:pt>
                <c:pt idx="16">
                  <c:v>0</c:v>
                </c:pt>
                <c:pt idx="17">
                  <c:v>100</c:v>
                </c:pt>
                <c:pt idx="18">
                  <c:v>-400</c:v>
                </c:pt>
                <c:pt idx="19">
                  <c:v>400</c:v>
                </c:pt>
                <c:pt idx="20">
                  <c:v>-100</c:v>
                </c:pt>
                <c:pt idx="21">
                  <c:v>0</c:v>
                </c:pt>
                <c:pt idx="22">
                  <c:v>0</c:v>
                </c:pt>
              </c:numCache>
            </c:numRef>
          </c:val>
          <c:smooth val="0"/>
          <c:extLst xmlns:c16r2="http://schemas.microsoft.com/office/drawing/2015/06/chart">
            <c:ext xmlns:c16="http://schemas.microsoft.com/office/drawing/2014/chart" uri="{C3380CC4-5D6E-409C-BE32-E72D297353CC}">
              <c16:uniqueId val="{00000002-2985-42F9-B571-EC24133EBB0F}"/>
            </c:ext>
          </c:extLst>
        </c:ser>
        <c:dLbls>
          <c:showLegendKey val="0"/>
          <c:showVal val="0"/>
          <c:showCatName val="0"/>
          <c:showSerName val="0"/>
          <c:showPercent val="0"/>
          <c:showBubbleSize val="0"/>
        </c:dLbls>
        <c:marker val="1"/>
        <c:smooth val="0"/>
        <c:axId val="364161664"/>
        <c:axId val="364163840"/>
      </c:lineChart>
      <c:catAx>
        <c:axId val="36416166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4163840"/>
        <c:crosses val="autoZero"/>
        <c:auto val="0"/>
        <c:lblAlgn val="ctr"/>
        <c:lblOffset val="0"/>
        <c:tickMarkSkip val="2"/>
        <c:noMultiLvlLbl val="0"/>
      </c:catAx>
      <c:valAx>
        <c:axId val="36416384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416166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5918221661409599"/>
          <c:h val="0.72113250602172041"/>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44351</c:v>
                </c:pt>
                <c:pt idx="1">
                  <c:v>44350</c:v>
                </c:pt>
                <c:pt idx="2">
                  <c:v>44349</c:v>
                </c:pt>
                <c:pt idx="3">
                  <c:v>44348</c:v>
                </c:pt>
                <c:pt idx="4">
                  <c:v>44347</c:v>
                </c:pt>
                <c:pt idx="5">
                  <c:v>44344</c:v>
                </c:pt>
                <c:pt idx="6">
                  <c:v>44343</c:v>
                </c:pt>
                <c:pt idx="7">
                  <c:v>44342</c:v>
                </c:pt>
                <c:pt idx="8">
                  <c:v>44341</c:v>
                </c:pt>
                <c:pt idx="9">
                  <c:v>44340</c:v>
                </c:pt>
                <c:pt idx="10">
                  <c:v>44337</c:v>
                </c:pt>
                <c:pt idx="11">
                  <c:v>44336</c:v>
                </c:pt>
                <c:pt idx="12">
                  <c:v>44335</c:v>
                </c:pt>
                <c:pt idx="13">
                  <c:v>44334</c:v>
                </c:pt>
                <c:pt idx="14">
                  <c:v>44333</c:v>
                </c:pt>
                <c:pt idx="15">
                  <c:v>44330</c:v>
                </c:pt>
                <c:pt idx="16">
                  <c:v>44329</c:v>
                </c:pt>
                <c:pt idx="17">
                  <c:v>44328</c:v>
                </c:pt>
                <c:pt idx="18">
                  <c:v>44327</c:v>
                </c:pt>
                <c:pt idx="19">
                  <c:v>44326</c:v>
                </c:pt>
                <c:pt idx="20">
                  <c:v>44324</c:v>
                </c:pt>
                <c:pt idx="21">
                  <c:v>44323</c:v>
                </c:pt>
                <c:pt idx="22">
                  <c:v>44322</c:v>
                </c:pt>
                <c:pt idx="23">
                  <c:v>44316</c:v>
                </c:pt>
                <c:pt idx="24">
                  <c:v>44315</c:v>
                </c:pt>
                <c:pt idx="25">
                  <c:v>44314</c:v>
                </c:pt>
                <c:pt idx="26">
                  <c:v>44313</c:v>
                </c:pt>
                <c:pt idx="27">
                  <c:v>44312</c:v>
                </c:pt>
                <c:pt idx="28">
                  <c:v>44311</c:v>
                </c:pt>
                <c:pt idx="29">
                  <c:v>44309</c:v>
                </c:pt>
                <c:pt idx="30">
                  <c:v>44308</c:v>
                </c:pt>
                <c:pt idx="31">
                  <c:v>44307</c:v>
                </c:pt>
                <c:pt idx="32">
                  <c:v>44306</c:v>
                </c:pt>
                <c:pt idx="33">
                  <c:v>44305</c:v>
                </c:pt>
                <c:pt idx="34">
                  <c:v>44302</c:v>
                </c:pt>
                <c:pt idx="35">
                  <c:v>44301</c:v>
                </c:pt>
                <c:pt idx="36">
                  <c:v>44300</c:v>
                </c:pt>
                <c:pt idx="37">
                  <c:v>44299</c:v>
                </c:pt>
                <c:pt idx="38">
                  <c:v>44298</c:v>
                </c:pt>
                <c:pt idx="39">
                  <c:v>44295</c:v>
                </c:pt>
                <c:pt idx="40">
                  <c:v>44294</c:v>
                </c:pt>
                <c:pt idx="41">
                  <c:v>44293</c:v>
                </c:pt>
                <c:pt idx="42">
                  <c:v>44292</c:v>
                </c:pt>
                <c:pt idx="43">
                  <c:v>44288</c:v>
                </c:pt>
                <c:pt idx="44">
                  <c:v>44287</c:v>
                </c:pt>
                <c:pt idx="45">
                  <c:v>44286</c:v>
                </c:pt>
                <c:pt idx="46">
                  <c:v>44285</c:v>
                </c:pt>
                <c:pt idx="47">
                  <c:v>44284</c:v>
                </c:pt>
                <c:pt idx="48">
                  <c:v>44281</c:v>
                </c:pt>
                <c:pt idx="49">
                  <c:v>44280</c:v>
                </c:pt>
                <c:pt idx="50">
                  <c:v>44279</c:v>
                </c:pt>
                <c:pt idx="51">
                  <c:v>44278</c:v>
                </c:pt>
                <c:pt idx="52">
                  <c:v>44277</c:v>
                </c:pt>
                <c:pt idx="53">
                  <c:v>44274</c:v>
                </c:pt>
                <c:pt idx="54">
                  <c:v>44273</c:v>
                </c:pt>
                <c:pt idx="55">
                  <c:v>44272</c:v>
                </c:pt>
                <c:pt idx="56">
                  <c:v>44271</c:v>
                </c:pt>
                <c:pt idx="57">
                  <c:v>44270</c:v>
                </c:pt>
                <c:pt idx="58">
                  <c:v>44267</c:v>
                </c:pt>
              </c:numCache>
            </c:numRef>
          </c:cat>
          <c:val>
            <c:numRef>
              <c:f>资金!$B$3:$B$61</c:f>
              <c:numCache>
                <c:formatCode>###,###,###,###,##0.0000</c:formatCode>
                <c:ptCount val="59"/>
                <c:pt idx="0">
                  <c:v>2.2187999999999999</c:v>
                </c:pt>
                <c:pt idx="1">
                  <c:v>1.8841000000000001</c:v>
                </c:pt>
                <c:pt idx="2">
                  <c:v>2.0444</c:v>
                </c:pt>
                <c:pt idx="3">
                  <c:v>2.2265999999999999</c:v>
                </c:pt>
                <c:pt idx="4">
                  <c:v>2.5068999999999999</c:v>
                </c:pt>
                <c:pt idx="5">
                  <c:v>2.2092000000000001</c:v>
                </c:pt>
                <c:pt idx="6">
                  <c:v>2.1524000000000001</c:v>
                </c:pt>
                <c:pt idx="7">
                  <c:v>2.0261</c:v>
                </c:pt>
                <c:pt idx="8">
                  <c:v>2.2078000000000002</c:v>
                </c:pt>
                <c:pt idx="9">
                  <c:v>2.2084999999999999</c:v>
                </c:pt>
                <c:pt idx="10">
                  <c:v>2.0007000000000001</c:v>
                </c:pt>
                <c:pt idx="11">
                  <c:v>2.1055999999999999</c:v>
                </c:pt>
                <c:pt idx="12">
                  <c:v>2.0579999999999998</c:v>
                </c:pt>
                <c:pt idx="13">
                  <c:v>2.1303999999999998</c:v>
                </c:pt>
                <c:pt idx="14">
                  <c:v>2.1846000000000001</c:v>
                </c:pt>
                <c:pt idx="15">
                  <c:v>1.8376999999999999</c:v>
                </c:pt>
                <c:pt idx="16">
                  <c:v>1.9856</c:v>
                </c:pt>
                <c:pt idx="17">
                  <c:v>1.9772000000000001</c:v>
                </c:pt>
                <c:pt idx="18">
                  <c:v>1.9589000000000001</c:v>
                </c:pt>
                <c:pt idx="19">
                  <c:v>1.6997</c:v>
                </c:pt>
                <c:pt idx="20">
                  <c:v>1.4749000000000001</c:v>
                </c:pt>
                <c:pt idx="21">
                  <c:v>1.7567999999999999</c:v>
                </c:pt>
                <c:pt idx="22">
                  <c:v>2.1004999999999998</c:v>
                </c:pt>
                <c:pt idx="23">
                  <c:v>2.3130000000000002</c:v>
                </c:pt>
                <c:pt idx="24">
                  <c:v>1.8532</c:v>
                </c:pt>
                <c:pt idx="25">
                  <c:v>1.8116000000000001</c:v>
                </c:pt>
                <c:pt idx="26">
                  <c:v>1.8314999999999999</c:v>
                </c:pt>
                <c:pt idx="27">
                  <c:v>2.0872999999999999</c:v>
                </c:pt>
                <c:pt idx="28">
                  <c:v>2.0192000000000001</c:v>
                </c:pt>
                <c:pt idx="29">
                  <c:v>1.9596</c:v>
                </c:pt>
                <c:pt idx="30">
                  <c:v>2.1551999999999998</c:v>
                </c:pt>
                <c:pt idx="31">
                  <c:v>1.9048</c:v>
                </c:pt>
                <c:pt idx="32">
                  <c:v>1.873</c:v>
                </c:pt>
                <c:pt idx="33">
                  <c:v>2.1116999999999999</c:v>
                </c:pt>
                <c:pt idx="34">
                  <c:v>1.9665999999999999</c:v>
                </c:pt>
                <c:pt idx="35">
                  <c:v>1.8460000000000001</c:v>
                </c:pt>
                <c:pt idx="36">
                  <c:v>1.8394999999999999</c:v>
                </c:pt>
                <c:pt idx="37">
                  <c:v>1.8163</c:v>
                </c:pt>
                <c:pt idx="38">
                  <c:v>1.8184</c:v>
                </c:pt>
                <c:pt idx="39">
                  <c:v>1.8128</c:v>
                </c:pt>
                <c:pt idx="40">
                  <c:v>1.7882</c:v>
                </c:pt>
                <c:pt idx="41">
                  <c:v>1.8531</c:v>
                </c:pt>
                <c:pt idx="42">
                  <c:v>1.8081</c:v>
                </c:pt>
                <c:pt idx="43">
                  <c:v>1.7512000000000001</c:v>
                </c:pt>
                <c:pt idx="44">
                  <c:v>2.1960000000000002</c:v>
                </c:pt>
                <c:pt idx="45">
                  <c:v>2.3929</c:v>
                </c:pt>
                <c:pt idx="46">
                  <c:v>1.8808</c:v>
                </c:pt>
                <c:pt idx="47">
                  <c:v>1.8393999999999999</c:v>
                </c:pt>
                <c:pt idx="48">
                  <c:v>1.8057000000000001</c:v>
                </c:pt>
                <c:pt idx="49">
                  <c:v>2.0571999999999999</c:v>
                </c:pt>
                <c:pt idx="50">
                  <c:v>1.8817999999999999</c:v>
                </c:pt>
                <c:pt idx="51">
                  <c:v>2.0042</c:v>
                </c:pt>
                <c:pt idx="52">
                  <c:v>2.0869</c:v>
                </c:pt>
                <c:pt idx="53">
                  <c:v>2.1583999999999999</c:v>
                </c:pt>
                <c:pt idx="54">
                  <c:v>2.2496999999999998</c:v>
                </c:pt>
                <c:pt idx="55">
                  <c:v>2.024</c:v>
                </c:pt>
                <c:pt idx="56">
                  <c:v>2.1652</c:v>
                </c:pt>
                <c:pt idx="57">
                  <c:v>2.2884000000000002</c:v>
                </c:pt>
                <c:pt idx="58">
                  <c:v>1.8247</c:v>
                </c:pt>
              </c:numCache>
            </c:numRef>
          </c:val>
          <c:smooth val="1"/>
          <c:extLst xmlns:c16r2="http://schemas.microsoft.com/office/drawing/2015/06/chart">
            <c:ext xmlns:c16="http://schemas.microsoft.com/office/drawing/2014/chart" uri="{C3380CC4-5D6E-409C-BE32-E72D297353CC}">
              <c16:uniqueId val="{00000000-4494-4FA2-9DCA-605A60E87A27}"/>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44351</c:v>
                </c:pt>
                <c:pt idx="1">
                  <c:v>44350</c:v>
                </c:pt>
                <c:pt idx="2">
                  <c:v>44349</c:v>
                </c:pt>
                <c:pt idx="3">
                  <c:v>44348</c:v>
                </c:pt>
                <c:pt idx="4">
                  <c:v>44347</c:v>
                </c:pt>
                <c:pt idx="5">
                  <c:v>44344</c:v>
                </c:pt>
                <c:pt idx="6">
                  <c:v>44343</c:v>
                </c:pt>
                <c:pt idx="7">
                  <c:v>44342</c:v>
                </c:pt>
                <c:pt idx="8">
                  <c:v>44341</c:v>
                </c:pt>
                <c:pt idx="9">
                  <c:v>44340</c:v>
                </c:pt>
                <c:pt idx="10">
                  <c:v>44337</c:v>
                </c:pt>
                <c:pt idx="11">
                  <c:v>44336</c:v>
                </c:pt>
                <c:pt idx="12">
                  <c:v>44335</c:v>
                </c:pt>
                <c:pt idx="13">
                  <c:v>44334</c:v>
                </c:pt>
                <c:pt idx="14">
                  <c:v>44333</c:v>
                </c:pt>
                <c:pt idx="15">
                  <c:v>44330</c:v>
                </c:pt>
                <c:pt idx="16">
                  <c:v>44329</c:v>
                </c:pt>
                <c:pt idx="17">
                  <c:v>44328</c:v>
                </c:pt>
                <c:pt idx="18">
                  <c:v>44327</c:v>
                </c:pt>
                <c:pt idx="19">
                  <c:v>44326</c:v>
                </c:pt>
                <c:pt idx="20">
                  <c:v>44324</c:v>
                </c:pt>
                <c:pt idx="21">
                  <c:v>44323</c:v>
                </c:pt>
                <c:pt idx="22">
                  <c:v>44322</c:v>
                </c:pt>
                <c:pt idx="23">
                  <c:v>44316</c:v>
                </c:pt>
                <c:pt idx="24">
                  <c:v>44315</c:v>
                </c:pt>
                <c:pt idx="25">
                  <c:v>44314</c:v>
                </c:pt>
                <c:pt idx="26">
                  <c:v>44313</c:v>
                </c:pt>
                <c:pt idx="27">
                  <c:v>44312</c:v>
                </c:pt>
                <c:pt idx="28">
                  <c:v>44311</c:v>
                </c:pt>
                <c:pt idx="29">
                  <c:v>44309</c:v>
                </c:pt>
                <c:pt idx="30">
                  <c:v>44308</c:v>
                </c:pt>
                <c:pt idx="31">
                  <c:v>44307</c:v>
                </c:pt>
                <c:pt idx="32">
                  <c:v>44306</c:v>
                </c:pt>
                <c:pt idx="33">
                  <c:v>44305</c:v>
                </c:pt>
                <c:pt idx="34">
                  <c:v>44302</c:v>
                </c:pt>
                <c:pt idx="35">
                  <c:v>44301</c:v>
                </c:pt>
                <c:pt idx="36">
                  <c:v>44300</c:v>
                </c:pt>
                <c:pt idx="37">
                  <c:v>44299</c:v>
                </c:pt>
                <c:pt idx="38">
                  <c:v>44298</c:v>
                </c:pt>
                <c:pt idx="39">
                  <c:v>44295</c:v>
                </c:pt>
                <c:pt idx="40">
                  <c:v>44294</c:v>
                </c:pt>
                <c:pt idx="41">
                  <c:v>44293</c:v>
                </c:pt>
                <c:pt idx="42">
                  <c:v>44292</c:v>
                </c:pt>
                <c:pt idx="43">
                  <c:v>44288</c:v>
                </c:pt>
                <c:pt idx="44">
                  <c:v>44287</c:v>
                </c:pt>
                <c:pt idx="45">
                  <c:v>44286</c:v>
                </c:pt>
                <c:pt idx="46">
                  <c:v>44285</c:v>
                </c:pt>
                <c:pt idx="47">
                  <c:v>44284</c:v>
                </c:pt>
                <c:pt idx="48">
                  <c:v>44281</c:v>
                </c:pt>
                <c:pt idx="49">
                  <c:v>44280</c:v>
                </c:pt>
                <c:pt idx="50">
                  <c:v>44279</c:v>
                </c:pt>
                <c:pt idx="51">
                  <c:v>44278</c:v>
                </c:pt>
                <c:pt idx="52">
                  <c:v>44277</c:v>
                </c:pt>
                <c:pt idx="53">
                  <c:v>44274</c:v>
                </c:pt>
                <c:pt idx="54">
                  <c:v>44273</c:v>
                </c:pt>
                <c:pt idx="55">
                  <c:v>44272</c:v>
                </c:pt>
                <c:pt idx="56">
                  <c:v>44271</c:v>
                </c:pt>
                <c:pt idx="57">
                  <c:v>44270</c:v>
                </c:pt>
                <c:pt idx="58">
                  <c:v>44267</c:v>
                </c:pt>
              </c:numCache>
            </c:numRef>
          </c:cat>
          <c:val>
            <c:numRef>
              <c:f>资金!$C$3:$C$61</c:f>
              <c:numCache>
                <c:formatCode>###,###,###,###,##0.0000</c:formatCode>
                <c:ptCount val="59"/>
                <c:pt idx="0">
                  <c:v>2.1429</c:v>
                </c:pt>
                <c:pt idx="1">
                  <c:v>2.1086999999999998</c:v>
                </c:pt>
                <c:pt idx="2">
                  <c:v>2.2256</c:v>
                </c:pt>
                <c:pt idx="3">
                  <c:v>2.29</c:v>
                </c:pt>
                <c:pt idx="4">
                  <c:v>2.7025999999999999</c:v>
                </c:pt>
                <c:pt idx="5">
                  <c:v>2.4354</c:v>
                </c:pt>
                <c:pt idx="6">
                  <c:v>2.3687999999999998</c:v>
                </c:pt>
                <c:pt idx="7">
                  <c:v>2.3936999999999999</c:v>
                </c:pt>
                <c:pt idx="8">
                  <c:v>2.4274</c:v>
                </c:pt>
                <c:pt idx="9">
                  <c:v>2.1537999999999999</c:v>
                </c:pt>
                <c:pt idx="10">
                  <c:v>2.1427</c:v>
                </c:pt>
                <c:pt idx="11">
                  <c:v>2.2088000000000001</c:v>
                </c:pt>
                <c:pt idx="12">
                  <c:v>2.1913</c:v>
                </c:pt>
                <c:pt idx="13">
                  <c:v>2.2437</c:v>
                </c:pt>
                <c:pt idx="14">
                  <c:v>2.1873999999999998</c:v>
                </c:pt>
                <c:pt idx="15">
                  <c:v>2.0255000000000001</c:v>
                </c:pt>
                <c:pt idx="16">
                  <c:v>2.0687000000000002</c:v>
                </c:pt>
                <c:pt idx="17">
                  <c:v>1.9994000000000001</c:v>
                </c:pt>
                <c:pt idx="18">
                  <c:v>1.9733000000000001</c:v>
                </c:pt>
                <c:pt idx="19">
                  <c:v>1.9528000000000001</c:v>
                </c:pt>
                <c:pt idx="20">
                  <c:v>1.821</c:v>
                </c:pt>
                <c:pt idx="21">
                  <c:v>1.9728000000000001</c:v>
                </c:pt>
                <c:pt idx="22">
                  <c:v>2.1395</c:v>
                </c:pt>
                <c:pt idx="23">
                  <c:v>2.3769</c:v>
                </c:pt>
                <c:pt idx="24">
                  <c:v>2.3264999999999998</c:v>
                </c:pt>
                <c:pt idx="25">
                  <c:v>2.2690000000000001</c:v>
                </c:pt>
                <c:pt idx="26">
                  <c:v>2.2949999999999999</c:v>
                </c:pt>
                <c:pt idx="27">
                  <c:v>2.3549000000000002</c:v>
                </c:pt>
                <c:pt idx="28">
                  <c:v>2.2372000000000001</c:v>
                </c:pt>
                <c:pt idx="29">
                  <c:v>2.1141000000000001</c:v>
                </c:pt>
                <c:pt idx="30">
                  <c:v>2.1456</c:v>
                </c:pt>
                <c:pt idx="31">
                  <c:v>2.0910000000000002</c:v>
                </c:pt>
                <c:pt idx="32">
                  <c:v>2.2360000000000002</c:v>
                </c:pt>
                <c:pt idx="33">
                  <c:v>2.3254000000000001</c:v>
                </c:pt>
                <c:pt idx="34">
                  <c:v>2.1677</c:v>
                </c:pt>
                <c:pt idx="35">
                  <c:v>2.0480999999999998</c:v>
                </c:pt>
                <c:pt idx="36">
                  <c:v>1.9805999999999999</c:v>
                </c:pt>
                <c:pt idx="37">
                  <c:v>1.9778</c:v>
                </c:pt>
                <c:pt idx="38">
                  <c:v>1.982</c:v>
                </c:pt>
                <c:pt idx="39">
                  <c:v>1.9272</c:v>
                </c:pt>
                <c:pt idx="40">
                  <c:v>1.9629000000000001</c:v>
                </c:pt>
                <c:pt idx="41">
                  <c:v>1.9476</c:v>
                </c:pt>
                <c:pt idx="42">
                  <c:v>1.9693000000000001</c:v>
                </c:pt>
                <c:pt idx="43">
                  <c:v>2.0823999999999998</c:v>
                </c:pt>
                <c:pt idx="44">
                  <c:v>2.2355999999999998</c:v>
                </c:pt>
                <c:pt idx="45">
                  <c:v>2.6713</c:v>
                </c:pt>
                <c:pt idx="46">
                  <c:v>2.4952000000000001</c:v>
                </c:pt>
                <c:pt idx="47">
                  <c:v>2.4664000000000001</c:v>
                </c:pt>
                <c:pt idx="48">
                  <c:v>2.4746000000000001</c:v>
                </c:pt>
                <c:pt idx="49">
                  <c:v>2.4559000000000002</c:v>
                </c:pt>
                <c:pt idx="50">
                  <c:v>1.9964</c:v>
                </c:pt>
                <c:pt idx="51">
                  <c:v>2.1162000000000001</c:v>
                </c:pt>
                <c:pt idx="52">
                  <c:v>2.1791</c:v>
                </c:pt>
                <c:pt idx="53">
                  <c:v>2.1913999999999998</c:v>
                </c:pt>
                <c:pt idx="54">
                  <c:v>2.1907999999999999</c:v>
                </c:pt>
                <c:pt idx="55">
                  <c:v>2.1332</c:v>
                </c:pt>
                <c:pt idx="56">
                  <c:v>2.302</c:v>
                </c:pt>
                <c:pt idx="57">
                  <c:v>2.3008000000000002</c:v>
                </c:pt>
                <c:pt idx="58">
                  <c:v>2.0649999999999999</c:v>
                </c:pt>
              </c:numCache>
            </c:numRef>
          </c:val>
          <c:smooth val="1"/>
          <c:extLst xmlns:c16r2="http://schemas.microsoft.com/office/drawing/2015/06/chart">
            <c:ext xmlns:c16="http://schemas.microsoft.com/office/drawing/2014/chart" uri="{C3380CC4-5D6E-409C-BE32-E72D297353CC}">
              <c16:uniqueId val="{00000001-4494-4FA2-9DCA-605A60E87A27}"/>
            </c:ext>
          </c:extLst>
        </c:ser>
        <c:dLbls>
          <c:showLegendKey val="0"/>
          <c:showVal val="0"/>
          <c:showCatName val="0"/>
          <c:showSerName val="0"/>
          <c:showPercent val="0"/>
          <c:showBubbleSize val="0"/>
        </c:dLbls>
        <c:marker val="1"/>
        <c:smooth val="0"/>
        <c:axId val="362364928"/>
        <c:axId val="362366464"/>
      </c:lineChart>
      <c:dateAx>
        <c:axId val="36236492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2366464"/>
        <c:crosses val="autoZero"/>
        <c:auto val="0"/>
        <c:lblOffset val="0"/>
        <c:baseTimeUnit val="days"/>
        <c:majorUnit val="14"/>
        <c:majorTimeUnit val="days"/>
        <c:minorUnit val="7"/>
        <c:minorTimeUnit val="days"/>
      </c:dateAx>
      <c:valAx>
        <c:axId val="36236646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2364928"/>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3.960000000000008</c:v>
                </c:pt>
                <c:pt idx="1">
                  <c:v>-4.7600000000000087</c:v>
                </c:pt>
                <c:pt idx="2">
                  <c:v>-1.6599999999999948</c:v>
                </c:pt>
                <c:pt idx="3">
                  <c:v>4.3899999999999828</c:v>
                </c:pt>
                <c:pt idx="4">
                  <c:v>4.3500000000000316</c:v>
                </c:pt>
                <c:pt idx="5">
                  <c:v>2.220000000000022</c:v>
                </c:pt>
                <c:pt idx="6">
                  <c:v>0.99999999999997868</c:v>
                </c:pt>
              </c:numCache>
            </c:numRef>
          </c:val>
          <c:extLst xmlns:c16r2="http://schemas.microsoft.com/office/drawing/2015/06/chart">
            <c:ext xmlns:c16="http://schemas.microsoft.com/office/drawing/2014/chart" uri="{C3380CC4-5D6E-409C-BE32-E72D297353CC}">
              <c16:uniqueId val="{00000000-AA1A-4651-9706-9A72F2865987}"/>
            </c:ext>
          </c:extLst>
        </c:ser>
        <c:dLbls>
          <c:showLegendKey val="0"/>
          <c:showVal val="0"/>
          <c:showCatName val="0"/>
          <c:showSerName val="0"/>
          <c:showPercent val="0"/>
          <c:showBubbleSize val="0"/>
        </c:dLbls>
        <c:gapWidth val="150"/>
        <c:axId val="362828160"/>
        <c:axId val="362830080"/>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AA1A-4651-9706-9A72F2865987}"/>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AA1A-4651-9706-9A72F2865987}"/>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AA1A-4651-9706-9A72F2865987}"/>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AA1A-4651-9706-9A72F2865987}"/>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AA1A-4651-9706-9A72F2865987}"/>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AA1A-4651-9706-9A72F2865987}"/>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1.8183</c:v>
                </c:pt>
                <c:pt idx="1">
                  <c:v>1.8476999999999999</c:v>
                </c:pt>
                <c:pt idx="2">
                  <c:v>2.3934000000000002</c:v>
                </c:pt>
                <c:pt idx="3">
                  <c:v>2.8087</c:v>
                </c:pt>
                <c:pt idx="4">
                  <c:v>2.9746000000000001</c:v>
                </c:pt>
                <c:pt idx="5">
                  <c:v>3.0807000000000002</c:v>
                </c:pt>
                <c:pt idx="6">
                  <c:v>3.0924999999999998</c:v>
                </c:pt>
              </c:numCache>
            </c:numRef>
          </c:val>
          <c:smooth val="0"/>
          <c:extLst xmlns:c16r2="http://schemas.microsoft.com/office/drawing/2015/06/chart">
            <c:ext xmlns:c16="http://schemas.microsoft.com/office/drawing/2014/chart" uri="{C3380CC4-5D6E-409C-BE32-E72D297353CC}">
              <c16:uniqueId val="{00000007-AA1A-4651-9706-9A72F2865987}"/>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1.7786999999999999</c:v>
                </c:pt>
                <c:pt idx="1">
                  <c:v>1.8953</c:v>
                </c:pt>
                <c:pt idx="2">
                  <c:v>2.41</c:v>
                </c:pt>
                <c:pt idx="3">
                  <c:v>2.7648000000000001</c:v>
                </c:pt>
                <c:pt idx="4">
                  <c:v>2.9310999999999998</c:v>
                </c:pt>
                <c:pt idx="5">
                  <c:v>3.0585</c:v>
                </c:pt>
                <c:pt idx="6">
                  <c:v>3.0825</c:v>
                </c:pt>
              </c:numCache>
            </c:numRef>
          </c:val>
          <c:smooth val="0"/>
          <c:extLst xmlns:c16r2="http://schemas.microsoft.com/office/drawing/2015/06/chart">
            <c:ext xmlns:c16="http://schemas.microsoft.com/office/drawing/2014/chart" uri="{C3380CC4-5D6E-409C-BE32-E72D297353CC}">
              <c16:uniqueId val="{00000008-AA1A-4651-9706-9A72F2865987}"/>
            </c:ext>
          </c:extLst>
        </c:ser>
        <c:dLbls>
          <c:showLegendKey val="0"/>
          <c:showVal val="0"/>
          <c:showCatName val="0"/>
          <c:showSerName val="0"/>
          <c:showPercent val="0"/>
          <c:showBubbleSize val="0"/>
        </c:dLbls>
        <c:marker val="1"/>
        <c:smooth val="0"/>
        <c:axId val="362849792"/>
        <c:axId val="362848256"/>
      </c:lineChart>
      <c:dateAx>
        <c:axId val="36282816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2830080"/>
        <c:crosses val="autoZero"/>
        <c:auto val="0"/>
        <c:lblOffset val="0"/>
        <c:baseTimeUnit val="days"/>
      </c:dateAx>
      <c:valAx>
        <c:axId val="36283008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2828160"/>
        <c:crosses val="autoZero"/>
        <c:crossBetween val="between"/>
      </c:valAx>
      <c:valAx>
        <c:axId val="362848256"/>
        <c:scaling>
          <c:orientation val="minMax"/>
        </c:scaling>
        <c:delete val="0"/>
        <c:axPos val="r"/>
        <c:numFmt formatCode="#,##0.0_);[Red]\(#,##0.0\)" sourceLinked="0"/>
        <c:majorTickMark val="out"/>
        <c:minorTickMark val="none"/>
        <c:tickLblPos val="nextTo"/>
        <c:spPr>
          <a:ln w="3175">
            <a:solidFill>
              <a:sysClr val="windowText" lastClr="000000"/>
            </a:solidFill>
          </a:ln>
        </c:spPr>
        <c:crossAx val="362849792"/>
        <c:crosses val="max"/>
        <c:crossBetween val="between"/>
      </c:valAx>
      <c:dateAx>
        <c:axId val="362849792"/>
        <c:scaling>
          <c:orientation val="minMax"/>
        </c:scaling>
        <c:delete val="1"/>
        <c:axPos val="b"/>
        <c:numFmt formatCode="General" sourceLinked="1"/>
        <c:majorTickMark val="out"/>
        <c:minorTickMark val="none"/>
        <c:tickLblPos val="nextTo"/>
        <c:crossAx val="36284825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-2.62</c:v>
                </c:pt>
                <c:pt idx="1">
                  <c:v>-5.2100000000000035</c:v>
                </c:pt>
                <c:pt idx="2">
                  <c:v>-1.6599999999999948</c:v>
                </c:pt>
                <c:pt idx="3">
                  <c:v>2.3600000000000065</c:v>
                </c:pt>
                <c:pt idx="4">
                  <c:v>2.2500000000000409</c:v>
                </c:pt>
                <c:pt idx="5">
                  <c:v>1.6900000000000137</c:v>
                </c:pt>
                <c:pt idx="6">
                  <c:v>3.5000000000000142</c:v>
                </c:pt>
              </c:numCache>
            </c:numRef>
          </c:val>
          <c:extLst xmlns:c16r2="http://schemas.microsoft.com/office/drawing/2015/06/chart">
            <c:ext xmlns:c16="http://schemas.microsoft.com/office/drawing/2014/chart" uri="{C3380CC4-5D6E-409C-BE32-E72D297353CC}">
              <c16:uniqueId val="{00000000-E2CD-45F0-A024-653D78EA5053}"/>
            </c:ext>
          </c:extLst>
        </c:ser>
        <c:dLbls>
          <c:showLegendKey val="0"/>
          <c:showVal val="0"/>
          <c:showCatName val="0"/>
          <c:showSerName val="0"/>
          <c:showPercent val="0"/>
          <c:showBubbleSize val="0"/>
        </c:dLbls>
        <c:gapWidth val="150"/>
        <c:axId val="362902272"/>
        <c:axId val="36290419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E2CD-45F0-A024-653D78EA5053}"/>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E2CD-45F0-A024-653D78EA5053}"/>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E2CD-45F0-A024-653D78EA5053}"/>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E2CD-45F0-A024-653D78EA5053}"/>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E2CD-45F0-A024-653D78EA5053}"/>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E2CD-45F0-A024-653D78EA5053}"/>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1.8351999999999999</c:v>
                </c:pt>
                <c:pt idx="1">
                  <c:v>1.8852</c:v>
                </c:pt>
                <c:pt idx="2">
                  <c:v>2.5375000000000001</c:v>
                </c:pt>
                <c:pt idx="3">
                  <c:v>3.0947</c:v>
                </c:pt>
                <c:pt idx="4">
                  <c:v>3.2621000000000002</c:v>
                </c:pt>
                <c:pt idx="5">
                  <c:v>3.4279000000000002</c:v>
                </c:pt>
                <c:pt idx="6">
                  <c:v>3.5287999999999999</c:v>
                </c:pt>
              </c:numCache>
            </c:numRef>
          </c:val>
          <c:smooth val="0"/>
          <c:extLst xmlns:c16r2="http://schemas.microsoft.com/office/drawing/2015/06/chart">
            <c:ext xmlns:c16="http://schemas.microsoft.com/office/drawing/2014/chart" uri="{C3380CC4-5D6E-409C-BE32-E72D297353CC}">
              <c16:uniqueId val="{00000007-E2CD-45F0-A024-653D78EA5053}"/>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1.8613999999999999</c:v>
                </c:pt>
                <c:pt idx="1">
                  <c:v>1.9373</c:v>
                </c:pt>
                <c:pt idx="2">
                  <c:v>2.5541</c:v>
                </c:pt>
                <c:pt idx="3">
                  <c:v>3.0710999999999999</c:v>
                </c:pt>
                <c:pt idx="4">
                  <c:v>3.2395999999999998</c:v>
                </c:pt>
                <c:pt idx="5">
                  <c:v>3.411</c:v>
                </c:pt>
                <c:pt idx="6">
                  <c:v>3.4937999999999998</c:v>
                </c:pt>
              </c:numCache>
            </c:numRef>
          </c:val>
          <c:smooth val="0"/>
          <c:extLst xmlns:c16r2="http://schemas.microsoft.com/office/drawing/2015/06/chart">
            <c:ext xmlns:c16="http://schemas.microsoft.com/office/drawing/2014/chart" uri="{C3380CC4-5D6E-409C-BE32-E72D297353CC}">
              <c16:uniqueId val="{00000008-E2CD-45F0-A024-653D78EA5053}"/>
            </c:ext>
          </c:extLst>
        </c:ser>
        <c:dLbls>
          <c:showLegendKey val="0"/>
          <c:showVal val="0"/>
          <c:showCatName val="0"/>
          <c:showSerName val="0"/>
          <c:showPercent val="0"/>
          <c:showBubbleSize val="0"/>
        </c:dLbls>
        <c:marker val="1"/>
        <c:smooth val="0"/>
        <c:axId val="362915712"/>
        <c:axId val="362914176"/>
      </c:lineChart>
      <c:dateAx>
        <c:axId val="36290227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2904192"/>
        <c:crosses val="autoZero"/>
        <c:auto val="0"/>
        <c:lblOffset val="0"/>
        <c:baseTimeUnit val="days"/>
      </c:dateAx>
      <c:valAx>
        <c:axId val="36290419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2902272"/>
        <c:crosses val="autoZero"/>
        <c:crossBetween val="between"/>
      </c:valAx>
      <c:valAx>
        <c:axId val="362914176"/>
        <c:scaling>
          <c:orientation val="minMax"/>
        </c:scaling>
        <c:delete val="0"/>
        <c:axPos val="r"/>
        <c:numFmt formatCode="#,##0.0_);[Red]\(#,##0.0\)" sourceLinked="0"/>
        <c:majorTickMark val="out"/>
        <c:minorTickMark val="none"/>
        <c:tickLblPos val="nextTo"/>
        <c:spPr>
          <a:ln w="3175">
            <a:solidFill>
              <a:sysClr val="windowText" lastClr="000000"/>
            </a:solidFill>
          </a:ln>
        </c:spPr>
        <c:crossAx val="362915712"/>
        <c:crosses val="max"/>
        <c:crossBetween val="between"/>
      </c:valAx>
      <c:dateAx>
        <c:axId val="362915712"/>
        <c:scaling>
          <c:orientation val="minMax"/>
        </c:scaling>
        <c:delete val="1"/>
        <c:axPos val="b"/>
        <c:numFmt formatCode="General" sourceLinked="1"/>
        <c:majorTickMark val="out"/>
        <c:minorTickMark val="none"/>
        <c:tickLblPos val="nextTo"/>
        <c:crossAx val="36291417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44351</c:v>
                </c:pt>
                <c:pt idx="1">
                  <c:v>44344</c:v>
                </c:pt>
                <c:pt idx="2">
                  <c:v>44337</c:v>
                </c:pt>
                <c:pt idx="3">
                  <c:v>44330</c:v>
                </c:pt>
                <c:pt idx="4">
                  <c:v>44323</c:v>
                </c:pt>
                <c:pt idx="5">
                  <c:v>44316</c:v>
                </c:pt>
                <c:pt idx="6">
                  <c:v>44309</c:v>
                </c:pt>
                <c:pt idx="7">
                  <c:v>44302</c:v>
                </c:pt>
                <c:pt idx="8">
                  <c:v>44295</c:v>
                </c:pt>
                <c:pt idx="9">
                  <c:v>44288</c:v>
                </c:pt>
                <c:pt idx="10">
                  <c:v>44281</c:v>
                </c:pt>
                <c:pt idx="11">
                  <c:v>44274</c:v>
                </c:pt>
                <c:pt idx="12">
                  <c:v>44267</c:v>
                </c:pt>
                <c:pt idx="13">
                  <c:v>44260</c:v>
                </c:pt>
                <c:pt idx="14">
                  <c:v>44253</c:v>
                </c:pt>
                <c:pt idx="15">
                  <c:v>44246</c:v>
                </c:pt>
                <c:pt idx="16">
                  <c:v>44237</c:v>
                </c:pt>
                <c:pt idx="17">
                  <c:v>44232</c:v>
                </c:pt>
                <c:pt idx="18">
                  <c:v>44225</c:v>
                </c:pt>
                <c:pt idx="19">
                  <c:v>44218</c:v>
                </c:pt>
                <c:pt idx="20">
                  <c:v>44211</c:v>
                </c:pt>
                <c:pt idx="21">
                  <c:v>44204</c:v>
                </c:pt>
                <c:pt idx="22">
                  <c:v>44196</c:v>
                </c:pt>
                <c:pt idx="23">
                  <c:v>44190</c:v>
                </c:pt>
              </c:numCache>
            </c:numRef>
          </c:cat>
          <c:val>
            <c:numRef>
              <c:f>转债!$H$5:$H$28</c:f>
              <c:numCache>
                <c:formatCode>General</c:formatCode>
                <c:ptCount val="24"/>
                <c:pt idx="0">
                  <c:v>5.2635946108422704</c:v>
                </c:pt>
                <c:pt idx="1">
                  <c:v>5.1812779632069761</c:v>
                </c:pt>
                <c:pt idx="2">
                  <c:v>3.4736196575231748</c:v>
                </c:pt>
                <c:pt idx="3">
                  <c:v>3.2434297797232947</c:v>
                </c:pt>
                <c:pt idx="4">
                  <c:v>2.3394028581131376</c:v>
                </c:pt>
                <c:pt idx="5">
                  <c:v>2.0505527524423028</c:v>
                </c:pt>
                <c:pt idx="6">
                  <c:v>2.0524760386020136</c:v>
                </c:pt>
                <c:pt idx="7">
                  <c:v>1.3216822489479751</c:v>
                </c:pt>
                <c:pt idx="8">
                  <c:v>1.609350907406415</c:v>
                </c:pt>
                <c:pt idx="9">
                  <c:v>1.2307108135940048</c:v>
                </c:pt>
                <c:pt idx="10">
                  <c:v>0.64097632599591225</c:v>
                </c:pt>
                <c:pt idx="11">
                  <c:v>1.2186215863044358</c:v>
                </c:pt>
                <c:pt idx="12">
                  <c:v>1.2030704439274009</c:v>
                </c:pt>
                <c:pt idx="13">
                  <c:v>0.88177175319072987</c:v>
                </c:pt>
                <c:pt idx="14">
                  <c:v>0.407352008625117</c:v>
                </c:pt>
                <c:pt idx="15">
                  <c:v>1.9342214152968218</c:v>
                </c:pt>
                <c:pt idx="16">
                  <c:v>0.26131963807052294</c:v>
                </c:pt>
                <c:pt idx="17">
                  <c:v>-2.5282970345125499</c:v>
                </c:pt>
                <c:pt idx="18">
                  <c:v>-0.27090859335245909</c:v>
                </c:pt>
                <c:pt idx="19">
                  <c:v>3.6690530068655747</c:v>
                </c:pt>
                <c:pt idx="20">
                  <c:v>2.7257635720809192</c:v>
                </c:pt>
                <c:pt idx="21">
                  <c:v>2.7692298392902215</c:v>
                </c:pt>
                <c:pt idx="22">
                  <c:v>1.1927671252147221</c:v>
                </c:pt>
                <c:pt idx="23">
                  <c:v>0</c:v>
                </c:pt>
              </c:numCache>
            </c:numRef>
          </c:val>
          <c:smooth val="1"/>
          <c:extLst xmlns:c16r2="http://schemas.microsoft.com/office/drawing/2015/06/chart">
            <c:ext xmlns:c16="http://schemas.microsoft.com/office/drawing/2014/chart" uri="{C3380CC4-5D6E-409C-BE32-E72D297353CC}">
              <c16:uniqueId val="{00000000-5FAA-4596-9BA3-A136198AD051}"/>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44351</c:v>
                </c:pt>
                <c:pt idx="1">
                  <c:v>44344</c:v>
                </c:pt>
                <c:pt idx="2">
                  <c:v>44337</c:v>
                </c:pt>
                <c:pt idx="3">
                  <c:v>44330</c:v>
                </c:pt>
                <c:pt idx="4">
                  <c:v>44323</c:v>
                </c:pt>
                <c:pt idx="5">
                  <c:v>44316</c:v>
                </c:pt>
                <c:pt idx="6">
                  <c:v>44309</c:v>
                </c:pt>
                <c:pt idx="7">
                  <c:v>44302</c:v>
                </c:pt>
                <c:pt idx="8">
                  <c:v>44295</c:v>
                </c:pt>
                <c:pt idx="9">
                  <c:v>44288</c:v>
                </c:pt>
                <c:pt idx="10">
                  <c:v>44281</c:v>
                </c:pt>
                <c:pt idx="11">
                  <c:v>44274</c:v>
                </c:pt>
                <c:pt idx="12">
                  <c:v>44267</c:v>
                </c:pt>
                <c:pt idx="13">
                  <c:v>44260</c:v>
                </c:pt>
                <c:pt idx="14">
                  <c:v>44253</c:v>
                </c:pt>
                <c:pt idx="15">
                  <c:v>44246</c:v>
                </c:pt>
                <c:pt idx="16">
                  <c:v>44237</c:v>
                </c:pt>
                <c:pt idx="17">
                  <c:v>44232</c:v>
                </c:pt>
                <c:pt idx="18">
                  <c:v>44225</c:v>
                </c:pt>
                <c:pt idx="19">
                  <c:v>44218</c:v>
                </c:pt>
                <c:pt idx="20">
                  <c:v>44211</c:v>
                </c:pt>
                <c:pt idx="21">
                  <c:v>44204</c:v>
                </c:pt>
                <c:pt idx="22">
                  <c:v>44196</c:v>
                </c:pt>
                <c:pt idx="23">
                  <c:v>44190</c:v>
                </c:pt>
              </c:numCache>
            </c:numRef>
          </c:cat>
          <c:val>
            <c:numRef>
              <c:f>转债!$I$5:$I$28</c:f>
              <c:numCache>
                <c:formatCode>General</c:formatCode>
                <c:ptCount val="24"/>
                <c:pt idx="0">
                  <c:v>0.72499848923184285</c:v>
                </c:pt>
                <c:pt idx="1">
                  <c:v>0.82253878844054107</c:v>
                </c:pt>
                <c:pt idx="2">
                  <c:v>0.88679963128746042</c:v>
                </c:pt>
                <c:pt idx="3">
                  <c:v>0.61749988722434868</c:v>
                </c:pt>
                <c:pt idx="4">
                  <c:v>0.5275347072386527</c:v>
                </c:pt>
                <c:pt idx="5">
                  <c:v>0.4700829603225376</c:v>
                </c:pt>
                <c:pt idx="6">
                  <c:v>0.50966083042032206</c:v>
                </c:pt>
                <c:pt idx="7">
                  <c:v>0.38199028171781446</c:v>
                </c:pt>
                <c:pt idx="8">
                  <c:v>8.7411769011636054E-2</c:v>
                </c:pt>
                <c:pt idx="9">
                  <c:v>0.11541417602705106</c:v>
                </c:pt>
                <c:pt idx="10">
                  <c:v>8.8433133401255581E-2</c:v>
                </c:pt>
                <c:pt idx="11">
                  <c:v>-8.0091990886033138E-2</c:v>
                </c:pt>
                <c:pt idx="12">
                  <c:v>-0.1659717133132399</c:v>
                </c:pt>
                <c:pt idx="13">
                  <c:v>-0.17610024351030207</c:v>
                </c:pt>
                <c:pt idx="14">
                  <c:v>-0.32513433069566444</c:v>
                </c:pt>
                <c:pt idx="15">
                  <c:v>-0.29832351546814628</c:v>
                </c:pt>
                <c:pt idx="16">
                  <c:v>-0.22359368762762122</c:v>
                </c:pt>
                <c:pt idx="17">
                  <c:v>-0.20776253958850743</c:v>
                </c:pt>
                <c:pt idx="18">
                  <c:v>-1.4043760357285162E-2</c:v>
                </c:pt>
                <c:pt idx="19">
                  <c:v>0.36573356518305733</c:v>
                </c:pt>
                <c:pt idx="20">
                  <c:v>0.29083350994425494</c:v>
                </c:pt>
                <c:pt idx="21">
                  <c:v>0.30147272233611577</c:v>
                </c:pt>
                <c:pt idx="22">
                  <c:v>0.27653440848958155</c:v>
                </c:pt>
                <c:pt idx="23">
                  <c:v>0</c:v>
                </c:pt>
              </c:numCache>
            </c:numRef>
          </c:val>
          <c:smooth val="1"/>
          <c:extLst xmlns:c16r2="http://schemas.microsoft.com/office/drawing/2015/06/chart">
            <c:ext xmlns:c16="http://schemas.microsoft.com/office/drawing/2014/chart" uri="{C3380CC4-5D6E-409C-BE32-E72D297353CC}">
              <c16:uniqueId val="{00000001-5FAA-4596-9BA3-A136198AD051}"/>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44351</c:v>
                </c:pt>
                <c:pt idx="1">
                  <c:v>44344</c:v>
                </c:pt>
                <c:pt idx="2">
                  <c:v>44337</c:v>
                </c:pt>
                <c:pt idx="3">
                  <c:v>44330</c:v>
                </c:pt>
                <c:pt idx="4">
                  <c:v>44323</c:v>
                </c:pt>
                <c:pt idx="5">
                  <c:v>44316</c:v>
                </c:pt>
                <c:pt idx="6">
                  <c:v>44309</c:v>
                </c:pt>
                <c:pt idx="7">
                  <c:v>44302</c:v>
                </c:pt>
                <c:pt idx="8">
                  <c:v>44295</c:v>
                </c:pt>
                <c:pt idx="9">
                  <c:v>44288</c:v>
                </c:pt>
                <c:pt idx="10">
                  <c:v>44281</c:v>
                </c:pt>
                <c:pt idx="11">
                  <c:v>44274</c:v>
                </c:pt>
                <c:pt idx="12">
                  <c:v>44267</c:v>
                </c:pt>
                <c:pt idx="13">
                  <c:v>44260</c:v>
                </c:pt>
                <c:pt idx="14">
                  <c:v>44253</c:v>
                </c:pt>
                <c:pt idx="15">
                  <c:v>44246</c:v>
                </c:pt>
                <c:pt idx="16">
                  <c:v>44237</c:v>
                </c:pt>
                <c:pt idx="17">
                  <c:v>44232</c:v>
                </c:pt>
                <c:pt idx="18">
                  <c:v>44225</c:v>
                </c:pt>
                <c:pt idx="19">
                  <c:v>44218</c:v>
                </c:pt>
                <c:pt idx="20">
                  <c:v>44211</c:v>
                </c:pt>
                <c:pt idx="21">
                  <c:v>44204</c:v>
                </c:pt>
                <c:pt idx="22">
                  <c:v>44196</c:v>
                </c:pt>
                <c:pt idx="23">
                  <c:v>44190</c:v>
                </c:pt>
              </c:numCache>
            </c:numRef>
          </c:cat>
          <c:val>
            <c:numRef>
              <c:f>转债!$J$5:$J$28</c:f>
              <c:numCache>
                <c:formatCode>General</c:formatCode>
                <c:ptCount val="24"/>
                <c:pt idx="0">
                  <c:v>4.7652290195086211</c:v>
                </c:pt>
                <c:pt idx="1">
                  <c:v>5.5349889271423258</c:v>
                </c:pt>
                <c:pt idx="2">
                  <c:v>1.827337359277692</c:v>
                </c:pt>
                <c:pt idx="3">
                  <c:v>1.3600994380479348</c:v>
                </c:pt>
                <c:pt idx="4">
                  <c:v>-0.91156039500647212</c:v>
                </c:pt>
                <c:pt idx="5">
                  <c:v>1.6159277790141591</c:v>
                </c:pt>
                <c:pt idx="6">
                  <c:v>1.8532218585602056</c:v>
                </c:pt>
                <c:pt idx="7">
                  <c:v>-1.5040141600567325</c:v>
                </c:pt>
                <c:pt idx="8">
                  <c:v>-0.13241336492203493</c:v>
                </c:pt>
                <c:pt idx="9">
                  <c:v>2.3709415942285039</c:v>
                </c:pt>
                <c:pt idx="10">
                  <c:v>-7.9805415840117355E-2</c:v>
                </c:pt>
                <c:pt idx="11">
                  <c:v>-0.69263992678164632</c:v>
                </c:pt>
                <c:pt idx="12">
                  <c:v>2.0699051254065237</c:v>
                </c:pt>
                <c:pt idx="13">
                  <c:v>4.3788476814333066</c:v>
                </c:pt>
                <c:pt idx="14">
                  <c:v>5.8458230686679657</c:v>
                </c:pt>
                <c:pt idx="15">
                  <c:v>14.613770287851446</c:v>
                </c:pt>
                <c:pt idx="16">
                  <c:v>15.186499790748286</c:v>
                </c:pt>
                <c:pt idx="17">
                  <c:v>8.7544446775303051</c:v>
                </c:pt>
                <c:pt idx="18">
                  <c:v>6.1473633044670128</c:v>
                </c:pt>
                <c:pt idx="19">
                  <c:v>10.467292066263113</c:v>
                </c:pt>
                <c:pt idx="20">
                  <c:v>8.2520105012804592</c:v>
                </c:pt>
                <c:pt idx="21">
                  <c:v>8.992774057714259</c:v>
                </c:pt>
                <c:pt idx="22">
                  <c:v>3.3572856019807862</c:v>
                </c:pt>
                <c:pt idx="23">
                  <c:v>0</c:v>
                </c:pt>
              </c:numCache>
            </c:numRef>
          </c:val>
          <c:smooth val="1"/>
          <c:extLst xmlns:c16r2="http://schemas.microsoft.com/office/drawing/2015/06/chart">
            <c:ext xmlns:c16="http://schemas.microsoft.com/office/drawing/2014/chart" uri="{C3380CC4-5D6E-409C-BE32-E72D297353CC}">
              <c16:uniqueId val="{00000002-5FAA-4596-9BA3-A136198AD051}"/>
            </c:ext>
          </c:extLst>
        </c:ser>
        <c:dLbls>
          <c:showLegendKey val="0"/>
          <c:showVal val="0"/>
          <c:showCatName val="0"/>
          <c:showSerName val="0"/>
          <c:showPercent val="0"/>
          <c:showBubbleSize val="0"/>
        </c:dLbls>
        <c:marker val="1"/>
        <c:smooth val="0"/>
        <c:axId val="364207488"/>
        <c:axId val="364209280"/>
      </c:lineChart>
      <c:dateAx>
        <c:axId val="36420748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364209280"/>
        <c:crosses val="autoZero"/>
        <c:auto val="0"/>
        <c:lblOffset val="0"/>
        <c:baseTimeUnit val="days"/>
        <c:majorUnit val="14"/>
        <c:majorTimeUnit val="days"/>
      </c:dateAx>
      <c:valAx>
        <c:axId val="36420928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4207488"/>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947-430B-A9B4-9426FC5F030E}"/>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D947-430B-A9B4-9426FC5F030E}"/>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3052.2</c:v>
                </c:pt>
                <c:pt idx="135">
                  <c:v>#N/A</c:v>
                </c:pt>
                <c:pt idx="136">
                  <c:v>#N/A</c:v>
                </c:pt>
                <c:pt idx="137">
                  <c:v>#N/A</c:v>
                </c:pt>
                <c:pt idx="138">
                  <c:v>#N/A</c:v>
                </c:pt>
                <c:pt idx="139">
                  <c:v>#N/A</c:v>
                </c:pt>
                <c:pt idx="140">
                  <c:v>#N/A</c:v>
                </c:pt>
                <c:pt idx="141">
                  <c:v>2914.64</c:v>
                </c:pt>
                <c:pt idx="142">
                  <c:v>#N/A</c:v>
                </c:pt>
                <c:pt idx="143">
                  <c:v>#N/A</c:v>
                </c:pt>
                <c:pt idx="144">
                  <c:v>#N/A</c:v>
                </c:pt>
                <c:pt idx="145">
                  <c:v>#N/A</c:v>
                </c:pt>
                <c:pt idx="146">
                  <c:v>#N/A</c:v>
                </c:pt>
                <c:pt idx="147">
                  <c:v>#N/A</c:v>
                </c:pt>
                <c:pt idx="148">
                  <c:v>2972.27</c:v>
                </c:pt>
                <c:pt idx="149">
                  <c:v>#N/A</c:v>
                </c:pt>
                <c:pt idx="150">
                  <c:v>#N/A</c:v>
                </c:pt>
                <c:pt idx="151">
                  <c:v>#N/A</c:v>
                </c:pt>
                <c:pt idx="152">
                  <c:v>#N/A</c:v>
                </c:pt>
                <c:pt idx="153">
                  <c:v>#N/A</c:v>
                </c:pt>
                <c:pt idx="154">
                  <c:v>#N/A</c:v>
                </c:pt>
                <c:pt idx="155">
                  <c:v>3038.36</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947-430B-A9B4-9426FC5F030E}"/>
            </c:ext>
          </c:extLst>
        </c:ser>
        <c:dLbls>
          <c:showLegendKey val="0"/>
          <c:showVal val="0"/>
          <c:showCatName val="0"/>
          <c:showSerName val="0"/>
          <c:showPercent val="0"/>
          <c:showBubbleSize val="0"/>
        </c:dLbls>
        <c:marker val="1"/>
        <c:smooth val="0"/>
        <c:axId val="364254720"/>
        <c:axId val="364256256"/>
      </c:lineChart>
      <c:dateAx>
        <c:axId val="36425472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4256256"/>
        <c:crosses val="autoZero"/>
        <c:auto val="0"/>
        <c:lblOffset val="0"/>
        <c:baseTimeUnit val="days"/>
        <c:majorUnit val="1"/>
        <c:majorTimeUnit val="months"/>
      </c:dateAx>
      <c:valAx>
        <c:axId val="364256256"/>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425472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CDEA-4B88-9AC5-2C7737DD4483}"/>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CDEA-4B88-9AC5-2C7737DD4483}"/>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158.97</c:v>
                </c:pt>
                <c:pt idx="130">
                  <c:v>159.03</c:v>
                </c:pt>
                <c:pt idx="131">
                  <c:v>159.01</c:v>
                </c:pt>
                <c:pt idx="132">
                  <c:v>158.81</c:v>
                </c:pt>
                <c:pt idx="133">
                  <c:v>158.79</c:v>
                </c:pt>
                <c:pt idx="134">
                  <c:v>#N/A</c:v>
                </c:pt>
                <c:pt idx="135">
                  <c:v>#N/A</c:v>
                </c:pt>
                <c:pt idx="136">
                  <c:v>159.13</c:v>
                </c:pt>
                <c:pt idx="137">
                  <c:v>159.12</c:v>
                </c:pt>
                <c:pt idx="138">
                  <c:v>159.13</c:v>
                </c:pt>
                <c:pt idx="139">
                  <c:v>159.34</c:v>
                </c:pt>
                <c:pt idx="140">
                  <c:v>159.29</c:v>
                </c:pt>
                <c:pt idx="141">
                  <c:v>#N/A</c:v>
                </c:pt>
                <c:pt idx="142">
                  <c:v>#N/A</c:v>
                </c:pt>
                <c:pt idx="143">
                  <c:v>159.02000000000001</c:v>
                </c:pt>
                <c:pt idx="144">
                  <c:v>158.94999999999999</c:v>
                </c:pt>
                <c:pt idx="145">
                  <c:v>158.96</c:v>
                </c:pt>
                <c:pt idx="146">
                  <c:v>158.75</c:v>
                </c:pt>
                <c:pt idx="147">
                  <c:v>158.43</c:v>
                </c:pt>
                <c:pt idx="148">
                  <c:v>#N/A</c:v>
                </c:pt>
                <c:pt idx="149">
                  <c:v>#N/A</c:v>
                </c:pt>
                <c:pt idx="150">
                  <c:v>157.58000000000001</c:v>
                </c:pt>
                <c:pt idx="151">
                  <c:v>156.63</c:v>
                </c:pt>
                <c:pt idx="152">
                  <c:v>156.71</c:v>
                </c:pt>
                <c:pt idx="153">
                  <c:v>156.83000000000001</c:v>
                </c:pt>
                <c:pt idx="154">
                  <c:v>155.80000000000001</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CDEA-4B88-9AC5-2C7737DD4483}"/>
            </c:ext>
          </c:extLst>
        </c:ser>
        <c:dLbls>
          <c:showLegendKey val="0"/>
          <c:showVal val="0"/>
          <c:showCatName val="0"/>
          <c:showSerName val="0"/>
          <c:showPercent val="0"/>
          <c:showBubbleSize val="0"/>
        </c:dLbls>
        <c:marker val="1"/>
        <c:smooth val="0"/>
        <c:axId val="364295680"/>
        <c:axId val="364297216"/>
      </c:lineChart>
      <c:dateAx>
        <c:axId val="36429568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4297216"/>
        <c:crosses val="autoZero"/>
        <c:auto val="0"/>
        <c:lblOffset val="0"/>
        <c:baseTimeUnit val="days"/>
        <c:majorUnit val="1"/>
        <c:majorTimeUnit val="months"/>
      </c:dateAx>
      <c:valAx>
        <c:axId val="36429721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429568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44352</c:v>
                </c:pt>
                <c:pt idx="1">
                  <c:v>44345</c:v>
                </c:pt>
                <c:pt idx="2">
                  <c:v>44338</c:v>
                </c:pt>
                <c:pt idx="3">
                  <c:v>44331</c:v>
                </c:pt>
                <c:pt idx="4">
                  <c:v>44324</c:v>
                </c:pt>
                <c:pt idx="5">
                  <c:v>44317</c:v>
                </c:pt>
                <c:pt idx="6">
                  <c:v>44310</c:v>
                </c:pt>
                <c:pt idx="7">
                  <c:v>44303</c:v>
                </c:pt>
                <c:pt idx="8">
                  <c:v>44296</c:v>
                </c:pt>
                <c:pt idx="9">
                  <c:v>44289</c:v>
                </c:pt>
                <c:pt idx="10">
                  <c:v>44282</c:v>
                </c:pt>
                <c:pt idx="11">
                  <c:v>44275</c:v>
                </c:pt>
                <c:pt idx="12">
                  <c:v>44268</c:v>
                </c:pt>
                <c:pt idx="13">
                  <c:v>44261</c:v>
                </c:pt>
                <c:pt idx="14">
                  <c:v>44254</c:v>
                </c:pt>
                <c:pt idx="15">
                  <c:v>44247</c:v>
                </c:pt>
                <c:pt idx="16">
                  <c:v>44240</c:v>
                </c:pt>
                <c:pt idx="17">
                  <c:v>44233</c:v>
                </c:pt>
                <c:pt idx="18">
                  <c:v>44226</c:v>
                </c:pt>
                <c:pt idx="19">
                  <c:v>44219</c:v>
                </c:pt>
                <c:pt idx="20">
                  <c:v>44212</c:v>
                </c:pt>
                <c:pt idx="21">
                  <c:v>44205</c:v>
                </c:pt>
                <c:pt idx="22">
                  <c:v>44198</c:v>
                </c:pt>
                <c:pt idx="23">
                  <c:v>44191</c:v>
                </c:pt>
                <c:pt idx="24">
                  <c:v>44184</c:v>
                </c:pt>
                <c:pt idx="25">
                  <c:v>44177</c:v>
                </c:pt>
              </c:numCache>
            </c:numRef>
          </c:cat>
          <c:val>
            <c:numRef>
              <c:f>汇率!$B$3:$B$28</c:f>
              <c:numCache>
                <c:formatCode>###,###,###,###,##0.00</c:formatCode>
                <c:ptCount val="26"/>
                <c:pt idx="0">
                  <c:v>6.4092000000000002</c:v>
                </c:pt>
                <c:pt idx="1">
                  <c:v>6.3654000000000002</c:v>
                </c:pt>
                <c:pt idx="2">
                  <c:v>6.4337</c:v>
                </c:pt>
                <c:pt idx="3">
                  <c:v>6.4347000000000003</c:v>
                </c:pt>
                <c:pt idx="4">
                  <c:v>6.4588999999999999</c:v>
                </c:pt>
                <c:pt idx="5">
                  <c:v>6.4715999999999996</c:v>
                </c:pt>
                <c:pt idx="6">
                  <c:v>6.4935999999999998</c:v>
                </c:pt>
                <c:pt idx="7">
                  <c:v>6.5228000000000002</c:v>
                </c:pt>
                <c:pt idx="8">
                  <c:v>6.5589000000000004</c:v>
                </c:pt>
                <c:pt idx="9">
                  <c:v>6.5612000000000004</c:v>
                </c:pt>
                <c:pt idx="10">
                  <c:v>6.5407000000000002</c:v>
                </c:pt>
                <c:pt idx="11">
                  <c:v>6.5045000000000002</c:v>
                </c:pt>
                <c:pt idx="12">
                  <c:v>6.5035999999999996</c:v>
                </c:pt>
                <c:pt idx="13">
                  <c:v>6.4767999999999999</c:v>
                </c:pt>
                <c:pt idx="14">
                  <c:v>6.4589999999999996</c:v>
                </c:pt>
                <c:pt idx="15">
                  <c:v>6.4574999999999996</c:v>
                </c:pt>
                <c:pt idx="16">
                  <c:v>6.4379999999999997</c:v>
                </c:pt>
                <c:pt idx="17">
                  <c:v>6.4809999999999999</c:v>
                </c:pt>
                <c:pt idx="18">
                  <c:v>6.4611999999999998</c:v>
                </c:pt>
                <c:pt idx="19">
                  <c:v>6.4776999999999996</c:v>
                </c:pt>
                <c:pt idx="20">
                  <c:v>6.4752000000000001</c:v>
                </c:pt>
                <c:pt idx="21">
                  <c:v>6.4718999999999998</c:v>
                </c:pt>
                <c:pt idx="22">
                  <c:v>6.5397999999999996</c:v>
                </c:pt>
                <c:pt idx="23">
                  <c:v>6.5240999999999998</c:v>
                </c:pt>
                <c:pt idx="24">
                  <c:v>6.5415000000000001</c:v>
                </c:pt>
                <c:pt idx="25">
                  <c:v>6.5411000000000001</c:v>
                </c:pt>
              </c:numCache>
            </c:numRef>
          </c:val>
          <c:smooth val="1"/>
          <c:extLst xmlns:c16r2="http://schemas.microsoft.com/office/drawing/2015/06/chart">
            <c:ext xmlns:c16="http://schemas.microsoft.com/office/drawing/2014/chart" uri="{C3380CC4-5D6E-409C-BE32-E72D297353CC}">
              <c16:uniqueId val="{00000000-B03C-4127-AABE-F032A850DC68}"/>
            </c:ext>
          </c:extLst>
        </c:ser>
        <c:dLbls>
          <c:showLegendKey val="0"/>
          <c:showVal val="0"/>
          <c:showCatName val="0"/>
          <c:showSerName val="0"/>
          <c:showPercent val="0"/>
          <c:showBubbleSize val="0"/>
        </c:dLbls>
        <c:marker val="1"/>
        <c:smooth val="0"/>
        <c:axId val="364008960"/>
        <c:axId val="364010496"/>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44352</c:v>
                </c:pt>
                <c:pt idx="1">
                  <c:v>44345</c:v>
                </c:pt>
                <c:pt idx="2">
                  <c:v>44338</c:v>
                </c:pt>
                <c:pt idx="3">
                  <c:v>44331</c:v>
                </c:pt>
                <c:pt idx="4">
                  <c:v>44324</c:v>
                </c:pt>
                <c:pt idx="5">
                  <c:v>44317</c:v>
                </c:pt>
                <c:pt idx="6">
                  <c:v>44310</c:v>
                </c:pt>
                <c:pt idx="7">
                  <c:v>44303</c:v>
                </c:pt>
                <c:pt idx="8">
                  <c:v>44296</c:v>
                </c:pt>
                <c:pt idx="9">
                  <c:v>44289</c:v>
                </c:pt>
                <c:pt idx="10">
                  <c:v>44282</c:v>
                </c:pt>
                <c:pt idx="11">
                  <c:v>44275</c:v>
                </c:pt>
                <c:pt idx="12">
                  <c:v>44268</c:v>
                </c:pt>
                <c:pt idx="13">
                  <c:v>44261</c:v>
                </c:pt>
                <c:pt idx="14">
                  <c:v>44254</c:v>
                </c:pt>
                <c:pt idx="15">
                  <c:v>44247</c:v>
                </c:pt>
                <c:pt idx="16">
                  <c:v>44240</c:v>
                </c:pt>
                <c:pt idx="17">
                  <c:v>44233</c:v>
                </c:pt>
                <c:pt idx="18">
                  <c:v>44226</c:v>
                </c:pt>
                <c:pt idx="19">
                  <c:v>44219</c:v>
                </c:pt>
                <c:pt idx="20">
                  <c:v>44212</c:v>
                </c:pt>
                <c:pt idx="21">
                  <c:v>44205</c:v>
                </c:pt>
                <c:pt idx="22">
                  <c:v>44198</c:v>
                </c:pt>
                <c:pt idx="23">
                  <c:v>44191</c:v>
                </c:pt>
                <c:pt idx="24">
                  <c:v>44184</c:v>
                </c:pt>
                <c:pt idx="25">
                  <c:v>44177</c:v>
                </c:pt>
              </c:numCache>
            </c:numRef>
          </c:cat>
          <c:val>
            <c:numRef>
              <c:f>汇率!$C$3:$C$28</c:f>
              <c:numCache>
                <c:formatCode>###,###,###,###,##0.00</c:formatCode>
                <c:ptCount val="26"/>
                <c:pt idx="0">
                  <c:v>153.24999999999997</c:v>
                </c:pt>
                <c:pt idx="1">
                  <c:v>150.25</c:v>
                </c:pt>
                <c:pt idx="2">
                  <c:v>145.76000000000002</c:v>
                </c:pt>
                <c:pt idx="3">
                  <c:v>151.22</c:v>
                </c:pt>
                <c:pt idx="4">
                  <c:v>155.88999999999999</c:v>
                </c:pt>
                <c:pt idx="5">
                  <c:v>151.40000000000003</c:v>
                </c:pt>
                <c:pt idx="6">
                  <c:v>159.19</c:v>
                </c:pt>
                <c:pt idx="7">
                  <c:v>157.31</c:v>
                </c:pt>
                <c:pt idx="8">
                  <c:v>154.21</c:v>
                </c:pt>
                <c:pt idx="9">
                  <c:v>148.13</c:v>
                </c:pt>
                <c:pt idx="10">
                  <c:v>152.85000000000002</c:v>
                </c:pt>
                <c:pt idx="11">
                  <c:v>149.64000000000001</c:v>
                </c:pt>
                <c:pt idx="12">
                  <c:v>162.13</c:v>
                </c:pt>
                <c:pt idx="13">
                  <c:v>168.56999999999996</c:v>
                </c:pt>
                <c:pt idx="14">
                  <c:v>183.98</c:v>
                </c:pt>
                <c:pt idx="15">
                  <c:v>191.78</c:v>
                </c:pt>
                <c:pt idx="16">
                  <c:v>209.49</c:v>
                </c:pt>
                <c:pt idx="17">
                  <c:v>202.64000000000001</c:v>
                </c:pt>
                <c:pt idx="18">
                  <c:v>206.86</c:v>
                </c:pt>
                <c:pt idx="19">
                  <c:v>201.85</c:v>
                </c:pt>
                <c:pt idx="20">
                  <c:v>204.07999999999998</c:v>
                </c:pt>
                <c:pt idx="21">
                  <c:v>201.56</c:v>
                </c:pt>
                <c:pt idx="22">
                  <c:v>221.29</c:v>
                </c:pt>
                <c:pt idx="23">
                  <c:v>229.03000000000003</c:v>
                </c:pt>
                <c:pt idx="24">
                  <c:v>234.02000000000004</c:v>
                </c:pt>
                <c:pt idx="25">
                  <c:v>239.51000000000002</c:v>
                </c:pt>
              </c:numCache>
            </c:numRef>
          </c:val>
          <c:smooth val="1"/>
          <c:extLst xmlns:c16r2="http://schemas.microsoft.com/office/drawing/2015/06/chart">
            <c:ext xmlns:c16="http://schemas.microsoft.com/office/drawing/2014/chart" uri="{C3380CC4-5D6E-409C-BE32-E72D297353CC}">
              <c16:uniqueId val="{00000001-B03C-4127-AABE-F032A850DC68}"/>
            </c:ext>
          </c:extLst>
        </c:ser>
        <c:dLbls>
          <c:showLegendKey val="0"/>
          <c:showVal val="0"/>
          <c:showCatName val="0"/>
          <c:showSerName val="0"/>
          <c:showPercent val="0"/>
          <c:showBubbleSize val="0"/>
        </c:dLbls>
        <c:marker val="1"/>
        <c:smooth val="0"/>
        <c:axId val="364017920"/>
        <c:axId val="364016384"/>
      </c:lineChart>
      <c:dateAx>
        <c:axId val="36400896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4010496"/>
        <c:crosses val="autoZero"/>
        <c:auto val="0"/>
        <c:lblOffset val="0"/>
        <c:baseTimeUnit val="days"/>
      </c:dateAx>
      <c:valAx>
        <c:axId val="364010496"/>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4008960"/>
        <c:crosses val="autoZero"/>
        <c:crossBetween val="between"/>
      </c:valAx>
      <c:valAx>
        <c:axId val="364016384"/>
        <c:scaling>
          <c:orientation val="minMax"/>
        </c:scaling>
        <c:delete val="0"/>
        <c:axPos val="r"/>
        <c:numFmt formatCode="#,##0_);[Red]\(#,##0\)" sourceLinked="0"/>
        <c:majorTickMark val="out"/>
        <c:minorTickMark val="none"/>
        <c:tickLblPos val="nextTo"/>
        <c:spPr>
          <a:ln w="3175">
            <a:solidFill>
              <a:sysClr val="windowText" lastClr="000000"/>
            </a:solidFill>
          </a:ln>
        </c:spPr>
        <c:crossAx val="364017920"/>
        <c:crosses val="max"/>
        <c:crossBetween val="between"/>
      </c:valAx>
      <c:dateAx>
        <c:axId val="364017920"/>
        <c:scaling>
          <c:orientation val="minMax"/>
        </c:scaling>
        <c:delete val="1"/>
        <c:axPos val="b"/>
        <c:numFmt formatCode="yyyy\-mm\-dd;@" sourceLinked="1"/>
        <c:majorTickMark val="out"/>
        <c:minorTickMark val="none"/>
        <c:tickLblPos val="nextTo"/>
        <c:crossAx val="364016384"/>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CDD5-4878-A688-69BDDF19C2F4}"/>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CDD5-4878-A688-69BDDF19C2F4}"/>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27.78</c:v>
                </c:pt>
                <c:pt idx="135">
                  <c:v>#N/A</c:v>
                </c:pt>
                <c:pt idx="136">
                  <c:v>#N/A</c:v>
                </c:pt>
                <c:pt idx="137">
                  <c:v>#N/A</c:v>
                </c:pt>
                <c:pt idx="138">
                  <c:v>#N/A</c:v>
                </c:pt>
                <c:pt idx="139">
                  <c:v>#N/A</c:v>
                </c:pt>
                <c:pt idx="140">
                  <c:v>#N/A</c:v>
                </c:pt>
                <c:pt idx="141">
                  <c:v>26.29</c:v>
                </c:pt>
                <c:pt idx="142">
                  <c:v>#N/A</c:v>
                </c:pt>
                <c:pt idx="143">
                  <c:v>#N/A</c:v>
                </c:pt>
                <c:pt idx="144">
                  <c:v>#N/A</c:v>
                </c:pt>
                <c:pt idx="145">
                  <c:v>#N/A</c:v>
                </c:pt>
                <c:pt idx="146">
                  <c:v>#N/A</c:v>
                </c:pt>
                <c:pt idx="147">
                  <c:v>#N/A</c:v>
                </c:pt>
                <c:pt idx="148">
                  <c:v>26.08</c:v>
                </c:pt>
                <c:pt idx="149">
                  <c:v>#N/A</c:v>
                </c:pt>
                <c:pt idx="150">
                  <c:v>#N/A</c:v>
                </c:pt>
                <c:pt idx="151">
                  <c:v>#N/A</c:v>
                </c:pt>
                <c:pt idx="152">
                  <c:v>#N/A</c:v>
                </c:pt>
                <c:pt idx="153">
                  <c:v>#N/A</c:v>
                </c:pt>
                <c:pt idx="154">
                  <c:v>#N/A</c:v>
                </c:pt>
                <c:pt idx="155">
                  <c:v>24.68</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2-CDD5-4878-A688-69BDDF19C2F4}"/>
            </c:ext>
          </c:extLst>
        </c:ser>
        <c:dLbls>
          <c:showLegendKey val="0"/>
          <c:showVal val="0"/>
          <c:showCatName val="0"/>
          <c:showSerName val="0"/>
          <c:showPercent val="0"/>
          <c:showBubbleSize val="0"/>
        </c:dLbls>
        <c:marker val="1"/>
        <c:smooth val="0"/>
        <c:axId val="364049536"/>
        <c:axId val="364051072"/>
      </c:lineChart>
      <c:dateAx>
        <c:axId val="364049536"/>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64051072"/>
        <c:crosses val="autoZero"/>
        <c:auto val="0"/>
        <c:lblOffset val="0"/>
        <c:baseTimeUnit val="days"/>
        <c:majorUnit val="1"/>
        <c:majorTimeUnit val="months"/>
      </c:dateAx>
      <c:valAx>
        <c:axId val="364051072"/>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64049536"/>
        <c:crosses val="autoZero"/>
        <c:crossBetween val="between"/>
      </c:valAx>
      <c:spPr>
        <a:solidFill>
          <a:schemeClr val="bg1"/>
        </a:solidFill>
        <a:ln>
          <a:noFill/>
        </a:ln>
        <a:effectLst/>
      </c:spPr>
    </c:plotArea>
    <c:legend>
      <c:legendPos val="r"/>
      <c:layout>
        <c:manualLayout>
          <c:xMode val="edge"/>
          <c:yMode val="edge"/>
          <c:x val="0.15225"/>
          <c:y val="2.3337707786526686E-3"/>
          <c:w val="0.77410546045149697"/>
          <c:h val="0.11147948611686695"/>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5.21285E-7</cdr:y>
    </cdr:from>
    <cdr:to>
      <cdr:x>0.15701</cdr:x>
      <cdr:y>0.09439</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70780" cy="18106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1D6D4-632B-4C7A-B9F3-CE97FF320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788</Words>
  <Characters>4498</Characters>
  <Application>Microsoft Office Word</Application>
  <DocSecurity>0</DocSecurity>
  <Lines>37</Lines>
  <Paragraphs>10</Paragraphs>
  <ScaleCrop>false</ScaleCrop>
  <Company>Microsoft</Company>
  <LinksUpToDate>false</LinksUpToDate>
  <CharactersWithSpaces>5276</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4</cp:revision>
  <cp:lastPrinted>2019-06-26T06:05:00Z</cp:lastPrinted>
  <dcterms:created xsi:type="dcterms:W3CDTF">2021-06-07T07:47:00Z</dcterms:created>
  <dcterms:modified xsi:type="dcterms:W3CDTF">2021-06-07T09:00:00Z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