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drawings/drawing6.xml" ContentType="application/vnd.openxmlformats-officedocument.drawingml.chartshapes+xml"/>
  <Override PartName="/word/charts/chart9.xml" ContentType="application/vnd.openxmlformats-officedocument.drawingml.chart+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富荣基金</w:t>
      </w:r>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262E712E"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bookmarkStart w:id="0" w:name="_GoBack"/>
      <w:r w:rsidR="009F1386">
        <w:rPr>
          <w:rFonts w:ascii="楷体" w:eastAsia="楷体" w:hAnsi="楷体" w:hint="eastAsia"/>
          <w:sz w:val="28"/>
          <w:szCs w:val="28"/>
        </w:rPr>
        <w:t>现金类理财新</w:t>
      </w:r>
      <w:proofErr w:type="gramStart"/>
      <w:r w:rsidR="009F1386">
        <w:rPr>
          <w:rFonts w:ascii="楷体" w:eastAsia="楷体" w:hAnsi="楷体" w:hint="eastAsia"/>
          <w:sz w:val="28"/>
          <w:szCs w:val="28"/>
        </w:rPr>
        <w:t>规</w:t>
      </w:r>
      <w:proofErr w:type="gramEnd"/>
      <w:r w:rsidR="009F1386">
        <w:rPr>
          <w:rFonts w:ascii="楷体" w:eastAsia="楷体" w:hAnsi="楷体" w:hint="eastAsia"/>
          <w:sz w:val="28"/>
          <w:szCs w:val="28"/>
        </w:rPr>
        <w:t>落地</w:t>
      </w:r>
      <w:r w:rsidR="00CD02EA">
        <w:rPr>
          <w:rFonts w:ascii="楷体" w:eastAsia="楷体" w:hAnsi="楷体" w:hint="eastAsia"/>
          <w:sz w:val="28"/>
          <w:szCs w:val="28"/>
        </w:rPr>
        <w:t>，</w:t>
      </w:r>
      <w:r w:rsidR="009F1386">
        <w:rPr>
          <w:rFonts w:ascii="楷体" w:eastAsia="楷体" w:hAnsi="楷体" w:hint="eastAsia"/>
          <w:sz w:val="28"/>
          <w:szCs w:val="28"/>
        </w:rPr>
        <w:t>市场情绪收紧波动加大</w:t>
      </w:r>
      <w:bookmarkEnd w:id="0"/>
      <w:r w:rsidR="009F1386" w:rsidRPr="00541553">
        <w:rPr>
          <w:rFonts w:ascii="楷体" w:eastAsia="楷体" w:hAnsi="楷体"/>
          <w:sz w:val="28"/>
          <w:szCs w:val="28"/>
        </w:rPr>
        <w:t xml:space="preserve"> </w:t>
      </w:r>
    </w:p>
    <w:p w14:paraId="1B2C4A22" w14:textId="0BA85F85" w:rsidR="005E5CB1" w:rsidRPr="00711EF1" w:rsidRDefault="005E5CB1" w:rsidP="005E5CB1">
      <w:pPr>
        <w:pStyle w:val="Header1"/>
        <w:spacing w:before="240"/>
        <w:rPr>
          <w:rFonts w:ascii="华文楷体" w:hAnsi="华文楷体"/>
          <w:b w:val="0"/>
          <w:color w:val="auto"/>
          <w:sz w:val="24"/>
          <w:szCs w:val="24"/>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40AF4CA3" w14:textId="7E636ED2" w:rsidR="00695DD9" w:rsidRPr="00DF6DF8" w:rsidRDefault="00DD187B" w:rsidP="00695DD9">
      <w:pPr>
        <w:pStyle w:val="Header1"/>
        <w:spacing w:before="240"/>
        <w:ind w:firstLine="480"/>
        <w:rPr>
          <w:rFonts w:ascii="华文楷体" w:hAnsi="华文楷体"/>
          <w:b w:val="0"/>
          <w:color w:val="auto"/>
          <w:sz w:val="24"/>
          <w:szCs w:val="24"/>
        </w:rPr>
      </w:pPr>
      <w:r w:rsidRPr="00DD187B">
        <w:rPr>
          <w:rFonts w:ascii="华文楷体" w:hAnsi="华文楷体" w:hint="eastAsia"/>
          <w:b w:val="0"/>
          <w:color w:val="auto"/>
          <w:sz w:val="24"/>
          <w:szCs w:val="24"/>
        </w:rPr>
        <w:t>《关于规范现金管理类理财产品管理有关事项的通知》正式落地，银行现金管理类理财产品正式被纳入监管范畴，执行类似于货币基金的严格监管要求</w:t>
      </w:r>
      <w:r w:rsidR="003A0210" w:rsidRPr="003A0210">
        <w:rPr>
          <w:rFonts w:ascii="华文楷体" w:hAnsi="华文楷体" w:hint="eastAsia"/>
          <w:b w:val="0"/>
          <w:color w:val="auto"/>
          <w:sz w:val="24"/>
          <w:szCs w:val="24"/>
        </w:rPr>
        <w:t>。</w:t>
      </w:r>
    </w:p>
    <w:p w14:paraId="541CEC80" w14:textId="45C7CD98" w:rsidR="001A56D9" w:rsidRDefault="00DD187B" w:rsidP="006C3FA8">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正式落地稿相对于征求意见稿，基本变化不大，其中</w:t>
      </w:r>
      <w:r w:rsidRPr="00DD187B">
        <w:rPr>
          <w:rFonts w:ascii="华文楷体" w:hAnsi="华文楷体" w:hint="eastAsia"/>
          <w:b w:val="0"/>
          <w:color w:val="auto"/>
          <w:sz w:val="24"/>
          <w:szCs w:val="24"/>
        </w:rPr>
        <w:t>针对AAA评级的单一商业银行资产的投资集中度略有放松</w:t>
      </w:r>
      <w:r>
        <w:rPr>
          <w:rFonts w:ascii="华文楷体" w:hAnsi="华文楷体" w:hint="eastAsia"/>
          <w:b w:val="0"/>
          <w:color w:val="auto"/>
          <w:sz w:val="24"/>
          <w:szCs w:val="24"/>
        </w:rPr>
        <w:t>，“</w:t>
      </w:r>
      <w:r w:rsidRPr="00DD187B">
        <w:rPr>
          <w:rFonts w:ascii="华文楷体" w:hAnsi="华文楷体" w:hint="eastAsia"/>
          <w:b w:val="0"/>
          <w:color w:val="auto"/>
          <w:sz w:val="24"/>
          <w:szCs w:val="24"/>
        </w:rPr>
        <w:t>每只现金管理类产品投资于主体评级为AAA的同一商业银行的银行存款、同业存单占该产品资产净值的比例合计不得超过20%”，征求意见稿中该指标为10%</w:t>
      </w:r>
      <w:r w:rsidR="00454C2A">
        <w:rPr>
          <w:rFonts w:ascii="华文楷体" w:hAnsi="华文楷体" w:hint="eastAsia"/>
          <w:b w:val="0"/>
          <w:color w:val="auto"/>
          <w:sz w:val="24"/>
          <w:szCs w:val="24"/>
        </w:rPr>
        <w:t>。</w:t>
      </w:r>
      <w:r w:rsidRPr="00DD187B">
        <w:rPr>
          <w:rFonts w:ascii="华文楷体" w:hAnsi="华文楷体" w:hint="eastAsia"/>
          <w:b w:val="0"/>
          <w:color w:val="auto"/>
          <w:sz w:val="24"/>
          <w:szCs w:val="24"/>
        </w:rPr>
        <w:t>且相对于货币基金，要求相对略宽泛，现金管理类产品中就投资于主体评级为AAA的商业银行并未再细分是否有托管资格，而货币基金针对主体评级为AAA的商业银行是否有托管资格还有更细分的指标要求。</w:t>
      </w:r>
    </w:p>
    <w:p w14:paraId="5573B20B" w14:textId="20373C97" w:rsidR="00DD187B" w:rsidRDefault="00DD187B" w:rsidP="006C3FA8">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此外，此次</w:t>
      </w:r>
      <w:proofErr w:type="gramStart"/>
      <w:r>
        <w:rPr>
          <w:rFonts w:ascii="华文楷体" w:hAnsi="华文楷体" w:hint="eastAsia"/>
          <w:b w:val="0"/>
          <w:color w:val="auto"/>
          <w:sz w:val="24"/>
          <w:szCs w:val="24"/>
        </w:rPr>
        <w:t>正式稿明确</w:t>
      </w:r>
      <w:proofErr w:type="gramEnd"/>
      <w:r>
        <w:rPr>
          <w:rFonts w:ascii="华文楷体" w:hAnsi="华文楷体" w:hint="eastAsia"/>
          <w:b w:val="0"/>
          <w:color w:val="auto"/>
          <w:sz w:val="24"/>
          <w:szCs w:val="24"/>
        </w:rPr>
        <w:t>过渡期至2022年末，</w:t>
      </w:r>
      <w:r w:rsidRPr="00DD187B">
        <w:rPr>
          <w:rFonts w:ascii="华文楷体" w:hAnsi="华文楷体" w:hint="eastAsia"/>
          <w:b w:val="0"/>
          <w:color w:val="auto"/>
          <w:sz w:val="24"/>
          <w:szCs w:val="24"/>
        </w:rPr>
        <w:t>过渡期内，新发行的现金管理类产品应当符合本通知规定；对于不符合本通知规定的存量产品，商业银行、理财公司应当按照《关于规范金融机构资产管理业务的指导意见》、《商业银行理财业务监督管理办法》和本通知相关要求实施整改。过渡期结束之后，商业银行、理财公司不得再发行或者存续不符合本通知规定的现金管理类产品。</w:t>
      </w:r>
      <w:r>
        <w:rPr>
          <w:rFonts w:ascii="华文楷体" w:hAnsi="华文楷体" w:hint="eastAsia"/>
          <w:b w:val="0"/>
          <w:color w:val="auto"/>
          <w:sz w:val="24"/>
          <w:szCs w:val="24"/>
        </w:rPr>
        <w:t>此次过渡期对现金管理类理财给与一定时间缓冲，</w:t>
      </w:r>
      <w:r w:rsidRPr="00DD187B">
        <w:rPr>
          <w:rFonts w:ascii="华文楷体" w:hAnsi="华文楷体" w:hint="eastAsia"/>
          <w:b w:val="0"/>
          <w:color w:val="auto"/>
          <w:sz w:val="24"/>
          <w:szCs w:val="24"/>
        </w:rPr>
        <w:t>过渡期对于产品整改实施新老划断原则</w:t>
      </w:r>
      <w:r>
        <w:rPr>
          <w:rFonts w:ascii="华文楷体" w:hAnsi="华文楷体" w:hint="eastAsia"/>
          <w:b w:val="0"/>
          <w:color w:val="auto"/>
          <w:sz w:val="24"/>
          <w:szCs w:val="24"/>
        </w:rPr>
        <w:t>，</w:t>
      </w:r>
      <w:r w:rsidRPr="00DD187B">
        <w:rPr>
          <w:rFonts w:ascii="华文楷体" w:hAnsi="华文楷体" w:hint="eastAsia"/>
          <w:b w:val="0"/>
          <w:color w:val="auto"/>
          <w:sz w:val="24"/>
          <w:szCs w:val="24"/>
        </w:rPr>
        <w:t>目前2.5年以内的资产抛售压力均较小</w:t>
      </w:r>
      <w:r>
        <w:rPr>
          <w:rFonts w:ascii="华文楷体" w:hAnsi="华文楷体" w:hint="eastAsia"/>
          <w:b w:val="0"/>
          <w:color w:val="auto"/>
          <w:sz w:val="24"/>
          <w:szCs w:val="24"/>
        </w:rPr>
        <w:t>。</w:t>
      </w:r>
    </w:p>
    <w:p w14:paraId="5427C51C" w14:textId="005B1925" w:rsidR="008C78C5" w:rsidRDefault="00DD187B" w:rsidP="006C3FA8">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w:t>
      </w:r>
      <w:r w:rsidR="007F278A">
        <w:rPr>
          <w:rFonts w:ascii="华文楷体" w:hAnsi="华文楷体" w:hint="eastAsia"/>
          <w:b w:val="0"/>
          <w:color w:val="auto"/>
          <w:sz w:val="24"/>
          <w:szCs w:val="24"/>
        </w:rPr>
        <w:t>对于市场关注度较高</w:t>
      </w:r>
      <w:r>
        <w:rPr>
          <w:rFonts w:ascii="华文楷体" w:hAnsi="华文楷体" w:hint="eastAsia"/>
          <w:b w:val="0"/>
          <w:color w:val="auto"/>
          <w:sz w:val="24"/>
          <w:szCs w:val="24"/>
        </w:rPr>
        <w:t>，可能对永续和二级资本债的影响，更多体现在新增投资需求。</w:t>
      </w:r>
      <w:r w:rsidRPr="00DD187B">
        <w:rPr>
          <w:rFonts w:ascii="华文楷体" w:hAnsi="华文楷体" w:hint="eastAsia"/>
          <w:b w:val="0"/>
          <w:color w:val="auto"/>
          <w:sz w:val="24"/>
          <w:szCs w:val="24"/>
        </w:rPr>
        <w:t>对于存量银行永续债和二级资本债，市场调整压力较小。</w:t>
      </w:r>
      <w:r>
        <w:rPr>
          <w:rFonts w:ascii="华文楷体" w:hAnsi="华文楷体" w:hint="eastAsia"/>
          <w:b w:val="0"/>
          <w:color w:val="auto"/>
          <w:sz w:val="24"/>
          <w:szCs w:val="24"/>
        </w:rPr>
        <w:t>当前，</w:t>
      </w:r>
      <w:r w:rsidRPr="00DD187B">
        <w:rPr>
          <w:rFonts w:ascii="华文楷体" w:hAnsi="华文楷体" w:hint="eastAsia"/>
          <w:b w:val="0"/>
          <w:color w:val="auto"/>
          <w:sz w:val="24"/>
          <w:szCs w:val="24"/>
        </w:rPr>
        <w:t>银行永续债存量规模1.34</w:t>
      </w:r>
      <w:proofErr w:type="gramStart"/>
      <w:r w:rsidRPr="00DD187B">
        <w:rPr>
          <w:rFonts w:ascii="华文楷体" w:hAnsi="华文楷体" w:hint="eastAsia"/>
          <w:b w:val="0"/>
          <w:color w:val="auto"/>
          <w:sz w:val="24"/>
          <w:szCs w:val="24"/>
        </w:rPr>
        <w:t>万亿</w:t>
      </w:r>
      <w:proofErr w:type="gramEnd"/>
      <w:r w:rsidRPr="00DD187B">
        <w:rPr>
          <w:rFonts w:ascii="华文楷体" w:hAnsi="华文楷体" w:hint="eastAsia"/>
          <w:b w:val="0"/>
          <w:color w:val="auto"/>
          <w:sz w:val="24"/>
          <w:szCs w:val="24"/>
        </w:rPr>
        <w:t>元，二级资本债2.36</w:t>
      </w:r>
      <w:proofErr w:type="gramStart"/>
      <w:r>
        <w:rPr>
          <w:rFonts w:ascii="华文楷体" w:hAnsi="华文楷体" w:hint="eastAsia"/>
          <w:b w:val="0"/>
          <w:color w:val="auto"/>
          <w:sz w:val="24"/>
          <w:szCs w:val="24"/>
        </w:rPr>
        <w:t>万亿</w:t>
      </w:r>
      <w:proofErr w:type="gramEnd"/>
      <w:r>
        <w:rPr>
          <w:rFonts w:ascii="华文楷体" w:hAnsi="华文楷体" w:hint="eastAsia"/>
          <w:b w:val="0"/>
          <w:color w:val="auto"/>
          <w:sz w:val="24"/>
          <w:szCs w:val="24"/>
        </w:rPr>
        <w:t>元，</w:t>
      </w:r>
      <w:r w:rsidRPr="00DD187B">
        <w:rPr>
          <w:rFonts w:ascii="华文楷体" w:hAnsi="华文楷体" w:hint="eastAsia"/>
          <w:b w:val="0"/>
          <w:color w:val="auto"/>
          <w:sz w:val="24"/>
          <w:szCs w:val="24"/>
        </w:rPr>
        <w:t>其中银行理财产品</w:t>
      </w:r>
      <w:proofErr w:type="gramStart"/>
      <w:r w:rsidRPr="00DD187B">
        <w:rPr>
          <w:rFonts w:ascii="华文楷体" w:hAnsi="华文楷体" w:hint="eastAsia"/>
          <w:b w:val="0"/>
          <w:color w:val="auto"/>
          <w:sz w:val="24"/>
          <w:szCs w:val="24"/>
        </w:rPr>
        <w:t>持有占</w:t>
      </w:r>
      <w:proofErr w:type="gramEnd"/>
      <w:r w:rsidRPr="00DD187B">
        <w:rPr>
          <w:rFonts w:ascii="华文楷体" w:hAnsi="华文楷体" w:hint="eastAsia"/>
          <w:b w:val="0"/>
          <w:color w:val="auto"/>
          <w:sz w:val="24"/>
          <w:szCs w:val="24"/>
        </w:rPr>
        <w:t>比</w:t>
      </w:r>
      <w:r>
        <w:rPr>
          <w:rFonts w:ascii="华文楷体" w:hAnsi="华文楷体" w:hint="eastAsia"/>
          <w:b w:val="0"/>
          <w:color w:val="auto"/>
          <w:sz w:val="24"/>
          <w:szCs w:val="24"/>
        </w:rPr>
        <w:t>约为</w:t>
      </w:r>
      <w:r w:rsidRPr="00DD187B">
        <w:rPr>
          <w:rFonts w:ascii="华文楷体" w:hAnsi="华文楷体" w:hint="eastAsia"/>
          <w:b w:val="0"/>
          <w:color w:val="auto"/>
          <w:sz w:val="24"/>
          <w:szCs w:val="24"/>
        </w:rPr>
        <w:t>25.7%，即持有二级资本债约6000亿元，银行永续债的规模约为3400亿元。</w:t>
      </w:r>
      <w:r>
        <w:rPr>
          <w:rFonts w:ascii="华文楷体" w:hAnsi="华文楷体" w:hint="eastAsia"/>
          <w:b w:val="0"/>
          <w:color w:val="auto"/>
          <w:sz w:val="24"/>
          <w:szCs w:val="24"/>
        </w:rPr>
        <w:t>按照</w:t>
      </w:r>
      <w:r w:rsidRPr="00DD187B">
        <w:rPr>
          <w:rFonts w:ascii="华文楷体" w:hAnsi="华文楷体" w:hint="eastAsia"/>
          <w:b w:val="0"/>
          <w:color w:val="auto"/>
          <w:sz w:val="24"/>
          <w:szCs w:val="24"/>
        </w:rPr>
        <w:t>现金管理类产品占整体理财比重的29.32%</w:t>
      </w:r>
      <w:r w:rsidR="008C78C5">
        <w:rPr>
          <w:rFonts w:ascii="华文楷体" w:hAnsi="华文楷体" w:hint="eastAsia"/>
          <w:b w:val="0"/>
          <w:color w:val="auto"/>
          <w:sz w:val="24"/>
          <w:szCs w:val="24"/>
        </w:rPr>
        <w:t>粗略</w:t>
      </w:r>
      <w:r>
        <w:rPr>
          <w:rFonts w:ascii="华文楷体" w:hAnsi="华文楷体" w:hint="eastAsia"/>
          <w:b w:val="0"/>
          <w:color w:val="auto"/>
          <w:sz w:val="24"/>
          <w:szCs w:val="24"/>
        </w:rPr>
        <w:t>估算</w:t>
      </w:r>
      <w:r w:rsidRPr="00DD187B">
        <w:rPr>
          <w:rFonts w:ascii="华文楷体" w:hAnsi="华文楷体" w:hint="eastAsia"/>
          <w:b w:val="0"/>
          <w:color w:val="auto"/>
          <w:sz w:val="24"/>
          <w:szCs w:val="24"/>
        </w:rPr>
        <w:t>，现金管理类产品</w:t>
      </w:r>
      <w:r w:rsidR="008C78C5">
        <w:rPr>
          <w:rFonts w:ascii="华文楷体" w:hAnsi="华文楷体" w:hint="eastAsia"/>
          <w:b w:val="0"/>
          <w:color w:val="auto"/>
          <w:sz w:val="24"/>
          <w:szCs w:val="24"/>
        </w:rPr>
        <w:t>持有的</w:t>
      </w:r>
      <w:r w:rsidRPr="00DD187B">
        <w:rPr>
          <w:rFonts w:ascii="华文楷体" w:hAnsi="华文楷体" w:hint="eastAsia"/>
          <w:b w:val="0"/>
          <w:color w:val="auto"/>
          <w:sz w:val="24"/>
          <w:szCs w:val="24"/>
        </w:rPr>
        <w:t>二级资本债和永续</w:t>
      </w:r>
      <w:proofErr w:type="gramStart"/>
      <w:r w:rsidRPr="00DD187B">
        <w:rPr>
          <w:rFonts w:ascii="华文楷体" w:hAnsi="华文楷体" w:hint="eastAsia"/>
          <w:b w:val="0"/>
          <w:color w:val="auto"/>
          <w:sz w:val="24"/>
          <w:szCs w:val="24"/>
        </w:rPr>
        <w:t>债规模</w:t>
      </w:r>
      <w:proofErr w:type="gramEnd"/>
      <w:r w:rsidR="008C78C5">
        <w:rPr>
          <w:rFonts w:ascii="华文楷体" w:hAnsi="华文楷体" w:hint="eastAsia"/>
          <w:b w:val="0"/>
          <w:color w:val="auto"/>
          <w:sz w:val="24"/>
          <w:szCs w:val="24"/>
        </w:rPr>
        <w:t>可能</w:t>
      </w:r>
      <w:r w:rsidRPr="00DD187B">
        <w:rPr>
          <w:rFonts w:ascii="华文楷体" w:hAnsi="华文楷体" w:hint="eastAsia"/>
          <w:b w:val="0"/>
          <w:color w:val="auto"/>
          <w:sz w:val="24"/>
          <w:szCs w:val="24"/>
        </w:rPr>
        <w:t>分别为1759亿元和997亿元</w:t>
      </w:r>
      <w:r w:rsidR="008C78C5">
        <w:rPr>
          <w:rFonts w:ascii="华文楷体" w:hAnsi="华文楷体" w:hint="eastAsia"/>
          <w:b w:val="0"/>
          <w:color w:val="auto"/>
          <w:sz w:val="24"/>
          <w:szCs w:val="24"/>
        </w:rPr>
        <w:t>左右，因</w:t>
      </w:r>
      <w:r w:rsidR="007F278A">
        <w:rPr>
          <w:rFonts w:ascii="华文楷体" w:hAnsi="华文楷体" w:hint="eastAsia"/>
          <w:b w:val="0"/>
          <w:color w:val="auto"/>
          <w:sz w:val="24"/>
          <w:szCs w:val="24"/>
        </w:rPr>
        <w:t>此</w:t>
      </w:r>
      <w:r w:rsidR="008C78C5">
        <w:rPr>
          <w:rFonts w:ascii="华文楷体" w:hAnsi="华文楷体" w:hint="eastAsia"/>
          <w:b w:val="0"/>
          <w:color w:val="auto"/>
          <w:sz w:val="24"/>
          <w:szCs w:val="24"/>
        </w:rPr>
        <w:t>产品改革产生的抛压相对有限</w:t>
      </w:r>
      <w:r w:rsidRPr="00DD187B">
        <w:rPr>
          <w:rFonts w:ascii="华文楷体" w:hAnsi="华文楷体" w:hint="eastAsia"/>
          <w:b w:val="0"/>
          <w:color w:val="auto"/>
          <w:sz w:val="24"/>
          <w:szCs w:val="24"/>
        </w:rPr>
        <w:t>。</w:t>
      </w:r>
    </w:p>
    <w:p w14:paraId="49234FA0" w14:textId="41E04349" w:rsidR="00DD187B" w:rsidRDefault="008C78C5" w:rsidP="006C3FA8">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但</w:t>
      </w:r>
      <w:r w:rsidRPr="008C78C5">
        <w:rPr>
          <w:rFonts w:ascii="华文楷体" w:hAnsi="华文楷体" w:hint="eastAsia"/>
          <w:b w:val="0"/>
          <w:color w:val="auto"/>
          <w:sz w:val="24"/>
          <w:szCs w:val="24"/>
        </w:rPr>
        <w:t>对于增量的银行资本补充债券，若按照会计准则界定</w:t>
      </w:r>
      <w:proofErr w:type="gramStart"/>
      <w:r w:rsidRPr="008C78C5">
        <w:rPr>
          <w:rFonts w:ascii="华文楷体" w:hAnsi="华文楷体" w:hint="eastAsia"/>
          <w:b w:val="0"/>
          <w:color w:val="auto"/>
          <w:sz w:val="24"/>
          <w:szCs w:val="24"/>
        </w:rPr>
        <w:t>为债</w:t>
      </w:r>
      <w:r>
        <w:rPr>
          <w:rFonts w:ascii="华文楷体" w:hAnsi="华文楷体" w:hint="eastAsia"/>
          <w:b w:val="0"/>
          <w:color w:val="auto"/>
          <w:sz w:val="24"/>
          <w:szCs w:val="24"/>
        </w:rPr>
        <w:t>性</w:t>
      </w:r>
      <w:proofErr w:type="gramEnd"/>
      <w:r>
        <w:rPr>
          <w:rFonts w:ascii="华文楷体" w:hAnsi="华文楷体" w:hint="eastAsia"/>
          <w:b w:val="0"/>
          <w:color w:val="auto"/>
          <w:sz w:val="24"/>
          <w:szCs w:val="24"/>
        </w:rPr>
        <w:t>，且剩余期限、评级等满足《通知》各项要求的银行资本补充债券，</w:t>
      </w:r>
      <w:r w:rsidRPr="008C78C5">
        <w:rPr>
          <w:rFonts w:ascii="华文楷体" w:hAnsi="华文楷体" w:hint="eastAsia"/>
          <w:b w:val="0"/>
          <w:color w:val="auto"/>
          <w:sz w:val="24"/>
          <w:szCs w:val="24"/>
        </w:rPr>
        <w:t>现金管理类产品可以合</w:t>
      </w:r>
      <w:proofErr w:type="gramStart"/>
      <w:r w:rsidRPr="008C78C5">
        <w:rPr>
          <w:rFonts w:ascii="华文楷体" w:hAnsi="华文楷体" w:hint="eastAsia"/>
          <w:b w:val="0"/>
          <w:color w:val="auto"/>
          <w:sz w:val="24"/>
          <w:szCs w:val="24"/>
        </w:rPr>
        <w:t>规</w:t>
      </w:r>
      <w:proofErr w:type="gramEnd"/>
      <w:r w:rsidRPr="008C78C5">
        <w:rPr>
          <w:rFonts w:ascii="华文楷体" w:hAnsi="华文楷体" w:hint="eastAsia"/>
          <w:b w:val="0"/>
          <w:color w:val="auto"/>
          <w:sz w:val="24"/>
          <w:szCs w:val="24"/>
        </w:rPr>
        <w:t>投资。但是考虑到</w:t>
      </w:r>
      <w:r>
        <w:rPr>
          <w:rFonts w:ascii="华文楷体" w:hAnsi="华文楷体" w:hint="eastAsia"/>
          <w:b w:val="0"/>
          <w:color w:val="auto"/>
          <w:sz w:val="24"/>
          <w:szCs w:val="24"/>
        </w:rPr>
        <w:t>这类</w:t>
      </w:r>
      <w:proofErr w:type="gramStart"/>
      <w:r>
        <w:rPr>
          <w:rFonts w:ascii="华文楷体" w:hAnsi="华文楷体" w:hint="eastAsia"/>
          <w:b w:val="0"/>
          <w:color w:val="auto"/>
          <w:sz w:val="24"/>
          <w:szCs w:val="24"/>
        </w:rPr>
        <w:t>品种</w:t>
      </w:r>
      <w:r w:rsidRPr="008C78C5">
        <w:rPr>
          <w:rFonts w:ascii="华文楷体" w:hAnsi="华文楷体" w:hint="eastAsia"/>
          <w:b w:val="0"/>
          <w:color w:val="auto"/>
          <w:sz w:val="24"/>
          <w:szCs w:val="24"/>
        </w:rPr>
        <w:t>久期一般</w:t>
      </w:r>
      <w:proofErr w:type="gramEnd"/>
      <w:r w:rsidRPr="008C78C5">
        <w:rPr>
          <w:rFonts w:ascii="华文楷体" w:hAnsi="华文楷体" w:hint="eastAsia"/>
          <w:b w:val="0"/>
          <w:color w:val="auto"/>
          <w:sz w:val="24"/>
          <w:szCs w:val="24"/>
        </w:rPr>
        <w:t>较长</w:t>
      </w:r>
      <w:r>
        <w:rPr>
          <w:rFonts w:ascii="华文楷体" w:hAnsi="华文楷体" w:hint="eastAsia"/>
          <w:b w:val="0"/>
          <w:color w:val="auto"/>
          <w:sz w:val="24"/>
          <w:szCs w:val="24"/>
        </w:rPr>
        <w:t>，除了极少数接近到期的债券外，大部分仍难以被现金管理类产品持有，对后续新增需求有一定限制，</w:t>
      </w:r>
      <w:r w:rsidRPr="008C78C5">
        <w:rPr>
          <w:rFonts w:ascii="华文楷体" w:hAnsi="华文楷体" w:hint="eastAsia"/>
          <w:b w:val="0"/>
          <w:color w:val="auto"/>
          <w:sz w:val="24"/>
          <w:szCs w:val="24"/>
        </w:rPr>
        <w:t>未来永续债、二级资本债或主要仍通过其他理财产品和保险资管、养老理财等长久期资金投资。</w:t>
      </w:r>
    </w:p>
    <w:p w14:paraId="3FF8C8E7" w14:textId="35C9D159" w:rsidR="008C78C5" w:rsidRDefault="008C78C5" w:rsidP="006C3FA8">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对后续市场可能的影响，从银行端来看，目前已经有部分银行进行产品整改，</w:t>
      </w:r>
      <w:r w:rsidRPr="008C78C5">
        <w:rPr>
          <w:rFonts w:ascii="华文楷体" w:hAnsi="华文楷体" w:hint="eastAsia"/>
          <w:b w:val="0"/>
          <w:color w:val="auto"/>
          <w:sz w:val="24"/>
          <w:szCs w:val="24"/>
        </w:rPr>
        <w:t>根据</w:t>
      </w:r>
      <w:proofErr w:type="gramStart"/>
      <w:r w:rsidRPr="008C78C5">
        <w:rPr>
          <w:rFonts w:ascii="华文楷体" w:hAnsi="华文楷体" w:hint="eastAsia"/>
          <w:b w:val="0"/>
          <w:color w:val="auto"/>
          <w:sz w:val="24"/>
          <w:szCs w:val="24"/>
        </w:rPr>
        <w:t>普益标准</w:t>
      </w:r>
      <w:proofErr w:type="gramEnd"/>
      <w:r w:rsidRPr="008C78C5">
        <w:rPr>
          <w:rFonts w:ascii="华文楷体" w:hAnsi="华文楷体" w:hint="eastAsia"/>
          <w:b w:val="0"/>
          <w:color w:val="auto"/>
          <w:sz w:val="24"/>
          <w:szCs w:val="24"/>
        </w:rPr>
        <w:t>披露的数据，现金管理类理财产品规模于2021年一季度小幅回落9000亿左右。根据部分现金管理类产品披露的定期报告前十大资产持仓情况看</w:t>
      </w:r>
      <w:r>
        <w:rPr>
          <w:rFonts w:ascii="华文楷体" w:hAnsi="华文楷体" w:hint="eastAsia"/>
          <w:b w:val="0"/>
          <w:color w:val="auto"/>
          <w:sz w:val="24"/>
          <w:szCs w:val="24"/>
        </w:rPr>
        <w:t>，</w:t>
      </w:r>
      <w:r w:rsidRPr="008C78C5">
        <w:rPr>
          <w:rFonts w:ascii="华文楷体" w:hAnsi="华文楷体" w:hint="eastAsia"/>
          <w:b w:val="0"/>
          <w:color w:val="auto"/>
          <w:sz w:val="24"/>
          <w:szCs w:val="24"/>
        </w:rPr>
        <w:t>部分银行已在主动整改，存量产品的资产投资逐步向新</w:t>
      </w:r>
      <w:proofErr w:type="gramStart"/>
      <w:r w:rsidRPr="008C78C5">
        <w:rPr>
          <w:rFonts w:ascii="华文楷体" w:hAnsi="华文楷体" w:hint="eastAsia"/>
          <w:b w:val="0"/>
          <w:color w:val="auto"/>
          <w:sz w:val="24"/>
          <w:szCs w:val="24"/>
        </w:rPr>
        <w:t>规</w:t>
      </w:r>
      <w:proofErr w:type="gramEnd"/>
      <w:r w:rsidRPr="008C78C5">
        <w:rPr>
          <w:rFonts w:ascii="华文楷体" w:hAnsi="华文楷体" w:hint="eastAsia"/>
          <w:b w:val="0"/>
          <w:color w:val="auto"/>
          <w:sz w:val="24"/>
          <w:szCs w:val="24"/>
        </w:rPr>
        <w:t>靠拢。</w:t>
      </w:r>
      <w:r>
        <w:rPr>
          <w:rFonts w:ascii="华文楷体" w:hAnsi="华文楷体" w:hint="eastAsia"/>
          <w:b w:val="0"/>
          <w:color w:val="auto"/>
          <w:sz w:val="24"/>
          <w:szCs w:val="24"/>
        </w:rPr>
        <w:t>从银行产品端看，部分银行整改同时也积极发行定期理财产品，增加客户黏性，适度过渡现金理财产品规模。</w:t>
      </w:r>
      <w:r w:rsidRPr="008C78C5">
        <w:rPr>
          <w:rFonts w:ascii="华文楷体" w:hAnsi="华文楷体" w:hint="eastAsia"/>
          <w:b w:val="0"/>
          <w:color w:val="auto"/>
          <w:sz w:val="24"/>
          <w:szCs w:val="24"/>
        </w:rPr>
        <w:t>目前对于封闭期在半年以上的定期开放式资产管理产品，投资以收取合同现金流量为目的并持有到期的债券，持有资产组合</w:t>
      </w:r>
      <w:proofErr w:type="gramStart"/>
      <w:r w:rsidRPr="008C78C5">
        <w:rPr>
          <w:rFonts w:ascii="华文楷体" w:hAnsi="华文楷体" w:hint="eastAsia"/>
          <w:b w:val="0"/>
          <w:color w:val="auto"/>
          <w:sz w:val="24"/>
          <w:szCs w:val="24"/>
        </w:rPr>
        <w:t>的久期不得</w:t>
      </w:r>
      <w:proofErr w:type="gramEnd"/>
      <w:r w:rsidRPr="008C78C5">
        <w:rPr>
          <w:rFonts w:ascii="华文楷体" w:hAnsi="华文楷体" w:hint="eastAsia"/>
          <w:b w:val="0"/>
          <w:color w:val="auto"/>
          <w:sz w:val="24"/>
          <w:szCs w:val="24"/>
        </w:rPr>
        <w:t>长于封闭期</w:t>
      </w:r>
      <w:r w:rsidRPr="008C78C5">
        <w:rPr>
          <w:rFonts w:ascii="华文楷体" w:hAnsi="华文楷体" w:hint="eastAsia"/>
          <w:b w:val="0"/>
          <w:color w:val="auto"/>
          <w:sz w:val="24"/>
          <w:szCs w:val="24"/>
        </w:rPr>
        <w:lastRenderedPageBreak/>
        <w:t>的1.5倍，也可使用摊</w:t>
      </w:r>
      <w:proofErr w:type="gramStart"/>
      <w:r w:rsidRPr="008C78C5">
        <w:rPr>
          <w:rFonts w:ascii="华文楷体" w:hAnsi="华文楷体" w:hint="eastAsia"/>
          <w:b w:val="0"/>
          <w:color w:val="auto"/>
          <w:sz w:val="24"/>
          <w:szCs w:val="24"/>
        </w:rPr>
        <w:t>余成本</w:t>
      </w:r>
      <w:proofErr w:type="gramEnd"/>
      <w:r w:rsidRPr="008C78C5">
        <w:rPr>
          <w:rFonts w:ascii="华文楷体" w:hAnsi="华文楷体" w:hint="eastAsia"/>
          <w:b w:val="0"/>
          <w:color w:val="auto"/>
          <w:sz w:val="24"/>
          <w:szCs w:val="24"/>
        </w:rPr>
        <w:t>计量。</w:t>
      </w:r>
      <w:r>
        <w:rPr>
          <w:rFonts w:ascii="华文楷体" w:hAnsi="华文楷体" w:hint="eastAsia"/>
          <w:b w:val="0"/>
          <w:color w:val="auto"/>
          <w:sz w:val="24"/>
          <w:szCs w:val="24"/>
        </w:rPr>
        <w:t>另也有部分银行开始发展多策略产品，</w:t>
      </w:r>
      <w:proofErr w:type="gramStart"/>
      <w:r>
        <w:rPr>
          <w:rFonts w:ascii="华文楷体" w:hAnsi="华文楷体" w:hint="eastAsia"/>
          <w:b w:val="0"/>
          <w:color w:val="auto"/>
          <w:sz w:val="24"/>
          <w:szCs w:val="24"/>
        </w:rPr>
        <w:t>类似固收</w:t>
      </w:r>
      <w:proofErr w:type="gramEnd"/>
      <w:r>
        <w:rPr>
          <w:rFonts w:ascii="华文楷体" w:hAnsi="华文楷体" w:hint="eastAsia"/>
          <w:b w:val="0"/>
          <w:color w:val="auto"/>
          <w:sz w:val="24"/>
          <w:szCs w:val="24"/>
        </w:rPr>
        <w:t>+、大类资产配置、FOF类产品等。</w:t>
      </w:r>
    </w:p>
    <w:p w14:paraId="24ED2E03" w14:textId="646C79F4" w:rsidR="008C78C5" w:rsidRDefault="008C78C5" w:rsidP="006C3FA8">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基金公司端来看，</w:t>
      </w:r>
      <w:r w:rsidRPr="008C78C5">
        <w:rPr>
          <w:rFonts w:ascii="华文楷体" w:hAnsi="华文楷体" w:hint="eastAsia"/>
          <w:b w:val="0"/>
          <w:color w:val="auto"/>
          <w:sz w:val="24"/>
          <w:szCs w:val="24"/>
        </w:rPr>
        <w:t>现金管理类理财监管趋严，利好货币基金，但收益率下行可能是一个缓慢过程。</w:t>
      </w:r>
      <w:r w:rsidR="00D72A8D">
        <w:rPr>
          <w:rFonts w:ascii="华文楷体" w:hAnsi="华文楷体" w:hint="eastAsia"/>
          <w:b w:val="0"/>
          <w:color w:val="auto"/>
          <w:sz w:val="24"/>
          <w:szCs w:val="24"/>
        </w:rPr>
        <w:t>据</w:t>
      </w:r>
      <w:proofErr w:type="gramStart"/>
      <w:r w:rsidRPr="008C78C5">
        <w:rPr>
          <w:rFonts w:ascii="华文楷体" w:hAnsi="华文楷体" w:hint="eastAsia"/>
          <w:b w:val="0"/>
          <w:color w:val="auto"/>
          <w:sz w:val="24"/>
          <w:szCs w:val="24"/>
        </w:rPr>
        <w:t>普益标准</w:t>
      </w:r>
      <w:proofErr w:type="gramEnd"/>
      <w:r w:rsidRPr="008C78C5">
        <w:rPr>
          <w:rFonts w:ascii="华文楷体" w:hAnsi="华文楷体" w:hint="eastAsia"/>
          <w:b w:val="0"/>
          <w:color w:val="auto"/>
          <w:sz w:val="24"/>
          <w:szCs w:val="24"/>
        </w:rPr>
        <w:t>的统计数据，2020年末现金管理类产品的总规模6.85</w:t>
      </w:r>
      <w:proofErr w:type="gramStart"/>
      <w:r w:rsidRPr="008C78C5">
        <w:rPr>
          <w:rFonts w:ascii="华文楷体" w:hAnsi="华文楷体" w:hint="eastAsia"/>
          <w:b w:val="0"/>
          <w:color w:val="auto"/>
          <w:sz w:val="24"/>
          <w:szCs w:val="24"/>
        </w:rPr>
        <w:t>万亿</w:t>
      </w:r>
      <w:proofErr w:type="gramEnd"/>
      <w:r w:rsidRPr="008C78C5">
        <w:rPr>
          <w:rFonts w:ascii="华文楷体" w:hAnsi="华文楷体" w:hint="eastAsia"/>
          <w:b w:val="0"/>
          <w:color w:val="auto"/>
          <w:sz w:val="24"/>
          <w:szCs w:val="24"/>
        </w:rPr>
        <w:t>，而2021年Q1其存续规模下降至5.95</w:t>
      </w:r>
      <w:proofErr w:type="gramStart"/>
      <w:r w:rsidRPr="008C78C5">
        <w:rPr>
          <w:rFonts w:ascii="华文楷体" w:hAnsi="华文楷体" w:hint="eastAsia"/>
          <w:b w:val="0"/>
          <w:color w:val="auto"/>
          <w:sz w:val="24"/>
          <w:szCs w:val="24"/>
        </w:rPr>
        <w:t>万亿</w:t>
      </w:r>
      <w:proofErr w:type="gramEnd"/>
      <w:r w:rsidRPr="008C78C5">
        <w:rPr>
          <w:rFonts w:ascii="华文楷体" w:hAnsi="华文楷体" w:hint="eastAsia"/>
          <w:b w:val="0"/>
          <w:color w:val="auto"/>
          <w:sz w:val="24"/>
          <w:szCs w:val="24"/>
        </w:rPr>
        <w:t>元，规模缩小约9000亿左右。与此同时，货币基金的资产规模罕见</w:t>
      </w:r>
      <w:r w:rsidR="00D72A8D">
        <w:rPr>
          <w:rFonts w:ascii="华文楷体" w:hAnsi="华文楷体" w:hint="eastAsia"/>
          <w:b w:val="0"/>
          <w:color w:val="auto"/>
          <w:sz w:val="24"/>
          <w:szCs w:val="24"/>
        </w:rPr>
        <w:t>地</w:t>
      </w:r>
      <w:r w:rsidRPr="008C78C5">
        <w:rPr>
          <w:rFonts w:ascii="华文楷体" w:hAnsi="华文楷体" w:hint="eastAsia"/>
          <w:b w:val="0"/>
          <w:color w:val="auto"/>
          <w:sz w:val="24"/>
          <w:szCs w:val="24"/>
        </w:rPr>
        <w:t>大幅上升1.1</w:t>
      </w:r>
      <w:proofErr w:type="gramStart"/>
      <w:r w:rsidRPr="008C78C5">
        <w:rPr>
          <w:rFonts w:ascii="华文楷体" w:hAnsi="华文楷体" w:hint="eastAsia"/>
          <w:b w:val="0"/>
          <w:color w:val="auto"/>
          <w:sz w:val="24"/>
          <w:szCs w:val="24"/>
        </w:rPr>
        <w:t>万亿</w:t>
      </w:r>
      <w:proofErr w:type="gramEnd"/>
      <w:r w:rsidRPr="008C78C5">
        <w:rPr>
          <w:rFonts w:ascii="华文楷体" w:hAnsi="华文楷体" w:hint="eastAsia"/>
          <w:b w:val="0"/>
          <w:color w:val="auto"/>
          <w:sz w:val="24"/>
          <w:szCs w:val="24"/>
        </w:rPr>
        <w:t>左右，至9.65</w:t>
      </w:r>
      <w:proofErr w:type="gramStart"/>
      <w:r w:rsidRPr="008C78C5">
        <w:rPr>
          <w:rFonts w:ascii="华文楷体" w:hAnsi="华文楷体" w:hint="eastAsia"/>
          <w:b w:val="0"/>
          <w:color w:val="auto"/>
          <w:sz w:val="24"/>
          <w:szCs w:val="24"/>
        </w:rPr>
        <w:t>万亿</w:t>
      </w:r>
      <w:proofErr w:type="gramEnd"/>
      <w:r w:rsidRPr="008C78C5">
        <w:rPr>
          <w:rFonts w:ascii="华文楷体" w:hAnsi="华文楷体" w:hint="eastAsia"/>
          <w:b w:val="0"/>
          <w:color w:val="auto"/>
          <w:sz w:val="24"/>
          <w:szCs w:val="24"/>
        </w:rPr>
        <w:t>规模</w:t>
      </w:r>
      <w:r>
        <w:rPr>
          <w:rFonts w:ascii="华文楷体" w:hAnsi="华文楷体" w:hint="eastAsia"/>
          <w:b w:val="0"/>
          <w:color w:val="auto"/>
          <w:sz w:val="24"/>
          <w:szCs w:val="24"/>
        </w:rPr>
        <w:t>。短</w:t>
      </w:r>
      <w:proofErr w:type="gramStart"/>
      <w:r>
        <w:rPr>
          <w:rFonts w:ascii="华文楷体" w:hAnsi="华文楷体" w:hint="eastAsia"/>
          <w:b w:val="0"/>
          <w:color w:val="auto"/>
          <w:sz w:val="24"/>
          <w:szCs w:val="24"/>
        </w:rPr>
        <w:t>债基金</w:t>
      </w:r>
      <w:proofErr w:type="gramEnd"/>
      <w:r>
        <w:rPr>
          <w:rFonts w:ascii="华文楷体" w:hAnsi="华文楷体" w:hint="eastAsia"/>
          <w:b w:val="0"/>
          <w:color w:val="auto"/>
          <w:sz w:val="24"/>
          <w:szCs w:val="24"/>
        </w:rPr>
        <w:t>等广义现金管理类产品成为基金公司重点关注产品，</w:t>
      </w:r>
      <w:r w:rsidR="00D72A8D">
        <w:rPr>
          <w:rFonts w:ascii="华文楷体" w:hAnsi="华文楷体" w:hint="eastAsia"/>
          <w:b w:val="0"/>
          <w:color w:val="auto"/>
          <w:sz w:val="24"/>
          <w:szCs w:val="24"/>
        </w:rPr>
        <w:t>短</w:t>
      </w:r>
      <w:proofErr w:type="gramStart"/>
      <w:r w:rsidR="00D72A8D">
        <w:rPr>
          <w:rFonts w:ascii="华文楷体" w:hAnsi="华文楷体" w:hint="eastAsia"/>
          <w:b w:val="0"/>
          <w:color w:val="auto"/>
          <w:sz w:val="24"/>
          <w:szCs w:val="24"/>
        </w:rPr>
        <w:t>债基金</w:t>
      </w:r>
      <w:proofErr w:type="gramEnd"/>
      <w:r w:rsidR="00D72A8D">
        <w:rPr>
          <w:rFonts w:ascii="华文楷体" w:hAnsi="华文楷体" w:hint="eastAsia"/>
          <w:b w:val="0"/>
          <w:color w:val="auto"/>
          <w:sz w:val="24"/>
          <w:szCs w:val="24"/>
        </w:rPr>
        <w:t>投资范围相较于货币基金更加</w:t>
      </w:r>
      <w:r w:rsidRPr="008C78C5">
        <w:rPr>
          <w:rFonts w:ascii="华文楷体" w:hAnsi="华文楷体" w:hint="eastAsia"/>
          <w:b w:val="0"/>
          <w:color w:val="auto"/>
          <w:sz w:val="24"/>
          <w:szCs w:val="24"/>
        </w:rPr>
        <w:t>宽泛，从而可以获得更高的收益，同时通过控制产品</w:t>
      </w:r>
      <w:proofErr w:type="gramStart"/>
      <w:r w:rsidRPr="008C78C5">
        <w:rPr>
          <w:rFonts w:ascii="华文楷体" w:hAnsi="华文楷体" w:hint="eastAsia"/>
          <w:b w:val="0"/>
          <w:color w:val="auto"/>
          <w:sz w:val="24"/>
          <w:szCs w:val="24"/>
        </w:rPr>
        <w:t>的久期来</w:t>
      </w:r>
      <w:proofErr w:type="gramEnd"/>
      <w:r w:rsidRPr="008C78C5">
        <w:rPr>
          <w:rFonts w:ascii="华文楷体" w:hAnsi="华文楷体" w:hint="eastAsia"/>
          <w:b w:val="0"/>
          <w:color w:val="auto"/>
          <w:sz w:val="24"/>
          <w:szCs w:val="24"/>
        </w:rPr>
        <w:t>降低产品净值波动，</w:t>
      </w:r>
      <w:r>
        <w:rPr>
          <w:rFonts w:ascii="华文楷体" w:hAnsi="华文楷体" w:hint="eastAsia"/>
          <w:b w:val="0"/>
          <w:color w:val="auto"/>
          <w:sz w:val="24"/>
          <w:szCs w:val="24"/>
        </w:rPr>
        <w:t>使其介于货币基金和传统</w:t>
      </w:r>
      <w:proofErr w:type="gramStart"/>
      <w:r>
        <w:rPr>
          <w:rFonts w:ascii="华文楷体" w:hAnsi="华文楷体" w:hint="eastAsia"/>
          <w:b w:val="0"/>
          <w:color w:val="auto"/>
          <w:sz w:val="24"/>
          <w:szCs w:val="24"/>
        </w:rPr>
        <w:t>纯债基金</w:t>
      </w:r>
      <w:proofErr w:type="gramEnd"/>
      <w:r>
        <w:rPr>
          <w:rFonts w:ascii="华文楷体" w:hAnsi="华文楷体" w:hint="eastAsia"/>
          <w:b w:val="0"/>
          <w:color w:val="auto"/>
          <w:sz w:val="24"/>
          <w:szCs w:val="24"/>
        </w:rPr>
        <w:t xml:space="preserve">之间，一定程度上可以承接匹配银行现金理财类产品客户的投资需求。 </w:t>
      </w:r>
    </w:p>
    <w:p w14:paraId="32181B3C" w14:textId="5E4437AF" w:rsidR="002D3BDB" w:rsidRDefault="008C78C5" w:rsidP="006C3FA8">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对债市影响来看，</w:t>
      </w:r>
      <w:r w:rsidR="00D72A8D">
        <w:rPr>
          <w:rFonts w:ascii="华文楷体" w:hAnsi="华文楷体" w:hint="eastAsia"/>
          <w:b w:val="0"/>
          <w:color w:val="auto"/>
          <w:sz w:val="24"/>
          <w:szCs w:val="24"/>
        </w:rPr>
        <w:t>此次《通知》执行严监管标准，但是操作层面对</w:t>
      </w:r>
      <w:r w:rsidRPr="008C78C5">
        <w:rPr>
          <w:rFonts w:ascii="华文楷体" w:hAnsi="华文楷体" w:hint="eastAsia"/>
          <w:b w:val="0"/>
          <w:color w:val="auto"/>
          <w:sz w:val="24"/>
          <w:szCs w:val="24"/>
        </w:rPr>
        <w:t>整改要求较为宽松，给予</w:t>
      </w:r>
      <w:r>
        <w:rPr>
          <w:rFonts w:ascii="华文楷体" w:hAnsi="华文楷体" w:hint="eastAsia"/>
          <w:b w:val="0"/>
          <w:color w:val="auto"/>
          <w:sz w:val="24"/>
          <w:szCs w:val="24"/>
        </w:rPr>
        <w:t>了一定的</w:t>
      </w:r>
      <w:r w:rsidRPr="008C78C5">
        <w:rPr>
          <w:rFonts w:ascii="华文楷体" w:hAnsi="华文楷体" w:hint="eastAsia"/>
          <w:b w:val="0"/>
          <w:color w:val="auto"/>
          <w:sz w:val="24"/>
          <w:szCs w:val="24"/>
        </w:rPr>
        <w:t>过渡期</w:t>
      </w:r>
      <w:r>
        <w:rPr>
          <w:rFonts w:ascii="华文楷体" w:hAnsi="华文楷体" w:hint="eastAsia"/>
          <w:b w:val="0"/>
          <w:color w:val="auto"/>
          <w:sz w:val="24"/>
          <w:szCs w:val="24"/>
        </w:rPr>
        <w:t>缓冲，从资产抛售情况看，大部分资产可以通过持有到期方式逐步消化，对于部分非标类</w:t>
      </w:r>
      <w:proofErr w:type="gramStart"/>
      <w:r>
        <w:rPr>
          <w:rFonts w:ascii="华文楷体" w:hAnsi="华文楷体" w:hint="eastAsia"/>
          <w:b w:val="0"/>
          <w:color w:val="auto"/>
          <w:sz w:val="24"/>
          <w:szCs w:val="24"/>
        </w:rPr>
        <w:t>和久期过长</w:t>
      </w:r>
      <w:proofErr w:type="gramEnd"/>
      <w:r w:rsidR="00D72A8D">
        <w:rPr>
          <w:rFonts w:ascii="华文楷体" w:hAnsi="华文楷体" w:hint="eastAsia"/>
          <w:b w:val="0"/>
          <w:color w:val="auto"/>
          <w:sz w:val="24"/>
          <w:szCs w:val="24"/>
        </w:rPr>
        <w:t>品种，可能需要</w:t>
      </w:r>
      <w:r>
        <w:rPr>
          <w:rFonts w:ascii="华文楷体" w:hAnsi="华文楷体" w:hint="eastAsia"/>
          <w:b w:val="0"/>
          <w:color w:val="auto"/>
          <w:sz w:val="24"/>
          <w:szCs w:val="24"/>
        </w:rPr>
        <w:t>通过产品承接、卖出交易等方式消化，但这部分预计对债市整体存量市场影响相对可控，</w:t>
      </w:r>
      <w:r w:rsidR="002D3BDB">
        <w:rPr>
          <w:rFonts w:ascii="华文楷体" w:hAnsi="华文楷体" w:hint="eastAsia"/>
          <w:b w:val="0"/>
          <w:color w:val="auto"/>
          <w:sz w:val="24"/>
          <w:szCs w:val="24"/>
        </w:rPr>
        <w:t>对超</w:t>
      </w:r>
      <w:proofErr w:type="gramStart"/>
      <w:r w:rsidR="002D3BDB">
        <w:rPr>
          <w:rFonts w:ascii="华文楷体" w:hAnsi="华文楷体" w:hint="eastAsia"/>
          <w:b w:val="0"/>
          <w:color w:val="auto"/>
          <w:sz w:val="24"/>
          <w:szCs w:val="24"/>
        </w:rPr>
        <w:t>长久期类品种</w:t>
      </w:r>
      <w:proofErr w:type="gramEnd"/>
      <w:r w:rsidR="002D3BDB">
        <w:rPr>
          <w:rFonts w:ascii="华文楷体" w:hAnsi="华文楷体" w:hint="eastAsia"/>
          <w:b w:val="0"/>
          <w:color w:val="auto"/>
          <w:sz w:val="24"/>
          <w:szCs w:val="24"/>
        </w:rPr>
        <w:t>如永续债、二级资本债等品种的新增投资需求有一定边际影响。</w:t>
      </w:r>
    </w:p>
    <w:p w14:paraId="76BDA2AB" w14:textId="1AB8B630" w:rsidR="002D3BDB" w:rsidRPr="002D3BDB" w:rsidRDefault="002D3BDB" w:rsidP="006C3FA8">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短期内，现金管理类理财新</w:t>
      </w:r>
      <w:proofErr w:type="gramStart"/>
      <w:r>
        <w:rPr>
          <w:rFonts w:ascii="华文楷体" w:hAnsi="华文楷体" w:hint="eastAsia"/>
          <w:b w:val="0"/>
          <w:color w:val="auto"/>
          <w:sz w:val="24"/>
          <w:szCs w:val="24"/>
        </w:rPr>
        <w:t>规</w:t>
      </w:r>
      <w:proofErr w:type="gramEnd"/>
      <w:r>
        <w:rPr>
          <w:rFonts w:ascii="华文楷体" w:hAnsi="华文楷体" w:hint="eastAsia"/>
          <w:b w:val="0"/>
          <w:color w:val="auto"/>
          <w:sz w:val="24"/>
          <w:szCs w:val="24"/>
        </w:rPr>
        <w:t>对3年内、高等级品种相对利好，债市情绪平稳前提下，曲线保持陡峭化概率相对略大；但是考虑到客户对产品收益的适应情况，</w:t>
      </w:r>
      <w:proofErr w:type="gramStart"/>
      <w:r w:rsidRPr="002D3BDB">
        <w:rPr>
          <w:rFonts w:ascii="华文楷体" w:hAnsi="华文楷体" w:hint="eastAsia"/>
          <w:b w:val="0"/>
          <w:color w:val="auto"/>
          <w:sz w:val="24"/>
          <w:szCs w:val="24"/>
        </w:rPr>
        <w:t>资管新规</w:t>
      </w:r>
      <w:proofErr w:type="gramEnd"/>
      <w:r>
        <w:rPr>
          <w:rFonts w:ascii="华文楷体" w:hAnsi="华文楷体" w:hint="eastAsia"/>
          <w:b w:val="0"/>
          <w:color w:val="auto"/>
          <w:sz w:val="24"/>
          <w:szCs w:val="24"/>
        </w:rPr>
        <w:t>对</w:t>
      </w:r>
      <w:r w:rsidRPr="002D3BDB">
        <w:rPr>
          <w:rFonts w:ascii="华文楷体" w:hAnsi="华文楷体" w:hint="eastAsia"/>
          <w:b w:val="0"/>
          <w:color w:val="auto"/>
          <w:sz w:val="24"/>
          <w:szCs w:val="24"/>
        </w:rPr>
        <w:t>债券市场信用利差和期限利差 “重定价”产生的影响可能将较为深远，未来针对不同风险偏好、收益区间的产品需求可能进一步加大。</w:t>
      </w:r>
    </w:p>
    <w:p w14:paraId="5D530856" w14:textId="77777777" w:rsidR="00DD187B" w:rsidRPr="00551C03" w:rsidRDefault="00DD187B" w:rsidP="006C3FA8">
      <w:pPr>
        <w:pStyle w:val="Header1"/>
        <w:spacing w:before="240"/>
        <w:rPr>
          <w:rFonts w:ascii="华文楷体" w:hAnsi="华文楷体"/>
          <w:b w:val="0"/>
          <w:color w:val="auto"/>
          <w:sz w:val="24"/>
          <w:szCs w:val="24"/>
        </w:rPr>
      </w:pPr>
    </w:p>
    <w:p w14:paraId="7EEDEF05" w14:textId="03ED7DEC"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14:paraId="5B44DCF6" w14:textId="0A877FCB" w:rsidR="00EA1459" w:rsidRPr="00EA1459" w:rsidRDefault="00EC3415"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央行</w:t>
      </w:r>
      <w:r w:rsidR="00DE5926">
        <w:rPr>
          <w:rFonts w:ascii="华文楷体" w:hAnsi="华文楷体" w:hint="eastAsia"/>
          <w:sz w:val="24"/>
          <w:szCs w:val="24"/>
          <w:lang w:eastAsia="zh-CN"/>
        </w:rPr>
        <w:t>公开市场操作</w:t>
      </w:r>
      <w:r w:rsidR="00A5662C">
        <w:rPr>
          <w:rFonts w:ascii="华文楷体" w:hAnsi="华文楷体" w:hint="eastAsia"/>
          <w:sz w:val="24"/>
          <w:szCs w:val="24"/>
          <w:lang w:eastAsia="zh-CN"/>
        </w:rPr>
        <w:t>净</w:t>
      </w:r>
      <w:r w:rsidR="00026E14">
        <w:rPr>
          <w:rFonts w:ascii="华文楷体" w:hAnsi="华文楷体" w:hint="eastAsia"/>
          <w:sz w:val="24"/>
          <w:szCs w:val="24"/>
          <w:lang w:eastAsia="zh-CN"/>
        </w:rPr>
        <w:t>回笼</w:t>
      </w:r>
      <w:r w:rsidR="00C15F3D">
        <w:rPr>
          <w:rFonts w:ascii="华文楷体" w:hAnsi="华文楷体"/>
          <w:sz w:val="24"/>
          <w:szCs w:val="24"/>
          <w:lang w:eastAsia="zh-CN"/>
        </w:rPr>
        <w:t>0</w:t>
      </w:r>
      <w:r w:rsidR="00C15F3D">
        <w:rPr>
          <w:rFonts w:ascii="华文楷体" w:hAnsi="华文楷体" w:hint="eastAsia"/>
          <w:sz w:val="24"/>
          <w:szCs w:val="24"/>
          <w:lang w:eastAsia="zh-CN"/>
        </w:rPr>
        <w:t>亿</w:t>
      </w:r>
      <w:r w:rsidR="006E4B59">
        <w:rPr>
          <w:rFonts w:ascii="华文楷体" w:hAnsi="华文楷体" w:hint="eastAsia"/>
          <w:sz w:val="24"/>
          <w:szCs w:val="24"/>
          <w:lang w:eastAsia="zh-CN"/>
        </w:rPr>
        <w:t>，</w:t>
      </w:r>
      <w:r w:rsidR="000C3DC4">
        <w:rPr>
          <w:rFonts w:ascii="华文楷体" w:hAnsi="华文楷体" w:hint="eastAsia"/>
          <w:sz w:val="24"/>
          <w:szCs w:val="24"/>
          <w:lang w:eastAsia="zh-CN"/>
        </w:rPr>
        <w:t>资金面基本维持高位震荡</w:t>
      </w:r>
      <w:r w:rsidR="002A111A">
        <w:rPr>
          <w:rFonts w:ascii="华文楷体" w:hAnsi="华文楷体" w:hint="eastAsia"/>
          <w:sz w:val="24"/>
          <w:szCs w:val="24"/>
          <w:lang w:eastAsia="zh-CN"/>
        </w:rPr>
        <w:t>，利率波动较前期适度加大</w:t>
      </w:r>
      <w:r w:rsidR="00B81E73">
        <w:rPr>
          <w:rFonts w:ascii="华文楷体" w:hAnsi="华文楷体" w:hint="eastAsia"/>
          <w:sz w:val="24"/>
          <w:szCs w:val="24"/>
          <w:lang w:eastAsia="zh-CN"/>
        </w:rPr>
        <w:t>。</w:t>
      </w:r>
      <w:r w:rsidR="00FF2720">
        <w:rPr>
          <w:rFonts w:ascii="华文楷体" w:hAnsi="华文楷体" w:hint="eastAsia"/>
          <w:sz w:val="24"/>
          <w:szCs w:val="24"/>
          <w:lang w:eastAsia="zh-CN"/>
        </w:rPr>
        <w:t>上周最后一个交易日</w:t>
      </w:r>
      <w:r>
        <w:rPr>
          <w:rFonts w:ascii="华文楷体" w:hAnsi="华文楷体" w:hint="eastAsia"/>
          <w:sz w:val="24"/>
          <w:szCs w:val="24"/>
          <w:lang w:eastAsia="zh-CN"/>
        </w:rPr>
        <w:t>隔夜</w:t>
      </w:r>
      <w:r w:rsidR="00D9413F">
        <w:rPr>
          <w:rFonts w:ascii="华文楷体" w:hAnsi="华文楷体" w:hint="eastAsia"/>
          <w:sz w:val="24"/>
          <w:szCs w:val="24"/>
          <w:lang w:eastAsia="zh-CN"/>
        </w:rPr>
        <w:t>较</w:t>
      </w:r>
      <w:r w:rsidR="00FF2720">
        <w:rPr>
          <w:rFonts w:ascii="华文楷体" w:hAnsi="华文楷体" w:hint="eastAsia"/>
          <w:sz w:val="24"/>
          <w:szCs w:val="24"/>
          <w:lang w:eastAsia="zh-CN"/>
        </w:rPr>
        <w:t>前一</w:t>
      </w:r>
      <w:r w:rsidR="00D9413F">
        <w:rPr>
          <w:rFonts w:ascii="华文楷体" w:hAnsi="华文楷体" w:hint="eastAsia"/>
          <w:sz w:val="24"/>
          <w:szCs w:val="24"/>
          <w:lang w:eastAsia="zh-CN"/>
        </w:rPr>
        <w:t>周</w:t>
      </w:r>
      <w:r w:rsidR="002A111A">
        <w:rPr>
          <w:rFonts w:ascii="华文楷体" w:hAnsi="华文楷体" w:hint="eastAsia"/>
          <w:sz w:val="24"/>
          <w:szCs w:val="24"/>
          <w:lang w:eastAsia="zh-CN"/>
        </w:rPr>
        <w:t>下行19</w:t>
      </w:r>
      <w:r w:rsidR="002D361C">
        <w:rPr>
          <w:rFonts w:ascii="华文楷体" w:hAnsi="华文楷体" w:hint="eastAsia"/>
          <w:sz w:val="24"/>
          <w:szCs w:val="24"/>
          <w:lang w:eastAsia="zh-CN"/>
        </w:rPr>
        <w:t>BP至</w:t>
      </w:r>
      <w:r w:rsidR="00026E14">
        <w:rPr>
          <w:rFonts w:ascii="华文楷体" w:hAnsi="华文楷体" w:hint="eastAsia"/>
          <w:sz w:val="24"/>
          <w:szCs w:val="24"/>
          <w:lang w:eastAsia="zh-CN"/>
        </w:rPr>
        <w:t>2.</w:t>
      </w:r>
      <w:r w:rsidR="002A111A">
        <w:rPr>
          <w:rFonts w:ascii="华文楷体" w:hAnsi="华文楷体" w:hint="eastAsia"/>
          <w:sz w:val="24"/>
          <w:szCs w:val="24"/>
          <w:lang w:eastAsia="zh-CN"/>
        </w:rPr>
        <w:t>03</w:t>
      </w:r>
      <w:r w:rsidR="00D9413F">
        <w:rPr>
          <w:rFonts w:ascii="华文楷体" w:hAnsi="华文楷体" w:hint="eastAsia"/>
          <w:sz w:val="24"/>
          <w:szCs w:val="24"/>
          <w:lang w:eastAsia="zh-CN"/>
        </w:rPr>
        <w:t>%，</w:t>
      </w:r>
      <w:r>
        <w:rPr>
          <w:rFonts w:ascii="华文楷体" w:hAnsi="华文楷体" w:hint="eastAsia"/>
          <w:sz w:val="24"/>
          <w:szCs w:val="24"/>
          <w:lang w:eastAsia="zh-CN"/>
        </w:rPr>
        <w:t>7天</w:t>
      </w:r>
      <w:r w:rsidR="000C3DC4">
        <w:rPr>
          <w:rFonts w:ascii="华文楷体" w:hAnsi="华文楷体" w:hint="eastAsia"/>
          <w:sz w:val="24"/>
          <w:szCs w:val="24"/>
          <w:lang w:eastAsia="zh-CN"/>
        </w:rPr>
        <w:t>下</w:t>
      </w:r>
      <w:r w:rsidR="00515400">
        <w:rPr>
          <w:rFonts w:ascii="华文楷体" w:hAnsi="华文楷体" w:hint="eastAsia"/>
          <w:sz w:val="24"/>
          <w:szCs w:val="24"/>
          <w:lang w:eastAsia="zh-CN"/>
        </w:rPr>
        <w:t>行</w:t>
      </w:r>
      <w:r w:rsidR="002A111A">
        <w:rPr>
          <w:rFonts w:ascii="华文楷体" w:hAnsi="华文楷体" w:hint="eastAsia"/>
          <w:sz w:val="24"/>
          <w:szCs w:val="24"/>
          <w:lang w:eastAsia="zh-CN"/>
        </w:rPr>
        <w:t>3</w:t>
      </w:r>
      <w:r w:rsidR="00D9413F">
        <w:rPr>
          <w:rFonts w:ascii="华文楷体" w:hAnsi="华文楷体" w:hint="eastAsia"/>
          <w:sz w:val="24"/>
          <w:szCs w:val="24"/>
          <w:lang w:eastAsia="zh-CN"/>
        </w:rPr>
        <w:t>BP至</w:t>
      </w:r>
      <w:r w:rsidR="00C15F3D">
        <w:rPr>
          <w:rFonts w:ascii="华文楷体" w:hAnsi="华文楷体"/>
          <w:sz w:val="24"/>
          <w:szCs w:val="24"/>
          <w:lang w:eastAsia="zh-CN"/>
        </w:rPr>
        <w:t>2</w:t>
      </w:r>
      <w:r w:rsidR="00515400">
        <w:rPr>
          <w:rFonts w:ascii="华文楷体" w:hAnsi="华文楷体" w:hint="eastAsia"/>
          <w:sz w:val="24"/>
          <w:szCs w:val="24"/>
          <w:lang w:eastAsia="zh-CN"/>
        </w:rPr>
        <w:t>.</w:t>
      </w:r>
      <w:r w:rsidR="000C3DC4">
        <w:rPr>
          <w:rFonts w:ascii="华文楷体" w:hAnsi="华文楷体"/>
          <w:sz w:val="24"/>
          <w:szCs w:val="24"/>
          <w:lang w:eastAsia="zh-CN"/>
        </w:rPr>
        <w:t>1</w:t>
      </w:r>
      <w:r w:rsidR="002A111A">
        <w:rPr>
          <w:rFonts w:ascii="华文楷体" w:hAnsi="华文楷体" w:hint="eastAsia"/>
          <w:sz w:val="24"/>
          <w:szCs w:val="24"/>
          <w:lang w:eastAsia="zh-CN"/>
        </w:rPr>
        <w:t>1</w:t>
      </w:r>
      <w:r>
        <w:rPr>
          <w:rFonts w:ascii="华文楷体" w:hAnsi="华文楷体" w:hint="eastAsia"/>
          <w:sz w:val="24"/>
          <w:szCs w:val="24"/>
          <w:lang w:eastAsia="zh-CN"/>
        </w:rPr>
        <w:t>%</w:t>
      </w:r>
      <w:r w:rsidR="007F77B5">
        <w:rPr>
          <w:rFonts w:ascii="华文楷体" w:hAnsi="华文楷体" w:hint="eastAsia"/>
          <w:sz w:val="24"/>
          <w:szCs w:val="24"/>
          <w:lang w:eastAsia="zh-CN"/>
        </w:rPr>
        <w:t>，</w:t>
      </w:r>
      <w:r w:rsidR="009C77AF">
        <w:rPr>
          <w:rFonts w:ascii="华文楷体" w:hAnsi="华文楷体" w:hint="eastAsia"/>
          <w:sz w:val="24"/>
          <w:szCs w:val="24"/>
          <w:lang w:eastAsia="zh-CN"/>
        </w:rPr>
        <w:t>开盘利率</w:t>
      </w:r>
      <w:r w:rsidR="00DA0B17">
        <w:rPr>
          <w:rFonts w:ascii="华文楷体" w:hAnsi="华文楷体" w:hint="eastAsia"/>
          <w:sz w:val="24"/>
          <w:szCs w:val="24"/>
          <w:lang w:eastAsia="zh-CN"/>
        </w:rPr>
        <w:t>未变化</w:t>
      </w:r>
      <w:r w:rsidR="00847EB6">
        <w:rPr>
          <w:rFonts w:ascii="华文楷体" w:hAnsi="华文楷体" w:hint="eastAsia"/>
          <w:sz w:val="24"/>
          <w:szCs w:val="24"/>
          <w:lang w:eastAsia="zh-CN"/>
        </w:rPr>
        <w:t>，</w:t>
      </w:r>
      <w:r w:rsidR="00ED7CCC">
        <w:rPr>
          <w:rFonts w:ascii="华文楷体" w:hAnsi="华文楷体" w:hint="eastAsia"/>
          <w:sz w:val="24"/>
          <w:szCs w:val="24"/>
          <w:lang w:eastAsia="zh-CN"/>
        </w:rPr>
        <w:t>隔夜利率和</w:t>
      </w:r>
      <w:r w:rsidR="00B92F0A">
        <w:rPr>
          <w:rFonts w:ascii="华文楷体" w:hAnsi="华文楷体" w:hint="eastAsia"/>
          <w:sz w:val="24"/>
          <w:szCs w:val="24"/>
          <w:lang w:eastAsia="zh-CN"/>
        </w:rPr>
        <w:t>7</w:t>
      </w:r>
      <w:r w:rsidR="00ED7CCC">
        <w:rPr>
          <w:rFonts w:ascii="华文楷体" w:hAnsi="华文楷体" w:hint="eastAsia"/>
          <w:sz w:val="24"/>
          <w:szCs w:val="24"/>
          <w:lang w:eastAsia="zh-CN"/>
        </w:rPr>
        <w:t>天利率</w:t>
      </w:r>
      <w:r w:rsidR="00C15F3D">
        <w:rPr>
          <w:rFonts w:ascii="华文楷体" w:hAnsi="华文楷体" w:hint="eastAsia"/>
          <w:sz w:val="24"/>
          <w:szCs w:val="24"/>
          <w:lang w:eastAsia="zh-CN"/>
        </w:rPr>
        <w:t>利差</w:t>
      </w:r>
      <w:r w:rsidR="002A111A">
        <w:rPr>
          <w:rFonts w:ascii="华文楷体" w:hAnsi="华文楷体" w:hint="eastAsia"/>
          <w:sz w:val="24"/>
          <w:szCs w:val="24"/>
          <w:lang w:eastAsia="zh-CN"/>
        </w:rPr>
        <w:t>保持</w:t>
      </w:r>
      <w:r w:rsidR="00026E14">
        <w:rPr>
          <w:rFonts w:ascii="华文楷体" w:hAnsi="华文楷体" w:hint="eastAsia"/>
          <w:sz w:val="24"/>
          <w:szCs w:val="24"/>
          <w:lang w:eastAsia="zh-CN"/>
        </w:rPr>
        <w:t>窄幅震荡</w:t>
      </w:r>
      <w:r w:rsidR="002D361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1"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2A111A">
        <w:tblPrEx>
          <w:tblCellMar>
            <w:left w:w="108" w:type="dxa"/>
            <w:right w:w="108" w:type="dxa"/>
          </w:tblCellMar>
        </w:tblPrEx>
        <w:trPr>
          <w:jc w:val="center"/>
        </w:trPr>
        <w:tc>
          <w:tcPr>
            <w:tcW w:w="4939" w:type="dxa"/>
            <w:vAlign w:val="center"/>
          </w:tcPr>
          <w:p w14:paraId="60AEAEDC" w14:textId="463FAAC3" w:rsidR="00E0626C" w:rsidRPr="003C6AC1" w:rsidRDefault="009F1386" w:rsidP="009A2BA0">
            <w:pPr>
              <w:jc w:val="center"/>
              <w:rPr>
                <w:noProof/>
                <w:sz w:val="20"/>
              </w:rPr>
            </w:pPr>
            <w:r>
              <w:rPr>
                <w:noProof/>
              </w:rPr>
              <w:drawing>
                <wp:inline distT="0" distB="0" distL="0" distR="0" wp14:anchorId="1386D6DB" wp14:editId="3D8081A1">
                  <wp:extent cx="2999105" cy="1732153"/>
                  <wp:effectExtent l="0" t="0" r="0" b="1905"/>
                  <wp:docPr id="1" name="图表 1">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xdr="http://schemas.openxmlformats.org/drawingml/2006/spreadsheetDrawing" xmlns:a16="http://schemas.microsoft.com/office/drawing/2014/main" xmlns="" xmlns:lc="http://schemas.openxmlformats.org/drawingml/2006/lockedCanvas" xmlns:w15="http://schemas.microsoft.com/office/word/2012/wordml"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287706CA" w14:textId="19315BF1" w:rsidR="00E0626C" w:rsidRPr="002A111A" w:rsidRDefault="002A111A" w:rsidP="009A2BA0">
            <w:pPr>
              <w:jc w:val="center"/>
              <w:rPr>
                <w:noProof/>
                <w:sz w:val="14"/>
                <w:szCs w:val="14"/>
              </w:rPr>
            </w:pPr>
            <w:r w:rsidRPr="002A111A">
              <w:rPr>
                <w:noProof/>
                <w:sz w:val="14"/>
                <w:szCs w:val="14"/>
              </w:rPr>
              <w:drawing>
                <wp:inline distT="0" distB="0" distL="0" distR="0" wp14:anchorId="15A0FEAD" wp14:editId="0CDC8C30">
                  <wp:extent cx="2998470" cy="1724838"/>
                  <wp:effectExtent l="0" t="0" r="0" b="8890"/>
                  <wp:docPr id="4" name="图表 4">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xdr="http://schemas.openxmlformats.org/drawingml/2006/spreadsheetDrawing" xmlns:a16="http://schemas.microsoft.com/office/drawing/2014/main" xmlns="" xmlns:lc="http://schemas.openxmlformats.org/drawingml/2006/lockedCanvas" xmlns:w15="http://schemas.microsoft.com/office/word/2012/wordml"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w:t>
            </w:r>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w:t>
            </w:r>
          </w:p>
        </w:tc>
      </w:tr>
      <w:bookmarkEnd w:id="1"/>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33F356F9" w14:textId="4FB4A067" w:rsidR="00A917BC" w:rsidRPr="00A917BC" w:rsidRDefault="0093645F" w:rsidP="00A917BC">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lastRenderedPageBreak/>
        <w:t>利率债</w:t>
      </w:r>
      <w:r w:rsidR="0064451B">
        <w:rPr>
          <w:rFonts w:ascii="华文楷体" w:hAnsi="华文楷体" w:hint="eastAsia"/>
          <w:sz w:val="24"/>
          <w:szCs w:val="24"/>
          <w:lang w:eastAsia="zh-CN"/>
        </w:rPr>
        <w:t>方面，</w:t>
      </w:r>
      <w:r w:rsidR="008D0A2E">
        <w:rPr>
          <w:rFonts w:ascii="华文楷体" w:hAnsi="华文楷体" w:hint="eastAsia"/>
          <w:sz w:val="24"/>
          <w:szCs w:val="24"/>
          <w:lang w:eastAsia="zh-CN"/>
        </w:rPr>
        <w:t>各</w:t>
      </w:r>
      <w:r w:rsidR="0064451B">
        <w:rPr>
          <w:rFonts w:ascii="华文楷体" w:hAnsi="华文楷体" w:hint="eastAsia"/>
          <w:sz w:val="24"/>
          <w:szCs w:val="24"/>
          <w:lang w:eastAsia="zh-CN"/>
        </w:rPr>
        <w:t>期限品种</w:t>
      </w:r>
      <w:r w:rsidR="008C1A52">
        <w:rPr>
          <w:rFonts w:ascii="华文楷体" w:hAnsi="华文楷体" w:hint="eastAsia"/>
          <w:sz w:val="24"/>
          <w:szCs w:val="24"/>
          <w:lang w:eastAsia="zh-CN"/>
        </w:rPr>
        <w:t>适度上行调整</w:t>
      </w:r>
      <w:r w:rsidR="006629A0">
        <w:rPr>
          <w:rFonts w:ascii="华文楷体" w:hAnsi="华文楷体" w:hint="eastAsia"/>
          <w:sz w:val="24"/>
          <w:szCs w:val="24"/>
          <w:lang w:eastAsia="zh-CN"/>
        </w:rPr>
        <w:t>，</w:t>
      </w:r>
      <w:r w:rsidR="008D0A2E">
        <w:rPr>
          <w:rFonts w:ascii="华文楷体" w:hAnsi="华文楷体" w:hint="eastAsia"/>
          <w:sz w:val="24"/>
          <w:szCs w:val="24"/>
          <w:lang w:eastAsia="zh-CN"/>
        </w:rPr>
        <w:t>高频数据基本符合预期但难言对债市利好，叠加临近半年末市场情绪相对谨慎</w:t>
      </w:r>
      <w:r w:rsidR="006629A0">
        <w:rPr>
          <w:rFonts w:ascii="华文楷体" w:hAnsi="华文楷体" w:hint="eastAsia"/>
          <w:sz w:val="24"/>
          <w:szCs w:val="24"/>
          <w:lang w:eastAsia="zh-CN"/>
        </w:rPr>
        <w:t>。</w:t>
      </w:r>
      <w:r w:rsidR="0016431D">
        <w:rPr>
          <w:rFonts w:ascii="华文楷体" w:hAnsi="华文楷体" w:hint="eastAsia"/>
          <w:sz w:val="24"/>
          <w:szCs w:val="24"/>
          <w:lang w:eastAsia="zh-CN"/>
        </w:rPr>
        <w:t>市场表现情况</w:t>
      </w:r>
      <w:r w:rsidR="00F62F43">
        <w:rPr>
          <w:rFonts w:ascii="华文楷体" w:hAnsi="华文楷体" w:hint="eastAsia"/>
          <w:sz w:val="24"/>
          <w:szCs w:val="24"/>
          <w:lang w:eastAsia="zh-CN"/>
        </w:rPr>
        <w:t>，</w:t>
      </w:r>
      <w:r w:rsidR="00A327C0">
        <w:rPr>
          <w:rFonts w:ascii="华文楷体" w:hAnsi="华文楷体" w:hint="eastAsia"/>
          <w:sz w:val="24"/>
          <w:szCs w:val="24"/>
          <w:lang w:eastAsia="zh-CN"/>
        </w:rPr>
        <w:t>国债10年和1Y期限利差</w:t>
      </w:r>
      <w:r w:rsidR="00F62F43">
        <w:rPr>
          <w:rFonts w:ascii="华文楷体" w:hAnsi="华文楷体" w:hint="eastAsia"/>
          <w:sz w:val="24"/>
          <w:szCs w:val="24"/>
          <w:lang w:eastAsia="zh-CN"/>
        </w:rPr>
        <w:t>在</w:t>
      </w:r>
      <w:r w:rsidR="008D0A2E">
        <w:rPr>
          <w:rFonts w:ascii="华文楷体" w:hAnsi="华文楷体" w:hint="eastAsia"/>
          <w:sz w:val="24"/>
          <w:szCs w:val="24"/>
          <w:lang w:eastAsia="zh-CN"/>
        </w:rPr>
        <w:t>68</w:t>
      </w:r>
      <w:r w:rsidR="002F2A1A">
        <w:rPr>
          <w:rFonts w:ascii="华文楷体" w:hAnsi="华文楷体" w:hint="eastAsia"/>
          <w:sz w:val="24"/>
          <w:szCs w:val="24"/>
          <w:lang w:eastAsia="zh-CN"/>
        </w:rPr>
        <w:t>BP</w:t>
      </w:r>
      <w:r w:rsidR="00F62F43">
        <w:rPr>
          <w:rFonts w:ascii="华文楷体" w:hAnsi="华文楷体" w:hint="eastAsia"/>
          <w:sz w:val="24"/>
          <w:szCs w:val="24"/>
          <w:lang w:eastAsia="zh-CN"/>
        </w:rPr>
        <w:t>，</w:t>
      </w:r>
      <w:proofErr w:type="gramStart"/>
      <w:r w:rsidR="00F62F43">
        <w:rPr>
          <w:rFonts w:ascii="华文楷体" w:hAnsi="华文楷体" w:hint="eastAsia"/>
          <w:sz w:val="24"/>
          <w:szCs w:val="24"/>
          <w:lang w:eastAsia="zh-CN"/>
        </w:rPr>
        <w:t>国开债</w:t>
      </w:r>
      <w:proofErr w:type="gramEnd"/>
      <w:r w:rsidR="00F62F43">
        <w:rPr>
          <w:rFonts w:ascii="华文楷体" w:hAnsi="华文楷体" w:hint="eastAsia"/>
          <w:sz w:val="24"/>
          <w:szCs w:val="24"/>
          <w:lang w:eastAsia="zh-CN"/>
        </w:rPr>
        <w:t>10Y与1Y利差在</w:t>
      </w:r>
      <w:r w:rsidR="00B17B47">
        <w:rPr>
          <w:rFonts w:ascii="华文楷体" w:hAnsi="华文楷体" w:hint="eastAsia"/>
          <w:sz w:val="24"/>
          <w:szCs w:val="24"/>
          <w:lang w:eastAsia="zh-CN"/>
        </w:rPr>
        <w:t>9</w:t>
      </w:r>
      <w:r w:rsidR="008D0A2E">
        <w:rPr>
          <w:rFonts w:ascii="华文楷体" w:hAnsi="华文楷体" w:hint="eastAsia"/>
          <w:sz w:val="24"/>
          <w:szCs w:val="24"/>
          <w:lang w:eastAsia="zh-CN"/>
        </w:rPr>
        <w:t>5</w:t>
      </w:r>
      <w:r w:rsidR="00F62F43">
        <w:rPr>
          <w:rFonts w:ascii="华文楷体" w:hAnsi="华文楷体" w:hint="eastAsia"/>
          <w:sz w:val="24"/>
          <w:szCs w:val="24"/>
          <w:lang w:eastAsia="zh-CN"/>
        </w:rPr>
        <w:t>BP</w:t>
      </w:r>
      <w:r w:rsidR="006C1830">
        <w:rPr>
          <w:rFonts w:ascii="华文楷体" w:hAnsi="华文楷体"/>
          <w:sz w:val="24"/>
          <w:szCs w:val="24"/>
          <w:lang w:eastAsia="zh-CN"/>
        </w:rPr>
        <w:t>。</w:t>
      </w:r>
      <w:r w:rsidR="0092340D">
        <w:rPr>
          <w:rFonts w:ascii="华文楷体" w:hAnsi="华文楷体" w:hint="eastAsia"/>
          <w:sz w:val="24"/>
          <w:szCs w:val="24"/>
          <w:lang w:eastAsia="zh-CN"/>
        </w:rPr>
        <w:t>最终，</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sidR="0064451B">
        <w:rPr>
          <w:rFonts w:ascii="华文楷体" w:hAnsi="华文楷体" w:hint="eastAsia"/>
          <w:sz w:val="24"/>
          <w:szCs w:val="24"/>
          <w:lang w:eastAsia="zh-CN"/>
        </w:rPr>
        <w:t>上行</w:t>
      </w:r>
      <w:r w:rsidR="008D0A2E">
        <w:rPr>
          <w:rFonts w:ascii="华文楷体" w:hAnsi="华文楷体" w:hint="eastAsia"/>
          <w:sz w:val="24"/>
          <w:szCs w:val="24"/>
          <w:lang w:eastAsia="zh-CN"/>
        </w:rPr>
        <w:t>3.5</w:t>
      </w:r>
      <w:r w:rsidR="00087119">
        <w:rPr>
          <w:rFonts w:ascii="华文楷体" w:hAnsi="华文楷体"/>
          <w:sz w:val="24"/>
          <w:szCs w:val="24"/>
          <w:lang w:eastAsia="zh-CN"/>
        </w:rPr>
        <w:t>B</w:t>
      </w:r>
      <w:r w:rsidR="0092340D">
        <w:rPr>
          <w:rFonts w:ascii="华文楷体" w:hAnsi="华文楷体" w:hint="eastAsia"/>
          <w:sz w:val="24"/>
          <w:szCs w:val="24"/>
          <w:lang w:eastAsia="zh-CN"/>
        </w:rPr>
        <w:t>P，10Y</w:t>
      </w:r>
      <w:proofErr w:type="gramStart"/>
      <w:r w:rsidR="00202D86">
        <w:rPr>
          <w:rFonts w:ascii="华文楷体" w:hAnsi="华文楷体" w:hint="eastAsia"/>
          <w:sz w:val="24"/>
          <w:szCs w:val="24"/>
          <w:lang w:eastAsia="zh-CN"/>
        </w:rPr>
        <w:t>国开</w:t>
      </w:r>
      <w:r w:rsidR="004F02B1">
        <w:rPr>
          <w:rFonts w:ascii="华文楷体" w:hAnsi="华文楷体" w:hint="eastAsia"/>
          <w:sz w:val="24"/>
          <w:szCs w:val="24"/>
          <w:lang w:eastAsia="zh-CN"/>
        </w:rPr>
        <w:t>债</w:t>
      </w:r>
      <w:r w:rsidR="008D0A2E">
        <w:rPr>
          <w:rFonts w:ascii="华文楷体" w:hAnsi="华文楷体" w:hint="eastAsia"/>
          <w:sz w:val="24"/>
          <w:szCs w:val="24"/>
          <w:lang w:eastAsia="zh-CN"/>
        </w:rPr>
        <w:t>下行</w:t>
      </w:r>
      <w:proofErr w:type="gramEnd"/>
      <w:r w:rsidR="008D0A2E">
        <w:rPr>
          <w:rFonts w:ascii="华文楷体" w:hAnsi="华文楷体" w:hint="eastAsia"/>
          <w:sz w:val="24"/>
          <w:szCs w:val="24"/>
          <w:lang w:eastAsia="zh-CN"/>
        </w:rPr>
        <w:t>1.9</w:t>
      </w:r>
      <w:r w:rsidR="00DD03B3">
        <w:rPr>
          <w:rFonts w:ascii="华文楷体" w:hAnsi="华文楷体" w:hint="eastAsia"/>
          <w:sz w:val="24"/>
          <w:szCs w:val="24"/>
          <w:lang w:eastAsia="zh-CN"/>
        </w:rPr>
        <w:t>BP</w:t>
      </w:r>
      <w:r w:rsidR="0092340D">
        <w:rPr>
          <w:rFonts w:ascii="华文楷体" w:hAnsi="华文楷体" w:hint="eastAsia"/>
          <w:sz w:val="24"/>
          <w:szCs w:val="24"/>
          <w:lang w:eastAsia="zh-CN"/>
        </w:rPr>
        <w:t>，</w:t>
      </w:r>
      <w:r w:rsidR="003848B1">
        <w:rPr>
          <w:rFonts w:ascii="华文楷体" w:hAnsi="华文楷体" w:hint="eastAsia"/>
          <w:sz w:val="24"/>
          <w:szCs w:val="24"/>
          <w:lang w:eastAsia="zh-CN"/>
        </w:rPr>
        <w:t>10Y</w:t>
      </w:r>
      <w:proofErr w:type="gramStart"/>
      <w:r w:rsidR="003848B1">
        <w:rPr>
          <w:rFonts w:ascii="华文楷体" w:hAnsi="华文楷体" w:hint="eastAsia"/>
          <w:sz w:val="24"/>
          <w:szCs w:val="24"/>
          <w:lang w:eastAsia="zh-CN"/>
        </w:rPr>
        <w:t>期限国开债</w:t>
      </w:r>
      <w:proofErr w:type="gramEnd"/>
      <w:r w:rsidR="003848B1">
        <w:rPr>
          <w:rFonts w:ascii="华文楷体" w:hAnsi="华文楷体" w:hint="eastAsia"/>
          <w:sz w:val="24"/>
          <w:szCs w:val="24"/>
          <w:lang w:eastAsia="zh-CN"/>
        </w:rPr>
        <w:t>和国债利</w:t>
      </w:r>
      <w:proofErr w:type="gramStart"/>
      <w:r w:rsidR="003848B1">
        <w:rPr>
          <w:rFonts w:ascii="华文楷体" w:hAnsi="华文楷体" w:hint="eastAsia"/>
          <w:sz w:val="24"/>
          <w:szCs w:val="24"/>
          <w:lang w:eastAsia="zh-CN"/>
        </w:rPr>
        <w:t>差</w:t>
      </w:r>
      <w:r w:rsidR="00B20149">
        <w:rPr>
          <w:rFonts w:ascii="华文楷体" w:hAnsi="华文楷体" w:hint="eastAsia"/>
          <w:sz w:val="24"/>
          <w:szCs w:val="24"/>
          <w:lang w:eastAsia="zh-CN"/>
        </w:rPr>
        <w:t>维持</w:t>
      </w:r>
      <w:proofErr w:type="gramEnd"/>
      <w:r w:rsidR="00B20149">
        <w:rPr>
          <w:rFonts w:ascii="华文楷体" w:hAnsi="华文楷体" w:hint="eastAsia"/>
          <w:sz w:val="24"/>
          <w:szCs w:val="24"/>
          <w:lang w:eastAsia="zh-CN"/>
        </w:rPr>
        <w:t>在</w:t>
      </w:r>
      <w:r w:rsidR="008D0A2E">
        <w:rPr>
          <w:rFonts w:ascii="华文楷体" w:hAnsi="华文楷体" w:hint="eastAsia"/>
          <w:sz w:val="24"/>
          <w:szCs w:val="24"/>
          <w:lang w:eastAsia="zh-CN"/>
        </w:rPr>
        <w:t>38</w:t>
      </w:r>
      <w:r w:rsidR="00176815">
        <w:rPr>
          <w:rFonts w:ascii="华文楷体" w:hAnsi="华文楷体"/>
          <w:sz w:val="24"/>
          <w:szCs w:val="24"/>
          <w:lang w:eastAsia="zh-CN"/>
        </w:rPr>
        <w:t>B</w:t>
      </w:r>
      <w:r w:rsidR="003848B1">
        <w:rPr>
          <w:rFonts w:ascii="华文楷体" w:hAnsi="华文楷体" w:hint="eastAsia"/>
          <w:sz w:val="24"/>
          <w:szCs w:val="24"/>
          <w:lang w:eastAsia="zh-CN"/>
        </w:rPr>
        <w:t>P</w:t>
      </w:r>
      <w:r w:rsidR="00A917B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proofErr w:type="gramStart"/>
            <w:r>
              <w:rPr>
                <w:rFonts w:hint="eastAsia"/>
              </w:rPr>
              <w:t>国开债收益率曲线</w:t>
            </w:r>
            <w:proofErr w:type="gramEnd"/>
            <w:r>
              <w:rPr>
                <w:rFonts w:hint="eastAsia"/>
              </w:rPr>
              <w:t>和变化</w:t>
            </w:r>
          </w:p>
        </w:tc>
      </w:tr>
      <w:tr w:rsidR="00E0626C" w:rsidRPr="006A5F34" w14:paraId="1094FBBD" w14:textId="77777777" w:rsidTr="00230ECA">
        <w:tblPrEx>
          <w:tblCellMar>
            <w:left w:w="108" w:type="dxa"/>
            <w:right w:w="108" w:type="dxa"/>
          </w:tblCellMar>
        </w:tblPrEx>
        <w:trPr>
          <w:jc w:val="center"/>
        </w:trPr>
        <w:tc>
          <w:tcPr>
            <w:tcW w:w="4939" w:type="dxa"/>
            <w:vAlign w:val="center"/>
          </w:tcPr>
          <w:p w14:paraId="678C97B0" w14:textId="0CD32140" w:rsidR="00E0626C" w:rsidRPr="007E0340" w:rsidRDefault="002B1BBF" w:rsidP="002104B2">
            <w:pPr>
              <w:rPr>
                <w:noProof/>
              </w:rPr>
            </w:pPr>
            <w:r>
              <w:rPr>
                <w:noProof/>
              </w:rPr>
              <w:drawing>
                <wp:inline distT="0" distB="0" distL="0" distR="0" wp14:anchorId="1AAF3B11" wp14:editId="2B890F15">
                  <wp:extent cx="2999105" cy="1750695"/>
                  <wp:effectExtent l="0" t="0" r="0" b="1905"/>
                  <wp:docPr id="2" name="图表 2">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http://schemas.openxmlformats.org/wordprocessingml/2006/main" xmlns:w10="urn:schemas-microsoft-com:office:word" xmlns:v="urn:schemas-microsoft-com:vml" xmlns:o="urn:schemas-microsoft-com:office:office" xmlns:w15="http://schemas.microsoft.com/office/word/2012/wordml"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17A42E68" w14:textId="1661C8AC" w:rsidR="00E0626C" w:rsidRPr="007E0340" w:rsidRDefault="00230ECA" w:rsidP="009A2BA0">
            <w:pPr>
              <w:jc w:val="center"/>
              <w:rPr>
                <w:noProof/>
                <w:szCs w:val="18"/>
              </w:rPr>
            </w:pPr>
            <w:r>
              <w:rPr>
                <w:noProof/>
              </w:rPr>
              <w:drawing>
                <wp:inline distT="0" distB="0" distL="0" distR="0" wp14:anchorId="405C1B71" wp14:editId="74021235">
                  <wp:extent cx="2998470" cy="1729602"/>
                  <wp:effectExtent l="0" t="0" r="0" b="4445"/>
                  <wp:docPr id="3" name="图表 3">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xdr="http://schemas.openxmlformats.org/drawingml/2006/spreadsheetDrawing" xmlns:a16="http://schemas.microsoft.com/office/drawing/2014/main" xmlns="" xmlns:lc="http://schemas.openxmlformats.org/drawingml/2006/lockedCanvas" xmlns:w15="http://schemas.microsoft.com/office/word/2012/wordml"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w:t>
            </w:r>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w:t>
            </w:r>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33FDD8BC" w14:textId="57A0A3F5" w:rsidR="00D97370" w:rsidRPr="00D97370" w:rsidRDefault="00305223" w:rsidP="00DA6CA4">
      <w:pPr>
        <w:pStyle w:val="Body-text"/>
        <w:spacing w:after="240"/>
        <w:ind w:firstLineChars="200" w:firstLine="480"/>
        <w:rPr>
          <w:rFonts w:ascii="华文楷体" w:hAnsi="华文楷体"/>
          <w:sz w:val="24"/>
          <w:szCs w:val="24"/>
          <w:lang w:eastAsia="zh-CN"/>
        </w:rPr>
      </w:pPr>
      <w:r w:rsidRPr="00305223">
        <w:rPr>
          <w:rFonts w:ascii="华文楷体" w:hAnsi="华文楷体" w:hint="eastAsia"/>
          <w:sz w:val="24"/>
          <w:szCs w:val="24"/>
          <w:lang w:eastAsia="zh-CN"/>
        </w:rPr>
        <w:t>信用债</w:t>
      </w:r>
      <w:r w:rsidR="003F59A9">
        <w:rPr>
          <w:rFonts w:ascii="华文楷体" w:hAnsi="华文楷体" w:hint="eastAsia"/>
          <w:sz w:val="24"/>
          <w:szCs w:val="24"/>
          <w:lang w:eastAsia="zh-CN"/>
        </w:rPr>
        <w:t>方面，</w:t>
      </w:r>
      <w:r w:rsidR="008011F8" w:rsidRPr="008011F8">
        <w:rPr>
          <w:rFonts w:ascii="华文楷体" w:hAnsi="华文楷体" w:hint="eastAsia"/>
          <w:sz w:val="24"/>
          <w:szCs w:val="24"/>
          <w:lang w:eastAsia="zh-CN"/>
        </w:rPr>
        <w:t>受资金波动加大影响信用债品种多数上行，适度调整。1Y</w:t>
      </w:r>
      <w:proofErr w:type="gramStart"/>
      <w:r w:rsidR="008011F8" w:rsidRPr="008011F8">
        <w:rPr>
          <w:rFonts w:ascii="华文楷体" w:hAnsi="华文楷体" w:hint="eastAsia"/>
          <w:sz w:val="24"/>
          <w:szCs w:val="24"/>
          <w:lang w:eastAsia="zh-CN"/>
        </w:rPr>
        <w:t>期限短融上行</w:t>
      </w:r>
      <w:proofErr w:type="gramEnd"/>
      <w:r w:rsidR="008011F8" w:rsidRPr="008011F8">
        <w:rPr>
          <w:rFonts w:ascii="华文楷体" w:hAnsi="华文楷体" w:hint="eastAsia"/>
          <w:sz w:val="24"/>
          <w:szCs w:val="24"/>
          <w:lang w:eastAsia="zh-CN"/>
        </w:rPr>
        <w:t>8BP，3年AAA企业债上行6-12BP，5Y企业债上行2-3BP，</w:t>
      </w:r>
      <w:proofErr w:type="gramStart"/>
      <w:r w:rsidR="008011F8" w:rsidRPr="008011F8">
        <w:rPr>
          <w:rFonts w:ascii="华文楷体" w:hAnsi="华文楷体" w:hint="eastAsia"/>
          <w:sz w:val="24"/>
          <w:szCs w:val="24"/>
          <w:lang w:eastAsia="zh-CN"/>
        </w:rPr>
        <w:t>城投债</w:t>
      </w:r>
      <w:proofErr w:type="gramEnd"/>
      <w:r w:rsidR="008011F8" w:rsidRPr="008011F8">
        <w:rPr>
          <w:rFonts w:ascii="华文楷体" w:hAnsi="华文楷体" w:hint="eastAsia"/>
          <w:sz w:val="24"/>
          <w:szCs w:val="24"/>
          <w:lang w:eastAsia="zh-CN"/>
        </w:rPr>
        <w:t>3Y期限品种下行9-11BP，5Y品种上行7-10BP，7Y品种上行7BP左右。</w:t>
      </w:r>
      <w:r w:rsidR="00DA6CA4">
        <w:rPr>
          <w:rFonts w:ascii="华文楷体" w:hAnsi="华文楷体" w:hint="eastAsia"/>
          <w:sz w:val="24"/>
          <w:szCs w:val="24"/>
          <w:lang w:eastAsia="zh-CN"/>
        </w:rPr>
        <w:t>具体来看</w:t>
      </w:r>
      <w:r w:rsidR="00602D14">
        <w:rPr>
          <w:rFonts w:ascii="华文楷体" w:hAnsi="华文楷体" w:hint="eastAsia"/>
          <w:sz w:val="24"/>
          <w:szCs w:val="24"/>
          <w:lang w:eastAsia="zh-CN"/>
        </w:rPr>
        <w:t>收益率分位数，</w:t>
      </w:r>
      <w:r w:rsidR="00305C7B">
        <w:rPr>
          <w:rFonts w:ascii="华文楷体" w:hAnsi="华文楷体" w:hint="eastAsia"/>
          <w:sz w:val="24"/>
          <w:szCs w:val="24"/>
          <w:lang w:eastAsia="zh-CN"/>
        </w:rPr>
        <w:t>1Y品种</w:t>
      </w:r>
      <w:r w:rsidR="009929B6">
        <w:rPr>
          <w:rFonts w:ascii="华文楷体" w:hAnsi="华文楷体" w:hint="eastAsia"/>
          <w:sz w:val="24"/>
          <w:szCs w:val="24"/>
          <w:lang w:eastAsia="zh-CN"/>
        </w:rPr>
        <w:t>收益率分位数</w:t>
      </w:r>
      <w:r w:rsidR="00DA6CA4">
        <w:rPr>
          <w:rFonts w:ascii="华文楷体" w:hAnsi="华文楷体" w:hint="eastAsia"/>
          <w:sz w:val="24"/>
          <w:szCs w:val="24"/>
          <w:lang w:eastAsia="zh-CN"/>
        </w:rPr>
        <w:t>在</w:t>
      </w:r>
      <w:r w:rsidR="008011F8">
        <w:rPr>
          <w:rFonts w:ascii="华文楷体" w:hAnsi="华文楷体" w:hint="eastAsia"/>
          <w:sz w:val="24"/>
          <w:szCs w:val="24"/>
          <w:lang w:eastAsia="zh-CN"/>
        </w:rPr>
        <w:t>21</w:t>
      </w:r>
      <w:r w:rsidR="00DD03B3">
        <w:rPr>
          <w:rFonts w:ascii="华文楷体" w:hAnsi="华文楷体" w:hint="eastAsia"/>
          <w:sz w:val="24"/>
          <w:szCs w:val="24"/>
          <w:lang w:eastAsia="zh-CN"/>
        </w:rPr>
        <w:t>-</w:t>
      </w:r>
      <w:r w:rsidR="00F31B87">
        <w:rPr>
          <w:rFonts w:ascii="华文楷体" w:hAnsi="华文楷体" w:hint="eastAsia"/>
          <w:sz w:val="24"/>
          <w:szCs w:val="24"/>
          <w:lang w:eastAsia="zh-CN"/>
        </w:rPr>
        <w:t>2</w:t>
      </w:r>
      <w:r w:rsidR="008011F8">
        <w:rPr>
          <w:rFonts w:ascii="华文楷体" w:hAnsi="华文楷体" w:hint="eastAsia"/>
          <w:sz w:val="24"/>
          <w:szCs w:val="24"/>
          <w:lang w:eastAsia="zh-CN"/>
        </w:rPr>
        <w:t>6</w:t>
      </w:r>
      <w:r w:rsidR="00DA6CA4">
        <w:rPr>
          <w:rFonts w:ascii="华文楷体" w:hAnsi="华文楷体" w:hint="eastAsia"/>
          <w:sz w:val="24"/>
          <w:szCs w:val="24"/>
          <w:lang w:eastAsia="zh-CN"/>
        </w:rPr>
        <w:t>%</w:t>
      </w:r>
      <w:r w:rsidR="009111E9">
        <w:rPr>
          <w:rFonts w:ascii="华文楷体" w:hAnsi="华文楷体" w:hint="eastAsia"/>
          <w:sz w:val="24"/>
          <w:szCs w:val="24"/>
          <w:lang w:eastAsia="zh-CN"/>
        </w:rPr>
        <w:t>以内</w:t>
      </w:r>
      <w:r w:rsidR="009929B6">
        <w:rPr>
          <w:rFonts w:ascii="华文楷体" w:hAnsi="华文楷体" w:hint="eastAsia"/>
          <w:sz w:val="24"/>
          <w:szCs w:val="24"/>
          <w:lang w:eastAsia="zh-CN"/>
        </w:rPr>
        <w:t>；</w:t>
      </w:r>
      <w:r w:rsidR="00305C7B">
        <w:rPr>
          <w:rFonts w:ascii="华文楷体" w:hAnsi="华文楷体" w:hint="eastAsia"/>
          <w:sz w:val="24"/>
          <w:szCs w:val="24"/>
          <w:lang w:eastAsia="zh-CN"/>
        </w:rPr>
        <w:t>3Y品种</w:t>
      </w:r>
      <w:r w:rsidR="009929B6">
        <w:rPr>
          <w:rFonts w:ascii="华文楷体" w:hAnsi="华文楷体" w:hint="eastAsia"/>
          <w:sz w:val="24"/>
          <w:szCs w:val="24"/>
          <w:lang w:eastAsia="zh-CN"/>
        </w:rPr>
        <w:t>收益率分位数在</w:t>
      </w:r>
      <w:r w:rsidR="0093645F">
        <w:rPr>
          <w:rFonts w:ascii="华文楷体" w:hAnsi="华文楷体" w:hint="eastAsia"/>
          <w:sz w:val="24"/>
          <w:szCs w:val="24"/>
          <w:lang w:eastAsia="zh-CN"/>
        </w:rPr>
        <w:t>1</w:t>
      </w:r>
      <w:r w:rsidR="008011F8">
        <w:rPr>
          <w:rFonts w:ascii="华文楷体" w:hAnsi="华文楷体" w:hint="eastAsia"/>
          <w:sz w:val="24"/>
          <w:szCs w:val="24"/>
          <w:lang w:eastAsia="zh-CN"/>
        </w:rPr>
        <w:t>5</w:t>
      </w:r>
      <w:r w:rsidR="00254AC8">
        <w:rPr>
          <w:rFonts w:ascii="华文楷体" w:hAnsi="华文楷体" w:hint="eastAsia"/>
          <w:sz w:val="24"/>
          <w:szCs w:val="24"/>
          <w:lang w:eastAsia="zh-CN"/>
        </w:rPr>
        <w:t>-</w:t>
      </w:r>
      <w:r w:rsidR="008011F8">
        <w:rPr>
          <w:rFonts w:ascii="华文楷体" w:hAnsi="华文楷体" w:hint="eastAsia"/>
          <w:sz w:val="24"/>
          <w:szCs w:val="24"/>
          <w:lang w:eastAsia="zh-CN"/>
        </w:rPr>
        <w:t>20</w:t>
      </w:r>
      <w:r w:rsidR="009929B6">
        <w:rPr>
          <w:rFonts w:ascii="华文楷体" w:hAnsi="华文楷体" w:hint="eastAsia"/>
          <w:sz w:val="24"/>
          <w:szCs w:val="24"/>
          <w:lang w:eastAsia="zh-CN"/>
        </w:rPr>
        <w:t>%</w:t>
      </w:r>
      <w:r w:rsidR="00DA6CA4">
        <w:rPr>
          <w:rFonts w:ascii="华文楷体" w:hAnsi="华文楷体" w:hint="eastAsia"/>
          <w:sz w:val="24"/>
          <w:szCs w:val="24"/>
          <w:lang w:eastAsia="zh-CN"/>
        </w:rPr>
        <w:t>区间</w:t>
      </w:r>
      <w:r w:rsidR="009929B6">
        <w:rPr>
          <w:rFonts w:ascii="华文楷体" w:hAnsi="华文楷体" w:hint="eastAsia"/>
          <w:sz w:val="24"/>
          <w:szCs w:val="24"/>
          <w:lang w:eastAsia="zh-CN"/>
        </w:rPr>
        <w:t>。5</w:t>
      </w:r>
      <w:r w:rsidR="009929B6">
        <w:rPr>
          <w:rFonts w:ascii="华文楷体" w:hAnsi="华文楷体"/>
          <w:sz w:val="24"/>
          <w:szCs w:val="24"/>
          <w:lang w:eastAsia="zh-CN"/>
        </w:rPr>
        <w:t>Y</w:t>
      </w:r>
      <w:r w:rsidR="009929B6">
        <w:rPr>
          <w:rFonts w:ascii="华文楷体" w:hAnsi="华文楷体" w:hint="eastAsia"/>
          <w:sz w:val="24"/>
          <w:szCs w:val="24"/>
          <w:lang w:eastAsia="zh-CN"/>
        </w:rPr>
        <w:t>及7</w:t>
      </w:r>
      <w:r w:rsidR="009929B6">
        <w:rPr>
          <w:rFonts w:ascii="华文楷体" w:hAnsi="华文楷体"/>
          <w:sz w:val="24"/>
          <w:szCs w:val="24"/>
          <w:lang w:eastAsia="zh-CN"/>
        </w:rPr>
        <w:t>Y</w:t>
      </w:r>
      <w:r w:rsidR="009929B6">
        <w:rPr>
          <w:rFonts w:ascii="华文楷体" w:hAnsi="华文楷体" w:hint="eastAsia"/>
          <w:sz w:val="24"/>
          <w:szCs w:val="24"/>
          <w:lang w:eastAsia="zh-CN"/>
        </w:rPr>
        <w:t>等</w:t>
      </w:r>
      <w:r w:rsidR="00B344C0">
        <w:rPr>
          <w:rFonts w:ascii="华文楷体" w:hAnsi="华文楷体" w:hint="eastAsia"/>
          <w:sz w:val="24"/>
          <w:szCs w:val="24"/>
          <w:lang w:eastAsia="zh-CN"/>
        </w:rPr>
        <w:t>中长期</w:t>
      </w:r>
      <w:proofErr w:type="gramStart"/>
      <w:r w:rsidR="00B344C0">
        <w:rPr>
          <w:rFonts w:ascii="华文楷体" w:hAnsi="华文楷体" w:hint="eastAsia"/>
          <w:sz w:val="24"/>
          <w:szCs w:val="24"/>
          <w:lang w:eastAsia="zh-CN"/>
        </w:rPr>
        <w:t>限品种</w:t>
      </w:r>
      <w:proofErr w:type="gramEnd"/>
      <w:r w:rsidR="00B344C0">
        <w:rPr>
          <w:rFonts w:ascii="华文楷体" w:hAnsi="华文楷体" w:hint="eastAsia"/>
          <w:sz w:val="24"/>
          <w:szCs w:val="24"/>
          <w:lang w:eastAsia="zh-CN"/>
        </w:rPr>
        <w:t>处于</w:t>
      </w:r>
      <w:r w:rsidR="008011F8">
        <w:rPr>
          <w:rFonts w:ascii="华文楷体" w:hAnsi="华文楷体" w:hint="eastAsia"/>
          <w:sz w:val="24"/>
          <w:szCs w:val="24"/>
          <w:lang w:eastAsia="zh-CN"/>
        </w:rPr>
        <w:t>7</w:t>
      </w:r>
      <w:r w:rsidR="001F098C">
        <w:rPr>
          <w:rFonts w:ascii="华文楷体" w:hAnsi="华文楷体" w:hint="eastAsia"/>
          <w:sz w:val="24"/>
          <w:szCs w:val="24"/>
          <w:lang w:eastAsia="zh-CN"/>
        </w:rPr>
        <w:t>-1</w:t>
      </w:r>
      <w:r w:rsidR="008011F8">
        <w:rPr>
          <w:rFonts w:ascii="华文楷体" w:hAnsi="华文楷体" w:hint="eastAsia"/>
          <w:sz w:val="24"/>
          <w:szCs w:val="24"/>
          <w:lang w:eastAsia="zh-CN"/>
        </w:rPr>
        <w:t>5</w:t>
      </w:r>
      <w:r w:rsidR="00B344C0">
        <w:rPr>
          <w:rFonts w:ascii="华文楷体" w:hAnsi="华文楷体" w:hint="eastAsia"/>
          <w:sz w:val="24"/>
          <w:szCs w:val="24"/>
          <w:lang w:eastAsia="zh-CN"/>
        </w:rPr>
        <w:t>%</w:t>
      </w:r>
      <w:r w:rsidR="004F1AB3">
        <w:rPr>
          <w:rFonts w:ascii="华文楷体" w:hAnsi="华文楷体" w:hint="eastAsia"/>
          <w:sz w:val="24"/>
          <w:szCs w:val="24"/>
          <w:lang w:eastAsia="zh-CN"/>
        </w:rPr>
        <w:t>分位数</w:t>
      </w:r>
      <w:r w:rsidR="00A55DFD">
        <w:rPr>
          <w:rFonts w:ascii="华文楷体" w:hAnsi="华文楷体" w:hint="eastAsia"/>
          <w:sz w:val="24"/>
          <w:szCs w:val="24"/>
          <w:lang w:eastAsia="zh-CN"/>
        </w:rPr>
        <w:t>。</w:t>
      </w:r>
    </w:p>
    <w:tbl>
      <w:tblPr>
        <w:tblW w:w="9713" w:type="dxa"/>
        <w:jc w:val="center"/>
        <w:tblCellMar>
          <w:left w:w="0" w:type="dxa"/>
          <w:right w:w="0" w:type="dxa"/>
        </w:tblCellMar>
        <w:tblLook w:val="01E0" w:firstRow="1" w:lastRow="1" w:firstColumn="1" w:lastColumn="1" w:noHBand="0" w:noVBand="0"/>
      </w:tblPr>
      <w:tblGrid>
        <w:gridCol w:w="9864"/>
      </w:tblGrid>
      <w:tr w:rsidR="00E0626C" w:rsidRPr="00F966B6" w14:paraId="5602CC82" w14:textId="77777777" w:rsidTr="00220902">
        <w:trPr>
          <w:trHeight w:val="360"/>
          <w:jc w:val="center"/>
        </w:trPr>
        <w:tc>
          <w:tcPr>
            <w:tcW w:w="9713" w:type="dxa"/>
            <w:vAlign w:val="center"/>
          </w:tcPr>
          <w:p w14:paraId="1C0DBC70" w14:textId="4A8BBE5E" w:rsidR="00E0626C" w:rsidRPr="006A5F34" w:rsidRDefault="00E0626C" w:rsidP="009A2BA0">
            <w:pPr>
              <w:pStyle w:val="ChartHeading"/>
              <w:jc w:val="both"/>
            </w:pPr>
            <w:r w:rsidRPr="006A5F34">
              <w:rPr>
                <w:rFonts w:hint="eastAsia"/>
              </w:rPr>
              <w:t>图表</w:t>
            </w:r>
            <w:r w:rsidRPr="006A5F34">
              <w:t xml:space="preserve">. </w:t>
            </w:r>
            <w:r w:rsidR="00F966B6">
              <w:rPr>
                <w:rFonts w:hint="eastAsia"/>
              </w:rPr>
              <w:t>信用债收益率、利差变化情况</w:t>
            </w:r>
          </w:p>
        </w:tc>
      </w:tr>
      <w:tr w:rsidR="00E0626C" w:rsidRPr="006A5F34" w14:paraId="1114B583" w14:textId="77777777" w:rsidTr="00220902">
        <w:tblPrEx>
          <w:tblCellMar>
            <w:left w:w="108" w:type="dxa"/>
            <w:right w:w="108" w:type="dxa"/>
          </w:tblCellMar>
        </w:tblPrEx>
        <w:trPr>
          <w:trHeight w:val="4663"/>
          <w:jc w:val="center"/>
        </w:trPr>
        <w:tc>
          <w:tcPr>
            <w:tcW w:w="9713" w:type="dxa"/>
            <w:vAlign w:val="center"/>
          </w:tcPr>
          <w:tbl>
            <w:tblPr>
              <w:tblW w:w="9874" w:type="dxa"/>
              <w:tblLook w:val="04A0" w:firstRow="1" w:lastRow="0" w:firstColumn="1" w:lastColumn="0" w:noHBand="0" w:noVBand="1"/>
            </w:tblPr>
            <w:tblGrid>
              <w:gridCol w:w="1316"/>
              <w:gridCol w:w="899"/>
              <w:gridCol w:w="900"/>
              <w:gridCol w:w="900"/>
              <w:gridCol w:w="899"/>
              <w:gridCol w:w="1128"/>
              <w:gridCol w:w="899"/>
              <w:gridCol w:w="899"/>
              <w:gridCol w:w="899"/>
              <w:gridCol w:w="899"/>
            </w:tblGrid>
            <w:tr w:rsidR="008011F8" w:rsidRPr="008011F8" w14:paraId="164B3227" w14:textId="77777777" w:rsidTr="008011F8">
              <w:trPr>
                <w:trHeight w:val="285"/>
              </w:trPr>
              <w:tc>
                <w:tcPr>
                  <w:tcW w:w="1350" w:type="dxa"/>
                  <w:tcBorders>
                    <w:top w:val="nil"/>
                    <w:left w:val="nil"/>
                    <w:bottom w:val="single" w:sz="12" w:space="0" w:color="FFFFFF"/>
                    <w:right w:val="single" w:sz="8" w:space="0" w:color="FFFFFF"/>
                  </w:tcBorders>
                  <w:shd w:val="clear" w:color="000000" w:fill="F79646"/>
                  <w:noWrap/>
                  <w:vAlign w:val="center"/>
                  <w:hideMark/>
                </w:tcPr>
                <w:p w14:paraId="72BCEDC9" w14:textId="77777777" w:rsidR="008011F8" w:rsidRPr="008011F8" w:rsidRDefault="008011F8" w:rsidP="008011F8">
                  <w:pPr>
                    <w:widowControl/>
                    <w:jc w:val="center"/>
                    <w:rPr>
                      <w:rFonts w:ascii="楷体" w:eastAsia="楷体" w:hAnsi="楷体" w:cs="宋体"/>
                      <w:b/>
                      <w:bCs/>
                      <w:color w:val="FFFFFF"/>
                      <w:kern w:val="0"/>
                      <w:sz w:val="20"/>
                      <w:szCs w:val="20"/>
                    </w:rPr>
                  </w:pPr>
                  <w:r w:rsidRPr="008011F8">
                    <w:rPr>
                      <w:rFonts w:ascii="楷体" w:eastAsia="楷体" w:hAnsi="楷体" w:cs="宋体" w:hint="eastAsia"/>
                      <w:b/>
                      <w:bCs/>
                      <w:color w:val="FFFFFF"/>
                      <w:kern w:val="0"/>
                      <w:sz w:val="20"/>
                      <w:szCs w:val="20"/>
                    </w:rPr>
                    <w:t>收益率(%)</w:t>
                  </w:r>
                </w:p>
              </w:tc>
              <w:tc>
                <w:tcPr>
                  <w:tcW w:w="920" w:type="dxa"/>
                  <w:tcBorders>
                    <w:top w:val="nil"/>
                    <w:left w:val="nil"/>
                    <w:bottom w:val="single" w:sz="12" w:space="0" w:color="FFFFFF"/>
                    <w:right w:val="single" w:sz="8" w:space="0" w:color="FFFFFF"/>
                  </w:tcBorders>
                  <w:shd w:val="clear" w:color="000000" w:fill="F79646"/>
                  <w:noWrap/>
                  <w:vAlign w:val="center"/>
                  <w:hideMark/>
                </w:tcPr>
                <w:p w14:paraId="54FB397F" w14:textId="77777777" w:rsidR="008011F8" w:rsidRPr="008011F8" w:rsidRDefault="008011F8" w:rsidP="008011F8">
                  <w:pPr>
                    <w:widowControl/>
                    <w:jc w:val="center"/>
                    <w:rPr>
                      <w:rFonts w:ascii="楷体" w:eastAsia="楷体" w:hAnsi="楷体" w:cs="宋体"/>
                      <w:b/>
                      <w:bCs/>
                      <w:color w:val="FFFFFF"/>
                      <w:kern w:val="0"/>
                      <w:sz w:val="20"/>
                      <w:szCs w:val="20"/>
                    </w:rPr>
                  </w:pPr>
                  <w:r w:rsidRPr="008011F8">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44D9922E" w14:textId="77777777" w:rsidR="008011F8" w:rsidRPr="008011F8" w:rsidRDefault="008011F8" w:rsidP="008011F8">
                  <w:pPr>
                    <w:widowControl/>
                    <w:jc w:val="center"/>
                    <w:rPr>
                      <w:rFonts w:ascii="楷体" w:eastAsia="楷体" w:hAnsi="楷体" w:cs="宋体"/>
                      <w:b/>
                      <w:bCs/>
                      <w:color w:val="FFFFFF"/>
                      <w:kern w:val="0"/>
                      <w:sz w:val="20"/>
                      <w:szCs w:val="20"/>
                    </w:rPr>
                  </w:pPr>
                  <w:r w:rsidRPr="008011F8">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69C9CEC4" w14:textId="77777777" w:rsidR="008011F8" w:rsidRPr="008011F8" w:rsidRDefault="008011F8" w:rsidP="008011F8">
                  <w:pPr>
                    <w:widowControl/>
                    <w:jc w:val="center"/>
                    <w:rPr>
                      <w:rFonts w:ascii="楷体" w:eastAsia="楷体" w:hAnsi="楷体" w:cs="宋体"/>
                      <w:b/>
                      <w:bCs/>
                      <w:color w:val="FFFFFF"/>
                      <w:kern w:val="0"/>
                      <w:sz w:val="20"/>
                      <w:szCs w:val="20"/>
                    </w:rPr>
                  </w:pPr>
                  <w:r w:rsidRPr="008011F8">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7E0E3028" w14:textId="77777777" w:rsidR="008011F8" w:rsidRPr="008011F8" w:rsidRDefault="008011F8" w:rsidP="008011F8">
                  <w:pPr>
                    <w:widowControl/>
                    <w:jc w:val="center"/>
                    <w:rPr>
                      <w:rFonts w:ascii="楷体" w:eastAsia="楷体" w:hAnsi="楷体" w:cs="宋体"/>
                      <w:b/>
                      <w:bCs/>
                      <w:color w:val="FFFFFF"/>
                      <w:kern w:val="0"/>
                      <w:sz w:val="20"/>
                      <w:szCs w:val="20"/>
                    </w:rPr>
                  </w:pPr>
                  <w:r w:rsidRPr="008011F8">
                    <w:rPr>
                      <w:rFonts w:ascii="楷体" w:eastAsia="楷体" w:hAnsi="楷体" w:cs="宋体" w:hint="eastAsia"/>
                      <w:b/>
                      <w:bCs/>
                      <w:color w:val="FFFFFF"/>
                      <w:kern w:val="0"/>
                      <w:sz w:val="20"/>
                      <w:szCs w:val="20"/>
                    </w:rPr>
                    <w:t>AA-</w:t>
                  </w:r>
                </w:p>
              </w:tc>
              <w:tc>
                <w:tcPr>
                  <w:tcW w:w="1157" w:type="dxa"/>
                  <w:tcBorders>
                    <w:top w:val="nil"/>
                    <w:left w:val="nil"/>
                    <w:bottom w:val="single" w:sz="12" w:space="0" w:color="FFFFFF"/>
                    <w:right w:val="single" w:sz="8" w:space="0" w:color="FFFFFF"/>
                  </w:tcBorders>
                  <w:shd w:val="clear" w:color="000000" w:fill="F79646"/>
                  <w:noWrap/>
                  <w:vAlign w:val="center"/>
                  <w:hideMark/>
                </w:tcPr>
                <w:p w14:paraId="015A7183" w14:textId="77777777" w:rsidR="008011F8" w:rsidRPr="008011F8" w:rsidRDefault="008011F8" w:rsidP="008011F8">
                  <w:pPr>
                    <w:widowControl/>
                    <w:jc w:val="center"/>
                    <w:rPr>
                      <w:rFonts w:ascii="楷体" w:eastAsia="楷体" w:hAnsi="楷体" w:cs="宋体"/>
                      <w:b/>
                      <w:bCs/>
                      <w:color w:val="FFFFFF"/>
                      <w:kern w:val="0"/>
                      <w:sz w:val="20"/>
                      <w:szCs w:val="20"/>
                    </w:rPr>
                  </w:pPr>
                  <w:r w:rsidRPr="008011F8">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05C14F30" w14:textId="77777777" w:rsidR="008011F8" w:rsidRPr="008011F8" w:rsidRDefault="008011F8" w:rsidP="008011F8">
                  <w:pPr>
                    <w:widowControl/>
                    <w:jc w:val="center"/>
                    <w:rPr>
                      <w:rFonts w:ascii="楷体" w:eastAsia="楷体" w:hAnsi="楷体" w:cs="宋体"/>
                      <w:b/>
                      <w:bCs/>
                      <w:color w:val="FFFFFF"/>
                      <w:kern w:val="0"/>
                      <w:sz w:val="20"/>
                      <w:szCs w:val="20"/>
                    </w:rPr>
                  </w:pPr>
                  <w:r w:rsidRPr="008011F8">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64079870" w14:textId="77777777" w:rsidR="008011F8" w:rsidRPr="008011F8" w:rsidRDefault="008011F8" w:rsidP="008011F8">
                  <w:pPr>
                    <w:widowControl/>
                    <w:jc w:val="center"/>
                    <w:rPr>
                      <w:rFonts w:ascii="楷体" w:eastAsia="楷体" w:hAnsi="楷体" w:cs="宋体"/>
                      <w:b/>
                      <w:bCs/>
                      <w:color w:val="FFFFFF"/>
                      <w:kern w:val="0"/>
                      <w:sz w:val="20"/>
                      <w:szCs w:val="20"/>
                    </w:rPr>
                  </w:pPr>
                  <w:r w:rsidRPr="008011F8">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126FE846" w14:textId="77777777" w:rsidR="008011F8" w:rsidRPr="008011F8" w:rsidRDefault="008011F8" w:rsidP="008011F8">
                  <w:pPr>
                    <w:widowControl/>
                    <w:jc w:val="center"/>
                    <w:rPr>
                      <w:rFonts w:ascii="楷体" w:eastAsia="楷体" w:hAnsi="楷体" w:cs="宋体"/>
                      <w:b/>
                      <w:bCs/>
                      <w:color w:val="FFFFFF"/>
                      <w:kern w:val="0"/>
                      <w:sz w:val="20"/>
                      <w:szCs w:val="20"/>
                    </w:rPr>
                  </w:pPr>
                  <w:r w:rsidRPr="008011F8">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6A2E8903" w14:textId="77777777" w:rsidR="008011F8" w:rsidRPr="008011F8" w:rsidRDefault="008011F8" w:rsidP="008011F8">
                  <w:pPr>
                    <w:widowControl/>
                    <w:jc w:val="center"/>
                    <w:rPr>
                      <w:rFonts w:ascii="楷体" w:eastAsia="楷体" w:hAnsi="楷体" w:cs="宋体"/>
                      <w:b/>
                      <w:bCs/>
                      <w:color w:val="FFFFFF"/>
                      <w:kern w:val="0"/>
                      <w:sz w:val="20"/>
                      <w:szCs w:val="20"/>
                    </w:rPr>
                  </w:pPr>
                  <w:r w:rsidRPr="008011F8">
                    <w:rPr>
                      <w:rFonts w:ascii="楷体" w:eastAsia="楷体" w:hAnsi="楷体" w:cs="宋体" w:hint="eastAsia"/>
                      <w:b/>
                      <w:bCs/>
                      <w:color w:val="FFFFFF"/>
                      <w:kern w:val="0"/>
                      <w:sz w:val="20"/>
                      <w:szCs w:val="20"/>
                    </w:rPr>
                    <w:t>AA-</w:t>
                  </w:r>
                </w:p>
              </w:tc>
            </w:tr>
            <w:tr w:rsidR="008011F8" w:rsidRPr="008011F8" w14:paraId="64A2C378" w14:textId="77777777" w:rsidTr="008011F8">
              <w:trPr>
                <w:trHeight w:val="315"/>
              </w:trPr>
              <w:tc>
                <w:tcPr>
                  <w:tcW w:w="1350" w:type="dxa"/>
                  <w:tcBorders>
                    <w:top w:val="nil"/>
                    <w:left w:val="nil"/>
                    <w:bottom w:val="single" w:sz="8" w:space="0" w:color="FFFFFF"/>
                    <w:right w:val="single" w:sz="8" w:space="0" w:color="FFFFFF"/>
                  </w:tcBorders>
                  <w:shd w:val="clear" w:color="000000" w:fill="FCD5B4"/>
                  <w:noWrap/>
                  <w:vAlign w:val="center"/>
                  <w:hideMark/>
                </w:tcPr>
                <w:p w14:paraId="5DCFB185"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03DA33BB"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2.98 </w:t>
                  </w:r>
                </w:p>
              </w:tc>
              <w:tc>
                <w:tcPr>
                  <w:tcW w:w="921" w:type="dxa"/>
                  <w:tcBorders>
                    <w:top w:val="nil"/>
                    <w:left w:val="nil"/>
                    <w:bottom w:val="single" w:sz="8" w:space="0" w:color="FFFFFF"/>
                    <w:right w:val="single" w:sz="8" w:space="0" w:color="FFFFFF"/>
                  </w:tcBorders>
                  <w:shd w:val="clear" w:color="000000" w:fill="FCD5B4"/>
                  <w:noWrap/>
                  <w:vAlign w:val="center"/>
                  <w:hideMark/>
                </w:tcPr>
                <w:p w14:paraId="64FF3C70"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3.10 </w:t>
                  </w:r>
                </w:p>
              </w:tc>
              <w:tc>
                <w:tcPr>
                  <w:tcW w:w="921" w:type="dxa"/>
                  <w:tcBorders>
                    <w:top w:val="nil"/>
                    <w:left w:val="nil"/>
                    <w:bottom w:val="single" w:sz="8" w:space="0" w:color="FFFFFF"/>
                    <w:right w:val="single" w:sz="8" w:space="0" w:color="FFFFFF"/>
                  </w:tcBorders>
                  <w:shd w:val="clear" w:color="000000" w:fill="FCD5B4"/>
                  <w:noWrap/>
                  <w:vAlign w:val="center"/>
                  <w:hideMark/>
                </w:tcPr>
                <w:p w14:paraId="2EBE74AC"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3.30 </w:t>
                  </w:r>
                </w:p>
              </w:tc>
              <w:tc>
                <w:tcPr>
                  <w:tcW w:w="921" w:type="dxa"/>
                  <w:tcBorders>
                    <w:top w:val="nil"/>
                    <w:left w:val="nil"/>
                    <w:bottom w:val="single" w:sz="8" w:space="0" w:color="FFFFFF"/>
                    <w:right w:val="single" w:sz="8" w:space="0" w:color="FFFFFF"/>
                  </w:tcBorders>
                  <w:shd w:val="clear" w:color="000000" w:fill="FCD5B4"/>
                  <w:noWrap/>
                  <w:vAlign w:val="center"/>
                  <w:hideMark/>
                </w:tcPr>
                <w:p w14:paraId="5B8EB81C"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5.49 </w:t>
                  </w:r>
                </w:p>
              </w:tc>
              <w:tc>
                <w:tcPr>
                  <w:tcW w:w="1157" w:type="dxa"/>
                  <w:tcBorders>
                    <w:top w:val="nil"/>
                    <w:left w:val="nil"/>
                    <w:bottom w:val="single" w:sz="8" w:space="0" w:color="FFFFFF"/>
                    <w:right w:val="single" w:sz="8" w:space="0" w:color="FFFFFF"/>
                  </w:tcBorders>
                  <w:shd w:val="clear" w:color="000000" w:fill="FCD5B4"/>
                  <w:noWrap/>
                  <w:vAlign w:val="center"/>
                  <w:hideMark/>
                </w:tcPr>
                <w:p w14:paraId="0D39EAE8"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01F58CDE"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0.53 </w:t>
                  </w:r>
                </w:p>
              </w:tc>
              <w:tc>
                <w:tcPr>
                  <w:tcW w:w="921" w:type="dxa"/>
                  <w:tcBorders>
                    <w:top w:val="nil"/>
                    <w:left w:val="nil"/>
                    <w:bottom w:val="single" w:sz="8" w:space="0" w:color="FFFFFF"/>
                    <w:right w:val="single" w:sz="8" w:space="0" w:color="FFFFFF"/>
                  </w:tcBorders>
                  <w:shd w:val="clear" w:color="000000" w:fill="FCD5B4"/>
                  <w:noWrap/>
                  <w:vAlign w:val="center"/>
                  <w:hideMark/>
                </w:tcPr>
                <w:p w14:paraId="4429D82C"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0.65 </w:t>
                  </w:r>
                </w:p>
              </w:tc>
              <w:tc>
                <w:tcPr>
                  <w:tcW w:w="921" w:type="dxa"/>
                  <w:tcBorders>
                    <w:top w:val="nil"/>
                    <w:left w:val="nil"/>
                    <w:bottom w:val="single" w:sz="8" w:space="0" w:color="FFFFFF"/>
                    <w:right w:val="single" w:sz="8" w:space="0" w:color="FFFFFF"/>
                  </w:tcBorders>
                  <w:shd w:val="clear" w:color="000000" w:fill="FCD5B4"/>
                  <w:noWrap/>
                  <w:vAlign w:val="center"/>
                  <w:hideMark/>
                </w:tcPr>
                <w:p w14:paraId="1456DA52"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0.85 </w:t>
                  </w:r>
                </w:p>
              </w:tc>
              <w:tc>
                <w:tcPr>
                  <w:tcW w:w="921" w:type="dxa"/>
                  <w:tcBorders>
                    <w:top w:val="nil"/>
                    <w:left w:val="nil"/>
                    <w:bottom w:val="single" w:sz="8" w:space="0" w:color="FFFFFF"/>
                    <w:right w:val="single" w:sz="8" w:space="0" w:color="FFFFFF"/>
                  </w:tcBorders>
                  <w:shd w:val="clear" w:color="000000" w:fill="FCD5B4"/>
                  <w:noWrap/>
                  <w:vAlign w:val="center"/>
                  <w:hideMark/>
                </w:tcPr>
                <w:p w14:paraId="63022719"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3.04 </w:t>
                  </w:r>
                </w:p>
              </w:tc>
            </w:tr>
            <w:tr w:rsidR="008011F8" w:rsidRPr="008011F8" w14:paraId="034840B7" w14:textId="77777777" w:rsidTr="008011F8">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5331C72E"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37B321D4"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3.42 </w:t>
                  </w:r>
                </w:p>
              </w:tc>
              <w:tc>
                <w:tcPr>
                  <w:tcW w:w="921" w:type="dxa"/>
                  <w:tcBorders>
                    <w:top w:val="nil"/>
                    <w:left w:val="nil"/>
                    <w:bottom w:val="single" w:sz="8" w:space="0" w:color="FFFFFF"/>
                    <w:right w:val="single" w:sz="8" w:space="0" w:color="FFFFFF"/>
                  </w:tcBorders>
                  <w:shd w:val="clear" w:color="000000" w:fill="FDE9D9"/>
                  <w:noWrap/>
                  <w:vAlign w:val="center"/>
                  <w:hideMark/>
                </w:tcPr>
                <w:p w14:paraId="6E258DFE"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3.58 </w:t>
                  </w:r>
                </w:p>
              </w:tc>
              <w:tc>
                <w:tcPr>
                  <w:tcW w:w="921" w:type="dxa"/>
                  <w:tcBorders>
                    <w:top w:val="nil"/>
                    <w:left w:val="nil"/>
                    <w:bottom w:val="single" w:sz="8" w:space="0" w:color="FFFFFF"/>
                    <w:right w:val="single" w:sz="8" w:space="0" w:color="FFFFFF"/>
                  </w:tcBorders>
                  <w:shd w:val="clear" w:color="000000" w:fill="FDE9D9"/>
                  <w:noWrap/>
                  <w:vAlign w:val="center"/>
                  <w:hideMark/>
                </w:tcPr>
                <w:p w14:paraId="31C52A28"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4.01 </w:t>
                  </w:r>
                </w:p>
              </w:tc>
              <w:tc>
                <w:tcPr>
                  <w:tcW w:w="921" w:type="dxa"/>
                  <w:tcBorders>
                    <w:top w:val="nil"/>
                    <w:left w:val="nil"/>
                    <w:bottom w:val="single" w:sz="8" w:space="0" w:color="FFFFFF"/>
                    <w:right w:val="single" w:sz="8" w:space="0" w:color="FFFFFF"/>
                  </w:tcBorders>
                  <w:shd w:val="clear" w:color="000000" w:fill="FDE9D9"/>
                  <w:noWrap/>
                  <w:vAlign w:val="center"/>
                  <w:hideMark/>
                </w:tcPr>
                <w:p w14:paraId="73EF151F"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6.20 </w:t>
                  </w:r>
                </w:p>
              </w:tc>
              <w:tc>
                <w:tcPr>
                  <w:tcW w:w="1157" w:type="dxa"/>
                  <w:tcBorders>
                    <w:top w:val="nil"/>
                    <w:left w:val="nil"/>
                    <w:bottom w:val="single" w:sz="8" w:space="0" w:color="FFFFFF"/>
                    <w:right w:val="single" w:sz="8" w:space="0" w:color="FFFFFF"/>
                  </w:tcBorders>
                  <w:shd w:val="clear" w:color="000000" w:fill="FDE9D9"/>
                  <w:noWrap/>
                  <w:vAlign w:val="center"/>
                  <w:hideMark/>
                </w:tcPr>
                <w:p w14:paraId="360A493D"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43A8701E"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0.58 </w:t>
                  </w:r>
                </w:p>
              </w:tc>
              <w:tc>
                <w:tcPr>
                  <w:tcW w:w="921" w:type="dxa"/>
                  <w:tcBorders>
                    <w:top w:val="nil"/>
                    <w:left w:val="nil"/>
                    <w:bottom w:val="single" w:sz="8" w:space="0" w:color="FFFFFF"/>
                    <w:right w:val="single" w:sz="8" w:space="0" w:color="FFFFFF"/>
                  </w:tcBorders>
                  <w:shd w:val="clear" w:color="000000" w:fill="FDE9D9"/>
                  <w:noWrap/>
                  <w:vAlign w:val="center"/>
                  <w:hideMark/>
                </w:tcPr>
                <w:p w14:paraId="2FE20943"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0.74 </w:t>
                  </w:r>
                </w:p>
              </w:tc>
              <w:tc>
                <w:tcPr>
                  <w:tcW w:w="921" w:type="dxa"/>
                  <w:tcBorders>
                    <w:top w:val="nil"/>
                    <w:left w:val="nil"/>
                    <w:bottom w:val="single" w:sz="8" w:space="0" w:color="FFFFFF"/>
                    <w:right w:val="single" w:sz="8" w:space="0" w:color="FFFFFF"/>
                  </w:tcBorders>
                  <w:shd w:val="clear" w:color="000000" w:fill="FDE9D9"/>
                  <w:noWrap/>
                  <w:vAlign w:val="center"/>
                  <w:hideMark/>
                </w:tcPr>
                <w:p w14:paraId="0D8A2B6E"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1.17 </w:t>
                  </w:r>
                </w:p>
              </w:tc>
              <w:tc>
                <w:tcPr>
                  <w:tcW w:w="921" w:type="dxa"/>
                  <w:tcBorders>
                    <w:top w:val="nil"/>
                    <w:left w:val="nil"/>
                    <w:bottom w:val="single" w:sz="8" w:space="0" w:color="FFFFFF"/>
                    <w:right w:val="single" w:sz="8" w:space="0" w:color="FFFFFF"/>
                  </w:tcBorders>
                  <w:shd w:val="clear" w:color="000000" w:fill="FDE9D9"/>
                  <w:noWrap/>
                  <w:vAlign w:val="center"/>
                  <w:hideMark/>
                </w:tcPr>
                <w:p w14:paraId="08B0D782"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3.36 </w:t>
                  </w:r>
                </w:p>
              </w:tc>
            </w:tr>
            <w:tr w:rsidR="008011F8" w:rsidRPr="008011F8" w14:paraId="2DED93DF" w14:textId="77777777" w:rsidTr="008011F8">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05E75F96"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184AAC54"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3.74 </w:t>
                  </w:r>
                </w:p>
              </w:tc>
              <w:tc>
                <w:tcPr>
                  <w:tcW w:w="921" w:type="dxa"/>
                  <w:tcBorders>
                    <w:top w:val="nil"/>
                    <w:left w:val="nil"/>
                    <w:bottom w:val="single" w:sz="8" w:space="0" w:color="FFFFFF"/>
                    <w:right w:val="single" w:sz="8" w:space="0" w:color="FFFFFF"/>
                  </w:tcBorders>
                  <w:shd w:val="clear" w:color="000000" w:fill="FCD5B4"/>
                  <w:noWrap/>
                  <w:vAlign w:val="center"/>
                  <w:hideMark/>
                </w:tcPr>
                <w:p w14:paraId="03C1CAC8"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3.96 </w:t>
                  </w:r>
                </w:p>
              </w:tc>
              <w:tc>
                <w:tcPr>
                  <w:tcW w:w="921" w:type="dxa"/>
                  <w:tcBorders>
                    <w:top w:val="nil"/>
                    <w:left w:val="nil"/>
                    <w:bottom w:val="single" w:sz="8" w:space="0" w:color="FFFFFF"/>
                    <w:right w:val="single" w:sz="8" w:space="0" w:color="FFFFFF"/>
                  </w:tcBorders>
                  <w:shd w:val="clear" w:color="000000" w:fill="FCD5B4"/>
                  <w:noWrap/>
                  <w:vAlign w:val="center"/>
                  <w:hideMark/>
                </w:tcPr>
                <w:p w14:paraId="3C8D0EB2"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4.51 </w:t>
                  </w:r>
                </w:p>
              </w:tc>
              <w:tc>
                <w:tcPr>
                  <w:tcW w:w="921" w:type="dxa"/>
                  <w:tcBorders>
                    <w:top w:val="nil"/>
                    <w:left w:val="nil"/>
                    <w:bottom w:val="single" w:sz="8" w:space="0" w:color="FFFFFF"/>
                    <w:right w:val="single" w:sz="8" w:space="0" w:color="FFFFFF"/>
                  </w:tcBorders>
                  <w:shd w:val="clear" w:color="000000" w:fill="FCD5B4"/>
                  <w:noWrap/>
                  <w:vAlign w:val="center"/>
                  <w:hideMark/>
                </w:tcPr>
                <w:p w14:paraId="0A798F0F"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6.70 </w:t>
                  </w:r>
                </w:p>
              </w:tc>
              <w:tc>
                <w:tcPr>
                  <w:tcW w:w="1157" w:type="dxa"/>
                  <w:tcBorders>
                    <w:top w:val="nil"/>
                    <w:left w:val="nil"/>
                    <w:bottom w:val="single" w:sz="8" w:space="0" w:color="FFFFFF"/>
                    <w:right w:val="single" w:sz="8" w:space="0" w:color="FFFFFF"/>
                  </w:tcBorders>
                  <w:shd w:val="clear" w:color="000000" w:fill="FCD5B4"/>
                  <w:noWrap/>
                  <w:vAlign w:val="center"/>
                  <w:hideMark/>
                </w:tcPr>
                <w:p w14:paraId="7471D9B5"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4EB9FBD9"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0.73 </w:t>
                  </w:r>
                </w:p>
              </w:tc>
              <w:tc>
                <w:tcPr>
                  <w:tcW w:w="921" w:type="dxa"/>
                  <w:tcBorders>
                    <w:top w:val="nil"/>
                    <w:left w:val="nil"/>
                    <w:bottom w:val="single" w:sz="8" w:space="0" w:color="FFFFFF"/>
                    <w:right w:val="single" w:sz="8" w:space="0" w:color="FFFFFF"/>
                  </w:tcBorders>
                  <w:shd w:val="clear" w:color="000000" w:fill="FCD5B4"/>
                  <w:noWrap/>
                  <w:vAlign w:val="center"/>
                  <w:hideMark/>
                </w:tcPr>
                <w:p w14:paraId="4FFFA0DA"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0.95 </w:t>
                  </w:r>
                </w:p>
              </w:tc>
              <w:tc>
                <w:tcPr>
                  <w:tcW w:w="921" w:type="dxa"/>
                  <w:tcBorders>
                    <w:top w:val="nil"/>
                    <w:left w:val="nil"/>
                    <w:bottom w:val="single" w:sz="8" w:space="0" w:color="FFFFFF"/>
                    <w:right w:val="single" w:sz="8" w:space="0" w:color="FFFFFF"/>
                  </w:tcBorders>
                  <w:shd w:val="clear" w:color="000000" w:fill="FCD5B4"/>
                  <w:noWrap/>
                  <w:vAlign w:val="center"/>
                  <w:hideMark/>
                </w:tcPr>
                <w:p w14:paraId="1CCAB00D"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1.50 </w:t>
                  </w:r>
                </w:p>
              </w:tc>
              <w:tc>
                <w:tcPr>
                  <w:tcW w:w="921" w:type="dxa"/>
                  <w:tcBorders>
                    <w:top w:val="nil"/>
                    <w:left w:val="nil"/>
                    <w:bottom w:val="single" w:sz="8" w:space="0" w:color="FFFFFF"/>
                    <w:right w:val="single" w:sz="8" w:space="0" w:color="FFFFFF"/>
                  </w:tcBorders>
                  <w:shd w:val="clear" w:color="000000" w:fill="FCD5B4"/>
                  <w:noWrap/>
                  <w:vAlign w:val="center"/>
                  <w:hideMark/>
                </w:tcPr>
                <w:p w14:paraId="26D0A8EF"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3.69 </w:t>
                  </w:r>
                </w:p>
              </w:tc>
            </w:tr>
            <w:tr w:rsidR="008011F8" w:rsidRPr="008011F8" w14:paraId="15790386" w14:textId="77777777" w:rsidTr="008011F8">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0E4E8A96"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76275549"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3.43 </w:t>
                  </w:r>
                </w:p>
              </w:tc>
              <w:tc>
                <w:tcPr>
                  <w:tcW w:w="921" w:type="dxa"/>
                  <w:tcBorders>
                    <w:top w:val="nil"/>
                    <w:left w:val="nil"/>
                    <w:bottom w:val="single" w:sz="8" w:space="0" w:color="FFFFFF"/>
                    <w:right w:val="single" w:sz="8" w:space="0" w:color="FFFFFF"/>
                  </w:tcBorders>
                  <w:shd w:val="clear" w:color="000000" w:fill="FDE9D9"/>
                  <w:noWrap/>
                  <w:vAlign w:val="center"/>
                  <w:hideMark/>
                </w:tcPr>
                <w:p w14:paraId="5DFFC595"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3.66 </w:t>
                  </w:r>
                </w:p>
              </w:tc>
              <w:tc>
                <w:tcPr>
                  <w:tcW w:w="921" w:type="dxa"/>
                  <w:tcBorders>
                    <w:top w:val="nil"/>
                    <w:left w:val="nil"/>
                    <w:bottom w:val="single" w:sz="8" w:space="0" w:color="FFFFFF"/>
                    <w:right w:val="single" w:sz="8" w:space="0" w:color="FFFFFF"/>
                  </w:tcBorders>
                  <w:shd w:val="clear" w:color="000000" w:fill="FDE9D9"/>
                  <w:noWrap/>
                  <w:vAlign w:val="center"/>
                  <w:hideMark/>
                </w:tcPr>
                <w:p w14:paraId="384BCCE8"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4.05 </w:t>
                  </w:r>
                </w:p>
              </w:tc>
              <w:tc>
                <w:tcPr>
                  <w:tcW w:w="921" w:type="dxa"/>
                  <w:tcBorders>
                    <w:top w:val="nil"/>
                    <w:left w:val="nil"/>
                    <w:bottom w:val="single" w:sz="8" w:space="0" w:color="FFFFFF"/>
                    <w:right w:val="single" w:sz="8" w:space="0" w:color="FFFFFF"/>
                  </w:tcBorders>
                  <w:shd w:val="clear" w:color="000000" w:fill="FDE9D9"/>
                  <w:noWrap/>
                  <w:vAlign w:val="center"/>
                  <w:hideMark/>
                </w:tcPr>
                <w:p w14:paraId="4F00A9B6"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6.25 </w:t>
                  </w:r>
                </w:p>
              </w:tc>
              <w:tc>
                <w:tcPr>
                  <w:tcW w:w="1157" w:type="dxa"/>
                  <w:tcBorders>
                    <w:top w:val="nil"/>
                    <w:left w:val="nil"/>
                    <w:bottom w:val="single" w:sz="8" w:space="0" w:color="FFFFFF"/>
                    <w:right w:val="single" w:sz="8" w:space="0" w:color="FFFFFF"/>
                  </w:tcBorders>
                  <w:shd w:val="clear" w:color="000000" w:fill="FDE9D9"/>
                  <w:noWrap/>
                  <w:vAlign w:val="center"/>
                  <w:hideMark/>
                </w:tcPr>
                <w:p w14:paraId="677B8541"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08B3FC2A"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0.58 </w:t>
                  </w:r>
                </w:p>
              </w:tc>
              <w:tc>
                <w:tcPr>
                  <w:tcW w:w="921" w:type="dxa"/>
                  <w:tcBorders>
                    <w:top w:val="nil"/>
                    <w:left w:val="nil"/>
                    <w:bottom w:val="single" w:sz="8" w:space="0" w:color="FFFFFF"/>
                    <w:right w:val="single" w:sz="8" w:space="0" w:color="FFFFFF"/>
                  </w:tcBorders>
                  <w:shd w:val="clear" w:color="000000" w:fill="FDE9D9"/>
                  <w:noWrap/>
                  <w:vAlign w:val="center"/>
                  <w:hideMark/>
                </w:tcPr>
                <w:p w14:paraId="7BDD79CC"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0.81 </w:t>
                  </w:r>
                </w:p>
              </w:tc>
              <w:tc>
                <w:tcPr>
                  <w:tcW w:w="921" w:type="dxa"/>
                  <w:tcBorders>
                    <w:top w:val="nil"/>
                    <w:left w:val="nil"/>
                    <w:bottom w:val="single" w:sz="8" w:space="0" w:color="FFFFFF"/>
                    <w:right w:val="single" w:sz="8" w:space="0" w:color="FFFFFF"/>
                  </w:tcBorders>
                  <w:shd w:val="clear" w:color="000000" w:fill="FDE9D9"/>
                  <w:noWrap/>
                  <w:vAlign w:val="center"/>
                  <w:hideMark/>
                </w:tcPr>
                <w:p w14:paraId="7A967D31"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1.20 </w:t>
                  </w:r>
                </w:p>
              </w:tc>
              <w:tc>
                <w:tcPr>
                  <w:tcW w:w="921" w:type="dxa"/>
                  <w:tcBorders>
                    <w:top w:val="nil"/>
                    <w:left w:val="nil"/>
                    <w:bottom w:val="single" w:sz="8" w:space="0" w:color="FFFFFF"/>
                    <w:right w:val="single" w:sz="8" w:space="0" w:color="FFFFFF"/>
                  </w:tcBorders>
                  <w:shd w:val="clear" w:color="000000" w:fill="FDE9D9"/>
                  <w:noWrap/>
                  <w:vAlign w:val="center"/>
                  <w:hideMark/>
                </w:tcPr>
                <w:p w14:paraId="7A4DCB31"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3.40 </w:t>
                  </w:r>
                </w:p>
              </w:tc>
            </w:tr>
            <w:tr w:rsidR="008011F8" w:rsidRPr="008011F8" w14:paraId="401DEC03" w14:textId="77777777" w:rsidTr="008011F8">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5E88F4BC"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4721ADF5"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3.66 </w:t>
                  </w:r>
                </w:p>
              </w:tc>
              <w:tc>
                <w:tcPr>
                  <w:tcW w:w="921" w:type="dxa"/>
                  <w:tcBorders>
                    <w:top w:val="nil"/>
                    <w:left w:val="nil"/>
                    <w:bottom w:val="single" w:sz="8" w:space="0" w:color="FFFFFF"/>
                    <w:right w:val="single" w:sz="8" w:space="0" w:color="FFFFFF"/>
                  </w:tcBorders>
                  <w:shd w:val="clear" w:color="000000" w:fill="FCD5B4"/>
                  <w:noWrap/>
                  <w:vAlign w:val="center"/>
                  <w:hideMark/>
                </w:tcPr>
                <w:p w14:paraId="721B6BCA"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3.91 </w:t>
                  </w:r>
                </w:p>
              </w:tc>
              <w:tc>
                <w:tcPr>
                  <w:tcW w:w="921" w:type="dxa"/>
                  <w:tcBorders>
                    <w:top w:val="nil"/>
                    <w:left w:val="nil"/>
                    <w:bottom w:val="single" w:sz="8" w:space="0" w:color="FFFFFF"/>
                    <w:right w:val="single" w:sz="8" w:space="0" w:color="FFFFFF"/>
                  </w:tcBorders>
                  <w:shd w:val="clear" w:color="000000" w:fill="FCD5B4"/>
                  <w:noWrap/>
                  <w:vAlign w:val="center"/>
                  <w:hideMark/>
                </w:tcPr>
                <w:p w14:paraId="210311C8"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4.47 </w:t>
                  </w:r>
                </w:p>
              </w:tc>
              <w:tc>
                <w:tcPr>
                  <w:tcW w:w="921" w:type="dxa"/>
                  <w:tcBorders>
                    <w:top w:val="nil"/>
                    <w:left w:val="nil"/>
                    <w:bottom w:val="single" w:sz="8" w:space="0" w:color="FFFFFF"/>
                    <w:right w:val="single" w:sz="8" w:space="0" w:color="FFFFFF"/>
                  </w:tcBorders>
                  <w:shd w:val="clear" w:color="000000" w:fill="FCD5B4"/>
                  <w:noWrap/>
                  <w:vAlign w:val="center"/>
                  <w:hideMark/>
                </w:tcPr>
                <w:p w14:paraId="0DCDE0A1"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6.67 </w:t>
                  </w:r>
                </w:p>
              </w:tc>
              <w:tc>
                <w:tcPr>
                  <w:tcW w:w="1157" w:type="dxa"/>
                  <w:tcBorders>
                    <w:top w:val="nil"/>
                    <w:left w:val="nil"/>
                    <w:bottom w:val="single" w:sz="8" w:space="0" w:color="FFFFFF"/>
                    <w:right w:val="single" w:sz="8" w:space="0" w:color="FFFFFF"/>
                  </w:tcBorders>
                  <w:shd w:val="clear" w:color="000000" w:fill="FCD5B4"/>
                  <w:noWrap/>
                  <w:vAlign w:val="center"/>
                  <w:hideMark/>
                </w:tcPr>
                <w:p w14:paraId="2E2F3218"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63A17FA2"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0.65 </w:t>
                  </w:r>
                </w:p>
              </w:tc>
              <w:tc>
                <w:tcPr>
                  <w:tcW w:w="921" w:type="dxa"/>
                  <w:tcBorders>
                    <w:top w:val="nil"/>
                    <w:left w:val="nil"/>
                    <w:bottom w:val="single" w:sz="8" w:space="0" w:color="FFFFFF"/>
                    <w:right w:val="single" w:sz="8" w:space="0" w:color="FFFFFF"/>
                  </w:tcBorders>
                  <w:shd w:val="clear" w:color="000000" w:fill="FCD5B4"/>
                  <w:noWrap/>
                  <w:vAlign w:val="center"/>
                  <w:hideMark/>
                </w:tcPr>
                <w:p w14:paraId="45AA5D8A"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0.90 </w:t>
                  </w:r>
                </w:p>
              </w:tc>
              <w:tc>
                <w:tcPr>
                  <w:tcW w:w="921" w:type="dxa"/>
                  <w:tcBorders>
                    <w:top w:val="nil"/>
                    <w:left w:val="nil"/>
                    <w:bottom w:val="single" w:sz="8" w:space="0" w:color="FFFFFF"/>
                    <w:right w:val="single" w:sz="8" w:space="0" w:color="FFFFFF"/>
                  </w:tcBorders>
                  <w:shd w:val="clear" w:color="000000" w:fill="FCD5B4"/>
                  <w:noWrap/>
                  <w:vAlign w:val="center"/>
                  <w:hideMark/>
                </w:tcPr>
                <w:p w14:paraId="33D3625B"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1.46 </w:t>
                  </w:r>
                </w:p>
              </w:tc>
              <w:tc>
                <w:tcPr>
                  <w:tcW w:w="921" w:type="dxa"/>
                  <w:tcBorders>
                    <w:top w:val="nil"/>
                    <w:left w:val="nil"/>
                    <w:bottom w:val="single" w:sz="8" w:space="0" w:color="FFFFFF"/>
                    <w:right w:val="single" w:sz="8" w:space="0" w:color="FFFFFF"/>
                  </w:tcBorders>
                  <w:shd w:val="clear" w:color="000000" w:fill="FCD5B4"/>
                  <w:noWrap/>
                  <w:vAlign w:val="center"/>
                  <w:hideMark/>
                </w:tcPr>
                <w:p w14:paraId="4F711420"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3.66 </w:t>
                  </w:r>
                </w:p>
              </w:tc>
            </w:tr>
            <w:tr w:rsidR="008011F8" w:rsidRPr="008011F8" w14:paraId="58A122FF" w14:textId="77777777" w:rsidTr="008011F8">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56F40781"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6AD0C696"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3.91 </w:t>
                  </w:r>
                </w:p>
              </w:tc>
              <w:tc>
                <w:tcPr>
                  <w:tcW w:w="921" w:type="dxa"/>
                  <w:tcBorders>
                    <w:top w:val="nil"/>
                    <w:left w:val="nil"/>
                    <w:bottom w:val="single" w:sz="8" w:space="0" w:color="FFFFFF"/>
                    <w:right w:val="single" w:sz="8" w:space="0" w:color="FFFFFF"/>
                  </w:tcBorders>
                  <w:shd w:val="clear" w:color="000000" w:fill="FDE9D9"/>
                  <w:noWrap/>
                  <w:vAlign w:val="center"/>
                  <w:hideMark/>
                </w:tcPr>
                <w:p w14:paraId="665F69D1"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4.16 </w:t>
                  </w:r>
                </w:p>
              </w:tc>
              <w:tc>
                <w:tcPr>
                  <w:tcW w:w="921" w:type="dxa"/>
                  <w:tcBorders>
                    <w:top w:val="nil"/>
                    <w:left w:val="nil"/>
                    <w:bottom w:val="single" w:sz="8" w:space="0" w:color="FFFFFF"/>
                    <w:right w:val="single" w:sz="8" w:space="0" w:color="FFFFFF"/>
                  </w:tcBorders>
                  <w:shd w:val="clear" w:color="000000" w:fill="FDE9D9"/>
                  <w:noWrap/>
                  <w:vAlign w:val="center"/>
                  <w:hideMark/>
                </w:tcPr>
                <w:p w14:paraId="756B648B"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4.72 </w:t>
                  </w:r>
                </w:p>
              </w:tc>
              <w:tc>
                <w:tcPr>
                  <w:tcW w:w="921" w:type="dxa"/>
                  <w:tcBorders>
                    <w:top w:val="nil"/>
                    <w:left w:val="nil"/>
                    <w:bottom w:val="single" w:sz="8" w:space="0" w:color="FFFFFF"/>
                    <w:right w:val="single" w:sz="8" w:space="0" w:color="FFFFFF"/>
                  </w:tcBorders>
                  <w:shd w:val="clear" w:color="000000" w:fill="FDE9D9"/>
                  <w:noWrap/>
                  <w:vAlign w:val="center"/>
                  <w:hideMark/>
                </w:tcPr>
                <w:p w14:paraId="33FD1EBC"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6.92 </w:t>
                  </w:r>
                </w:p>
              </w:tc>
              <w:tc>
                <w:tcPr>
                  <w:tcW w:w="1157" w:type="dxa"/>
                  <w:tcBorders>
                    <w:top w:val="nil"/>
                    <w:left w:val="nil"/>
                    <w:bottom w:val="single" w:sz="8" w:space="0" w:color="FFFFFF"/>
                    <w:right w:val="single" w:sz="8" w:space="0" w:color="FFFFFF"/>
                  </w:tcBorders>
                  <w:shd w:val="clear" w:color="000000" w:fill="FDE9D9"/>
                  <w:noWrap/>
                  <w:vAlign w:val="center"/>
                  <w:hideMark/>
                </w:tcPr>
                <w:p w14:paraId="1090DE0D"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20A364B4"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0.79 </w:t>
                  </w:r>
                </w:p>
              </w:tc>
              <w:tc>
                <w:tcPr>
                  <w:tcW w:w="921" w:type="dxa"/>
                  <w:tcBorders>
                    <w:top w:val="nil"/>
                    <w:left w:val="nil"/>
                    <w:bottom w:val="single" w:sz="8" w:space="0" w:color="FFFFFF"/>
                    <w:right w:val="single" w:sz="8" w:space="0" w:color="FFFFFF"/>
                  </w:tcBorders>
                  <w:shd w:val="clear" w:color="000000" w:fill="FDE9D9"/>
                  <w:noWrap/>
                  <w:vAlign w:val="center"/>
                  <w:hideMark/>
                </w:tcPr>
                <w:p w14:paraId="375B07E9"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1.04 </w:t>
                  </w:r>
                </w:p>
              </w:tc>
              <w:tc>
                <w:tcPr>
                  <w:tcW w:w="921" w:type="dxa"/>
                  <w:tcBorders>
                    <w:top w:val="nil"/>
                    <w:left w:val="nil"/>
                    <w:bottom w:val="single" w:sz="8" w:space="0" w:color="FFFFFF"/>
                    <w:right w:val="single" w:sz="8" w:space="0" w:color="FFFFFF"/>
                  </w:tcBorders>
                  <w:shd w:val="clear" w:color="000000" w:fill="FDE9D9"/>
                  <w:noWrap/>
                  <w:vAlign w:val="center"/>
                  <w:hideMark/>
                </w:tcPr>
                <w:p w14:paraId="3A4B4A2A"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1.60 </w:t>
                  </w:r>
                </w:p>
              </w:tc>
              <w:tc>
                <w:tcPr>
                  <w:tcW w:w="921" w:type="dxa"/>
                  <w:tcBorders>
                    <w:top w:val="nil"/>
                    <w:left w:val="nil"/>
                    <w:bottom w:val="single" w:sz="8" w:space="0" w:color="FFFFFF"/>
                    <w:right w:val="single" w:sz="8" w:space="0" w:color="FFFFFF"/>
                  </w:tcBorders>
                  <w:shd w:val="clear" w:color="000000" w:fill="FDE9D9"/>
                  <w:noWrap/>
                  <w:vAlign w:val="center"/>
                  <w:hideMark/>
                </w:tcPr>
                <w:p w14:paraId="756902E6"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3.80 </w:t>
                  </w:r>
                </w:p>
              </w:tc>
            </w:tr>
            <w:tr w:rsidR="008011F8" w:rsidRPr="008011F8" w14:paraId="11D769C3" w14:textId="77777777" w:rsidTr="008011F8">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38C86AC7" w14:textId="77777777" w:rsidR="008011F8" w:rsidRPr="008011F8" w:rsidRDefault="008011F8" w:rsidP="008011F8">
                  <w:pPr>
                    <w:widowControl/>
                    <w:jc w:val="center"/>
                    <w:rPr>
                      <w:rFonts w:ascii="楷体" w:eastAsia="楷体" w:hAnsi="楷体" w:cs="宋体"/>
                      <w:color w:val="000000"/>
                      <w:kern w:val="0"/>
                      <w:sz w:val="20"/>
                      <w:szCs w:val="20"/>
                    </w:rPr>
                  </w:pPr>
                  <w:proofErr w:type="gramStart"/>
                  <w:r w:rsidRPr="008011F8">
                    <w:rPr>
                      <w:rFonts w:ascii="楷体" w:eastAsia="楷体" w:hAnsi="楷体" w:cs="宋体" w:hint="eastAsia"/>
                      <w:color w:val="000000"/>
                      <w:kern w:val="0"/>
                      <w:sz w:val="20"/>
                      <w:szCs w:val="20"/>
                    </w:rPr>
                    <w:t>城投债</w:t>
                  </w:r>
                  <w:proofErr w:type="gramEnd"/>
                  <w:r w:rsidRPr="008011F8">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7BB51B79"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3.48 </w:t>
                  </w:r>
                </w:p>
              </w:tc>
              <w:tc>
                <w:tcPr>
                  <w:tcW w:w="921" w:type="dxa"/>
                  <w:tcBorders>
                    <w:top w:val="nil"/>
                    <w:left w:val="nil"/>
                    <w:bottom w:val="single" w:sz="8" w:space="0" w:color="FFFFFF"/>
                    <w:right w:val="single" w:sz="8" w:space="0" w:color="FFFFFF"/>
                  </w:tcBorders>
                  <w:shd w:val="clear" w:color="000000" w:fill="FCD5B4"/>
                  <w:noWrap/>
                  <w:vAlign w:val="center"/>
                  <w:hideMark/>
                </w:tcPr>
                <w:p w14:paraId="6DEBE039"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3.61 </w:t>
                  </w:r>
                </w:p>
              </w:tc>
              <w:tc>
                <w:tcPr>
                  <w:tcW w:w="921" w:type="dxa"/>
                  <w:tcBorders>
                    <w:top w:val="nil"/>
                    <w:left w:val="nil"/>
                    <w:bottom w:val="single" w:sz="8" w:space="0" w:color="FFFFFF"/>
                    <w:right w:val="single" w:sz="8" w:space="0" w:color="FFFFFF"/>
                  </w:tcBorders>
                  <w:shd w:val="clear" w:color="000000" w:fill="FCD5B4"/>
                  <w:noWrap/>
                  <w:vAlign w:val="center"/>
                  <w:hideMark/>
                </w:tcPr>
                <w:p w14:paraId="0D05E0DF"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3.76 </w:t>
                  </w:r>
                </w:p>
              </w:tc>
              <w:tc>
                <w:tcPr>
                  <w:tcW w:w="921" w:type="dxa"/>
                  <w:tcBorders>
                    <w:top w:val="nil"/>
                    <w:left w:val="nil"/>
                    <w:bottom w:val="single" w:sz="8" w:space="0" w:color="FFFFFF"/>
                    <w:right w:val="single" w:sz="8" w:space="0" w:color="FFFFFF"/>
                  </w:tcBorders>
                  <w:shd w:val="clear" w:color="000000" w:fill="FCD5B4"/>
                  <w:noWrap/>
                  <w:vAlign w:val="center"/>
                  <w:hideMark/>
                </w:tcPr>
                <w:p w14:paraId="35908FB9"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6.36 </w:t>
                  </w:r>
                </w:p>
              </w:tc>
              <w:tc>
                <w:tcPr>
                  <w:tcW w:w="1157" w:type="dxa"/>
                  <w:tcBorders>
                    <w:top w:val="nil"/>
                    <w:left w:val="nil"/>
                    <w:bottom w:val="single" w:sz="8" w:space="0" w:color="FFFFFF"/>
                    <w:right w:val="single" w:sz="8" w:space="0" w:color="FFFFFF"/>
                  </w:tcBorders>
                  <w:shd w:val="clear" w:color="000000" w:fill="FCD5B4"/>
                  <w:noWrap/>
                  <w:vAlign w:val="center"/>
                  <w:hideMark/>
                </w:tcPr>
                <w:p w14:paraId="05E67557" w14:textId="77777777" w:rsidR="008011F8" w:rsidRPr="008011F8" w:rsidRDefault="008011F8" w:rsidP="008011F8">
                  <w:pPr>
                    <w:widowControl/>
                    <w:jc w:val="center"/>
                    <w:rPr>
                      <w:rFonts w:ascii="楷体" w:eastAsia="楷体" w:hAnsi="楷体" w:cs="宋体"/>
                      <w:color w:val="000000"/>
                      <w:kern w:val="0"/>
                      <w:sz w:val="20"/>
                      <w:szCs w:val="20"/>
                    </w:rPr>
                  </w:pPr>
                  <w:proofErr w:type="gramStart"/>
                  <w:r w:rsidRPr="008011F8">
                    <w:rPr>
                      <w:rFonts w:ascii="楷体" w:eastAsia="楷体" w:hAnsi="楷体" w:cs="宋体" w:hint="eastAsia"/>
                      <w:color w:val="000000"/>
                      <w:kern w:val="0"/>
                      <w:sz w:val="20"/>
                      <w:szCs w:val="20"/>
                    </w:rPr>
                    <w:t>城投债</w:t>
                  </w:r>
                  <w:proofErr w:type="gramEnd"/>
                  <w:r w:rsidRPr="008011F8">
                    <w:rPr>
                      <w:rFonts w:ascii="楷体" w:eastAsia="楷体" w:hAnsi="楷体" w:cs="宋体" w:hint="eastAsia"/>
                      <w:color w:val="000000"/>
                      <w:kern w:val="0"/>
                      <w:sz w:val="20"/>
                      <w:szCs w:val="20"/>
                    </w:rPr>
                    <w:t>3Y</w:t>
                  </w:r>
                </w:p>
              </w:tc>
              <w:tc>
                <w:tcPr>
                  <w:tcW w:w="921" w:type="dxa"/>
                  <w:tcBorders>
                    <w:top w:val="nil"/>
                    <w:left w:val="nil"/>
                    <w:bottom w:val="single" w:sz="8" w:space="0" w:color="FFFFFF"/>
                    <w:right w:val="single" w:sz="8" w:space="0" w:color="FFFFFF"/>
                  </w:tcBorders>
                  <w:shd w:val="clear" w:color="000000" w:fill="FCD5B4"/>
                  <w:noWrap/>
                  <w:vAlign w:val="center"/>
                  <w:hideMark/>
                </w:tcPr>
                <w:p w14:paraId="753048DE"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0.63 </w:t>
                  </w:r>
                </w:p>
              </w:tc>
              <w:tc>
                <w:tcPr>
                  <w:tcW w:w="921" w:type="dxa"/>
                  <w:tcBorders>
                    <w:top w:val="nil"/>
                    <w:left w:val="nil"/>
                    <w:bottom w:val="single" w:sz="8" w:space="0" w:color="FFFFFF"/>
                    <w:right w:val="single" w:sz="8" w:space="0" w:color="FFFFFF"/>
                  </w:tcBorders>
                  <w:shd w:val="clear" w:color="000000" w:fill="FCD5B4"/>
                  <w:noWrap/>
                  <w:vAlign w:val="center"/>
                  <w:hideMark/>
                </w:tcPr>
                <w:p w14:paraId="58686AAD"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0.77 </w:t>
                  </w:r>
                </w:p>
              </w:tc>
              <w:tc>
                <w:tcPr>
                  <w:tcW w:w="921" w:type="dxa"/>
                  <w:tcBorders>
                    <w:top w:val="nil"/>
                    <w:left w:val="nil"/>
                    <w:bottom w:val="single" w:sz="8" w:space="0" w:color="FFFFFF"/>
                    <w:right w:val="single" w:sz="8" w:space="0" w:color="FFFFFF"/>
                  </w:tcBorders>
                  <w:shd w:val="clear" w:color="000000" w:fill="FCD5B4"/>
                  <w:noWrap/>
                  <w:vAlign w:val="center"/>
                  <w:hideMark/>
                </w:tcPr>
                <w:p w14:paraId="38D15CC5"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0.91 </w:t>
                  </w:r>
                </w:p>
              </w:tc>
              <w:tc>
                <w:tcPr>
                  <w:tcW w:w="921" w:type="dxa"/>
                  <w:tcBorders>
                    <w:top w:val="nil"/>
                    <w:left w:val="nil"/>
                    <w:bottom w:val="single" w:sz="8" w:space="0" w:color="FFFFFF"/>
                    <w:right w:val="single" w:sz="8" w:space="0" w:color="FFFFFF"/>
                  </w:tcBorders>
                  <w:shd w:val="clear" w:color="000000" w:fill="FCD5B4"/>
                  <w:noWrap/>
                  <w:vAlign w:val="center"/>
                  <w:hideMark/>
                </w:tcPr>
                <w:p w14:paraId="52E0B6F3"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3.51 </w:t>
                  </w:r>
                </w:p>
              </w:tc>
            </w:tr>
            <w:tr w:rsidR="008011F8" w:rsidRPr="008011F8" w14:paraId="46E6420C" w14:textId="77777777" w:rsidTr="008011F8">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10011D62" w14:textId="77777777" w:rsidR="008011F8" w:rsidRPr="008011F8" w:rsidRDefault="008011F8" w:rsidP="008011F8">
                  <w:pPr>
                    <w:widowControl/>
                    <w:jc w:val="center"/>
                    <w:rPr>
                      <w:rFonts w:ascii="楷体" w:eastAsia="楷体" w:hAnsi="楷体" w:cs="宋体"/>
                      <w:color w:val="000000"/>
                      <w:kern w:val="0"/>
                      <w:sz w:val="20"/>
                      <w:szCs w:val="20"/>
                    </w:rPr>
                  </w:pPr>
                  <w:proofErr w:type="gramStart"/>
                  <w:r w:rsidRPr="008011F8">
                    <w:rPr>
                      <w:rFonts w:ascii="楷体" w:eastAsia="楷体" w:hAnsi="楷体" w:cs="宋体" w:hint="eastAsia"/>
                      <w:color w:val="000000"/>
                      <w:kern w:val="0"/>
                      <w:sz w:val="20"/>
                      <w:szCs w:val="20"/>
                    </w:rPr>
                    <w:t>城投债</w:t>
                  </w:r>
                  <w:proofErr w:type="gramEnd"/>
                  <w:r w:rsidRPr="008011F8">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15D0ED47"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3.74 </w:t>
                  </w:r>
                </w:p>
              </w:tc>
              <w:tc>
                <w:tcPr>
                  <w:tcW w:w="921" w:type="dxa"/>
                  <w:tcBorders>
                    <w:top w:val="nil"/>
                    <w:left w:val="nil"/>
                    <w:bottom w:val="single" w:sz="8" w:space="0" w:color="FFFFFF"/>
                    <w:right w:val="single" w:sz="8" w:space="0" w:color="FFFFFF"/>
                  </w:tcBorders>
                  <w:shd w:val="clear" w:color="000000" w:fill="FDE9D9"/>
                  <w:noWrap/>
                  <w:vAlign w:val="center"/>
                  <w:hideMark/>
                </w:tcPr>
                <w:p w14:paraId="0B2B8ADF"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3.94 </w:t>
                  </w:r>
                </w:p>
              </w:tc>
              <w:tc>
                <w:tcPr>
                  <w:tcW w:w="921" w:type="dxa"/>
                  <w:tcBorders>
                    <w:top w:val="nil"/>
                    <w:left w:val="nil"/>
                    <w:bottom w:val="single" w:sz="8" w:space="0" w:color="FFFFFF"/>
                    <w:right w:val="single" w:sz="8" w:space="0" w:color="FFFFFF"/>
                  </w:tcBorders>
                  <w:shd w:val="clear" w:color="000000" w:fill="FDE9D9"/>
                  <w:noWrap/>
                  <w:vAlign w:val="center"/>
                  <w:hideMark/>
                </w:tcPr>
                <w:p w14:paraId="207B4AD4"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4.35 </w:t>
                  </w:r>
                </w:p>
              </w:tc>
              <w:tc>
                <w:tcPr>
                  <w:tcW w:w="921" w:type="dxa"/>
                  <w:tcBorders>
                    <w:top w:val="nil"/>
                    <w:left w:val="nil"/>
                    <w:bottom w:val="single" w:sz="8" w:space="0" w:color="FFFFFF"/>
                    <w:right w:val="single" w:sz="8" w:space="0" w:color="FFFFFF"/>
                  </w:tcBorders>
                  <w:shd w:val="clear" w:color="000000" w:fill="FDE9D9"/>
                  <w:noWrap/>
                  <w:vAlign w:val="center"/>
                  <w:hideMark/>
                </w:tcPr>
                <w:p w14:paraId="34F27B3C"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7.27 </w:t>
                  </w:r>
                </w:p>
              </w:tc>
              <w:tc>
                <w:tcPr>
                  <w:tcW w:w="1157" w:type="dxa"/>
                  <w:tcBorders>
                    <w:top w:val="nil"/>
                    <w:left w:val="nil"/>
                    <w:bottom w:val="single" w:sz="8" w:space="0" w:color="FFFFFF"/>
                    <w:right w:val="single" w:sz="8" w:space="0" w:color="FFFFFF"/>
                  </w:tcBorders>
                  <w:shd w:val="clear" w:color="000000" w:fill="FDE9D9"/>
                  <w:noWrap/>
                  <w:vAlign w:val="center"/>
                  <w:hideMark/>
                </w:tcPr>
                <w:p w14:paraId="556E8CEE" w14:textId="77777777" w:rsidR="008011F8" w:rsidRPr="008011F8" w:rsidRDefault="008011F8" w:rsidP="008011F8">
                  <w:pPr>
                    <w:widowControl/>
                    <w:jc w:val="center"/>
                    <w:rPr>
                      <w:rFonts w:ascii="楷体" w:eastAsia="楷体" w:hAnsi="楷体" w:cs="宋体"/>
                      <w:color w:val="000000"/>
                      <w:kern w:val="0"/>
                      <w:sz w:val="20"/>
                      <w:szCs w:val="20"/>
                    </w:rPr>
                  </w:pPr>
                  <w:proofErr w:type="gramStart"/>
                  <w:r w:rsidRPr="008011F8">
                    <w:rPr>
                      <w:rFonts w:ascii="楷体" w:eastAsia="楷体" w:hAnsi="楷体" w:cs="宋体" w:hint="eastAsia"/>
                      <w:color w:val="000000"/>
                      <w:kern w:val="0"/>
                      <w:sz w:val="20"/>
                      <w:szCs w:val="20"/>
                    </w:rPr>
                    <w:t>城投债</w:t>
                  </w:r>
                  <w:proofErr w:type="gramEnd"/>
                  <w:r w:rsidRPr="008011F8">
                    <w:rPr>
                      <w:rFonts w:ascii="楷体" w:eastAsia="楷体" w:hAnsi="楷体" w:cs="宋体" w:hint="eastAsia"/>
                      <w:color w:val="000000"/>
                      <w:kern w:val="0"/>
                      <w:sz w:val="20"/>
                      <w:szCs w:val="20"/>
                    </w:rPr>
                    <w:t>5Y</w:t>
                  </w:r>
                </w:p>
              </w:tc>
              <w:tc>
                <w:tcPr>
                  <w:tcW w:w="921" w:type="dxa"/>
                  <w:tcBorders>
                    <w:top w:val="nil"/>
                    <w:left w:val="nil"/>
                    <w:bottom w:val="single" w:sz="8" w:space="0" w:color="FFFFFF"/>
                    <w:right w:val="single" w:sz="8" w:space="0" w:color="FFFFFF"/>
                  </w:tcBorders>
                  <w:shd w:val="clear" w:color="000000" w:fill="FDE9D9"/>
                  <w:noWrap/>
                  <w:vAlign w:val="center"/>
                  <w:hideMark/>
                </w:tcPr>
                <w:p w14:paraId="0D216207"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0.73 </w:t>
                  </w:r>
                </w:p>
              </w:tc>
              <w:tc>
                <w:tcPr>
                  <w:tcW w:w="921" w:type="dxa"/>
                  <w:tcBorders>
                    <w:top w:val="nil"/>
                    <w:left w:val="nil"/>
                    <w:bottom w:val="single" w:sz="8" w:space="0" w:color="FFFFFF"/>
                    <w:right w:val="single" w:sz="8" w:space="0" w:color="FFFFFF"/>
                  </w:tcBorders>
                  <w:shd w:val="clear" w:color="000000" w:fill="FDE9D9"/>
                  <w:noWrap/>
                  <w:vAlign w:val="center"/>
                  <w:hideMark/>
                </w:tcPr>
                <w:p w14:paraId="54BA58AB"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0.93 </w:t>
                  </w:r>
                </w:p>
              </w:tc>
              <w:tc>
                <w:tcPr>
                  <w:tcW w:w="921" w:type="dxa"/>
                  <w:tcBorders>
                    <w:top w:val="nil"/>
                    <w:left w:val="nil"/>
                    <w:bottom w:val="single" w:sz="8" w:space="0" w:color="FFFFFF"/>
                    <w:right w:val="single" w:sz="8" w:space="0" w:color="FFFFFF"/>
                  </w:tcBorders>
                  <w:shd w:val="clear" w:color="000000" w:fill="FDE9D9"/>
                  <w:noWrap/>
                  <w:vAlign w:val="center"/>
                  <w:hideMark/>
                </w:tcPr>
                <w:p w14:paraId="0BE885D2"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1.34 </w:t>
                  </w:r>
                </w:p>
              </w:tc>
              <w:tc>
                <w:tcPr>
                  <w:tcW w:w="921" w:type="dxa"/>
                  <w:tcBorders>
                    <w:top w:val="nil"/>
                    <w:left w:val="nil"/>
                    <w:bottom w:val="single" w:sz="8" w:space="0" w:color="FFFFFF"/>
                    <w:right w:val="single" w:sz="8" w:space="0" w:color="FFFFFF"/>
                  </w:tcBorders>
                  <w:shd w:val="clear" w:color="000000" w:fill="FDE9D9"/>
                  <w:noWrap/>
                  <w:vAlign w:val="center"/>
                  <w:hideMark/>
                </w:tcPr>
                <w:p w14:paraId="726279C4"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4.26 </w:t>
                  </w:r>
                </w:p>
              </w:tc>
            </w:tr>
            <w:tr w:rsidR="008011F8" w:rsidRPr="008011F8" w14:paraId="006CDDAB" w14:textId="77777777" w:rsidTr="008011F8">
              <w:trPr>
                <w:trHeight w:val="300"/>
              </w:trPr>
              <w:tc>
                <w:tcPr>
                  <w:tcW w:w="1350" w:type="dxa"/>
                  <w:tcBorders>
                    <w:top w:val="nil"/>
                    <w:left w:val="nil"/>
                    <w:bottom w:val="nil"/>
                    <w:right w:val="nil"/>
                  </w:tcBorders>
                  <w:shd w:val="clear" w:color="000000" w:fill="FCD5B4"/>
                  <w:noWrap/>
                  <w:vAlign w:val="center"/>
                  <w:hideMark/>
                </w:tcPr>
                <w:p w14:paraId="0A80AB4B" w14:textId="77777777" w:rsidR="008011F8" w:rsidRPr="008011F8" w:rsidRDefault="008011F8" w:rsidP="008011F8">
                  <w:pPr>
                    <w:widowControl/>
                    <w:jc w:val="center"/>
                    <w:rPr>
                      <w:rFonts w:ascii="楷体" w:eastAsia="楷体" w:hAnsi="楷体" w:cs="宋体"/>
                      <w:color w:val="000000"/>
                      <w:kern w:val="0"/>
                      <w:sz w:val="20"/>
                      <w:szCs w:val="20"/>
                    </w:rPr>
                  </w:pPr>
                  <w:proofErr w:type="gramStart"/>
                  <w:r w:rsidRPr="008011F8">
                    <w:rPr>
                      <w:rFonts w:ascii="楷体" w:eastAsia="楷体" w:hAnsi="楷体" w:cs="宋体" w:hint="eastAsia"/>
                      <w:color w:val="000000"/>
                      <w:kern w:val="0"/>
                      <w:sz w:val="20"/>
                      <w:szCs w:val="20"/>
                    </w:rPr>
                    <w:t>城投债</w:t>
                  </w:r>
                  <w:proofErr w:type="gramEnd"/>
                  <w:r w:rsidRPr="008011F8">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05380310"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3.95 </w:t>
                  </w:r>
                </w:p>
              </w:tc>
              <w:tc>
                <w:tcPr>
                  <w:tcW w:w="921" w:type="dxa"/>
                  <w:tcBorders>
                    <w:top w:val="nil"/>
                    <w:left w:val="nil"/>
                    <w:bottom w:val="single" w:sz="8" w:space="0" w:color="FFFFFF"/>
                    <w:right w:val="single" w:sz="8" w:space="0" w:color="FFFFFF"/>
                  </w:tcBorders>
                  <w:shd w:val="clear" w:color="000000" w:fill="FCD5B4"/>
                  <w:noWrap/>
                  <w:vAlign w:val="center"/>
                  <w:hideMark/>
                </w:tcPr>
                <w:p w14:paraId="50DA33BC"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4.15 </w:t>
                  </w:r>
                </w:p>
              </w:tc>
              <w:tc>
                <w:tcPr>
                  <w:tcW w:w="921" w:type="dxa"/>
                  <w:tcBorders>
                    <w:top w:val="nil"/>
                    <w:left w:val="nil"/>
                    <w:bottom w:val="single" w:sz="8" w:space="0" w:color="FFFFFF"/>
                    <w:right w:val="single" w:sz="8" w:space="0" w:color="FFFFFF"/>
                  </w:tcBorders>
                  <w:shd w:val="clear" w:color="000000" w:fill="FCD5B4"/>
                  <w:noWrap/>
                  <w:vAlign w:val="center"/>
                  <w:hideMark/>
                </w:tcPr>
                <w:p w14:paraId="5DFF929B"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4.63 </w:t>
                  </w:r>
                </w:p>
              </w:tc>
              <w:tc>
                <w:tcPr>
                  <w:tcW w:w="921" w:type="dxa"/>
                  <w:tcBorders>
                    <w:top w:val="nil"/>
                    <w:left w:val="nil"/>
                    <w:bottom w:val="single" w:sz="8" w:space="0" w:color="FFFFFF"/>
                    <w:right w:val="single" w:sz="8" w:space="0" w:color="FFFFFF"/>
                  </w:tcBorders>
                  <w:shd w:val="clear" w:color="000000" w:fill="FCD5B4"/>
                  <w:noWrap/>
                  <w:vAlign w:val="center"/>
                  <w:hideMark/>
                </w:tcPr>
                <w:p w14:paraId="30A81FF2"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7.56 </w:t>
                  </w:r>
                </w:p>
              </w:tc>
              <w:tc>
                <w:tcPr>
                  <w:tcW w:w="1157" w:type="dxa"/>
                  <w:tcBorders>
                    <w:top w:val="nil"/>
                    <w:left w:val="nil"/>
                    <w:bottom w:val="nil"/>
                    <w:right w:val="nil"/>
                  </w:tcBorders>
                  <w:shd w:val="clear" w:color="000000" w:fill="FCD5B4"/>
                  <w:noWrap/>
                  <w:vAlign w:val="center"/>
                  <w:hideMark/>
                </w:tcPr>
                <w:p w14:paraId="3CDE6660" w14:textId="77777777" w:rsidR="008011F8" w:rsidRPr="008011F8" w:rsidRDefault="008011F8" w:rsidP="008011F8">
                  <w:pPr>
                    <w:widowControl/>
                    <w:jc w:val="center"/>
                    <w:rPr>
                      <w:rFonts w:ascii="楷体" w:eastAsia="楷体" w:hAnsi="楷体" w:cs="宋体"/>
                      <w:color w:val="000000"/>
                      <w:kern w:val="0"/>
                      <w:sz w:val="20"/>
                      <w:szCs w:val="20"/>
                    </w:rPr>
                  </w:pPr>
                  <w:proofErr w:type="gramStart"/>
                  <w:r w:rsidRPr="008011F8">
                    <w:rPr>
                      <w:rFonts w:ascii="楷体" w:eastAsia="楷体" w:hAnsi="楷体" w:cs="宋体" w:hint="eastAsia"/>
                      <w:color w:val="000000"/>
                      <w:kern w:val="0"/>
                      <w:sz w:val="20"/>
                      <w:szCs w:val="20"/>
                    </w:rPr>
                    <w:t>城投债</w:t>
                  </w:r>
                  <w:proofErr w:type="gramEnd"/>
                  <w:r w:rsidRPr="008011F8">
                    <w:rPr>
                      <w:rFonts w:ascii="楷体" w:eastAsia="楷体" w:hAnsi="楷体" w:cs="宋体" w:hint="eastAsia"/>
                      <w:color w:val="000000"/>
                      <w:kern w:val="0"/>
                      <w:sz w:val="20"/>
                      <w:szCs w:val="20"/>
                    </w:rPr>
                    <w:t>7Y</w:t>
                  </w:r>
                </w:p>
              </w:tc>
              <w:tc>
                <w:tcPr>
                  <w:tcW w:w="921" w:type="dxa"/>
                  <w:tcBorders>
                    <w:top w:val="nil"/>
                    <w:left w:val="nil"/>
                    <w:bottom w:val="single" w:sz="8" w:space="0" w:color="FFFFFF"/>
                    <w:right w:val="single" w:sz="8" w:space="0" w:color="FFFFFF"/>
                  </w:tcBorders>
                  <w:shd w:val="clear" w:color="000000" w:fill="FCD5B4"/>
                  <w:noWrap/>
                  <w:vAlign w:val="center"/>
                  <w:hideMark/>
                </w:tcPr>
                <w:p w14:paraId="3B0A3416"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0.83 </w:t>
                  </w:r>
                </w:p>
              </w:tc>
              <w:tc>
                <w:tcPr>
                  <w:tcW w:w="921" w:type="dxa"/>
                  <w:tcBorders>
                    <w:top w:val="nil"/>
                    <w:left w:val="nil"/>
                    <w:bottom w:val="single" w:sz="8" w:space="0" w:color="FFFFFF"/>
                    <w:right w:val="single" w:sz="8" w:space="0" w:color="FFFFFF"/>
                  </w:tcBorders>
                  <w:shd w:val="clear" w:color="000000" w:fill="FCD5B4"/>
                  <w:noWrap/>
                  <w:vAlign w:val="center"/>
                  <w:hideMark/>
                </w:tcPr>
                <w:p w14:paraId="117D0736"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1.03 </w:t>
                  </w:r>
                </w:p>
              </w:tc>
              <w:tc>
                <w:tcPr>
                  <w:tcW w:w="921" w:type="dxa"/>
                  <w:tcBorders>
                    <w:top w:val="nil"/>
                    <w:left w:val="nil"/>
                    <w:bottom w:val="single" w:sz="8" w:space="0" w:color="FFFFFF"/>
                    <w:right w:val="single" w:sz="8" w:space="0" w:color="FFFFFF"/>
                  </w:tcBorders>
                  <w:shd w:val="clear" w:color="000000" w:fill="FCD5B4"/>
                  <w:noWrap/>
                  <w:vAlign w:val="center"/>
                  <w:hideMark/>
                </w:tcPr>
                <w:p w14:paraId="048A6695"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1.51 </w:t>
                  </w:r>
                </w:p>
              </w:tc>
              <w:tc>
                <w:tcPr>
                  <w:tcW w:w="921" w:type="dxa"/>
                  <w:tcBorders>
                    <w:top w:val="nil"/>
                    <w:left w:val="nil"/>
                    <w:bottom w:val="single" w:sz="8" w:space="0" w:color="FFFFFF"/>
                    <w:right w:val="single" w:sz="8" w:space="0" w:color="FFFFFF"/>
                  </w:tcBorders>
                  <w:shd w:val="clear" w:color="000000" w:fill="FCD5B4"/>
                  <w:noWrap/>
                  <w:vAlign w:val="center"/>
                  <w:hideMark/>
                </w:tcPr>
                <w:p w14:paraId="4C8E0BF0"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4.44 </w:t>
                  </w:r>
                </w:p>
              </w:tc>
            </w:tr>
            <w:tr w:rsidR="008011F8" w:rsidRPr="008011F8" w14:paraId="0A476BC6" w14:textId="77777777" w:rsidTr="008011F8">
              <w:trPr>
                <w:trHeight w:val="150"/>
              </w:trPr>
              <w:tc>
                <w:tcPr>
                  <w:tcW w:w="1350" w:type="dxa"/>
                  <w:tcBorders>
                    <w:top w:val="nil"/>
                    <w:left w:val="nil"/>
                    <w:bottom w:val="nil"/>
                    <w:right w:val="nil"/>
                  </w:tcBorders>
                  <w:shd w:val="clear" w:color="auto" w:fill="auto"/>
                  <w:noWrap/>
                  <w:vAlign w:val="center"/>
                  <w:hideMark/>
                </w:tcPr>
                <w:p w14:paraId="6B8096AD" w14:textId="77777777" w:rsidR="008011F8" w:rsidRPr="008011F8" w:rsidRDefault="008011F8" w:rsidP="008011F8">
                  <w:pPr>
                    <w:widowControl/>
                    <w:jc w:val="center"/>
                    <w:rPr>
                      <w:rFonts w:eastAsia="等线" w:cs="Calibri"/>
                      <w:color w:val="000000"/>
                      <w:kern w:val="0"/>
                      <w:szCs w:val="21"/>
                    </w:rPr>
                  </w:pPr>
                </w:p>
              </w:tc>
              <w:tc>
                <w:tcPr>
                  <w:tcW w:w="920" w:type="dxa"/>
                  <w:tcBorders>
                    <w:top w:val="nil"/>
                    <w:left w:val="nil"/>
                    <w:bottom w:val="nil"/>
                    <w:right w:val="nil"/>
                  </w:tcBorders>
                  <w:shd w:val="clear" w:color="auto" w:fill="auto"/>
                  <w:noWrap/>
                  <w:vAlign w:val="center"/>
                  <w:hideMark/>
                </w:tcPr>
                <w:p w14:paraId="3F215579" w14:textId="77777777" w:rsidR="008011F8" w:rsidRPr="008011F8" w:rsidRDefault="008011F8" w:rsidP="008011F8">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7CD8D440" w14:textId="77777777" w:rsidR="008011F8" w:rsidRPr="008011F8" w:rsidRDefault="008011F8" w:rsidP="008011F8">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25539E87" w14:textId="77777777" w:rsidR="008011F8" w:rsidRPr="008011F8" w:rsidRDefault="008011F8" w:rsidP="008011F8">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13F55D83" w14:textId="77777777" w:rsidR="008011F8" w:rsidRPr="008011F8" w:rsidRDefault="008011F8" w:rsidP="008011F8">
                  <w:pPr>
                    <w:widowControl/>
                    <w:jc w:val="center"/>
                    <w:rPr>
                      <w:rFonts w:ascii="Times New Roman" w:eastAsia="Times New Roman" w:hAnsi="Times New Roman"/>
                      <w:kern w:val="0"/>
                      <w:sz w:val="20"/>
                      <w:szCs w:val="20"/>
                    </w:rPr>
                  </w:pPr>
                </w:p>
              </w:tc>
              <w:tc>
                <w:tcPr>
                  <w:tcW w:w="1157" w:type="dxa"/>
                  <w:tcBorders>
                    <w:top w:val="nil"/>
                    <w:left w:val="nil"/>
                    <w:bottom w:val="nil"/>
                    <w:right w:val="nil"/>
                  </w:tcBorders>
                  <w:shd w:val="clear" w:color="auto" w:fill="auto"/>
                  <w:noWrap/>
                  <w:vAlign w:val="center"/>
                  <w:hideMark/>
                </w:tcPr>
                <w:p w14:paraId="47113478" w14:textId="77777777" w:rsidR="008011F8" w:rsidRPr="008011F8" w:rsidRDefault="008011F8" w:rsidP="008011F8">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7A16BD2D" w14:textId="77777777" w:rsidR="008011F8" w:rsidRPr="008011F8" w:rsidRDefault="008011F8" w:rsidP="008011F8">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55646287" w14:textId="77777777" w:rsidR="008011F8" w:rsidRPr="008011F8" w:rsidRDefault="008011F8" w:rsidP="008011F8">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0724C690" w14:textId="77777777" w:rsidR="008011F8" w:rsidRPr="008011F8" w:rsidRDefault="008011F8" w:rsidP="008011F8">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28E23CE8" w14:textId="77777777" w:rsidR="008011F8" w:rsidRPr="008011F8" w:rsidRDefault="008011F8" w:rsidP="008011F8">
                  <w:pPr>
                    <w:widowControl/>
                    <w:jc w:val="center"/>
                    <w:rPr>
                      <w:rFonts w:ascii="Times New Roman" w:eastAsia="Times New Roman" w:hAnsi="Times New Roman"/>
                      <w:kern w:val="0"/>
                      <w:sz w:val="20"/>
                      <w:szCs w:val="20"/>
                    </w:rPr>
                  </w:pPr>
                </w:p>
              </w:tc>
            </w:tr>
            <w:tr w:rsidR="008011F8" w:rsidRPr="008011F8" w14:paraId="0900E99D" w14:textId="77777777" w:rsidTr="008011F8">
              <w:trPr>
                <w:trHeight w:val="300"/>
              </w:trPr>
              <w:tc>
                <w:tcPr>
                  <w:tcW w:w="1350" w:type="dxa"/>
                  <w:tcBorders>
                    <w:top w:val="nil"/>
                    <w:left w:val="nil"/>
                    <w:bottom w:val="single" w:sz="12" w:space="0" w:color="FFFFFF"/>
                    <w:right w:val="single" w:sz="8" w:space="0" w:color="FFFFFF"/>
                  </w:tcBorders>
                  <w:shd w:val="clear" w:color="000000" w:fill="F79646"/>
                  <w:noWrap/>
                  <w:vAlign w:val="center"/>
                  <w:hideMark/>
                </w:tcPr>
                <w:p w14:paraId="70FE3616" w14:textId="77777777" w:rsidR="008011F8" w:rsidRPr="008011F8" w:rsidRDefault="008011F8" w:rsidP="008011F8">
                  <w:pPr>
                    <w:widowControl/>
                    <w:jc w:val="center"/>
                    <w:rPr>
                      <w:rFonts w:ascii="楷体" w:eastAsia="楷体" w:hAnsi="楷体" w:cs="宋体"/>
                      <w:b/>
                      <w:bCs/>
                      <w:color w:val="FFFFFF"/>
                      <w:kern w:val="0"/>
                      <w:sz w:val="20"/>
                      <w:szCs w:val="20"/>
                    </w:rPr>
                  </w:pPr>
                  <w:proofErr w:type="gramStart"/>
                  <w:r w:rsidRPr="008011F8">
                    <w:rPr>
                      <w:rFonts w:ascii="楷体" w:eastAsia="楷体" w:hAnsi="楷体" w:cs="宋体" w:hint="eastAsia"/>
                      <w:b/>
                      <w:bCs/>
                      <w:color w:val="FFFFFF"/>
                      <w:kern w:val="0"/>
                      <w:sz w:val="20"/>
                      <w:szCs w:val="20"/>
                    </w:rPr>
                    <w:t>周变化</w:t>
                  </w:r>
                  <w:proofErr w:type="gramEnd"/>
                  <w:r w:rsidRPr="008011F8">
                    <w:rPr>
                      <w:rFonts w:ascii="楷体" w:eastAsia="楷体" w:hAnsi="楷体" w:cs="宋体" w:hint="eastAsia"/>
                      <w:b/>
                      <w:bCs/>
                      <w:color w:val="FFFFFF"/>
                      <w:kern w:val="0"/>
                      <w:sz w:val="20"/>
                      <w:szCs w:val="20"/>
                    </w:rPr>
                    <w:t>(BP)</w:t>
                  </w:r>
                </w:p>
              </w:tc>
              <w:tc>
                <w:tcPr>
                  <w:tcW w:w="920" w:type="dxa"/>
                  <w:tcBorders>
                    <w:top w:val="nil"/>
                    <w:left w:val="nil"/>
                    <w:bottom w:val="single" w:sz="12" w:space="0" w:color="FFFFFF"/>
                    <w:right w:val="single" w:sz="8" w:space="0" w:color="FFFFFF"/>
                  </w:tcBorders>
                  <w:shd w:val="clear" w:color="000000" w:fill="F79646"/>
                  <w:noWrap/>
                  <w:vAlign w:val="center"/>
                  <w:hideMark/>
                </w:tcPr>
                <w:p w14:paraId="636DDBCE" w14:textId="77777777" w:rsidR="008011F8" w:rsidRPr="008011F8" w:rsidRDefault="008011F8" w:rsidP="008011F8">
                  <w:pPr>
                    <w:widowControl/>
                    <w:jc w:val="center"/>
                    <w:rPr>
                      <w:rFonts w:ascii="楷体" w:eastAsia="楷体" w:hAnsi="楷体" w:cs="宋体"/>
                      <w:b/>
                      <w:bCs/>
                      <w:color w:val="FFFFFF"/>
                      <w:kern w:val="0"/>
                      <w:sz w:val="20"/>
                      <w:szCs w:val="20"/>
                    </w:rPr>
                  </w:pPr>
                  <w:r w:rsidRPr="008011F8">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8966ABF" w14:textId="77777777" w:rsidR="008011F8" w:rsidRPr="008011F8" w:rsidRDefault="008011F8" w:rsidP="008011F8">
                  <w:pPr>
                    <w:widowControl/>
                    <w:jc w:val="center"/>
                    <w:rPr>
                      <w:rFonts w:ascii="楷体" w:eastAsia="楷体" w:hAnsi="楷体" w:cs="宋体"/>
                      <w:b/>
                      <w:bCs/>
                      <w:color w:val="FFFFFF"/>
                      <w:kern w:val="0"/>
                      <w:sz w:val="20"/>
                      <w:szCs w:val="20"/>
                    </w:rPr>
                  </w:pPr>
                  <w:r w:rsidRPr="008011F8">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D89CD00" w14:textId="77777777" w:rsidR="008011F8" w:rsidRPr="008011F8" w:rsidRDefault="008011F8" w:rsidP="008011F8">
                  <w:pPr>
                    <w:widowControl/>
                    <w:jc w:val="center"/>
                    <w:rPr>
                      <w:rFonts w:ascii="楷体" w:eastAsia="楷体" w:hAnsi="楷体" w:cs="宋体"/>
                      <w:b/>
                      <w:bCs/>
                      <w:color w:val="FFFFFF"/>
                      <w:kern w:val="0"/>
                      <w:sz w:val="20"/>
                      <w:szCs w:val="20"/>
                    </w:rPr>
                  </w:pPr>
                  <w:r w:rsidRPr="008011F8">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7A8A2188" w14:textId="77777777" w:rsidR="008011F8" w:rsidRPr="008011F8" w:rsidRDefault="008011F8" w:rsidP="008011F8">
                  <w:pPr>
                    <w:widowControl/>
                    <w:jc w:val="center"/>
                    <w:rPr>
                      <w:rFonts w:ascii="楷体" w:eastAsia="楷体" w:hAnsi="楷体" w:cs="宋体"/>
                      <w:b/>
                      <w:bCs/>
                      <w:color w:val="FFFFFF"/>
                      <w:kern w:val="0"/>
                      <w:sz w:val="20"/>
                      <w:szCs w:val="20"/>
                    </w:rPr>
                  </w:pPr>
                  <w:r w:rsidRPr="008011F8">
                    <w:rPr>
                      <w:rFonts w:ascii="楷体" w:eastAsia="楷体" w:hAnsi="楷体" w:cs="宋体" w:hint="eastAsia"/>
                      <w:b/>
                      <w:bCs/>
                      <w:color w:val="FFFFFF"/>
                      <w:kern w:val="0"/>
                      <w:sz w:val="20"/>
                      <w:szCs w:val="20"/>
                    </w:rPr>
                    <w:t>AA-</w:t>
                  </w:r>
                </w:p>
              </w:tc>
              <w:tc>
                <w:tcPr>
                  <w:tcW w:w="1157" w:type="dxa"/>
                  <w:tcBorders>
                    <w:top w:val="nil"/>
                    <w:left w:val="nil"/>
                    <w:bottom w:val="single" w:sz="12" w:space="0" w:color="FFFFFF"/>
                    <w:right w:val="single" w:sz="8" w:space="0" w:color="FFFFFF"/>
                  </w:tcBorders>
                  <w:shd w:val="clear" w:color="000000" w:fill="F79646"/>
                  <w:noWrap/>
                  <w:vAlign w:val="center"/>
                  <w:hideMark/>
                </w:tcPr>
                <w:p w14:paraId="203568E0" w14:textId="77777777" w:rsidR="008011F8" w:rsidRPr="008011F8" w:rsidRDefault="008011F8" w:rsidP="008011F8">
                  <w:pPr>
                    <w:widowControl/>
                    <w:jc w:val="center"/>
                    <w:rPr>
                      <w:rFonts w:ascii="楷体" w:eastAsia="楷体" w:hAnsi="楷体" w:cs="宋体"/>
                      <w:b/>
                      <w:bCs/>
                      <w:color w:val="FFFFFF"/>
                      <w:kern w:val="0"/>
                      <w:sz w:val="20"/>
                      <w:szCs w:val="20"/>
                    </w:rPr>
                  </w:pPr>
                  <w:r w:rsidRPr="008011F8">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3C0526A0" w14:textId="77777777" w:rsidR="008011F8" w:rsidRPr="008011F8" w:rsidRDefault="008011F8" w:rsidP="008011F8">
                  <w:pPr>
                    <w:widowControl/>
                    <w:jc w:val="center"/>
                    <w:rPr>
                      <w:rFonts w:ascii="楷体" w:eastAsia="楷体" w:hAnsi="楷体" w:cs="宋体"/>
                      <w:b/>
                      <w:bCs/>
                      <w:color w:val="FFFFFF"/>
                      <w:kern w:val="0"/>
                      <w:sz w:val="20"/>
                      <w:szCs w:val="20"/>
                    </w:rPr>
                  </w:pPr>
                  <w:r w:rsidRPr="008011F8">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2CA7AC61" w14:textId="77777777" w:rsidR="008011F8" w:rsidRPr="008011F8" w:rsidRDefault="008011F8" w:rsidP="008011F8">
                  <w:pPr>
                    <w:widowControl/>
                    <w:jc w:val="center"/>
                    <w:rPr>
                      <w:rFonts w:ascii="楷体" w:eastAsia="楷体" w:hAnsi="楷体" w:cs="宋体"/>
                      <w:b/>
                      <w:bCs/>
                      <w:color w:val="FFFFFF"/>
                      <w:kern w:val="0"/>
                      <w:sz w:val="20"/>
                      <w:szCs w:val="20"/>
                    </w:rPr>
                  </w:pPr>
                  <w:r w:rsidRPr="008011F8">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378CE06D" w14:textId="77777777" w:rsidR="008011F8" w:rsidRPr="008011F8" w:rsidRDefault="008011F8" w:rsidP="008011F8">
                  <w:pPr>
                    <w:widowControl/>
                    <w:jc w:val="center"/>
                    <w:rPr>
                      <w:rFonts w:ascii="楷体" w:eastAsia="楷体" w:hAnsi="楷体" w:cs="宋体"/>
                      <w:b/>
                      <w:bCs/>
                      <w:color w:val="FFFFFF"/>
                      <w:kern w:val="0"/>
                      <w:sz w:val="20"/>
                      <w:szCs w:val="20"/>
                    </w:rPr>
                  </w:pPr>
                  <w:r w:rsidRPr="008011F8">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328A919C" w14:textId="77777777" w:rsidR="008011F8" w:rsidRPr="008011F8" w:rsidRDefault="008011F8" w:rsidP="008011F8">
                  <w:pPr>
                    <w:widowControl/>
                    <w:jc w:val="center"/>
                    <w:rPr>
                      <w:rFonts w:ascii="楷体" w:eastAsia="楷体" w:hAnsi="楷体" w:cs="宋体"/>
                      <w:b/>
                      <w:bCs/>
                      <w:color w:val="FFFFFF"/>
                      <w:kern w:val="0"/>
                      <w:sz w:val="20"/>
                      <w:szCs w:val="20"/>
                    </w:rPr>
                  </w:pPr>
                  <w:r w:rsidRPr="008011F8">
                    <w:rPr>
                      <w:rFonts w:ascii="楷体" w:eastAsia="楷体" w:hAnsi="楷体" w:cs="宋体" w:hint="eastAsia"/>
                      <w:b/>
                      <w:bCs/>
                      <w:color w:val="FFFFFF"/>
                      <w:kern w:val="0"/>
                      <w:sz w:val="20"/>
                      <w:szCs w:val="20"/>
                    </w:rPr>
                    <w:t>AA-</w:t>
                  </w:r>
                </w:p>
              </w:tc>
            </w:tr>
            <w:tr w:rsidR="008011F8" w:rsidRPr="008011F8" w14:paraId="7180C37B" w14:textId="77777777" w:rsidTr="008011F8">
              <w:trPr>
                <w:trHeight w:val="315"/>
              </w:trPr>
              <w:tc>
                <w:tcPr>
                  <w:tcW w:w="1350" w:type="dxa"/>
                  <w:tcBorders>
                    <w:top w:val="nil"/>
                    <w:left w:val="nil"/>
                    <w:bottom w:val="single" w:sz="8" w:space="0" w:color="FFFFFF"/>
                    <w:right w:val="single" w:sz="8" w:space="0" w:color="FFFFFF"/>
                  </w:tcBorders>
                  <w:shd w:val="clear" w:color="000000" w:fill="FCD5B4"/>
                  <w:noWrap/>
                  <w:vAlign w:val="center"/>
                  <w:hideMark/>
                </w:tcPr>
                <w:p w14:paraId="030EDAA5"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6BE69EAA"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7.9 </w:t>
                  </w:r>
                </w:p>
              </w:tc>
              <w:tc>
                <w:tcPr>
                  <w:tcW w:w="921" w:type="dxa"/>
                  <w:tcBorders>
                    <w:top w:val="nil"/>
                    <w:left w:val="nil"/>
                    <w:bottom w:val="single" w:sz="8" w:space="0" w:color="FFFFFF"/>
                    <w:right w:val="single" w:sz="8" w:space="0" w:color="FFFFFF"/>
                  </w:tcBorders>
                  <w:shd w:val="clear" w:color="000000" w:fill="FCD5B4"/>
                  <w:noWrap/>
                  <w:vAlign w:val="center"/>
                  <w:hideMark/>
                </w:tcPr>
                <w:p w14:paraId="0961DED8"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7.9 </w:t>
                  </w:r>
                </w:p>
              </w:tc>
              <w:tc>
                <w:tcPr>
                  <w:tcW w:w="921" w:type="dxa"/>
                  <w:tcBorders>
                    <w:top w:val="nil"/>
                    <w:left w:val="nil"/>
                    <w:bottom w:val="single" w:sz="8" w:space="0" w:color="FFFFFF"/>
                    <w:right w:val="single" w:sz="8" w:space="0" w:color="FFFFFF"/>
                  </w:tcBorders>
                  <w:shd w:val="clear" w:color="000000" w:fill="FCD5B4"/>
                  <w:noWrap/>
                  <w:vAlign w:val="center"/>
                  <w:hideMark/>
                </w:tcPr>
                <w:p w14:paraId="0AAEAB0F"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4.9 </w:t>
                  </w:r>
                </w:p>
              </w:tc>
              <w:tc>
                <w:tcPr>
                  <w:tcW w:w="921" w:type="dxa"/>
                  <w:tcBorders>
                    <w:top w:val="nil"/>
                    <w:left w:val="nil"/>
                    <w:bottom w:val="single" w:sz="8" w:space="0" w:color="FFFFFF"/>
                    <w:right w:val="single" w:sz="8" w:space="0" w:color="FFFFFF"/>
                  </w:tcBorders>
                  <w:shd w:val="clear" w:color="000000" w:fill="FCD5B4"/>
                  <w:noWrap/>
                  <w:vAlign w:val="center"/>
                  <w:hideMark/>
                </w:tcPr>
                <w:p w14:paraId="69E526D4"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3.9 </w:t>
                  </w:r>
                </w:p>
              </w:tc>
              <w:tc>
                <w:tcPr>
                  <w:tcW w:w="1157" w:type="dxa"/>
                  <w:tcBorders>
                    <w:top w:val="nil"/>
                    <w:left w:val="nil"/>
                    <w:bottom w:val="single" w:sz="8" w:space="0" w:color="FFFFFF"/>
                    <w:right w:val="single" w:sz="8" w:space="0" w:color="FFFFFF"/>
                  </w:tcBorders>
                  <w:shd w:val="clear" w:color="000000" w:fill="FCD5B4"/>
                  <w:noWrap/>
                  <w:vAlign w:val="center"/>
                  <w:hideMark/>
                </w:tcPr>
                <w:p w14:paraId="170F7EB1"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487C0073"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2.7 </w:t>
                  </w:r>
                </w:p>
              </w:tc>
              <w:tc>
                <w:tcPr>
                  <w:tcW w:w="921" w:type="dxa"/>
                  <w:tcBorders>
                    <w:top w:val="nil"/>
                    <w:left w:val="nil"/>
                    <w:bottom w:val="single" w:sz="8" w:space="0" w:color="FFFFFF"/>
                    <w:right w:val="single" w:sz="8" w:space="0" w:color="FFFFFF"/>
                  </w:tcBorders>
                  <w:shd w:val="clear" w:color="000000" w:fill="FCD5B4"/>
                  <w:noWrap/>
                  <w:vAlign w:val="center"/>
                  <w:hideMark/>
                </w:tcPr>
                <w:p w14:paraId="582A25CD"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2.7 </w:t>
                  </w:r>
                </w:p>
              </w:tc>
              <w:tc>
                <w:tcPr>
                  <w:tcW w:w="921" w:type="dxa"/>
                  <w:tcBorders>
                    <w:top w:val="nil"/>
                    <w:left w:val="nil"/>
                    <w:bottom w:val="single" w:sz="8" w:space="0" w:color="FFFFFF"/>
                    <w:right w:val="single" w:sz="8" w:space="0" w:color="FFFFFF"/>
                  </w:tcBorders>
                  <w:shd w:val="clear" w:color="000000" w:fill="FCD5B4"/>
                  <w:noWrap/>
                  <w:vAlign w:val="center"/>
                  <w:hideMark/>
                </w:tcPr>
                <w:p w14:paraId="63F90422"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FF0000"/>
                      <w:kern w:val="0"/>
                      <w:szCs w:val="21"/>
                    </w:rPr>
                    <w:t xml:space="preserve">-0.3 </w:t>
                  </w:r>
                </w:p>
              </w:tc>
              <w:tc>
                <w:tcPr>
                  <w:tcW w:w="921" w:type="dxa"/>
                  <w:tcBorders>
                    <w:top w:val="nil"/>
                    <w:left w:val="nil"/>
                    <w:bottom w:val="single" w:sz="8" w:space="0" w:color="FFFFFF"/>
                    <w:right w:val="single" w:sz="8" w:space="0" w:color="FFFFFF"/>
                  </w:tcBorders>
                  <w:shd w:val="clear" w:color="000000" w:fill="FCD5B4"/>
                  <w:noWrap/>
                  <w:vAlign w:val="center"/>
                  <w:hideMark/>
                </w:tcPr>
                <w:p w14:paraId="6320844F"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FF0000"/>
                      <w:kern w:val="0"/>
                      <w:szCs w:val="21"/>
                    </w:rPr>
                    <w:t xml:space="preserve">-1.3 </w:t>
                  </w:r>
                </w:p>
              </w:tc>
            </w:tr>
            <w:tr w:rsidR="008011F8" w:rsidRPr="008011F8" w14:paraId="077688B6" w14:textId="77777777" w:rsidTr="008011F8">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73D83E64"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49DE7425"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4.2 </w:t>
                  </w:r>
                </w:p>
              </w:tc>
              <w:tc>
                <w:tcPr>
                  <w:tcW w:w="921" w:type="dxa"/>
                  <w:tcBorders>
                    <w:top w:val="nil"/>
                    <w:left w:val="nil"/>
                    <w:bottom w:val="single" w:sz="8" w:space="0" w:color="FFFFFF"/>
                    <w:right w:val="single" w:sz="8" w:space="0" w:color="FFFFFF"/>
                  </w:tcBorders>
                  <w:shd w:val="clear" w:color="000000" w:fill="FDE9D9"/>
                  <w:noWrap/>
                  <w:vAlign w:val="center"/>
                  <w:hideMark/>
                </w:tcPr>
                <w:p w14:paraId="761A85FB"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4.2 </w:t>
                  </w:r>
                </w:p>
              </w:tc>
              <w:tc>
                <w:tcPr>
                  <w:tcW w:w="921" w:type="dxa"/>
                  <w:tcBorders>
                    <w:top w:val="nil"/>
                    <w:left w:val="nil"/>
                    <w:bottom w:val="single" w:sz="8" w:space="0" w:color="FFFFFF"/>
                    <w:right w:val="single" w:sz="8" w:space="0" w:color="FFFFFF"/>
                  </w:tcBorders>
                  <w:shd w:val="clear" w:color="000000" w:fill="FDE9D9"/>
                  <w:noWrap/>
                  <w:vAlign w:val="center"/>
                  <w:hideMark/>
                </w:tcPr>
                <w:p w14:paraId="7292E684"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4.2 </w:t>
                  </w:r>
                </w:p>
              </w:tc>
              <w:tc>
                <w:tcPr>
                  <w:tcW w:w="921" w:type="dxa"/>
                  <w:tcBorders>
                    <w:top w:val="nil"/>
                    <w:left w:val="nil"/>
                    <w:bottom w:val="single" w:sz="8" w:space="0" w:color="FFFFFF"/>
                    <w:right w:val="single" w:sz="8" w:space="0" w:color="FFFFFF"/>
                  </w:tcBorders>
                  <w:shd w:val="clear" w:color="000000" w:fill="FDE9D9"/>
                  <w:noWrap/>
                  <w:vAlign w:val="center"/>
                  <w:hideMark/>
                </w:tcPr>
                <w:p w14:paraId="08A24B5F"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3.2 </w:t>
                  </w:r>
                </w:p>
              </w:tc>
              <w:tc>
                <w:tcPr>
                  <w:tcW w:w="1157" w:type="dxa"/>
                  <w:tcBorders>
                    <w:top w:val="nil"/>
                    <w:left w:val="nil"/>
                    <w:bottom w:val="single" w:sz="8" w:space="0" w:color="FFFFFF"/>
                    <w:right w:val="single" w:sz="8" w:space="0" w:color="FFFFFF"/>
                  </w:tcBorders>
                  <w:shd w:val="clear" w:color="000000" w:fill="FDE9D9"/>
                  <w:noWrap/>
                  <w:vAlign w:val="center"/>
                  <w:hideMark/>
                </w:tcPr>
                <w:p w14:paraId="553220E6"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7F2509E4"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0.2 </w:t>
                  </w:r>
                </w:p>
              </w:tc>
              <w:tc>
                <w:tcPr>
                  <w:tcW w:w="921" w:type="dxa"/>
                  <w:tcBorders>
                    <w:top w:val="nil"/>
                    <w:left w:val="nil"/>
                    <w:bottom w:val="single" w:sz="8" w:space="0" w:color="FFFFFF"/>
                    <w:right w:val="single" w:sz="8" w:space="0" w:color="FFFFFF"/>
                  </w:tcBorders>
                  <w:shd w:val="clear" w:color="000000" w:fill="FDE9D9"/>
                  <w:noWrap/>
                  <w:vAlign w:val="center"/>
                  <w:hideMark/>
                </w:tcPr>
                <w:p w14:paraId="4AF97713"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0.2 </w:t>
                  </w:r>
                </w:p>
              </w:tc>
              <w:tc>
                <w:tcPr>
                  <w:tcW w:w="921" w:type="dxa"/>
                  <w:tcBorders>
                    <w:top w:val="nil"/>
                    <w:left w:val="nil"/>
                    <w:bottom w:val="single" w:sz="8" w:space="0" w:color="FFFFFF"/>
                    <w:right w:val="single" w:sz="8" w:space="0" w:color="FFFFFF"/>
                  </w:tcBorders>
                  <w:shd w:val="clear" w:color="000000" w:fill="FDE9D9"/>
                  <w:noWrap/>
                  <w:vAlign w:val="center"/>
                  <w:hideMark/>
                </w:tcPr>
                <w:p w14:paraId="5F59E87F"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0.2 </w:t>
                  </w:r>
                </w:p>
              </w:tc>
              <w:tc>
                <w:tcPr>
                  <w:tcW w:w="921" w:type="dxa"/>
                  <w:tcBorders>
                    <w:top w:val="nil"/>
                    <w:left w:val="nil"/>
                    <w:bottom w:val="single" w:sz="8" w:space="0" w:color="FFFFFF"/>
                    <w:right w:val="single" w:sz="8" w:space="0" w:color="FFFFFF"/>
                  </w:tcBorders>
                  <w:shd w:val="clear" w:color="000000" w:fill="FDE9D9"/>
                  <w:noWrap/>
                  <w:vAlign w:val="center"/>
                  <w:hideMark/>
                </w:tcPr>
                <w:p w14:paraId="17392CC0"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FF0000"/>
                      <w:kern w:val="0"/>
                      <w:szCs w:val="21"/>
                    </w:rPr>
                    <w:t xml:space="preserve">-0.8 </w:t>
                  </w:r>
                </w:p>
              </w:tc>
            </w:tr>
            <w:tr w:rsidR="008011F8" w:rsidRPr="008011F8" w14:paraId="6655094C" w14:textId="77777777" w:rsidTr="008011F8">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6967621D"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3E2BF4FC"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11.1 </w:t>
                  </w:r>
                </w:p>
              </w:tc>
              <w:tc>
                <w:tcPr>
                  <w:tcW w:w="921" w:type="dxa"/>
                  <w:tcBorders>
                    <w:top w:val="nil"/>
                    <w:left w:val="nil"/>
                    <w:bottom w:val="single" w:sz="8" w:space="0" w:color="FFFFFF"/>
                    <w:right w:val="single" w:sz="8" w:space="0" w:color="FFFFFF"/>
                  </w:tcBorders>
                  <w:shd w:val="clear" w:color="000000" w:fill="FCD5B4"/>
                  <w:noWrap/>
                  <w:vAlign w:val="center"/>
                  <w:hideMark/>
                </w:tcPr>
                <w:p w14:paraId="37624A74"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6.0 </w:t>
                  </w:r>
                </w:p>
              </w:tc>
              <w:tc>
                <w:tcPr>
                  <w:tcW w:w="921" w:type="dxa"/>
                  <w:tcBorders>
                    <w:top w:val="nil"/>
                    <w:left w:val="nil"/>
                    <w:bottom w:val="single" w:sz="8" w:space="0" w:color="FFFFFF"/>
                    <w:right w:val="single" w:sz="8" w:space="0" w:color="FFFFFF"/>
                  </w:tcBorders>
                  <w:shd w:val="clear" w:color="000000" w:fill="FCD5B4"/>
                  <w:noWrap/>
                  <w:vAlign w:val="center"/>
                  <w:hideMark/>
                </w:tcPr>
                <w:p w14:paraId="50CF14FD"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8.0 </w:t>
                  </w:r>
                </w:p>
              </w:tc>
              <w:tc>
                <w:tcPr>
                  <w:tcW w:w="921" w:type="dxa"/>
                  <w:tcBorders>
                    <w:top w:val="nil"/>
                    <w:left w:val="nil"/>
                    <w:bottom w:val="single" w:sz="8" w:space="0" w:color="FFFFFF"/>
                    <w:right w:val="single" w:sz="8" w:space="0" w:color="FFFFFF"/>
                  </w:tcBorders>
                  <w:shd w:val="clear" w:color="000000" w:fill="FCD5B4"/>
                  <w:noWrap/>
                  <w:vAlign w:val="center"/>
                  <w:hideMark/>
                </w:tcPr>
                <w:p w14:paraId="33650760"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7.1 </w:t>
                  </w:r>
                </w:p>
              </w:tc>
              <w:tc>
                <w:tcPr>
                  <w:tcW w:w="1157" w:type="dxa"/>
                  <w:tcBorders>
                    <w:top w:val="nil"/>
                    <w:left w:val="nil"/>
                    <w:bottom w:val="single" w:sz="8" w:space="0" w:color="FFFFFF"/>
                    <w:right w:val="single" w:sz="8" w:space="0" w:color="FFFFFF"/>
                  </w:tcBorders>
                  <w:shd w:val="clear" w:color="000000" w:fill="FCD5B4"/>
                  <w:noWrap/>
                  <w:vAlign w:val="center"/>
                  <w:hideMark/>
                </w:tcPr>
                <w:p w14:paraId="45D8C312"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27C0512C"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7.7 </w:t>
                  </w:r>
                </w:p>
              </w:tc>
              <w:tc>
                <w:tcPr>
                  <w:tcW w:w="921" w:type="dxa"/>
                  <w:tcBorders>
                    <w:top w:val="nil"/>
                    <w:left w:val="nil"/>
                    <w:bottom w:val="single" w:sz="8" w:space="0" w:color="FFFFFF"/>
                    <w:right w:val="single" w:sz="8" w:space="0" w:color="FFFFFF"/>
                  </w:tcBorders>
                  <w:shd w:val="clear" w:color="000000" w:fill="FCD5B4"/>
                  <w:noWrap/>
                  <w:vAlign w:val="center"/>
                  <w:hideMark/>
                </w:tcPr>
                <w:p w14:paraId="17F6D157"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2.7 </w:t>
                  </w:r>
                </w:p>
              </w:tc>
              <w:tc>
                <w:tcPr>
                  <w:tcW w:w="921" w:type="dxa"/>
                  <w:tcBorders>
                    <w:top w:val="nil"/>
                    <w:left w:val="nil"/>
                    <w:bottom w:val="single" w:sz="8" w:space="0" w:color="FFFFFF"/>
                    <w:right w:val="single" w:sz="8" w:space="0" w:color="FFFFFF"/>
                  </w:tcBorders>
                  <w:shd w:val="clear" w:color="000000" w:fill="FCD5B4"/>
                  <w:noWrap/>
                  <w:vAlign w:val="center"/>
                  <w:hideMark/>
                </w:tcPr>
                <w:p w14:paraId="72C9AD9A"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4.7 </w:t>
                  </w:r>
                </w:p>
              </w:tc>
              <w:tc>
                <w:tcPr>
                  <w:tcW w:w="921" w:type="dxa"/>
                  <w:tcBorders>
                    <w:top w:val="nil"/>
                    <w:left w:val="nil"/>
                    <w:bottom w:val="single" w:sz="8" w:space="0" w:color="FFFFFF"/>
                    <w:right w:val="single" w:sz="8" w:space="0" w:color="FFFFFF"/>
                  </w:tcBorders>
                  <w:shd w:val="clear" w:color="000000" w:fill="FCD5B4"/>
                  <w:noWrap/>
                  <w:vAlign w:val="center"/>
                  <w:hideMark/>
                </w:tcPr>
                <w:p w14:paraId="3E15D339"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3.7 </w:t>
                  </w:r>
                </w:p>
              </w:tc>
            </w:tr>
            <w:tr w:rsidR="008011F8" w:rsidRPr="008011F8" w14:paraId="0064F580" w14:textId="77777777" w:rsidTr="008011F8">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67528F69"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65549113"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11.5 </w:t>
                  </w:r>
                </w:p>
              </w:tc>
              <w:tc>
                <w:tcPr>
                  <w:tcW w:w="921" w:type="dxa"/>
                  <w:tcBorders>
                    <w:top w:val="nil"/>
                    <w:left w:val="nil"/>
                    <w:bottom w:val="single" w:sz="8" w:space="0" w:color="FFFFFF"/>
                    <w:right w:val="single" w:sz="8" w:space="0" w:color="FFFFFF"/>
                  </w:tcBorders>
                  <w:shd w:val="clear" w:color="000000" w:fill="FDE9D9"/>
                  <w:noWrap/>
                  <w:vAlign w:val="center"/>
                  <w:hideMark/>
                </w:tcPr>
                <w:p w14:paraId="784E6F40"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6.5 </w:t>
                  </w:r>
                </w:p>
              </w:tc>
              <w:tc>
                <w:tcPr>
                  <w:tcW w:w="921" w:type="dxa"/>
                  <w:tcBorders>
                    <w:top w:val="nil"/>
                    <w:left w:val="nil"/>
                    <w:bottom w:val="single" w:sz="8" w:space="0" w:color="FFFFFF"/>
                    <w:right w:val="single" w:sz="8" w:space="0" w:color="FFFFFF"/>
                  </w:tcBorders>
                  <w:shd w:val="clear" w:color="000000" w:fill="FDE9D9"/>
                  <w:noWrap/>
                  <w:vAlign w:val="center"/>
                  <w:hideMark/>
                </w:tcPr>
                <w:p w14:paraId="740ED2EC"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3.5 </w:t>
                  </w:r>
                </w:p>
              </w:tc>
              <w:tc>
                <w:tcPr>
                  <w:tcW w:w="921" w:type="dxa"/>
                  <w:tcBorders>
                    <w:top w:val="nil"/>
                    <w:left w:val="nil"/>
                    <w:bottom w:val="single" w:sz="8" w:space="0" w:color="FFFFFF"/>
                    <w:right w:val="single" w:sz="8" w:space="0" w:color="FFFFFF"/>
                  </w:tcBorders>
                  <w:shd w:val="clear" w:color="000000" w:fill="FDE9D9"/>
                  <w:noWrap/>
                  <w:vAlign w:val="center"/>
                  <w:hideMark/>
                </w:tcPr>
                <w:p w14:paraId="77BE9E7E"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3.5 </w:t>
                  </w:r>
                </w:p>
              </w:tc>
              <w:tc>
                <w:tcPr>
                  <w:tcW w:w="1157" w:type="dxa"/>
                  <w:tcBorders>
                    <w:top w:val="nil"/>
                    <w:left w:val="nil"/>
                    <w:bottom w:val="single" w:sz="8" w:space="0" w:color="FFFFFF"/>
                    <w:right w:val="single" w:sz="8" w:space="0" w:color="FFFFFF"/>
                  </w:tcBorders>
                  <w:shd w:val="clear" w:color="000000" w:fill="FDE9D9"/>
                  <w:noWrap/>
                  <w:vAlign w:val="center"/>
                  <w:hideMark/>
                </w:tcPr>
                <w:p w14:paraId="66D3443A"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51ED5A08"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7.5 </w:t>
                  </w:r>
                </w:p>
              </w:tc>
              <w:tc>
                <w:tcPr>
                  <w:tcW w:w="921" w:type="dxa"/>
                  <w:tcBorders>
                    <w:top w:val="nil"/>
                    <w:left w:val="nil"/>
                    <w:bottom w:val="single" w:sz="8" w:space="0" w:color="FFFFFF"/>
                    <w:right w:val="single" w:sz="8" w:space="0" w:color="FFFFFF"/>
                  </w:tcBorders>
                  <w:shd w:val="clear" w:color="000000" w:fill="FDE9D9"/>
                  <w:noWrap/>
                  <w:vAlign w:val="center"/>
                  <w:hideMark/>
                </w:tcPr>
                <w:p w14:paraId="19A3D381"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2.5 </w:t>
                  </w:r>
                </w:p>
              </w:tc>
              <w:tc>
                <w:tcPr>
                  <w:tcW w:w="921" w:type="dxa"/>
                  <w:tcBorders>
                    <w:top w:val="nil"/>
                    <w:left w:val="nil"/>
                    <w:bottom w:val="single" w:sz="8" w:space="0" w:color="FFFFFF"/>
                    <w:right w:val="single" w:sz="8" w:space="0" w:color="FFFFFF"/>
                  </w:tcBorders>
                  <w:shd w:val="clear" w:color="000000" w:fill="FDE9D9"/>
                  <w:noWrap/>
                  <w:vAlign w:val="center"/>
                  <w:hideMark/>
                </w:tcPr>
                <w:p w14:paraId="3CF5B33C"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FF0000"/>
                      <w:kern w:val="0"/>
                      <w:szCs w:val="21"/>
                    </w:rPr>
                    <w:t xml:space="preserve">-0.5 </w:t>
                  </w:r>
                </w:p>
              </w:tc>
              <w:tc>
                <w:tcPr>
                  <w:tcW w:w="921" w:type="dxa"/>
                  <w:tcBorders>
                    <w:top w:val="nil"/>
                    <w:left w:val="nil"/>
                    <w:bottom w:val="single" w:sz="8" w:space="0" w:color="FFFFFF"/>
                    <w:right w:val="single" w:sz="8" w:space="0" w:color="FFFFFF"/>
                  </w:tcBorders>
                  <w:shd w:val="clear" w:color="000000" w:fill="FDE9D9"/>
                  <w:noWrap/>
                  <w:vAlign w:val="center"/>
                  <w:hideMark/>
                </w:tcPr>
                <w:p w14:paraId="38E9E78E"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FF0000"/>
                      <w:kern w:val="0"/>
                      <w:szCs w:val="21"/>
                    </w:rPr>
                    <w:t xml:space="preserve">-0.5 </w:t>
                  </w:r>
                </w:p>
              </w:tc>
            </w:tr>
            <w:tr w:rsidR="008011F8" w:rsidRPr="008011F8" w14:paraId="08B896A7" w14:textId="77777777" w:rsidTr="008011F8">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3C2AEAD8"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558034EA"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2.3 </w:t>
                  </w:r>
                </w:p>
              </w:tc>
              <w:tc>
                <w:tcPr>
                  <w:tcW w:w="921" w:type="dxa"/>
                  <w:tcBorders>
                    <w:top w:val="nil"/>
                    <w:left w:val="nil"/>
                    <w:bottom w:val="single" w:sz="8" w:space="0" w:color="FFFFFF"/>
                    <w:right w:val="single" w:sz="8" w:space="0" w:color="FFFFFF"/>
                  </w:tcBorders>
                  <w:shd w:val="clear" w:color="000000" w:fill="FCD5B4"/>
                  <w:noWrap/>
                  <w:vAlign w:val="center"/>
                  <w:hideMark/>
                </w:tcPr>
                <w:p w14:paraId="327AD212"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2.3 </w:t>
                  </w:r>
                </w:p>
              </w:tc>
              <w:tc>
                <w:tcPr>
                  <w:tcW w:w="921" w:type="dxa"/>
                  <w:tcBorders>
                    <w:top w:val="nil"/>
                    <w:left w:val="nil"/>
                    <w:bottom w:val="single" w:sz="8" w:space="0" w:color="FFFFFF"/>
                    <w:right w:val="single" w:sz="8" w:space="0" w:color="FFFFFF"/>
                  </w:tcBorders>
                  <w:shd w:val="clear" w:color="000000" w:fill="FCD5B4"/>
                  <w:noWrap/>
                  <w:vAlign w:val="center"/>
                  <w:hideMark/>
                </w:tcPr>
                <w:p w14:paraId="2CD9C6F2"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2.3 </w:t>
                  </w:r>
                </w:p>
              </w:tc>
              <w:tc>
                <w:tcPr>
                  <w:tcW w:w="921" w:type="dxa"/>
                  <w:tcBorders>
                    <w:top w:val="nil"/>
                    <w:left w:val="nil"/>
                    <w:bottom w:val="single" w:sz="8" w:space="0" w:color="FFFFFF"/>
                    <w:right w:val="single" w:sz="8" w:space="0" w:color="FFFFFF"/>
                  </w:tcBorders>
                  <w:shd w:val="clear" w:color="000000" w:fill="FCD5B4"/>
                  <w:noWrap/>
                  <w:vAlign w:val="center"/>
                  <w:hideMark/>
                </w:tcPr>
                <w:p w14:paraId="39B1F38D"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2.3 </w:t>
                  </w:r>
                </w:p>
              </w:tc>
              <w:tc>
                <w:tcPr>
                  <w:tcW w:w="1157" w:type="dxa"/>
                  <w:tcBorders>
                    <w:top w:val="nil"/>
                    <w:left w:val="nil"/>
                    <w:bottom w:val="single" w:sz="8" w:space="0" w:color="FFFFFF"/>
                    <w:right w:val="single" w:sz="8" w:space="0" w:color="FFFFFF"/>
                  </w:tcBorders>
                  <w:shd w:val="clear" w:color="000000" w:fill="FCD5B4"/>
                  <w:noWrap/>
                  <w:vAlign w:val="center"/>
                  <w:hideMark/>
                </w:tcPr>
                <w:p w14:paraId="7AD9468E"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7C74A9B9"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FF0000"/>
                      <w:kern w:val="0"/>
                      <w:szCs w:val="21"/>
                    </w:rPr>
                    <w:t xml:space="preserve">-1.1 </w:t>
                  </w:r>
                </w:p>
              </w:tc>
              <w:tc>
                <w:tcPr>
                  <w:tcW w:w="921" w:type="dxa"/>
                  <w:tcBorders>
                    <w:top w:val="nil"/>
                    <w:left w:val="nil"/>
                    <w:bottom w:val="single" w:sz="8" w:space="0" w:color="FFFFFF"/>
                    <w:right w:val="single" w:sz="8" w:space="0" w:color="FFFFFF"/>
                  </w:tcBorders>
                  <w:shd w:val="clear" w:color="000000" w:fill="FCD5B4"/>
                  <w:noWrap/>
                  <w:vAlign w:val="center"/>
                  <w:hideMark/>
                </w:tcPr>
                <w:p w14:paraId="22A00D07"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FF0000"/>
                      <w:kern w:val="0"/>
                      <w:szCs w:val="21"/>
                    </w:rPr>
                    <w:t xml:space="preserve">-1.1 </w:t>
                  </w:r>
                </w:p>
              </w:tc>
              <w:tc>
                <w:tcPr>
                  <w:tcW w:w="921" w:type="dxa"/>
                  <w:tcBorders>
                    <w:top w:val="nil"/>
                    <w:left w:val="nil"/>
                    <w:bottom w:val="single" w:sz="8" w:space="0" w:color="FFFFFF"/>
                    <w:right w:val="single" w:sz="8" w:space="0" w:color="FFFFFF"/>
                  </w:tcBorders>
                  <w:shd w:val="clear" w:color="000000" w:fill="FCD5B4"/>
                  <w:noWrap/>
                  <w:vAlign w:val="center"/>
                  <w:hideMark/>
                </w:tcPr>
                <w:p w14:paraId="712091E4"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FF0000"/>
                      <w:kern w:val="0"/>
                      <w:szCs w:val="21"/>
                    </w:rPr>
                    <w:t xml:space="preserve">-1.1 </w:t>
                  </w:r>
                </w:p>
              </w:tc>
              <w:tc>
                <w:tcPr>
                  <w:tcW w:w="921" w:type="dxa"/>
                  <w:tcBorders>
                    <w:top w:val="nil"/>
                    <w:left w:val="nil"/>
                    <w:bottom w:val="single" w:sz="8" w:space="0" w:color="FFFFFF"/>
                    <w:right w:val="single" w:sz="8" w:space="0" w:color="FFFFFF"/>
                  </w:tcBorders>
                  <w:shd w:val="clear" w:color="000000" w:fill="FCD5B4"/>
                  <w:noWrap/>
                  <w:vAlign w:val="center"/>
                  <w:hideMark/>
                </w:tcPr>
                <w:p w14:paraId="0989DB8E"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FF0000"/>
                      <w:kern w:val="0"/>
                      <w:szCs w:val="21"/>
                    </w:rPr>
                    <w:t xml:space="preserve">-1.1 </w:t>
                  </w:r>
                </w:p>
              </w:tc>
            </w:tr>
            <w:tr w:rsidR="008011F8" w:rsidRPr="008011F8" w14:paraId="3C4C54F7" w14:textId="77777777" w:rsidTr="008011F8">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2C7843C2"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1CCC4112"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5.9 </w:t>
                  </w:r>
                </w:p>
              </w:tc>
              <w:tc>
                <w:tcPr>
                  <w:tcW w:w="921" w:type="dxa"/>
                  <w:tcBorders>
                    <w:top w:val="nil"/>
                    <w:left w:val="nil"/>
                    <w:bottom w:val="single" w:sz="8" w:space="0" w:color="FFFFFF"/>
                    <w:right w:val="single" w:sz="8" w:space="0" w:color="FFFFFF"/>
                  </w:tcBorders>
                  <w:shd w:val="clear" w:color="000000" w:fill="FDE9D9"/>
                  <w:noWrap/>
                  <w:vAlign w:val="center"/>
                  <w:hideMark/>
                </w:tcPr>
                <w:p w14:paraId="62E90FFA"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1.9 </w:t>
                  </w:r>
                </w:p>
              </w:tc>
              <w:tc>
                <w:tcPr>
                  <w:tcW w:w="921" w:type="dxa"/>
                  <w:tcBorders>
                    <w:top w:val="nil"/>
                    <w:left w:val="nil"/>
                    <w:bottom w:val="single" w:sz="8" w:space="0" w:color="FFFFFF"/>
                    <w:right w:val="single" w:sz="8" w:space="0" w:color="FFFFFF"/>
                  </w:tcBorders>
                  <w:shd w:val="clear" w:color="000000" w:fill="FDE9D9"/>
                  <w:noWrap/>
                  <w:vAlign w:val="center"/>
                  <w:hideMark/>
                </w:tcPr>
                <w:p w14:paraId="2216CBC1"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2.9 </w:t>
                  </w:r>
                </w:p>
              </w:tc>
              <w:tc>
                <w:tcPr>
                  <w:tcW w:w="921" w:type="dxa"/>
                  <w:tcBorders>
                    <w:top w:val="nil"/>
                    <w:left w:val="nil"/>
                    <w:bottom w:val="single" w:sz="8" w:space="0" w:color="FFFFFF"/>
                    <w:right w:val="single" w:sz="8" w:space="0" w:color="FFFFFF"/>
                  </w:tcBorders>
                  <w:shd w:val="clear" w:color="000000" w:fill="FDE9D9"/>
                  <w:noWrap/>
                  <w:vAlign w:val="center"/>
                  <w:hideMark/>
                </w:tcPr>
                <w:p w14:paraId="5F936E19"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2.9 </w:t>
                  </w:r>
                </w:p>
              </w:tc>
              <w:tc>
                <w:tcPr>
                  <w:tcW w:w="1157" w:type="dxa"/>
                  <w:tcBorders>
                    <w:top w:val="nil"/>
                    <w:left w:val="nil"/>
                    <w:bottom w:val="single" w:sz="8" w:space="0" w:color="FFFFFF"/>
                    <w:right w:val="single" w:sz="8" w:space="0" w:color="FFFFFF"/>
                  </w:tcBorders>
                  <w:shd w:val="clear" w:color="000000" w:fill="FDE9D9"/>
                  <w:noWrap/>
                  <w:vAlign w:val="center"/>
                  <w:hideMark/>
                </w:tcPr>
                <w:p w14:paraId="35F39DC2"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5DF7EBCC"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1.7 </w:t>
                  </w:r>
                </w:p>
              </w:tc>
              <w:tc>
                <w:tcPr>
                  <w:tcW w:w="921" w:type="dxa"/>
                  <w:tcBorders>
                    <w:top w:val="nil"/>
                    <w:left w:val="nil"/>
                    <w:bottom w:val="single" w:sz="8" w:space="0" w:color="FFFFFF"/>
                    <w:right w:val="single" w:sz="8" w:space="0" w:color="FFFFFF"/>
                  </w:tcBorders>
                  <w:shd w:val="clear" w:color="000000" w:fill="FDE9D9"/>
                  <w:noWrap/>
                  <w:vAlign w:val="center"/>
                  <w:hideMark/>
                </w:tcPr>
                <w:p w14:paraId="0B1DE687"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FF0000"/>
                      <w:kern w:val="0"/>
                      <w:szCs w:val="21"/>
                    </w:rPr>
                    <w:t xml:space="preserve">-2.3 </w:t>
                  </w:r>
                </w:p>
              </w:tc>
              <w:tc>
                <w:tcPr>
                  <w:tcW w:w="921" w:type="dxa"/>
                  <w:tcBorders>
                    <w:top w:val="nil"/>
                    <w:left w:val="nil"/>
                    <w:bottom w:val="single" w:sz="8" w:space="0" w:color="FFFFFF"/>
                    <w:right w:val="single" w:sz="8" w:space="0" w:color="FFFFFF"/>
                  </w:tcBorders>
                  <w:shd w:val="clear" w:color="000000" w:fill="FDE9D9"/>
                  <w:noWrap/>
                  <w:vAlign w:val="center"/>
                  <w:hideMark/>
                </w:tcPr>
                <w:p w14:paraId="15216E5C"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FF0000"/>
                      <w:kern w:val="0"/>
                      <w:szCs w:val="21"/>
                    </w:rPr>
                    <w:t xml:space="preserve">-1.3 </w:t>
                  </w:r>
                </w:p>
              </w:tc>
              <w:tc>
                <w:tcPr>
                  <w:tcW w:w="921" w:type="dxa"/>
                  <w:tcBorders>
                    <w:top w:val="nil"/>
                    <w:left w:val="nil"/>
                    <w:bottom w:val="single" w:sz="8" w:space="0" w:color="FFFFFF"/>
                    <w:right w:val="single" w:sz="8" w:space="0" w:color="FFFFFF"/>
                  </w:tcBorders>
                  <w:shd w:val="clear" w:color="000000" w:fill="FDE9D9"/>
                  <w:noWrap/>
                  <w:vAlign w:val="center"/>
                  <w:hideMark/>
                </w:tcPr>
                <w:p w14:paraId="3E93846E"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FF0000"/>
                      <w:kern w:val="0"/>
                      <w:szCs w:val="21"/>
                    </w:rPr>
                    <w:t xml:space="preserve">-1.3 </w:t>
                  </w:r>
                </w:p>
              </w:tc>
            </w:tr>
            <w:tr w:rsidR="008011F8" w:rsidRPr="008011F8" w14:paraId="26DE7968" w14:textId="77777777" w:rsidTr="008011F8">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57645BE0" w14:textId="77777777" w:rsidR="008011F8" w:rsidRPr="008011F8" w:rsidRDefault="008011F8" w:rsidP="008011F8">
                  <w:pPr>
                    <w:widowControl/>
                    <w:jc w:val="center"/>
                    <w:rPr>
                      <w:rFonts w:ascii="楷体" w:eastAsia="楷体" w:hAnsi="楷体" w:cs="宋体"/>
                      <w:color w:val="000000"/>
                      <w:kern w:val="0"/>
                      <w:sz w:val="20"/>
                      <w:szCs w:val="20"/>
                    </w:rPr>
                  </w:pPr>
                  <w:proofErr w:type="gramStart"/>
                  <w:r w:rsidRPr="008011F8">
                    <w:rPr>
                      <w:rFonts w:ascii="楷体" w:eastAsia="楷体" w:hAnsi="楷体" w:cs="宋体" w:hint="eastAsia"/>
                      <w:color w:val="000000"/>
                      <w:kern w:val="0"/>
                      <w:sz w:val="20"/>
                      <w:szCs w:val="20"/>
                    </w:rPr>
                    <w:t>城投债</w:t>
                  </w:r>
                  <w:proofErr w:type="gramEnd"/>
                  <w:r w:rsidRPr="008011F8">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4025798A"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9.1 </w:t>
                  </w:r>
                </w:p>
              </w:tc>
              <w:tc>
                <w:tcPr>
                  <w:tcW w:w="921" w:type="dxa"/>
                  <w:tcBorders>
                    <w:top w:val="nil"/>
                    <w:left w:val="nil"/>
                    <w:bottom w:val="single" w:sz="8" w:space="0" w:color="FFFFFF"/>
                    <w:right w:val="single" w:sz="8" w:space="0" w:color="FFFFFF"/>
                  </w:tcBorders>
                  <w:shd w:val="clear" w:color="000000" w:fill="FCD5B4"/>
                  <w:noWrap/>
                  <w:vAlign w:val="center"/>
                  <w:hideMark/>
                </w:tcPr>
                <w:p w14:paraId="78B482D0"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11.0 </w:t>
                  </w:r>
                </w:p>
              </w:tc>
              <w:tc>
                <w:tcPr>
                  <w:tcW w:w="921" w:type="dxa"/>
                  <w:tcBorders>
                    <w:top w:val="nil"/>
                    <w:left w:val="nil"/>
                    <w:bottom w:val="single" w:sz="8" w:space="0" w:color="FFFFFF"/>
                    <w:right w:val="single" w:sz="8" w:space="0" w:color="FFFFFF"/>
                  </w:tcBorders>
                  <w:shd w:val="clear" w:color="000000" w:fill="FCD5B4"/>
                  <w:noWrap/>
                  <w:vAlign w:val="center"/>
                  <w:hideMark/>
                </w:tcPr>
                <w:p w14:paraId="400B640B"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1.0 </w:t>
                  </w:r>
                </w:p>
              </w:tc>
              <w:tc>
                <w:tcPr>
                  <w:tcW w:w="921" w:type="dxa"/>
                  <w:tcBorders>
                    <w:top w:val="nil"/>
                    <w:left w:val="nil"/>
                    <w:bottom w:val="single" w:sz="8" w:space="0" w:color="FFFFFF"/>
                    <w:right w:val="single" w:sz="8" w:space="0" w:color="FFFFFF"/>
                  </w:tcBorders>
                  <w:shd w:val="clear" w:color="000000" w:fill="FCD5B4"/>
                  <w:noWrap/>
                  <w:vAlign w:val="center"/>
                  <w:hideMark/>
                </w:tcPr>
                <w:p w14:paraId="1009C4DA"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FF0000"/>
                      <w:kern w:val="0"/>
                      <w:szCs w:val="21"/>
                    </w:rPr>
                    <w:t xml:space="preserve">-2.0 </w:t>
                  </w:r>
                </w:p>
              </w:tc>
              <w:tc>
                <w:tcPr>
                  <w:tcW w:w="1157" w:type="dxa"/>
                  <w:tcBorders>
                    <w:top w:val="nil"/>
                    <w:left w:val="nil"/>
                    <w:bottom w:val="single" w:sz="8" w:space="0" w:color="FFFFFF"/>
                    <w:right w:val="single" w:sz="8" w:space="0" w:color="FFFFFF"/>
                  </w:tcBorders>
                  <w:shd w:val="clear" w:color="000000" w:fill="FCD5B4"/>
                  <w:noWrap/>
                  <w:vAlign w:val="center"/>
                  <w:hideMark/>
                </w:tcPr>
                <w:p w14:paraId="61D1A447" w14:textId="77777777" w:rsidR="008011F8" w:rsidRPr="008011F8" w:rsidRDefault="008011F8" w:rsidP="008011F8">
                  <w:pPr>
                    <w:widowControl/>
                    <w:jc w:val="center"/>
                    <w:rPr>
                      <w:rFonts w:ascii="楷体" w:eastAsia="楷体" w:hAnsi="楷体" w:cs="宋体"/>
                      <w:color w:val="000000"/>
                      <w:kern w:val="0"/>
                      <w:sz w:val="20"/>
                      <w:szCs w:val="20"/>
                    </w:rPr>
                  </w:pPr>
                  <w:proofErr w:type="gramStart"/>
                  <w:r w:rsidRPr="008011F8">
                    <w:rPr>
                      <w:rFonts w:ascii="楷体" w:eastAsia="楷体" w:hAnsi="楷体" w:cs="宋体" w:hint="eastAsia"/>
                      <w:color w:val="000000"/>
                      <w:kern w:val="0"/>
                      <w:sz w:val="20"/>
                      <w:szCs w:val="20"/>
                    </w:rPr>
                    <w:t>城投债</w:t>
                  </w:r>
                  <w:proofErr w:type="gramEnd"/>
                  <w:r w:rsidRPr="008011F8">
                    <w:rPr>
                      <w:rFonts w:ascii="楷体" w:eastAsia="楷体" w:hAnsi="楷体" w:cs="宋体" w:hint="eastAsia"/>
                      <w:color w:val="000000"/>
                      <w:kern w:val="0"/>
                      <w:sz w:val="20"/>
                      <w:szCs w:val="20"/>
                    </w:rPr>
                    <w:t>3Y</w:t>
                  </w:r>
                </w:p>
              </w:tc>
              <w:tc>
                <w:tcPr>
                  <w:tcW w:w="921" w:type="dxa"/>
                  <w:tcBorders>
                    <w:top w:val="nil"/>
                    <w:left w:val="nil"/>
                    <w:bottom w:val="single" w:sz="8" w:space="0" w:color="FFFFFF"/>
                    <w:right w:val="single" w:sz="8" w:space="0" w:color="FFFFFF"/>
                  </w:tcBorders>
                  <w:shd w:val="clear" w:color="000000" w:fill="FCD5B4"/>
                  <w:noWrap/>
                  <w:vAlign w:val="center"/>
                  <w:hideMark/>
                </w:tcPr>
                <w:p w14:paraId="429823C4"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5.1 </w:t>
                  </w:r>
                </w:p>
              </w:tc>
              <w:tc>
                <w:tcPr>
                  <w:tcW w:w="921" w:type="dxa"/>
                  <w:tcBorders>
                    <w:top w:val="nil"/>
                    <w:left w:val="nil"/>
                    <w:bottom w:val="single" w:sz="8" w:space="0" w:color="FFFFFF"/>
                    <w:right w:val="single" w:sz="8" w:space="0" w:color="FFFFFF"/>
                  </w:tcBorders>
                  <w:shd w:val="clear" w:color="000000" w:fill="FCD5B4"/>
                  <w:noWrap/>
                  <w:vAlign w:val="center"/>
                  <w:hideMark/>
                </w:tcPr>
                <w:p w14:paraId="61A0E63A"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7.1 </w:t>
                  </w:r>
                </w:p>
              </w:tc>
              <w:tc>
                <w:tcPr>
                  <w:tcW w:w="921" w:type="dxa"/>
                  <w:tcBorders>
                    <w:top w:val="nil"/>
                    <w:left w:val="nil"/>
                    <w:bottom w:val="single" w:sz="8" w:space="0" w:color="FFFFFF"/>
                    <w:right w:val="single" w:sz="8" w:space="0" w:color="FFFFFF"/>
                  </w:tcBorders>
                  <w:shd w:val="clear" w:color="000000" w:fill="FCD5B4"/>
                  <w:noWrap/>
                  <w:vAlign w:val="center"/>
                  <w:hideMark/>
                </w:tcPr>
                <w:p w14:paraId="74AD189B"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FF0000"/>
                      <w:kern w:val="0"/>
                      <w:szCs w:val="21"/>
                    </w:rPr>
                    <w:t xml:space="preserve">-2.9 </w:t>
                  </w:r>
                </w:p>
              </w:tc>
              <w:tc>
                <w:tcPr>
                  <w:tcW w:w="921" w:type="dxa"/>
                  <w:tcBorders>
                    <w:top w:val="nil"/>
                    <w:left w:val="nil"/>
                    <w:bottom w:val="single" w:sz="8" w:space="0" w:color="FFFFFF"/>
                    <w:right w:val="single" w:sz="8" w:space="0" w:color="FFFFFF"/>
                  </w:tcBorders>
                  <w:shd w:val="clear" w:color="000000" w:fill="FCD5B4"/>
                  <w:noWrap/>
                  <w:vAlign w:val="center"/>
                  <w:hideMark/>
                </w:tcPr>
                <w:p w14:paraId="2F95F4D6"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FF0000"/>
                      <w:kern w:val="0"/>
                      <w:szCs w:val="21"/>
                    </w:rPr>
                    <w:t xml:space="preserve">-5.9 </w:t>
                  </w:r>
                </w:p>
              </w:tc>
            </w:tr>
            <w:tr w:rsidR="008011F8" w:rsidRPr="008011F8" w14:paraId="48D53F0F" w14:textId="77777777" w:rsidTr="008011F8">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3FE43F15" w14:textId="77777777" w:rsidR="008011F8" w:rsidRPr="008011F8" w:rsidRDefault="008011F8" w:rsidP="008011F8">
                  <w:pPr>
                    <w:widowControl/>
                    <w:jc w:val="center"/>
                    <w:rPr>
                      <w:rFonts w:ascii="楷体" w:eastAsia="楷体" w:hAnsi="楷体" w:cs="宋体"/>
                      <w:color w:val="000000"/>
                      <w:kern w:val="0"/>
                      <w:sz w:val="20"/>
                      <w:szCs w:val="20"/>
                    </w:rPr>
                  </w:pPr>
                  <w:proofErr w:type="gramStart"/>
                  <w:r w:rsidRPr="008011F8">
                    <w:rPr>
                      <w:rFonts w:ascii="楷体" w:eastAsia="楷体" w:hAnsi="楷体" w:cs="宋体" w:hint="eastAsia"/>
                      <w:color w:val="000000"/>
                      <w:kern w:val="0"/>
                      <w:sz w:val="20"/>
                      <w:szCs w:val="20"/>
                    </w:rPr>
                    <w:t>城投债</w:t>
                  </w:r>
                  <w:proofErr w:type="gramEnd"/>
                  <w:r w:rsidRPr="008011F8">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3254DA3A"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7.8 </w:t>
                  </w:r>
                </w:p>
              </w:tc>
              <w:tc>
                <w:tcPr>
                  <w:tcW w:w="921" w:type="dxa"/>
                  <w:tcBorders>
                    <w:top w:val="nil"/>
                    <w:left w:val="nil"/>
                    <w:bottom w:val="single" w:sz="8" w:space="0" w:color="FFFFFF"/>
                    <w:right w:val="single" w:sz="8" w:space="0" w:color="FFFFFF"/>
                  </w:tcBorders>
                  <w:shd w:val="clear" w:color="000000" w:fill="FDE9D9"/>
                  <w:noWrap/>
                  <w:vAlign w:val="center"/>
                  <w:hideMark/>
                </w:tcPr>
                <w:p w14:paraId="7C44B57D"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9.8 </w:t>
                  </w:r>
                </w:p>
              </w:tc>
              <w:tc>
                <w:tcPr>
                  <w:tcW w:w="921" w:type="dxa"/>
                  <w:tcBorders>
                    <w:top w:val="nil"/>
                    <w:left w:val="nil"/>
                    <w:bottom w:val="single" w:sz="8" w:space="0" w:color="FFFFFF"/>
                    <w:right w:val="single" w:sz="8" w:space="0" w:color="FFFFFF"/>
                  </w:tcBorders>
                  <w:shd w:val="clear" w:color="000000" w:fill="FDE9D9"/>
                  <w:noWrap/>
                  <w:vAlign w:val="center"/>
                  <w:hideMark/>
                </w:tcPr>
                <w:p w14:paraId="72F3751E"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4.8 </w:t>
                  </w:r>
                </w:p>
              </w:tc>
              <w:tc>
                <w:tcPr>
                  <w:tcW w:w="921" w:type="dxa"/>
                  <w:tcBorders>
                    <w:top w:val="nil"/>
                    <w:left w:val="nil"/>
                    <w:bottom w:val="single" w:sz="8" w:space="0" w:color="FFFFFF"/>
                    <w:right w:val="single" w:sz="8" w:space="0" w:color="FFFFFF"/>
                  </w:tcBorders>
                  <w:shd w:val="clear" w:color="000000" w:fill="FDE9D9"/>
                  <w:noWrap/>
                  <w:vAlign w:val="center"/>
                  <w:hideMark/>
                </w:tcPr>
                <w:p w14:paraId="00E0F1B8"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FF0000"/>
                      <w:kern w:val="0"/>
                      <w:szCs w:val="21"/>
                    </w:rPr>
                    <w:t xml:space="preserve">-1.2 </w:t>
                  </w:r>
                </w:p>
              </w:tc>
              <w:tc>
                <w:tcPr>
                  <w:tcW w:w="1157" w:type="dxa"/>
                  <w:tcBorders>
                    <w:top w:val="nil"/>
                    <w:left w:val="nil"/>
                    <w:bottom w:val="single" w:sz="8" w:space="0" w:color="FFFFFF"/>
                    <w:right w:val="single" w:sz="8" w:space="0" w:color="FFFFFF"/>
                  </w:tcBorders>
                  <w:shd w:val="clear" w:color="000000" w:fill="FDE9D9"/>
                  <w:noWrap/>
                  <w:vAlign w:val="center"/>
                  <w:hideMark/>
                </w:tcPr>
                <w:p w14:paraId="50A5D006" w14:textId="77777777" w:rsidR="008011F8" w:rsidRPr="008011F8" w:rsidRDefault="008011F8" w:rsidP="008011F8">
                  <w:pPr>
                    <w:widowControl/>
                    <w:jc w:val="center"/>
                    <w:rPr>
                      <w:rFonts w:ascii="楷体" w:eastAsia="楷体" w:hAnsi="楷体" w:cs="宋体"/>
                      <w:color w:val="000000"/>
                      <w:kern w:val="0"/>
                      <w:sz w:val="20"/>
                      <w:szCs w:val="20"/>
                    </w:rPr>
                  </w:pPr>
                  <w:proofErr w:type="gramStart"/>
                  <w:r w:rsidRPr="008011F8">
                    <w:rPr>
                      <w:rFonts w:ascii="楷体" w:eastAsia="楷体" w:hAnsi="楷体" w:cs="宋体" w:hint="eastAsia"/>
                      <w:color w:val="000000"/>
                      <w:kern w:val="0"/>
                      <w:sz w:val="20"/>
                      <w:szCs w:val="20"/>
                    </w:rPr>
                    <w:t>城投债</w:t>
                  </w:r>
                  <w:proofErr w:type="gramEnd"/>
                  <w:r w:rsidRPr="008011F8">
                    <w:rPr>
                      <w:rFonts w:ascii="楷体" w:eastAsia="楷体" w:hAnsi="楷体" w:cs="宋体" w:hint="eastAsia"/>
                      <w:color w:val="000000"/>
                      <w:kern w:val="0"/>
                      <w:sz w:val="20"/>
                      <w:szCs w:val="20"/>
                    </w:rPr>
                    <w:t>5Y</w:t>
                  </w:r>
                </w:p>
              </w:tc>
              <w:tc>
                <w:tcPr>
                  <w:tcW w:w="921" w:type="dxa"/>
                  <w:tcBorders>
                    <w:top w:val="nil"/>
                    <w:left w:val="nil"/>
                    <w:bottom w:val="single" w:sz="8" w:space="0" w:color="FFFFFF"/>
                    <w:right w:val="single" w:sz="8" w:space="0" w:color="FFFFFF"/>
                  </w:tcBorders>
                  <w:shd w:val="clear" w:color="000000" w:fill="FDE9D9"/>
                  <w:noWrap/>
                  <w:vAlign w:val="center"/>
                  <w:hideMark/>
                </w:tcPr>
                <w:p w14:paraId="042A4828"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4.4 </w:t>
                  </w:r>
                </w:p>
              </w:tc>
              <w:tc>
                <w:tcPr>
                  <w:tcW w:w="921" w:type="dxa"/>
                  <w:tcBorders>
                    <w:top w:val="nil"/>
                    <w:left w:val="nil"/>
                    <w:bottom w:val="single" w:sz="8" w:space="0" w:color="FFFFFF"/>
                    <w:right w:val="single" w:sz="8" w:space="0" w:color="FFFFFF"/>
                  </w:tcBorders>
                  <w:shd w:val="clear" w:color="000000" w:fill="FDE9D9"/>
                  <w:noWrap/>
                  <w:vAlign w:val="center"/>
                  <w:hideMark/>
                </w:tcPr>
                <w:p w14:paraId="651EDA88"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6.4 </w:t>
                  </w:r>
                </w:p>
              </w:tc>
              <w:tc>
                <w:tcPr>
                  <w:tcW w:w="921" w:type="dxa"/>
                  <w:tcBorders>
                    <w:top w:val="nil"/>
                    <w:left w:val="nil"/>
                    <w:bottom w:val="single" w:sz="8" w:space="0" w:color="FFFFFF"/>
                    <w:right w:val="single" w:sz="8" w:space="0" w:color="FFFFFF"/>
                  </w:tcBorders>
                  <w:shd w:val="clear" w:color="000000" w:fill="FDE9D9"/>
                  <w:noWrap/>
                  <w:vAlign w:val="center"/>
                  <w:hideMark/>
                </w:tcPr>
                <w:p w14:paraId="6BB26F7E"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1.4 </w:t>
                  </w:r>
                </w:p>
              </w:tc>
              <w:tc>
                <w:tcPr>
                  <w:tcW w:w="921" w:type="dxa"/>
                  <w:tcBorders>
                    <w:top w:val="nil"/>
                    <w:left w:val="nil"/>
                    <w:bottom w:val="single" w:sz="8" w:space="0" w:color="FFFFFF"/>
                    <w:right w:val="single" w:sz="8" w:space="0" w:color="FFFFFF"/>
                  </w:tcBorders>
                  <w:shd w:val="clear" w:color="000000" w:fill="FDE9D9"/>
                  <w:noWrap/>
                  <w:vAlign w:val="center"/>
                  <w:hideMark/>
                </w:tcPr>
                <w:p w14:paraId="376C17AE"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FF0000"/>
                      <w:kern w:val="0"/>
                      <w:szCs w:val="21"/>
                    </w:rPr>
                    <w:t xml:space="preserve">-4.6 </w:t>
                  </w:r>
                </w:p>
              </w:tc>
            </w:tr>
            <w:tr w:rsidR="008011F8" w:rsidRPr="008011F8" w14:paraId="45544628" w14:textId="77777777" w:rsidTr="008011F8">
              <w:trPr>
                <w:trHeight w:val="300"/>
              </w:trPr>
              <w:tc>
                <w:tcPr>
                  <w:tcW w:w="1350" w:type="dxa"/>
                  <w:tcBorders>
                    <w:top w:val="nil"/>
                    <w:left w:val="nil"/>
                    <w:bottom w:val="nil"/>
                    <w:right w:val="nil"/>
                  </w:tcBorders>
                  <w:shd w:val="clear" w:color="000000" w:fill="FCD5B4"/>
                  <w:noWrap/>
                  <w:vAlign w:val="center"/>
                  <w:hideMark/>
                </w:tcPr>
                <w:p w14:paraId="37E0FBEA" w14:textId="77777777" w:rsidR="008011F8" w:rsidRPr="008011F8" w:rsidRDefault="008011F8" w:rsidP="008011F8">
                  <w:pPr>
                    <w:widowControl/>
                    <w:jc w:val="center"/>
                    <w:rPr>
                      <w:rFonts w:ascii="楷体" w:eastAsia="楷体" w:hAnsi="楷体" w:cs="宋体"/>
                      <w:color w:val="000000"/>
                      <w:kern w:val="0"/>
                      <w:sz w:val="20"/>
                      <w:szCs w:val="20"/>
                    </w:rPr>
                  </w:pPr>
                  <w:proofErr w:type="gramStart"/>
                  <w:r w:rsidRPr="008011F8">
                    <w:rPr>
                      <w:rFonts w:ascii="楷体" w:eastAsia="楷体" w:hAnsi="楷体" w:cs="宋体" w:hint="eastAsia"/>
                      <w:color w:val="000000"/>
                      <w:kern w:val="0"/>
                      <w:sz w:val="20"/>
                      <w:szCs w:val="20"/>
                    </w:rPr>
                    <w:lastRenderedPageBreak/>
                    <w:t>城投债</w:t>
                  </w:r>
                  <w:proofErr w:type="gramEnd"/>
                  <w:r w:rsidRPr="008011F8">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4D2D1533"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6.9 </w:t>
                  </w:r>
                </w:p>
              </w:tc>
              <w:tc>
                <w:tcPr>
                  <w:tcW w:w="921" w:type="dxa"/>
                  <w:tcBorders>
                    <w:top w:val="nil"/>
                    <w:left w:val="nil"/>
                    <w:bottom w:val="single" w:sz="8" w:space="0" w:color="FFFFFF"/>
                    <w:right w:val="single" w:sz="8" w:space="0" w:color="FFFFFF"/>
                  </w:tcBorders>
                  <w:shd w:val="clear" w:color="000000" w:fill="FCD5B4"/>
                  <w:noWrap/>
                  <w:vAlign w:val="center"/>
                  <w:hideMark/>
                </w:tcPr>
                <w:p w14:paraId="55933385"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6.9 </w:t>
                  </w:r>
                </w:p>
              </w:tc>
              <w:tc>
                <w:tcPr>
                  <w:tcW w:w="921" w:type="dxa"/>
                  <w:tcBorders>
                    <w:top w:val="nil"/>
                    <w:left w:val="nil"/>
                    <w:bottom w:val="single" w:sz="8" w:space="0" w:color="FFFFFF"/>
                    <w:right w:val="single" w:sz="8" w:space="0" w:color="FFFFFF"/>
                  </w:tcBorders>
                  <w:shd w:val="clear" w:color="000000" w:fill="FCD5B4"/>
                  <w:noWrap/>
                  <w:vAlign w:val="center"/>
                  <w:hideMark/>
                </w:tcPr>
                <w:p w14:paraId="0B2C6809"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4.9 </w:t>
                  </w:r>
                </w:p>
              </w:tc>
              <w:tc>
                <w:tcPr>
                  <w:tcW w:w="921" w:type="dxa"/>
                  <w:tcBorders>
                    <w:top w:val="nil"/>
                    <w:left w:val="nil"/>
                    <w:bottom w:val="single" w:sz="8" w:space="0" w:color="FFFFFF"/>
                    <w:right w:val="single" w:sz="8" w:space="0" w:color="FFFFFF"/>
                  </w:tcBorders>
                  <w:shd w:val="clear" w:color="000000" w:fill="FCD5B4"/>
                  <w:noWrap/>
                  <w:vAlign w:val="center"/>
                  <w:hideMark/>
                </w:tcPr>
                <w:p w14:paraId="419FD844"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FF0000"/>
                      <w:kern w:val="0"/>
                      <w:szCs w:val="21"/>
                    </w:rPr>
                    <w:t xml:space="preserve">-0.1 </w:t>
                  </w:r>
                </w:p>
              </w:tc>
              <w:tc>
                <w:tcPr>
                  <w:tcW w:w="1157" w:type="dxa"/>
                  <w:tcBorders>
                    <w:top w:val="nil"/>
                    <w:left w:val="nil"/>
                    <w:bottom w:val="nil"/>
                    <w:right w:val="nil"/>
                  </w:tcBorders>
                  <w:shd w:val="clear" w:color="000000" w:fill="FCD5B4"/>
                  <w:noWrap/>
                  <w:vAlign w:val="center"/>
                  <w:hideMark/>
                </w:tcPr>
                <w:p w14:paraId="2C388EFB" w14:textId="77777777" w:rsidR="008011F8" w:rsidRPr="008011F8" w:rsidRDefault="008011F8" w:rsidP="008011F8">
                  <w:pPr>
                    <w:widowControl/>
                    <w:jc w:val="center"/>
                    <w:rPr>
                      <w:rFonts w:ascii="楷体" w:eastAsia="楷体" w:hAnsi="楷体" w:cs="宋体"/>
                      <w:color w:val="000000"/>
                      <w:kern w:val="0"/>
                      <w:sz w:val="20"/>
                      <w:szCs w:val="20"/>
                    </w:rPr>
                  </w:pPr>
                  <w:proofErr w:type="gramStart"/>
                  <w:r w:rsidRPr="008011F8">
                    <w:rPr>
                      <w:rFonts w:ascii="楷体" w:eastAsia="楷体" w:hAnsi="楷体" w:cs="宋体" w:hint="eastAsia"/>
                      <w:color w:val="000000"/>
                      <w:kern w:val="0"/>
                      <w:sz w:val="20"/>
                      <w:szCs w:val="20"/>
                    </w:rPr>
                    <w:t>城投债</w:t>
                  </w:r>
                  <w:proofErr w:type="gramEnd"/>
                  <w:r w:rsidRPr="008011F8">
                    <w:rPr>
                      <w:rFonts w:ascii="楷体" w:eastAsia="楷体" w:hAnsi="楷体" w:cs="宋体" w:hint="eastAsia"/>
                      <w:color w:val="000000"/>
                      <w:kern w:val="0"/>
                      <w:sz w:val="20"/>
                      <w:szCs w:val="20"/>
                    </w:rPr>
                    <w:t>7Y</w:t>
                  </w:r>
                </w:p>
              </w:tc>
              <w:tc>
                <w:tcPr>
                  <w:tcW w:w="921" w:type="dxa"/>
                  <w:tcBorders>
                    <w:top w:val="nil"/>
                    <w:left w:val="nil"/>
                    <w:bottom w:val="single" w:sz="8" w:space="0" w:color="FFFFFF"/>
                    <w:right w:val="single" w:sz="8" w:space="0" w:color="FFFFFF"/>
                  </w:tcBorders>
                  <w:shd w:val="clear" w:color="000000" w:fill="FCD5B4"/>
                  <w:noWrap/>
                  <w:vAlign w:val="center"/>
                  <w:hideMark/>
                </w:tcPr>
                <w:p w14:paraId="10D20AB4"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2.7 </w:t>
                  </w:r>
                </w:p>
              </w:tc>
              <w:tc>
                <w:tcPr>
                  <w:tcW w:w="921" w:type="dxa"/>
                  <w:tcBorders>
                    <w:top w:val="nil"/>
                    <w:left w:val="nil"/>
                    <w:bottom w:val="single" w:sz="8" w:space="0" w:color="FFFFFF"/>
                    <w:right w:val="single" w:sz="8" w:space="0" w:color="FFFFFF"/>
                  </w:tcBorders>
                  <w:shd w:val="clear" w:color="000000" w:fill="FCD5B4"/>
                  <w:noWrap/>
                  <w:vAlign w:val="center"/>
                  <w:hideMark/>
                </w:tcPr>
                <w:p w14:paraId="64F154DC"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2.7 </w:t>
                  </w:r>
                </w:p>
              </w:tc>
              <w:tc>
                <w:tcPr>
                  <w:tcW w:w="921" w:type="dxa"/>
                  <w:tcBorders>
                    <w:top w:val="nil"/>
                    <w:left w:val="nil"/>
                    <w:bottom w:val="single" w:sz="8" w:space="0" w:color="FFFFFF"/>
                    <w:right w:val="single" w:sz="8" w:space="0" w:color="FFFFFF"/>
                  </w:tcBorders>
                  <w:shd w:val="clear" w:color="000000" w:fill="FCD5B4"/>
                  <w:noWrap/>
                  <w:vAlign w:val="center"/>
                  <w:hideMark/>
                </w:tcPr>
                <w:p w14:paraId="195161FA"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 xml:space="preserve">0.7 </w:t>
                  </w:r>
                </w:p>
              </w:tc>
              <w:tc>
                <w:tcPr>
                  <w:tcW w:w="921" w:type="dxa"/>
                  <w:tcBorders>
                    <w:top w:val="nil"/>
                    <w:left w:val="nil"/>
                    <w:bottom w:val="single" w:sz="8" w:space="0" w:color="FFFFFF"/>
                    <w:right w:val="single" w:sz="8" w:space="0" w:color="FFFFFF"/>
                  </w:tcBorders>
                  <w:shd w:val="clear" w:color="000000" w:fill="FCD5B4"/>
                  <w:noWrap/>
                  <w:vAlign w:val="center"/>
                  <w:hideMark/>
                </w:tcPr>
                <w:p w14:paraId="6228766E"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FF0000"/>
                      <w:kern w:val="0"/>
                      <w:szCs w:val="21"/>
                    </w:rPr>
                    <w:t xml:space="preserve">-4.3 </w:t>
                  </w:r>
                </w:p>
              </w:tc>
            </w:tr>
            <w:tr w:rsidR="008011F8" w:rsidRPr="008011F8" w14:paraId="2465C8BA" w14:textId="77777777" w:rsidTr="008011F8">
              <w:trPr>
                <w:trHeight w:val="150"/>
              </w:trPr>
              <w:tc>
                <w:tcPr>
                  <w:tcW w:w="1350" w:type="dxa"/>
                  <w:tcBorders>
                    <w:top w:val="nil"/>
                    <w:left w:val="nil"/>
                    <w:bottom w:val="nil"/>
                    <w:right w:val="nil"/>
                  </w:tcBorders>
                  <w:shd w:val="clear" w:color="auto" w:fill="auto"/>
                  <w:noWrap/>
                  <w:vAlign w:val="center"/>
                  <w:hideMark/>
                </w:tcPr>
                <w:p w14:paraId="4D145176" w14:textId="77777777" w:rsidR="008011F8" w:rsidRPr="008011F8" w:rsidRDefault="008011F8" w:rsidP="008011F8">
                  <w:pPr>
                    <w:widowControl/>
                    <w:jc w:val="center"/>
                    <w:rPr>
                      <w:rFonts w:eastAsia="等线" w:cs="Calibri"/>
                      <w:color w:val="000000"/>
                      <w:kern w:val="0"/>
                      <w:szCs w:val="21"/>
                    </w:rPr>
                  </w:pPr>
                </w:p>
              </w:tc>
              <w:tc>
                <w:tcPr>
                  <w:tcW w:w="920" w:type="dxa"/>
                  <w:tcBorders>
                    <w:top w:val="nil"/>
                    <w:left w:val="nil"/>
                    <w:bottom w:val="nil"/>
                    <w:right w:val="nil"/>
                  </w:tcBorders>
                  <w:shd w:val="clear" w:color="auto" w:fill="auto"/>
                  <w:noWrap/>
                  <w:vAlign w:val="center"/>
                  <w:hideMark/>
                </w:tcPr>
                <w:p w14:paraId="1F85E90C" w14:textId="77777777" w:rsidR="008011F8" w:rsidRPr="008011F8" w:rsidRDefault="008011F8" w:rsidP="008011F8">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6F4A2847" w14:textId="77777777" w:rsidR="008011F8" w:rsidRPr="008011F8" w:rsidRDefault="008011F8" w:rsidP="008011F8">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0AF83178" w14:textId="77777777" w:rsidR="008011F8" w:rsidRPr="008011F8" w:rsidRDefault="008011F8" w:rsidP="008011F8">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6E8E7DDE" w14:textId="77777777" w:rsidR="008011F8" w:rsidRPr="008011F8" w:rsidRDefault="008011F8" w:rsidP="008011F8">
                  <w:pPr>
                    <w:widowControl/>
                    <w:jc w:val="center"/>
                    <w:rPr>
                      <w:rFonts w:ascii="Times New Roman" w:eastAsia="Times New Roman" w:hAnsi="Times New Roman"/>
                      <w:kern w:val="0"/>
                      <w:sz w:val="20"/>
                      <w:szCs w:val="20"/>
                    </w:rPr>
                  </w:pPr>
                </w:p>
              </w:tc>
              <w:tc>
                <w:tcPr>
                  <w:tcW w:w="1157" w:type="dxa"/>
                  <w:tcBorders>
                    <w:top w:val="nil"/>
                    <w:left w:val="nil"/>
                    <w:bottom w:val="nil"/>
                    <w:right w:val="nil"/>
                  </w:tcBorders>
                  <w:shd w:val="clear" w:color="auto" w:fill="auto"/>
                  <w:noWrap/>
                  <w:vAlign w:val="center"/>
                  <w:hideMark/>
                </w:tcPr>
                <w:p w14:paraId="6B7F8D1B" w14:textId="77777777" w:rsidR="008011F8" w:rsidRPr="008011F8" w:rsidRDefault="008011F8" w:rsidP="008011F8">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17552E89" w14:textId="77777777" w:rsidR="008011F8" w:rsidRPr="008011F8" w:rsidRDefault="008011F8" w:rsidP="008011F8">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39E6FCA3" w14:textId="77777777" w:rsidR="008011F8" w:rsidRPr="008011F8" w:rsidRDefault="008011F8" w:rsidP="008011F8">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6D76BBE6" w14:textId="77777777" w:rsidR="008011F8" w:rsidRPr="008011F8" w:rsidRDefault="008011F8" w:rsidP="008011F8">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7F1359B7" w14:textId="77777777" w:rsidR="008011F8" w:rsidRPr="008011F8" w:rsidRDefault="008011F8" w:rsidP="008011F8">
                  <w:pPr>
                    <w:widowControl/>
                    <w:jc w:val="center"/>
                    <w:rPr>
                      <w:rFonts w:ascii="Times New Roman" w:eastAsia="Times New Roman" w:hAnsi="Times New Roman"/>
                      <w:kern w:val="0"/>
                      <w:sz w:val="20"/>
                      <w:szCs w:val="20"/>
                    </w:rPr>
                  </w:pPr>
                </w:p>
              </w:tc>
            </w:tr>
            <w:tr w:rsidR="008011F8" w:rsidRPr="008011F8" w14:paraId="6B64F7A2" w14:textId="77777777" w:rsidTr="008011F8">
              <w:trPr>
                <w:trHeight w:val="300"/>
              </w:trPr>
              <w:tc>
                <w:tcPr>
                  <w:tcW w:w="1350" w:type="dxa"/>
                  <w:tcBorders>
                    <w:top w:val="nil"/>
                    <w:left w:val="nil"/>
                    <w:bottom w:val="single" w:sz="12" w:space="0" w:color="FFFFFF"/>
                    <w:right w:val="single" w:sz="8" w:space="0" w:color="FFFFFF"/>
                  </w:tcBorders>
                  <w:shd w:val="clear" w:color="000000" w:fill="F79646"/>
                  <w:noWrap/>
                  <w:vAlign w:val="center"/>
                  <w:hideMark/>
                </w:tcPr>
                <w:p w14:paraId="6FD25C29" w14:textId="77777777" w:rsidR="008011F8" w:rsidRPr="008011F8" w:rsidRDefault="008011F8" w:rsidP="008011F8">
                  <w:pPr>
                    <w:widowControl/>
                    <w:jc w:val="center"/>
                    <w:rPr>
                      <w:rFonts w:ascii="楷体" w:eastAsia="楷体" w:hAnsi="楷体" w:cs="宋体"/>
                      <w:b/>
                      <w:bCs/>
                      <w:color w:val="FFFFFF"/>
                      <w:kern w:val="0"/>
                      <w:sz w:val="20"/>
                      <w:szCs w:val="20"/>
                    </w:rPr>
                  </w:pPr>
                  <w:r w:rsidRPr="008011F8">
                    <w:rPr>
                      <w:rFonts w:ascii="楷体" w:eastAsia="楷体" w:hAnsi="楷体" w:cs="宋体" w:hint="eastAsia"/>
                      <w:b/>
                      <w:bCs/>
                      <w:color w:val="FFFFFF"/>
                      <w:kern w:val="0"/>
                      <w:sz w:val="20"/>
                      <w:szCs w:val="20"/>
                    </w:rPr>
                    <w:t>收益率分位</w:t>
                  </w:r>
                </w:p>
              </w:tc>
              <w:tc>
                <w:tcPr>
                  <w:tcW w:w="920" w:type="dxa"/>
                  <w:tcBorders>
                    <w:top w:val="nil"/>
                    <w:left w:val="nil"/>
                    <w:bottom w:val="single" w:sz="12" w:space="0" w:color="FFFFFF"/>
                    <w:right w:val="single" w:sz="8" w:space="0" w:color="FFFFFF"/>
                  </w:tcBorders>
                  <w:shd w:val="clear" w:color="000000" w:fill="F79646"/>
                  <w:noWrap/>
                  <w:vAlign w:val="center"/>
                  <w:hideMark/>
                </w:tcPr>
                <w:p w14:paraId="742693DE" w14:textId="77777777" w:rsidR="008011F8" w:rsidRPr="008011F8" w:rsidRDefault="008011F8" w:rsidP="008011F8">
                  <w:pPr>
                    <w:widowControl/>
                    <w:jc w:val="center"/>
                    <w:rPr>
                      <w:rFonts w:ascii="楷体" w:eastAsia="楷体" w:hAnsi="楷体" w:cs="宋体"/>
                      <w:b/>
                      <w:bCs/>
                      <w:color w:val="FFFFFF"/>
                      <w:kern w:val="0"/>
                      <w:sz w:val="20"/>
                      <w:szCs w:val="20"/>
                    </w:rPr>
                  </w:pPr>
                  <w:r w:rsidRPr="008011F8">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70398F9" w14:textId="77777777" w:rsidR="008011F8" w:rsidRPr="008011F8" w:rsidRDefault="008011F8" w:rsidP="008011F8">
                  <w:pPr>
                    <w:widowControl/>
                    <w:jc w:val="center"/>
                    <w:rPr>
                      <w:rFonts w:ascii="楷体" w:eastAsia="楷体" w:hAnsi="楷体" w:cs="宋体"/>
                      <w:b/>
                      <w:bCs/>
                      <w:color w:val="FFFFFF"/>
                      <w:kern w:val="0"/>
                      <w:sz w:val="20"/>
                      <w:szCs w:val="20"/>
                    </w:rPr>
                  </w:pPr>
                  <w:r w:rsidRPr="008011F8">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30103C89" w14:textId="77777777" w:rsidR="008011F8" w:rsidRPr="008011F8" w:rsidRDefault="008011F8" w:rsidP="008011F8">
                  <w:pPr>
                    <w:widowControl/>
                    <w:jc w:val="center"/>
                    <w:rPr>
                      <w:rFonts w:ascii="楷体" w:eastAsia="楷体" w:hAnsi="楷体" w:cs="宋体"/>
                      <w:b/>
                      <w:bCs/>
                      <w:color w:val="FFFFFF"/>
                      <w:kern w:val="0"/>
                      <w:sz w:val="20"/>
                      <w:szCs w:val="20"/>
                    </w:rPr>
                  </w:pPr>
                  <w:r w:rsidRPr="008011F8">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79EF1075" w14:textId="77777777" w:rsidR="008011F8" w:rsidRPr="008011F8" w:rsidRDefault="008011F8" w:rsidP="008011F8">
                  <w:pPr>
                    <w:widowControl/>
                    <w:jc w:val="center"/>
                    <w:rPr>
                      <w:rFonts w:ascii="楷体" w:eastAsia="楷体" w:hAnsi="楷体" w:cs="宋体"/>
                      <w:b/>
                      <w:bCs/>
                      <w:color w:val="FFFFFF"/>
                      <w:kern w:val="0"/>
                      <w:sz w:val="20"/>
                      <w:szCs w:val="20"/>
                    </w:rPr>
                  </w:pPr>
                  <w:r w:rsidRPr="008011F8">
                    <w:rPr>
                      <w:rFonts w:ascii="楷体" w:eastAsia="楷体" w:hAnsi="楷体" w:cs="宋体" w:hint="eastAsia"/>
                      <w:b/>
                      <w:bCs/>
                      <w:color w:val="FFFFFF"/>
                      <w:kern w:val="0"/>
                      <w:sz w:val="20"/>
                      <w:szCs w:val="20"/>
                    </w:rPr>
                    <w:t>AA-</w:t>
                  </w:r>
                </w:p>
              </w:tc>
              <w:tc>
                <w:tcPr>
                  <w:tcW w:w="1157" w:type="dxa"/>
                  <w:tcBorders>
                    <w:top w:val="nil"/>
                    <w:left w:val="nil"/>
                    <w:bottom w:val="single" w:sz="12" w:space="0" w:color="FFFFFF"/>
                    <w:right w:val="single" w:sz="8" w:space="0" w:color="FFFFFF"/>
                  </w:tcBorders>
                  <w:shd w:val="clear" w:color="000000" w:fill="F79646"/>
                  <w:noWrap/>
                  <w:vAlign w:val="center"/>
                  <w:hideMark/>
                </w:tcPr>
                <w:p w14:paraId="63575DA6" w14:textId="77777777" w:rsidR="008011F8" w:rsidRPr="008011F8" w:rsidRDefault="008011F8" w:rsidP="008011F8">
                  <w:pPr>
                    <w:widowControl/>
                    <w:jc w:val="center"/>
                    <w:rPr>
                      <w:rFonts w:ascii="楷体" w:eastAsia="楷体" w:hAnsi="楷体" w:cs="宋体"/>
                      <w:b/>
                      <w:bCs/>
                      <w:color w:val="FFFFFF"/>
                      <w:kern w:val="0"/>
                      <w:sz w:val="20"/>
                      <w:szCs w:val="20"/>
                    </w:rPr>
                  </w:pPr>
                  <w:r w:rsidRPr="008011F8">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29B0A0F8" w14:textId="77777777" w:rsidR="008011F8" w:rsidRPr="008011F8" w:rsidRDefault="008011F8" w:rsidP="008011F8">
                  <w:pPr>
                    <w:widowControl/>
                    <w:jc w:val="center"/>
                    <w:rPr>
                      <w:rFonts w:ascii="楷体" w:eastAsia="楷体" w:hAnsi="楷体" w:cs="宋体"/>
                      <w:b/>
                      <w:bCs/>
                      <w:color w:val="FFFFFF"/>
                      <w:kern w:val="0"/>
                      <w:sz w:val="20"/>
                      <w:szCs w:val="20"/>
                    </w:rPr>
                  </w:pPr>
                  <w:r w:rsidRPr="008011F8">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781C00A3" w14:textId="77777777" w:rsidR="008011F8" w:rsidRPr="008011F8" w:rsidRDefault="008011F8" w:rsidP="008011F8">
                  <w:pPr>
                    <w:widowControl/>
                    <w:jc w:val="center"/>
                    <w:rPr>
                      <w:rFonts w:ascii="楷体" w:eastAsia="楷体" w:hAnsi="楷体" w:cs="宋体"/>
                      <w:b/>
                      <w:bCs/>
                      <w:color w:val="FFFFFF"/>
                      <w:kern w:val="0"/>
                      <w:sz w:val="20"/>
                      <w:szCs w:val="20"/>
                    </w:rPr>
                  </w:pPr>
                  <w:r w:rsidRPr="008011F8">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65517668" w14:textId="77777777" w:rsidR="008011F8" w:rsidRPr="008011F8" w:rsidRDefault="008011F8" w:rsidP="008011F8">
                  <w:pPr>
                    <w:widowControl/>
                    <w:jc w:val="center"/>
                    <w:rPr>
                      <w:rFonts w:ascii="楷体" w:eastAsia="楷体" w:hAnsi="楷体" w:cs="宋体"/>
                      <w:b/>
                      <w:bCs/>
                      <w:color w:val="FFFFFF"/>
                      <w:kern w:val="0"/>
                      <w:sz w:val="20"/>
                      <w:szCs w:val="20"/>
                    </w:rPr>
                  </w:pPr>
                  <w:r w:rsidRPr="008011F8">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138641A" w14:textId="77777777" w:rsidR="008011F8" w:rsidRPr="008011F8" w:rsidRDefault="008011F8" w:rsidP="008011F8">
                  <w:pPr>
                    <w:widowControl/>
                    <w:jc w:val="center"/>
                    <w:rPr>
                      <w:rFonts w:ascii="楷体" w:eastAsia="楷体" w:hAnsi="楷体" w:cs="宋体"/>
                      <w:b/>
                      <w:bCs/>
                      <w:color w:val="FFFFFF"/>
                      <w:kern w:val="0"/>
                      <w:sz w:val="20"/>
                      <w:szCs w:val="20"/>
                    </w:rPr>
                  </w:pPr>
                  <w:r w:rsidRPr="008011F8">
                    <w:rPr>
                      <w:rFonts w:ascii="楷体" w:eastAsia="楷体" w:hAnsi="楷体" w:cs="宋体" w:hint="eastAsia"/>
                      <w:b/>
                      <w:bCs/>
                      <w:color w:val="FFFFFF"/>
                      <w:kern w:val="0"/>
                      <w:sz w:val="20"/>
                      <w:szCs w:val="20"/>
                    </w:rPr>
                    <w:t>AA-</w:t>
                  </w:r>
                </w:p>
              </w:tc>
            </w:tr>
            <w:tr w:rsidR="008011F8" w:rsidRPr="008011F8" w14:paraId="08DD8FAD" w14:textId="77777777" w:rsidTr="008011F8">
              <w:trPr>
                <w:trHeight w:val="315"/>
              </w:trPr>
              <w:tc>
                <w:tcPr>
                  <w:tcW w:w="1350" w:type="dxa"/>
                  <w:tcBorders>
                    <w:top w:val="nil"/>
                    <w:left w:val="nil"/>
                    <w:bottom w:val="single" w:sz="8" w:space="0" w:color="FFFFFF"/>
                    <w:right w:val="single" w:sz="8" w:space="0" w:color="FFFFFF"/>
                  </w:tcBorders>
                  <w:shd w:val="clear" w:color="000000" w:fill="FCD5B4"/>
                  <w:noWrap/>
                  <w:vAlign w:val="center"/>
                  <w:hideMark/>
                </w:tcPr>
                <w:p w14:paraId="1B7CF8EB"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24660027"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26%</w:t>
                  </w:r>
                </w:p>
              </w:tc>
              <w:tc>
                <w:tcPr>
                  <w:tcW w:w="921" w:type="dxa"/>
                  <w:tcBorders>
                    <w:top w:val="nil"/>
                    <w:left w:val="nil"/>
                    <w:bottom w:val="single" w:sz="8" w:space="0" w:color="FFFFFF"/>
                    <w:right w:val="single" w:sz="8" w:space="0" w:color="FFFFFF"/>
                  </w:tcBorders>
                  <w:shd w:val="clear" w:color="000000" w:fill="FCD5B4"/>
                  <w:noWrap/>
                  <w:vAlign w:val="center"/>
                  <w:hideMark/>
                </w:tcPr>
                <w:p w14:paraId="78209528"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21%</w:t>
                  </w:r>
                </w:p>
              </w:tc>
              <w:tc>
                <w:tcPr>
                  <w:tcW w:w="921" w:type="dxa"/>
                  <w:tcBorders>
                    <w:top w:val="nil"/>
                    <w:left w:val="nil"/>
                    <w:bottom w:val="single" w:sz="8" w:space="0" w:color="FFFFFF"/>
                    <w:right w:val="single" w:sz="8" w:space="0" w:color="FFFFFF"/>
                  </w:tcBorders>
                  <w:shd w:val="clear" w:color="000000" w:fill="FCD5B4"/>
                  <w:noWrap/>
                  <w:vAlign w:val="center"/>
                  <w:hideMark/>
                </w:tcPr>
                <w:p w14:paraId="15071A31"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20%</w:t>
                  </w:r>
                </w:p>
              </w:tc>
              <w:tc>
                <w:tcPr>
                  <w:tcW w:w="921" w:type="dxa"/>
                  <w:tcBorders>
                    <w:top w:val="nil"/>
                    <w:left w:val="nil"/>
                    <w:bottom w:val="single" w:sz="8" w:space="0" w:color="FFFFFF"/>
                    <w:right w:val="single" w:sz="8" w:space="0" w:color="FFFFFF"/>
                  </w:tcBorders>
                  <w:shd w:val="clear" w:color="000000" w:fill="FCD5B4"/>
                  <w:noWrap/>
                  <w:vAlign w:val="center"/>
                  <w:hideMark/>
                </w:tcPr>
                <w:p w14:paraId="4C848A9D"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51%</w:t>
                  </w:r>
                </w:p>
              </w:tc>
              <w:tc>
                <w:tcPr>
                  <w:tcW w:w="1157" w:type="dxa"/>
                  <w:tcBorders>
                    <w:top w:val="nil"/>
                    <w:left w:val="nil"/>
                    <w:bottom w:val="single" w:sz="8" w:space="0" w:color="FFFFFF"/>
                    <w:right w:val="single" w:sz="8" w:space="0" w:color="FFFFFF"/>
                  </w:tcBorders>
                  <w:shd w:val="clear" w:color="000000" w:fill="FCD5B4"/>
                  <w:noWrap/>
                  <w:vAlign w:val="center"/>
                  <w:hideMark/>
                </w:tcPr>
                <w:p w14:paraId="13C68773"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4246F528"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7%</w:t>
                  </w:r>
                </w:p>
              </w:tc>
              <w:tc>
                <w:tcPr>
                  <w:tcW w:w="921" w:type="dxa"/>
                  <w:tcBorders>
                    <w:top w:val="nil"/>
                    <w:left w:val="nil"/>
                    <w:bottom w:val="single" w:sz="8" w:space="0" w:color="FFFFFF"/>
                    <w:right w:val="single" w:sz="8" w:space="0" w:color="FFFFFF"/>
                  </w:tcBorders>
                  <w:shd w:val="clear" w:color="000000" w:fill="FCD5B4"/>
                  <w:noWrap/>
                  <w:vAlign w:val="center"/>
                  <w:hideMark/>
                </w:tcPr>
                <w:p w14:paraId="3737EA15"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2%</w:t>
                  </w:r>
                </w:p>
              </w:tc>
              <w:tc>
                <w:tcPr>
                  <w:tcW w:w="921" w:type="dxa"/>
                  <w:tcBorders>
                    <w:top w:val="nil"/>
                    <w:left w:val="nil"/>
                    <w:bottom w:val="single" w:sz="8" w:space="0" w:color="FFFFFF"/>
                    <w:right w:val="single" w:sz="8" w:space="0" w:color="FFFFFF"/>
                  </w:tcBorders>
                  <w:shd w:val="clear" w:color="000000" w:fill="FCD5B4"/>
                  <w:noWrap/>
                  <w:vAlign w:val="center"/>
                  <w:hideMark/>
                </w:tcPr>
                <w:p w14:paraId="771BE657"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3%</w:t>
                  </w:r>
                </w:p>
              </w:tc>
              <w:tc>
                <w:tcPr>
                  <w:tcW w:w="921" w:type="dxa"/>
                  <w:tcBorders>
                    <w:top w:val="nil"/>
                    <w:left w:val="nil"/>
                    <w:bottom w:val="single" w:sz="8" w:space="0" w:color="FFFFFF"/>
                    <w:right w:val="single" w:sz="8" w:space="0" w:color="FFFFFF"/>
                  </w:tcBorders>
                  <w:shd w:val="clear" w:color="000000" w:fill="FCD5B4"/>
                  <w:noWrap/>
                  <w:vAlign w:val="center"/>
                  <w:hideMark/>
                </w:tcPr>
                <w:p w14:paraId="04609916"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61%</w:t>
                  </w:r>
                </w:p>
              </w:tc>
            </w:tr>
            <w:tr w:rsidR="008011F8" w:rsidRPr="008011F8" w14:paraId="344A5C64" w14:textId="77777777" w:rsidTr="008011F8">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36DD998B"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6E583E16"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20%</w:t>
                  </w:r>
                </w:p>
              </w:tc>
              <w:tc>
                <w:tcPr>
                  <w:tcW w:w="921" w:type="dxa"/>
                  <w:tcBorders>
                    <w:top w:val="nil"/>
                    <w:left w:val="nil"/>
                    <w:bottom w:val="single" w:sz="8" w:space="0" w:color="FFFFFF"/>
                    <w:right w:val="single" w:sz="8" w:space="0" w:color="FFFFFF"/>
                  </w:tcBorders>
                  <w:shd w:val="clear" w:color="000000" w:fill="FDE9D9"/>
                  <w:noWrap/>
                  <w:vAlign w:val="center"/>
                  <w:hideMark/>
                </w:tcPr>
                <w:p w14:paraId="4A52D4F7"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15%</w:t>
                  </w:r>
                </w:p>
              </w:tc>
              <w:tc>
                <w:tcPr>
                  <w:tcW w:w="921" w:type="dxa"/>
                  <w:tcBorders>
                    <w:top w:val="nil"/>
                    <w:left w:val="nil"/>
                    <w:bottom w:val="single" w:sz="8" w:space="0" w:color="FFFFFF"/>
                    <w:right w:val="single" w:sz="8" w:space="0" w:color="FFFFFF"/>
                  </w:tcBorders>
                  <w:shd w:val="clear" w:color="000000" w:fill="FDE9D9"/>
                  <w:noWrap/>
                  <w:vAlign w:val="center"/>
                  <w:hideMark/>
                </w:tcPr>
                <w:p w14:paraId="66C0F50C"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19%</w:t>
                  </w:r>
                </w:p>
              </w:tc>
              <w:tc>
                <w:tcPr>
                  <w:tcW w:w="921" w:type="dxa"/>
                  <w:tcBorders>
                    <w:top w:val="nil"/>
                    <w:left w:val="nil"/>
                    <w:bottom w:val="single" w:sz="8" w:space="0" w:color="FFFFFF"/>
                    <w:right w:val="single" w:sz="8" w:space="0" w:color="FFFFFF"/>
                  </w:tcBorders>
                  <w:shd w:val="clear" w:color="000000" w:fill="FDE9D9"/>
                  <w:noWrap/>
                  <w:vAlign w:val="center"/>
                  <w:hideMark/>
                </w:tcPr>
                <w:p w14:paraId="1385CE17"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57%</w:t>
                  </w:r>
                </w:p>
              </w:tc>
              <w:tc>
                <w:tcPr>
                  <w:tcW w:w="1157" w:type="dxa"/>
                  <w:tcBorders>
                    <w:top w:val="nil"/>
                    <w:left w:val="nil"/>
                    <w:bottom w:val="single" w:sz="8" w:space="0" w:color="FFFFFF"/>
                    <w:right w:val="single" w:sz="8" w:space="0" w:color="FFFFFF"/>
                  </w:tcBorders>
                  <w:shd w:val="clear" w:color="000000" w:fill="FDE9D9"/>
                  <w:noWrap/>
                  <w:vAlign w:val="center"/>
                  <w:hideMark/>
                </w:tcPr>
                <w:p w14:paraId="0F3FFE15"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2503282C"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4%</w:t>
                  </w:r>
                </w:p>
              </w:tc>
              <w:tc>
                <w:tcPr>
                  <w:tcW w:w="921" w:type="dxa"/>
                  <w:tcBorders>
                    <w:top w:val="nil"/>
                    <w:left w:val="nil"/>
                    <w:bottom w:val="single" w:sz="8" w:space="0" w:color="FFFFFF"/>
                    <w:right w:val="single" w:sz="8" w:space="0" w:color="FFFFFF"/>
                  </w:tcBorders>
                  <w:shd w:val="clear" w:color="000000" w:fill="FDE9D9"/>
                  <w:noWrap/>
                  <w:vAlign w:val="center"/>
                  <w:hideMark/>
                </w:tcPr>
                <w:p w14:paraId="0528F0D6"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0%</w:t>
                  </w:r>
                </w:p>
              </w:tc>
              <w:tc>
                <w:tcPr>
                  <w:tcW w:w="921" w:type="dxa"/>
                  <w:tcBorders>
                    <w:top w:val="nil"/>
                    <w:left w:val="nil"/>
                    <w:bottom w:val="single" w:sz="8" w:space="0" w:color="FFFFFF"/>
                    <w:right w:val="single" w:sz="8" w:space="0" w:color="FFFFFF"/>
                  </w:tcBorders>
                  <w:shd w:val="clear" w:color="000000" w:fill="FDE9D9"/>
                  <w:noWrap/>
                  <w:vAlign w:val="center"/>
                  <w:hideMark/>
                </w:tcPr>
                <w:p w14:paraId="0EABF4D9"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10%</w:t>
                  </w:r>
                </w:p>
              </w:tc>
              <w:tc>
                <w:tcPr>
                  <w:tcW w:w="921" w:type="dxa"/>
                  <w:tcBorders>
                    <w:top w:val="nil"/>
                    <w:left w:val="nil"/>
                    <w:bottom w:val="single" w:sz="8" w:space="0" w:color="FFFFFF"/>
                    <w:right w:val="single" w:sz="8" w:space="0" w:color="FFFFFF"/>
                  </w:tcBorders>
                  <w:shd w:val="clear" w:color="000000" w:fill="FDE9D9"/>
                  <w:noWrap/>
                  <w:vAlign w:val="center"/>
                  <w:hideMark/>
                </w:tcPr>
                <w:p w14:paraId="75DCD7A9"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59%</w:t>
                  </w:r>
                </w:p>
              </w:tc>
            </w:tr>
            <w:tr w:rsidR="008011F8" w:rsidRPr="008011F8" w14:paraId="6BFFED46" w14:textId="77777777" w:rsidTr="008011F8">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23C734AF"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2C3CD493"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17%</w:t>
                  </w:r>
                </w:p>
              </w:tc>
              <w:tc>
                <w:tcPr>
                  <w:tcW w:w="921" w:type="dxa"/>
                  <w:tcBorders>
                    <w:top w:val="nil"/>
                    <w:left w:val="nil"/>
                    <w:bottom w:val="single" w:sz="8" w:space="0" w:color="FFFFFF"/>
                    <w:right w:val="single" w:sz="8" w:space="0" w:color="FFFFFF"/>
                  </w:tcBorders>
                  <w:shd w:val="clear" w:color="000000" w:fill="FCD5B4"/>
                  <w:noWrap/>
                  <w:vAlign w:val="center"/>
                  <w:hideMark/>
                </w:tcPr>
                <w:p w14:paraId="34B3CB51"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11%</w:t>
                  </w:r>
                </w:p>
              </w:tc>
              <w:tc>
                <w:tcPr>
                  <w:tcW w:w="921" w:type="dxa"/>
                  <w:tcBorders>
                    <w:top w:val="nil"/>
                    <w:left w:val="nil"/>
                    <w:bottom w:val="single" w:sz="8" w:space="0" w:color="FFFFFF"/>
                    <w:right w:val="single" w:sz="8" w:space="0" w:color="FFFFFF"/>
                  </w:tcBorders>
                  <w:shd w:val="clear" w:color="000000" w:fill="FCD5B4"/>
                  <w:noWrap/>
                  <w:vAlign w:val="center"/>
                  <w:hideMark/>
                </w:tcPr>
                <w:p w14:paraId="708BB9F0"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17%</w:t>
                  </w:r>
                </w:p>
              </w:tc>
              <w:tc>
                <w:tcPr>
                  <w:tcW w:w="921" w:type="dxa"/>
                  <w:tcBorders>
                    <w:top w:val="nil"/>
                    <w:left w:val="nil"/>
                    <w:bottom w:val="single" w:sz="8" w:space="0" w:color="FFFFFF"/>
                    <w:right w:val="single" w:sz="8" w:space="0" w:color="FFFFFF"/>
                  </w:tcBorders>
                  <w:shd w:val="clear" w:color="000000" w:fill="FCD5B4"/>
                  <w:noWrap/>
                  <w:vAlign w:val="center"/>
                  <w:hideMark/>
                </w:tcPr>
                <w:p w14:paraId="3B693262"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54%</w:t>
                  </w:r>
                </w:p>
              </w:tc>
              <w:tc>
                <w:tcPr>
                  <w:tcW w:w="1157" w:type="dxa"/>
                  <w:tcBorders>
                    <w:top w:val="nil"/>
                    <w:left w:val="nil"/>
                    <w:bottom w:val="single" w:sz="8" w:space="0" w:color="FFFFFF"/>
                    <w:right w:val="single" w:sz="8" w:space="0" w:color="FFFFFF"/>
                  </w:tcBorders>
                  <w:shd w:val="clear" w:color="000000" w:fill="FCD5B4"/>
                  <w:noWrap/>
                  <w:vAlign w:val="center"/>
                  <w:hideMark/>
                </w:tcPr>
                <w:p w14:paraId="4DBEBFBA"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29CE3284"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7%</w:t>
                  </w:r>
                </w:p>
              </w:tc>
              <w:tc>
                <w:tcPr>
                  <w:tcW w:w="921" w:type="dxa"/>
                  <w:tcBorders>
                    <w:top w:val="nil"/>
                    <w:left w:val="nil"/>
                    <w:bottom w:val="single" w:sz="8" w:space="0" w:color="FFFFFF"/>
                    <w:right w:val="single" w:sz="8" w:space="0" w:color="FFFFFF"/>
                  </w:tcBorders>
                  <w:shd w:val="clear" w:color="000000" w:fill="FCD5B4"/>
                  <w:noWrap/>
                  <w:vAlign w:val="center"/>
                  <w:hideMark/>
                </w:tcPr>
                <w:p w14:paraId="6674B3AA"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4%</w:t>
                  </w:r>
                </w:p>
              </w:tc>
              <w:tc>
                <w:tcPr>
                  <w:tcW w:w="921" w:type="dxa"/>
                  <w:tcBorders>
                    <w:top w:val="nil"/>
                    <w:left w:val="nil"/>
                    <w:bottom w:val="single" w:sz="8" w:space="0" w:color="FFFFFF"/>
                    <w:right w:val="single" w:sz="8" w:space="0" w:color="FFFFFF"/>
                  </w:tcBorders>
                  <w:shd w:val="clear" w:color="000000" w:fill="FCD5B4"/>
                  <w:noWrap/>
                  <w:vAlign w:val="center"/>
                  <w:hideMark/>
                </w:tcPr>
                <w:p w14:paraId="261D6610"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8%</w:t>
                  </w:r>
                </w:p>
              </w:tc>
              <w:tc>
                <w:tcPr>
                  <w:tcW w:w="921" w:type="dxa"/>
                  <w:tcBorders>
                    <w:top w:val="nil"/>
                    <w:left w:val="nil"/>
                    <w:bottom w:val="single" w:sz="8" w:space="0" w:color="FFFFFF"/>
                    <w:right w:val="single" w:sz="8" w:space="0" w:color="FFFFFF"/>
                  </w:tcBorders>
                  <w:shd w:val="clear" w:color="000000" w:fill="FCD5B4"/>
                  <w:noWrap/>
                  <w:vAlign w:val="center"/>
                  <w:hideMark/>
                </w:tcPr>
                <w:p w14:paraId="50E13D77"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61%</w:t>
                  </w:r>
                </w:p>
              </w:tc>
            </w:tr>
            <w:tr w:rsidR="008011F8" w:rsidRPr="008011F8" w14:paraId="505274F5" w14:textId="77777777" w:rsidTr="008011F8">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543E779C"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7B7F8C23"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20%</w:t>
                  </w:r>
                </w:p>
              </w:tc>
              <w:tc>
                <w:tcPr>
                  <w:tcW w:w="921" w:type="dxa"/>
                  <w:tcBorders>
                    <w:top w:val="nil"/>
                    <w:left w:val="nil"/>
                    <w:bottom w:val="single" w:sz="8" w:space="0" w:color="FFFFFF"/>
                    <w:right w:val="single" w:sz="8" w:space="0" w:color="FFFFFF"/>
                  </w:tcBorders>
                  <w:shd w:val="clear" w:color="000000" w:fill="FDE9D9"/>
                  <w:noWrap/>
                  <w:vAlign w:val="center"/>
                  <w:hideMark/>
                </w:tcPr>
                <w:p w14:paraId="67300D34"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18%</w:t>
                  </w:r>
                </w:p>
              </w:tc>
              <w:tc>
                <w:tcPr>
                  <w:tcW w:w="921" w:type="dxa"/>
                  <w:tcBorders>
                    <w:top w:val="nil"/>
                    <w:left w:val="nil"/>
                    <w:bottom w:val="single" w:sz="8" w:space="0" w:color="FFFFFF"/>
                    <w:right w:val="single" w:sz="8" w:space="0" w:color="FFFFFF"/>
                  </w:tcBorders>
                  <w:shd w:val="clear" w:color="000000" w:fill="FDE9D9"/>
                  <w:noWrap/>
                  <w:vAlign w:val="center"/>
                  <w:hideMark/>
                </w:tcPr>
                <w:p w14:paraId="397772B6"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20%</w:t>
                  </w:r>
                </w:p>
              </w:tc>
              <w:tc>
                <w:tcPr>
                  <w:tcW w:w="921" w:type="dxa"/>
                  <w:tcBorders>
                    <w:top w:val="nil"/>
                    <w:left w:val="nil"/>
                    <w:bottom w:val="single" w:sz="8" w:space="0" w:color="FFFFFF"/>
                    <w:right w:val="single" w:sz="8" w:space="0" w:color="FFFFFF"/>
                  </w:tcBorders>
                  <w:shd w:val="clear" w:color="000000" w:fill="FDE9D9"/>
                  <w:noWrap/>
                  <w:vAlign w:val="center"/>
                  <w:hideMark/>
                </w:tcPr>
                <w:p w14:paraId="36787C65"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57%</w:t>
                  </w:r>
                </w:p>
              </w:tc>
              <w:tc>
                <w:tcPr>
                  <w:tcW w:w="1157" w:type="dxa"/>
                  <w:tcBorders>
                    <w:top w:val="nil"/>
                    <w:left w:val="nil"/>
                    <w:bottom w:val="single" w:sz="8" w:space="0" w:color="FFFFFF"/>
                    <w:right w:val="single" w:sz="8" w:space="0" w:color="FFFFFF"/>
                  </w:tcBorders>
                  <w:shd w:val="clear" w:color="000000" w:fill="FDE9D9"/>
                  <w:noWrap/>
                  <w:vAlign w:val="center"/>
                  <w:hideMark/>
                </w:tcPr>
                <w:p w14:paraId="47490515"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5754E107"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4%</w:t>
                  </w:r>
                </w:p>
              </w:tc>
              <w:tc>
                <w:tcPr>
                  <w:tcW w:w="921" w:type="dxa"/>
                  <w:tcBorders>
                    <w:top w:val="nil"/>
                    <w:left w:val="nil"/>
                    <w:bottom w:val="single" w:sz="8" w:space="0" w:color="FFFFFF"/>
                    <w:right w:val="single" w:sz="8" w:space="0" w:color="FFFFFF"/>
                  </w:tcBorders>
                  <w:shd w:val="clear" w:color="000000" w:fill="FDE9D9"/>
                  <w:noWrap/>
                  <w:vAlign w:val="center"/>
                  <w:hideMark/>
                </w:tcPr>
                <w:p w14:paraId="6E49A0AF"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4%</w:t>
                  </w:r>
                </w:p>
              </w:tc>
              <w:tc>
                <w:tcPr>
                  <w:tcW w:w="921" w:type="dxa"/>
                  <w:tcBorders>
                    <w:top w:val="nil"/>
                    <w:left w:val="nil"/>
                    <w:bottom w:val="single" w:sz="8" w:space="0" w:color="FFFFFF"/>
                    <w:right w:val="single" w:sz="8" w:space="0" w:color="FFFFFF"/>
                  </w:tcBorders>
                  <w:shd w:val="clear" w:color="000000" w:fill="FDE9D9"/>
                  <w:noWrap/>
                  <w:vAlign w:val="center"/>
                  <w:hideMark/>
                </w:tcPr>
                <w:p w14:paraId="19A63CEF"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DE9D9"/>
                  <w:noWrap/>
                  <w:vAlign w:val="center"/>
                  <w:hideMark/>
                </w:tcPr>
                <w:p w14:paraId="197C4AE8"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62%</w:t>
                  </w:r>
                </w:p>
              </w:tc>
            </w:tr>
            <w:tr w:rsidR="008011F8" w:rsidRPr="008011F8" w14:paraId="6BA9A0DD" w14:textId="77777777" w:rsidTr="008011F8">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065DAA35"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52576681"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15%</w:t>
                  </w:r>
                </w:p>
              </w:tc>
              <w:tc>
                <w:tcPr>
                  <w:tcW w:w="921" w:type="dxa"/>
                  <w:tcBorders>
                    <w:top w:val="nil"/>
                    <w:left w:val="nil"/>
                    <w:bottom w:val="single" w:sz="8" w:space="0" w:color="FFFFFF"/>
                    <w:right w:val="single" w:sz="8" w:space="0" w:color="FFFFFF"/>
                  </w:tcBorders>
                  <w:shd w:val="clear" w:color="000000" w:fill="FCD5B4"/>
                  <w:noWrap/>
                  <w:vAlign w:val="center"/>
                  <w:hideMark/>
                </w:tcPr>
                <w:p w14:paraId="7E0445FD"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11%</w:t>
                  </w:r>
                </w:p>
              </w:tc>
              <w:tc>
                <w:tcPr>
                  <w:tcW w:w="921" w:type="dxa"/>
                  <w:tcBorders>
                    <w:top w:val="nil"/>
                    <w:left w:val="nil"/>
                    <w:bottom w:val="single" w:sz="8" w:space="0" w:color="FFFFFF"/>
                    <w:right w:val="single" w:sz="8" w:space="0" w:color="FFFFFF"/>
                  </w:tcBorders>
                  <w:shd w:val="clear" w:color="000000" w:fill="FCD5B4"/>
                  <w:noWrap/>
                  <w:vAlign w:val="center"/>
                  <w:hideMark/>
                </w:tcPr>
                <w:p w14:paraId="04FE0708"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16%</w:t>
                  </w:r>
                </w:p>
              </w:tc>
              <w:tc>
                <w:tcPr>
                  <w:tcW w:w="921" w:type="dxa"/>
                  <w:tcBorders>
                    <w:top w:val="nil"/>
                    <w:left w:val="nil"/>
                    <w:bottom w:val="single" w:sz="8" w:space="0" w:color="FFFFFF"/>
                    <w:right w:val="single" w:sz="8" w:space="0" w:color="FFFFFF"/>
                  </w:tcBorders>
                  <w:shd w:val="clear" w:color="000000" w:fill="FCD5B4"/>
                  <w:noWrap/>
                  <w:vAlign w:val="center"/>
                  <w:hideMark/>
                </w:tcPr>
                <w:p w14:paraId="206064CC"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51%</w:t>
                  </w:r>
                </w:p>
              </w:tc>
              <w:tc>
                <w:tcPr>
                  <w:tcW w:w="1157" w:type="dxa"/>
                  <w:tcBorders>
                    <w:top w:val="nil"/>
                    <w:left w:val="nil"/>
                    <w:bottom w:val="single" w:sz="8" w:space="0" w:color="FFFFFF"/>
                    <w:right w:val="single" w:sz="8" w:space="0" w:color="FFFFFF"/>
                  </w:tcBorders>
                  <w:shd w:val="clear" w:color="000000" w:fill="FCD5B4"/>
                  <w:noWrap/>
                  <w:vAlign w:val="center"/>
                  <w:hideMark/>
                </w:tcPr>
                <w:p w14:paraId="2D07A400"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192B6F31"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4%</w:t>
                  </w:r>
                </w:p>
              </w:tc>
              <w:tc>
                <w:tcPr>
                  <w:tcW w:w="921" w:type="dxa"/>
                  <w:tcBorders>
                    <w:top w:val="nil"/>
                    <w:left w:val="nil"/>
                    <w:bottom w:val="single" w:sz="8" w:space="0" w:color="FFFFFF"/>
                    <w:right w:val="single" w:sz="8" w:space="0" w:color="FFFFFF"/>
                  </w:tcBorders>
                  <w:shd w:val="clear" w:color="000000" w:fill="FCD5B4"/>
                  <w:noWrap/>
                  <w:vAlign w:val="center"/>
                  <w:hideMark/>
                </w:tcPr>
                <w:p w14:paraId="32556073"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0%</w:t>
                  </w:r>
                </w:p>
              </w:tc>
              <w:tc>
                <w:tcPr>
                  <w:tcW w:w="921" w:type="dxa"/>
                  <w:tcBorders>
                    <w:top w:val="nil"/>
                    <w:left w:val="nil"/>
                    <w:bottom w:val="single" w:sz="8" w:space="0" w:color="FFFFFF"/>
                    <w:right w:val="single" w:sz="8" w:space="0" w:color="FFFFFF"/>
                  </w:tcBorders>
                  <w:shd w:val="clear" w:color="000000" w:fill="FCD5B4"/>
                  <w:noWrap/>
                  <w:vAlign w:val="center"/>
                  <w:hideMark/>
                </w:tcPr>
                <w:p w14:paraId="1061F7B8"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5%</w:t>
                  </w:r>
                </w:p>
              </w:tc>
              <w:tc>
                <w:tcPr>
                  <w:tcW w:w="921" w:type="dxa"/>
                  <w:tcBorders>
                    <w:top w:val="nil"/>
                    <w:left w:val="nil"/>
                    <w:bottom w:val="single" w:sz="8" w:space="0" w:color="FFFFFF"/>
                    <w:right w:val="single" w:sz="8" w:space="0" w:color="FFFFFF"/>
                  </w:tcBorders>
                  <w:shd w:val="clear" w:color="000000" w:fill="FCD5B4"/>
                  <w:noWrap/>
                  <w:vAlign w:val="center"/>
                  <w:hideMark/>
                </w:tcPr>
                <w:p w14:paraId="1968FC74"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56%</w:t>
                  </w:r>
                </w:p>
              </w:tc>
            </w:tr>
            <w:tr w:rsidR="008011F8" w:rsidRPr="008011F8" w14:paraId="5398C64B" w14:textId="77777777" w:rsidTr="008011F8">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658D3D5D"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7677F505"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15%</w:t>
                  </w:r>
                </w:p>
              </w:tc>
              <w:tc>
                <w:tcPr>
                  <w:tcW w:w="921" w:type="dxa"/>
                  <w:tcBorders>
                    <w:top w:val="nil"/>
                    <w:left w:val="nil"/>
                    <w:bottom w:val="single" w:sz="8" w:space="0" w:color="FFFFFF"/>
                    <w:right w:val="single" w:sz="8" w:space="0" w:color="FFFFFF"/>
                  </w:tcBorders>
                  <w:shd w:val="clear" w:color="000000" w:fill="FDE9D9"/>
                  <w:noWrap/>
                  <w:vAlign w:val="center"/>
                  <w:hideMark/>
                </w:tcPr>
                <w:p w14:paraId="72FFB1A8"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7%</w:t>
                  </w:r>
                </w:p>
              </w:tc>
              <w:tc>
                <w:tcPr>
                  <w:tcW w:w="921" w:type="dxa"/>
                  <w:tcBorders>
                    <w:top w:val="nil"/>
                    <w:left w:val="nil"/>
                    <w:bottom w:val="single" w:sz="8" w:space="0" w:color="FFFFFF"/>
                    <w:right w:val="single" w:sz="8" w:space="0" w:color="FFFFFF"/>
                  </w:tcBorders>
                  <w:shd w:val="clear" w:color="000000" w:fill="FDE9D9"/>
                  <w:noWrap/>
                  <w:vAlign w:val="center"/>
                  <w:hideMark/>
                </w:tcPr>
                <w:p w14:paraId="564F6926"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12%</w:t>
                  </w:r>
                </w:p>
              </w:tc>
              <w:tc>
                <w:tcPr>
                  <w:tcW w:w="921" w:type="dxa"/>
                  <w:tcBorders>
                    <w:top w:val="nil"/>
                    <w:left w:val="nil"/>
                    <w:bottom w:val="single" w:sz="8" w:space="0" w:color="FFFFFF"/>
                    <w:right w:val="single" w:sz="8" w:space="0" w:color="FFFFFF"/>
                  </w:tcBorders>
                  <w:shd w:val="clear" w:color="000000" w:fill="FDE9D9"/>
                  <w:noWrap/>
                  <w:vAlign w:val="center"/>
                  <w:hideMark/>
                </w:tcPr>
                <w:p w14:paraId="3F81BF08"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44%</w:t>
                  </w:r>
                </w:p>
              </w:tc>
              <w:tc>
                <w:tcPr>
                  <w:tcW w:w="1157" w:type="dxa"/>
                  <w:tcBorders>
                    <w:top w:val="nil"/>
                    <w:left w:val="nil"/>
                    <w:bottom w:val="single" w:sz="8" w:space="0" w:color="FFFFFF"/>
                    <w:right w:val="single" w:sz="8" w:space="0" w:color="FFFFFF"/>
                  </w:tcBorders>
                  <w:shd w:val="clear" w:color="000000" w:fill="FDE9D9"/>
                  <w:noWrap/>
                  <w:vAlign w:val="center"/>
                  <w:hideMark/>
                </w:tcPr>
                <w:p w14:paraId="6F8A62C8" w14:textId="77777777" w:rsidR="008011F8" w:rsidRPr="008011F8" w:rsidRDefault="008011F8" w:rsidP="008011F8">
                  <w:pPr>
                    <w:widowControl/>
                    <w:jc w:val="center"/>
                    <w:rPr>
                      <w:rFonts w:ascii="楷体" w:eastAsia="楷体" w:hAnsi="楷体" w:cs="宋体"/>
                      <w:color w:val="000000"/>
                      <w:kern w:val="0"/>
                      <w:sz w:val="20"/>
                      <w:szCs w:val="20"/>
                    </w:rPr>
                  </w:pPr>
                  <w:r w:rsidRPr="008011F8">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2AFC7A6F"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10%</w:t>
                  </w:r>
                </w:p>
              </w:tc>
              <w:tc>
                <w:tcPr>
                  <w:tcW w:w="921" w:type="dxa"/>
                  <w:tcBorders>
                    <w:top w:val="nil"/>
                    <w:left w:val="nil"/>
                    <w:bottom w:val="single" w:sz="8" w:space="0" w:color="FFFFFF"/>
                    <w:right w:val="single" w:sz="8" w:space="0" w:color="FFFFFF"/>
                  </w:tcBorders>
                  <w:shd w:val="clear" w:color="000000" w:fill="FDE9D9"/>
                  <w:noWrap/>
                  <w:vAlign w:val="center"/>
                  <w:hideMark/>
                </w:tcPr>
                <w:p w14:paraId="32F1BDD4"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4%</w:t>
                  </w:r>
                </w:p>
              </w:tc>
              <w:tc>
                <w:tcPr>
                  <w:tcW w:w="921" w:type="dxa"/>
                  <w:tcBorders>
                    <w:top w:val="nil"/>
                    <w:left w:val="nil"/>
                    <w:bottom w:val="single" w:sz="8" w:space="0" w:color="FFFFFF"/>
                    <w:right w:val="single" w:sz="8" w:space="0" w:color="FFFFFF"/>
                  </w:tcBorders>
                  <w:shd w:val="clear" w:color="000000" w:fill="FDE9D9"/>
                  <w:noWrap/>
                  <w:vAlign w:val="center"/>
                  <w:hideMark/>
                </w:tcPr>
                <w:p w14:paraId="7F0C4F1F"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8%</w:t>
                  </w:r>
                </w:p>
              </w:tc>
              <w:tc>
                <w:tcPr>
                  <w:tcW w:w="921" w:type="dxa"/>
                  <w:tcBorders>
                    <w:top w:val="nil"/>
                    <w:left w:val="nil"/>
                    <w:bottom w:val="single" w:sz="8" w:space="0" w:color="FFFFFF"/>
                    <w:right w:val="single" w:sz="8" w:space="0" w:color="FFFFFF"/>
                  </w:tcBorders>
                  <w:shd w:val="clear" w:color="000000" w:fill="FDE9D9"/>
                  <w:noWrap/>
                  <w:vAlign w:val="center"/>
                  <w:hideMark/>
                </w:tcPr>
                <w:p w14:paraId="164441B0"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54%</w:t>
                  </w:r>
                </w:p>
              </w:tc>
            </w:tr>
            <w:tr w:rsidR="008011F8" w:rsidRPr="008011F8" w14:paraId="310B5151" w14:textId="77777777" w:rsidTr="008011F8">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26FBFE6B" w14:textId="77777777" w:rsidR="008011F8" w:rsidRPr="008011F8" w:rsidRDefault="008011F8" w:rsidP="008011F8">
                  <w:pPr>
                    <w:widowControl/>
                    <w:jc w:val="center"/>
                    <w:rPr>
                      <w:rFonts w:ascii="楷体" w:eastAsia="楷体" w:hAnsi="楷体" w:cs="宋体"/>
                      <w:color w:val="000000"/>
                      <w:kern w:val="0"/>
                      <w:sz w:val="20"/>
                      <w:szCs w:val="20"/>
                    </w:rPr>
                  </w:pPr>
                  <w:proofErr w:type="gramStart"/>
                  <w:r w:rsidRPr="008011F8">
                    <w:rPr>
                      <w:rFonts w:ascii="楷体" w:eastAsia="楷体" w:hAnsi="楷体" w:cs="宋体" w:hint="eastAsia"/>
                      <w:color w:val="000000"/>
                      <w:kern w:val="0"/>
                      <w:sz w:val="20"/>
                      <w:szCs w:val="20"/>
                    </w:rPr>
                    <w:t>城投债</w:t>
                  </w:r>
                  <w:proofErr w:type="gramEnd"/>
                  <w:r w:rsidRPr="008011F8">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2C5C1A2D"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17%</w:t>
                  </w:r>
                </w:p>
              </w:tc>
              <w:tc>
                <w:tcPr>
                  <w:tcW w:w="921" w:type="dxa"/>
                  <w:tcBorders>
                    <w:top w:val="nil"/>
                    <w:left w:val="nil"/>
                    <w:bottom w:val="single" w:sz="8" w:space="0" w:color="FFFFFF"/>
                    <w:right w:val="single" w:sz="8" w:space="0" w:color="FFFFFF"/>
                  </w:tcBorders>
                  <w:shd w:val="clear" w:color="000000" w:fill="FCD5B4"/>
                  <w:noWrap/>
                  <w:vAlign w:val="center"/>
                  <w:hideMark/>
                </w:tcPr>
                <w:p w14:paraId="6464F8E0"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15%</w:t>
                  </w:r>
                </w:p>
              </w:tc>
              <w:tc>
                <w:tcPr>
                  <w:tcW w:w="921" w:type="dxa"/>
                  <w:tcBorders>
                    <w:top w:val="nil"/>
                    <w:left w:val="nil"/>
                    <w:bottom w:val="single" w:sz="8" w:space="0" w:color="FFFFFF"/>
                    <w:right w:val="single" w:sz="8" w:space="0" w:color="FFFFFF"/>
                  </w:tcBorders>
                  <w:shd w:val="clear" w:color="000000" w:fill="FCD5B4"/>
                  <w:noWrap/>
                  <w:vAlign w:val="center"/>
                  <w:hideMark/>
                </w:tcPr>
                <w:p w14:paraId="10ACA2FD"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12%</w:t>
                  </w:r>
                </w:p>
              </w:tc>
              <w:tc>
                <w:tcPr>
                  <w:tcW w:w="921" w:type="dxa"/>
                  <w:tcBorders>
                    <w:top w:val="nil"/>
                    <w:left w:val="nil"/>
                    <w:bottom w:val="single" w:sz="8" w:space="0" w:color="FFFFFF"/>
                    <w:right w:val="single" w:sz="8" w:space="0" w:color="FFFFFF"/>
                  </w:tcBorders>
                  <w:shd w:val="clear" w:color="000000" w:fill="FCD5B4"/>
                  <w:noWrap/>
                  <w:vAlign w:val="center"/>
                  <w:hideMark/>
                </w:tcPr>
                <w:p w14:paraId="49F56FD1"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64%</w:t>
                  </w:r>
                </w:p>
              </w:tc>
              <w:tc>
                <w:tcPr>
                  <w:tcW w:w="1157" w:type="dxa"/>
                  <w:tcBorders>
                    <w:top w:val="nil"/>
                    <w:left w:val="nil"/>
                    <w:bottom w:val="single" w:sz="8" w:space="0" w:color="FFFFFF"/>
                    <w:right w:val="single" w:sz="8" w:space="0" w:color="FFFFFF"/>
                  </w:tcBorders>
                  <w:shd w:val="clear" w:color="000000" w:fill="FCD5B4"/>
                  <w:noWrap/>
                  <w:vAlign w:val="center"/>
                  <w:hideMark/>
                </w:tcPr>
                <w:p w14:paraId="67CF8FB2" w14:textId="77777777" w:rsidR="008011F8" w:rsidRPr="008011F8" w:rsidRDefault="008011F8" w:rsidP="008011F8">
                  <w:pPr>
                    <w:widowControl/>
                    <w:jc w:val="center"/>
                    <w:rPr>
                      <w:rFonts w:ascii="楷体" w:eastAsia="楷体" w:hAnsi="楷体" w:cs="宋体"/>
                      <w:color w:val="000000"/>
                      <w:kern w:val="0"/>
                      <w:sz w:val="20"/>
                      <w:szCs w:val="20"/>
                    </w:rPr>
                  </w:pPr>
                  <w:proofErr w:type="gramStart"/>
                  <w:r w:rsidRPr="008011F8">
                    <w:rPr>
                      <w:rFonts w:ascii="楷体" w:eastAsia="楷体" w:hAnsi="楷体" w:cs="宋体" w:hint="eastAsia"/>
                      <w:color w:val="000000"/>
                      <w:kern w:val="0"/>
                      <w:sz w:val="20"/>
                      <w:szCs w:val="20"/>
                    </w:rPr>
                    <w:t>城投债</w:t>
                  </w:r>
                  <w:proofErr w:type="gramEnd"/>
                  <w:r w:rsidRPr="008011F8">
                    <w:rPr>
                      <w:rFonts w:ascii="楷体" w:eastAsia="楷体" w:hAnsi="楷体" w:cs="宋体" w:hint="eastAsia"/>
                      <w:color w:val="000000"/>
                      <w:kern w:val="0"/>
                      <w:sz w:val="20"/>
                      <w:szCs w:val="20"/>
                    </w:rPr>
                    <w:t>3Y</w:t>
                  </w:r>
                </w:p>
              </w:tc>
              <w:tc>
                <w:tcPr>
                  <w:tcW w:w="921" w:type="dxa"/>
                  <w:tcBorders>
                    <w:top w:val="nil"/>
                    <w:left w:val="nil"/>
                    <w:bottom w:val="single" w:sz="8" w:space="0" w:color="FFFFFF"/>
                    <w:right w:val="single" w:sz="8" w:space="0" w:color="FFFFFF"/>
                  </w:tcBorders>
                  <w:shd w:val="clear" w:color="000000" w:fill="FCD5B4"/>
                  <w:noWrap/>
                  <w:vAlign w:val="center"/>
                  <w:hideMark/>
                </w:tcPr>
                <w:p w14:paraId="20C899A6"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4%</w:t>
                  </w:r>
                </w:p>
              </w:tc>
              <w:tc>
                <w:tcPr>
                  <w:tcW w:w="921" w:type="dxa"/>
                  <w:tcBorders>
                    <w:top w:val="nil"/>
                    <w:left w:val="nil"/>
                    <w:bottom w:val="single" w:sz="8" w:space="0" w:color="FFFFFF"/>
                    <w:right w:val="single" w:sz="8" w:space="0" w:color="FFFFFF"/>
                  </w:tcBorders>
                  <w:shd w:val="clear" w:color="000000" w:fill="FCD5B4"/>
                  <w:noWrap/>
                  <w:vAlign w:val="center"/>
                  <w:hideMark/>
                </w:tcPr>
                <w:p w14:paraId="4ABB440E"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5%</w:t>
                  </w:r>
                </w:p>
              </w:tc>
              <w:tc>
                <w:tcPr>
                  <w:tcW w:w="921" w:type="dxa"/>
                  <w:tcBorders>
                    <w:top w:val="nil"/>
                    <w:left w:val="nil"/>
                    <w:bottom w:val="single" w:sz="8" w:space="0" w:color="FFFFFF"/>
                    <w:right w:val="single" w:sz="8" w:space="0" w:color="FFFFFF"/>
                  </w:tcBorders>
                  <w:shd w:val="clear" w:color="000000" w:fill="FCD5B4"/>
                  <w:noWrap/>
                  <w:vAlign w:val="center"/>
                  <w:hideMark/>
                </w:tcPr>
                <w:p w14:paraId="0D2EA342"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4%</w:t>
                  </w:r>
                </w:p>
              </w:tc>
              <w:tc>
                <w:tcPr>
                  <w:tcW w:w="921" w:type="dxa"/>
                  <w:tcBorders>
                    <w:top w:val="nil"/>
                    <w:left w:val="nil"/>
                    <w:bottom w:val="single" w:sz="8" w:space="0" w:color="FFFFFF"/>
                    <w:right w:val="single" w:sz="8" w:space="0" w:color="FFFFFF"/>
                  </w:tcBorders>
                  <w:shd w:val="clear" w:color="000000" w:fill="FCD5B4"/>
                  <w:noWrap/>
                  <w:vAlign w:val="center"/>
                  <w:hideMark/>
                </w:tcPr>
                <w:p w14:paraId="5139CA1B"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76%</w:t>
                  </w:r>
                </w:p>
              </w:tc>
            </w:tr>
            <w:tr w:rsidR="008011F8" w:rsidRPr="008011F8" w14:paraId="44150745" w14:textId="77777777" w:rsidTr="008011F8">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1A3B4C4C" w14:textId="77777777" w:rsidR="008011F8" w:rsidRPr="008011F8" w:rsidRDefault="008011F8" w:rsidP="008011F8">
                  <w:pPr>
                    <w:widowControl/>
                    <w:jc w:val="center"/>
                    <w:rPr>
                      <w:rFonts w:ascii="楷体" w:eastAsia="楷体" w:hAnsi="楷体" w:cs="宋体"/>
                      <w:color w:val="000000"/>
                      <w:kern w:val="0"/>
                      <w:sz w:val="20"/>
                      <w:szCs w:val="20"/>
                    </w:rPr>
                  </w:pPr>
                  <w:proofErr w:type="gramStart"/>
                  <w:r w:rsidRPr="008011F8">
                    <w:rPr>
                      <w:rFonts w:ascii="楷体" w:eastAsia="楷体" w:hAnsi="楷体" w:cs="宋体" w:hint="eastAsia"/>
                      <w:color w:val="000000"/>
                      <w:kern w:val="0"/>
                      <w:sz w:val="20"/>
                      <w:szCs w:val="20"/>
                    </w:rPr>
                    <w:t>城投债</w:t>
                  </w:r>
                  <w:proofErr w:type="gramEnd"/>
                  <w:r w:rsidRPr="008011F8">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6FEAB81A"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12%</w:t>
                  </w:r>
                </w:p>
              </w:tc>
              <w:tc>
                <w:tcPr>
                  <w:tcW w:w="921" w:type="dxa"/>
                  <w:tcBorders>
                    <w:top w:val="nil"/>
                    <w:left w:val="nil"/>
                    <w:bottom w:val="single" w:sz="8" w:space="0" w:color="FFFFFF"/>
                    <w:right w:val="single" w:sz="8" w:space="0" w:color="FFFFFF"/>
                  </w:tcBorders>
                  <w:shd w:val="clear" w:color="000000" w:fill="FDE9D9"/>
                  <w:noWrap/>
                  <w:vAlign w:val="center"/>
                  <w:hideMark/>
                </w:tcPr>
                <w:p w14:paraId="1AA5BC00"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DE9D9"/>
                  <w:noWrap/>
                  <w:vAlign w:val="center"/>
                  <w:hideMark/>
                </w:tcPr>
                <w:p w14:paraId="632A1DE5"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16%</w:t>
                  </w:r>
                </w:p>
              </w:tc>
              <w:tc>
                <w:tcPr>
                  <w:tcW w:w="921" w:type="dxa"/>
                  <w:tcBorders>
                    <w:top w:val="nil"/>
                    <w:left w:val="nil"/>
                    <w:bottom w:val="single" w:sz="8" w:space="0" w:color="FFFFFF"/>
                    <w:right w:val="single" w:sz="8" w:space="0" w:color="FFFFFF"/>
                  </w:tcBorders>
                  <w:shd w:val="clear" w:color="000000" w:fill="FDE9D9"/>
                  <w:noWrap/>
                  <w:vAlign w:val="center"/>
                  <w:hideMark/>
                </w:tcPr>
                <w:p w14:paraId="61C9C87C"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80%</w:t>
                  </w:r>
                </w:p>
              </w:tc>
              <w:tc>
                <w:tcPr>
                  <w:tcW w:w="1157" w:type="dxa"/>
                  <w:tcBorders>
                    <w:top w:val="nil"/>
                    <w:left w:val="nil"/>
                    <w:bottom w:val="single" w:sz="8" w:space="0" w:color="FFFFFF"/>
                    <w:right w:val="single" w:sz="8" w:space="0" w:color="FFFFFF"/>
                  </w:tcBorders>
                  <w:shd w:val="clear" w:color="000000" w:fill="FDE9D9"/>
                  <w:noWrap/>
                  <w:vAlign w:val="center"/>
                  <w:hideMark/>
                </w:tcPr>
                <w:p w14:paraId="151D2546" w14:textId="77777777" w:rsidR="008011F8" w:rsidRPr="008011F8" w:rsidRDefault="008011F8" w:rsidP="008011F8">
                  <w:pPr>
                    <w:widowControl/>
                    <w:jc w:val="center"/>
                    <w:rPr>
                      <w:rFonts w:ascii="楷体" w:eastAsia="楷体" w:hAnsi="楷体" w:cs="宋体"/>
                      <w:color w:val="000000"/>
                      <w:kern w:val="0"/>
                      <w:sz w:val="20"/>
                      <w:szCs w:val="20"/>
                    </w:rPr>
                  </w:pPr>
                  <w:proofErr w:type="gramStart"/>
                  <w:r w:rsidRPr="008011F8">
                    <w:rPr>
                      <w:rFonts w:ascii="楷体" w:eastAsia="楷体" w:hAnsi="楷体" w:cs="宋体" w:hint="eastAsia"/>
                      <w:color w:val="000000"/>
                      <w:kern w:val="0"/>
                      <w:sz w:val="20"/>
                      <w:szCs w:val="20"/>
                    </w:rPr>
                    <w:t>城投债</w:t>
                  </w:r>
                  <w:proofErr w:type="gramEnd"/>
                  <w:r w:rsidRPr="008011F8">
                    <w:rPr>
                      <w:rFonts w:ascii="楷体" w:eastAsia="楷体" w:hAnsi="楷体" w:cs="宋体" w:hint="eastAsia"/>
                      <w:color w:val="000000"/>
                      <w:kern w:val="0"/>
                      <w:sz w:val="20"/>
                      <w:szCs w:val="20"/>
                    </w:rPr>
                    <w:t>5Y</w:t>
                  </w:r>
                </w:p>
              </w:tc>
              <w:tc>
                <w:tcPr>
                  <w:tcW w:w="921" w:type="dxa"/>
                  <w:tcBorders>
                    <w:top w:val="nil"/>
                    <w:left w:val="nil"/>
                    <w:bottom w:val="single" w:sz="8" w:space="0" w:color="FFFFFF"/>
                    <w:right w:val="single" w:sz="8" w:space="0" w:color="FFFFFF"/>
                  </w:tcBorders>
                  <w:shd w:val="clear" w:color="000000" w:fill="FDE9D9"/>
                  <w:noWrap/>
                  <w:vAlign w:val="center"/>
                  <w:hideMark/>
                </w:tcPr>
                <w:p w14:paraId="1A2BBB4F"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5%</w:t>
                  </w:r>
                </w:p>
              </w:tc>
              <w:tc>
                <w:tcPr>
                  <w:tcW w:w="921" w:type="dxa"/>
                  <w:tcBorders>
                    <w:top w:val="nil"/>
                    <w:left w:val="nil"/>
                    <w:bottom w:val="single" w:sz="8" w:space="0" w:color="FFFFFF"/>
                    <w:right w:val="single" w:sz="8" w:space="0" w:color="FFFFFF"/>
                  </w:tcBorders>
                  <w:shd w:val="clear" w:color="000000" w:fill="FDE9D9"/>
                  <w:noWrap/>
                  <w:vAlign w:val="center"/>
                  <w:hideMark/>
                </w:tcPr>
                <w:p w14:paraId="1ABD871D"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7%</w:t>
                  </w:r>
                </w:p>
              </w:tc>
              <w:tc>
                <w:tcPr>
                  <w:tcW w:w="921" w:type="dxa"/>
                  <w:tcBorders>
                    <w:top w:val="nil"/>
                    <w:left w:val="nil"/>
                    <w:bottom w:val="single" w:sz="8" w:space="0" w:color="FFFFFF"/>
                    <w:right w:val="single" w:sz="8" w:space="0" w:color="FFFFFF"/>
                  </w:tcBorders>
                  <w:shd w:val="clear" w:color="000000" w:fill="FDE9D9"/>
                  <w:noWrap/>
                  <w:vAlign w:val="center"/>
                  <w:hideMark/>
                </w:tcPr>
                <w:p w14:paraId="73F52CF6"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14%</w:t>
                  </w:r>
                </w:p>
              </w:tc>
              <w:tc>
                <w:tcPr>
                  <w:tcW w:w="921" w:type="dxa"/>
                  <w:tcBorders>
                    <w:top w:val="nil"/>
                    <w:left w:val="nil"/>
                    <w:bottom w:val="single" w:sz="8" w:space="0" w:color="FFFFFF"/>
                    <w:right w:val="single" w:sz="8" w:space="0" w:color="FFFFFF"/>
                  </w:tcBorders>
                  <w:shd w:val="clear" w:color="000000" w:fill="FFC7CE"/>
                  <w:noWrap/>
                  <w:vAlign w:val="center"/>
                  <w:hideMark/>
                </w:tcPr>
                <w:p w14:paraId="1FCAD9DF" w14:textId="77777777" w:rsidR="008011F8" w:rsidRPr="008011F8" w:rsidRDefault="008011F8" w:rsidP="008011F8">
                  <w:pPr>
                    <w:widowControl/>
                    <w:jc w:val="center"/>
                    <w:rPr>
                      <w:rFonts w:eastAsia="等线" w:cs="Calibri"/>
                      <w:color w:val="9C0006"/>
                      <w:kern w:val="0"/>
                      <w:szCs w:val="21"/>
                    </w:rPr>
                  </w:pPr>
                  <w:r w:rsidRPr="008011F8">
                    <w:rPr>
                      <w:rFonts w:eastAsia="等线" w:cs="Calibri"/>
                      <w:color w:val="9C0006"/>
                      <w:kern w:val="0"/>
                      <w:szCs w:val="21"/>
                    </w:rPr>
                    <w:t>89%</w:t>
                  </w:r>
                </w:p>
              </w:tc>
            </w:tr>
            <w:tr w:rsidR="008011F8" w:rsidRPr="008011F8" w14:paraId="0D213CFA" w14:textId="77777777" w:rsidTr="008011F8">
              <w:trPr>
                <w:trHeight w:val="300"/>
              </w:trPr>
              <w:tc>
                <w:tcPr>
                  <w:tcW w:w="1350" w:type="dxa"/>
                  <w:tcBorders>
                    <w:top w:val="nil"/>
                    <w:left w:val="nil"/>
                    <w:bottom w:val="nil"/>
                    <w:right w:val="nil"/>
                  </w:tcBorders>
                  <w:shd w:val="clear" w:color="000000" w:fill="FCD5B4"/>
                  <w:noWrap/>
                  <w:vAlign w:val="center"/>
                  <w:hideMark/>
                </w:tcPr>
                <w:p w14:paraId="75C4B1F0" w14:textId="77777777" w:rsidR="008011F8" w:rsidRPr="008011F8" w:rsidRDefault="008011F8" w:rsidP="008011F8">
                  <w:pPr>
                    <w:widowControl/>
                    <w:jc w:val="center"/>
                    <w:rPr>
                      <w:rFonts w:ascii="楷体" w:eastAsia="楷体" w:hAnsi="楷体" w:cs="宋体"/>
                      <w:color w:val="000000"/>
                      <w:kern w:val="0"/>
                      <w:sz w:val="20"/>
                      <w:szCs w:val="20"/>
                    </w:rPr>
                  </w:pPr>
                  <w:proofErr w:type="gramStart"/>
                  <w:r w:rsidRPr="008011F8">
                    <w:rPr>
                      <w:rFonts w:ascii="楷体" w:eastAsia="楷体" w:hAnsi="楷体" w:cs="宋体" w:hint="eastAsia"/>
                      <w:color w:val="000000"/>
                      <w:kern w:val="0"/>
                      <w:sz w:val="20"/>
                      <w:szCs w:val="20"/>
                    </w:rPr>
                    <w:t>城投债</w:t>
                  </w:r>
                  <w:proofErr w:type="gramEnd"/>
                  <w:r w:rsidRPr="008011F8">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15EB3628"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11%</w:t>
                  </w:r>
                </w:p>
              </w:tc>
              <w:tc>
                <w:tcPr>
                  <w:tcW w:w="921" w:type="dxa"/>
                  <w:tcBorders>
                    <w:top w:val="nil"/>
                    <w:left w:val="nil"/>
                    <w:bottom w:val="single" w:sz="8" w:space="0" w:color="FFFFFF"/>
                    <w:right w:val="single" w:sz="8" w:space="0" w:color="FFFFFF"/>
                  </w:tcBorders>
                  <w:shd w:val="clear" w:color="000000" w:fill="FCD5B4"/>
                  <w:noWrap/>
                  <w:vAlign w:val="center"/>
                  <w:hideMark/>
                </w:tcPr>
                <w:p w14:paraId="7B895AA5"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11%</w:t>
                  </w:r>
                </w:p>
              </w:tc>
              <w:tc>
                <w:tcPr>
                  <w:tcW w:w="921" w:type="dxa"/>
                  <w:tcBorders>
                    <w:top w:val="nil"/>
                    <w:left w:val="nil"/>
                    <w:bottom w:val="single" w:sz="8" w:space="0" w:color="FFFFFF"/>
                    <w:right w:val="single" w:sz="8" w:space="0" w:color="FFFFFF"/>
                  </w:tcBorders>
                  <w:shd w:val="clear" w:color="000000" w:fill="FCD5B4"/>
                  <w:noWrap/>
                  <w:vAlign w:val="center"/>
                  <w:hideMark/>
                </w:tcPr>
                <w:p w14:paraId="5F675C08"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CD5B4"/>
                  <w:noWrap/>
                  <w:vAlign w:val="center"/>
                  <w:hideMark/>
                </w:tcPr>
                <w:p w14:paraId="1B4294EC"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74%</w:t>
                  </w:r>
                </w:p>
              </w:tc>
              <w:tc>
                <w:tcPr>
                  <w:tcW w:w="1157" w:type="dxa"/>
                  <w:tcBorders>
                    <w:top w:val="nil"/>
                    <w:left w:val="nil"/>
                    <w:bottom w:val="nil"/>
                    <w:right w:val="nil"/>
                  </w:tcBorders>
                  <w:shd w:val="clear" w:color="000000" w:fill="FCD5B4"/>
                  <w:noWrap/>
                  <w:vAlign w:val="center"/>
                  <w:hideMark/>
                </w:tcPr>
                <w:p w14:paraId="6457D86E" w14:textId="77777777" w:rsidR="008011F8" w:rsidRPr="008011F8" w:rsidRDefault="008011F8" w:rsidP="008011F8">
                  <w:pPr>
                    <w:widowControl/>
                    <w:jc w:val="center"/>
                    <w:rPr>
                      <w:rFonts w:ascii="楷体" w:eastAsia="楷体" w:hAnsi="楷体" w:cs="宋体"/>
                      <w:color w:val="000000"/>
                      <w:kern w:val="0"/>
                      <w:sz w:val="20"/>
                      <w:szCs w:val="20"/>
                    </w:rPr>
                  </w:pPr>
                  <w:proofErr w:type="gramStart"/>
                  <w:r w:rsidRPr="008011F8">
                    <w:rPr>
                      <w:rFonts w:ascii="楷体" w:eastAsia="楷体" w:hAnsi="楷体" w:cs="宋体" w:hint="eastAsia"/>
                      <w:color w:val="000000"/>
                      <w:kern w:val="0"/>
                      <w:sz w:val="20"/>
                      <w:szCs w:val="20"/>
                    </w:rPr>
                    <w:t>城投债</w:t>
                  </w:r>
                  <w:proofErr w:type="gramEnd"/>
                  <w:r w:rsidRPr="008011F8">
                    <w:rPr>
                      <w:rFonts w:ascii="楷体" w:eastAsia="楷体" w:hAnsi="楷体" w:cs="宋体" w:hint="eastAsia"/>
                      <w:color w:val="000000"/>
                      <w:kern w:val="0"/>
                      <w:sz w:val="20"/>
                      <w:szCs w:val="20"/>
                    </w:rPr>
                    <w:t>7Y</w:t>
                  </w:r>
                </w:p>
              </w:tc>
              <w:tc>
                <w:tcPr>
                  <w:tcW w:w="921" w:type="dxa"/>
                  <w:tcBorders>
                    <w:top w:val="nil"/>
                    <w:left w:val="nil"/>
                    <w:bottom w:val="single" w:sz="8" w:space="0" w:color="FFFFFF"/>
                    <w:right w:val="single" w:sz="8" w:space="0" w:color="FFFFFF"/>
                  </w:tcBorders>
                  <w:shd w:val="clear" w:color="000000" w:fill="FCD5B4"/>
                  <w:noWrap/>
                  <w:vAlign w:val="center"/>
                  <w:hideMark/>
                </w:tcPr>
                <w:p w14:paraId="1916E4BB"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6%</w:t>
                  </w:r>
                </w:p>
              </w:tc>
              <w:tc>
                <w:tcPr>
                  <w:tcW w:w="921" w:type="dxa"/>
                  <w:tcBorders>
                    <w:top w:val="nil"/>
                    <w:left w:val="nil"/>
                    <w:bottom w:val="single" w:sz="8" w:space="0" w:color="FFFFFF"/>
                    <w:right w:val="single" w:sz="8" w:space="0" w:color="FFFFFF"/>
                  </w:tcBorders>
                  <w:shd w:val="clear" w:color="000000" w:fill="FCD5B4"/>
                  <w:noWrap/>
                  <w:vAlign w:val="center"/>
                  <w:hideMark/>
                </w:tcPr>
                <w:p w14:paraId="1E519B93"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5%</w:t>
                  </w:r>
                </w:p>
              </w:tc>
              <w:tc>
                <w:tcPr>
                  <w:tcW w:w="921" w:type="dxa"/>
                  <w:tcBorders>
                    <w:top w:val="nil"/>
                    <w:left w:val="nil"/>
                    <w:bottom w:val="single" w:sz="8" w:space="0" w:color="FFFFFF"/>
                    <w:right w:val="single" w:sz="8" w:space="0" w:color="FFFFFF"/>
                  </w:tcBorders>
                  <w:shd w:val="clear" w:color="000000" w:fill="FCD5B4"/>
                  <w:noWrap/>
                  <w:vAlign w:val="center"/>
                  <w:hideMark/>
                </w:tcPr>
                <w:p w14:paraId="3BCA0E60" w14:textId="77777777" w:rsidR="008011F8" w:rsidRPr="008011F8" w:rsidRDefault="008011F8" w:rsidP="008011F8">
                  <w:pPr>
                    <w:widowControl/>
                    <w:jc w:val="center"/>
                    <w:rPr>
                      <w:rFonts w:eastAsia="等线" w:cs="Calibri"/>
                      <w:color w:val="000000"/>
                      <w:kern w:val="0"/>
                      <w:szCs w:val="21"/>
                    </w:rPr>
                  </w:pPr>
                  <w:r w:rsidRPr="008011F8">
                    <w:rPr>
                      <w:rFonts w:eastAsia="等线" w:cs="Calibri"/>
                      <w:color w:val="000000"/>
                      <w:kern w:val="0"/>
                      <w:szCs w:val="21"/>
                    </w:rPr>
                    <w:t>11%</w:t>
                  </w:r>
                </w:p>
              </w:tc>
              <w:tc>
                <w:tcPr>
                  <w:tcW w:w="921" w:type="dxa"/>
                  <w:tcBorders>
                    <w:top w:val="nil"/>
                    <w:left w:val="nil"/>
                    <w:bottom w:val="single" w:sz="8" w:space="0" w:color="FFFFFF"/>
                    <w:right w:val="single" w:sz="8" w:space="0" w:color="FFFFFF"/>
                  </w:tcBorders>
                  <w:shd w:val="clear" w:color="000000" w:fill="FFC7CE"/>
                  <w:noWrap/>
                  <w:vAlign w:val="center"/>
                  <w:hideMark/>
                </w:tcPr>
                <w:p w14:paraId="519646A6" w14:textId="77777777" w:rsidR="008011F8" w:rsidRPr="008011F8" w:rsidRDefault="008011F8" w:rsidP="008011F8">
                  <w:pPr>
                    <w:widowControl/>
                    <w:jc w:val="center"/>
                    <w:rPr>
                      <w:rFonts w:eastAsia="等线" w:cs="Calibri"/>
                      <w:color w:val="9C0006"/>
                      <w:kern w:val="0"/>
                      <w:szCs w:val="21"/>
                    </w:rPr>
                  </w:pPr>
                  <w:r w:rsidRPr="008011F8">
                    <w:rPr>
                      <w:rFonts w:eastAsia="等线" w:cs="Calibri"/>
                      <w:color w:val="9C0006"/>
                      <w:kern w:val="0"/>
                      <w:szCs w:val="21"/>
                    </w:rPr>
                    <w:t>85%</w:t>
                  </w:r>
                </w:p>
              </w:tc>
            </w:tr>
          </w:tbl>
          <w:p w14:paraId="446C7D6E" w14:textId="294F6511" w:rsidR="00E0626C" w:rsidRPr="003C1CC8" w:rsidRDefault="00E0626C" w:rsidP="0092340D">
            <w:pPr>
              <w:rPr>
                <w:noProof/>
                <w:szCs w:val="18"/>
              </w:rPr>
            </w:pPr>
          </w:p>
        </w:tc>
      </w:tr>
      <w:tr w:rsidR="00E0626C" w:rsidRPr="006A5F34" w14:paraId="01D36A65" w14:textId="77777777" w:rsidTr="00220902">
        <w:trPr>
          <w:trHeight w:val="60"/>
          <w:jc w:val="center"/>
        </w:trPr>
        <w:tc>
          <w:tcPr>
            <w:tcW w:w="9713" w:type="dxa"/>
            <w:vAlign w:val="center"/>
          </w:tcPr>
          <w:p w14:paraId="6284202E" w14:textId="2B61B5A0" w:rsidR="00E0626C" w:rsidRPr="006A5F34" w:rsidRDefault="00E0626C" w:rsidP="009A2BA0">
            <w:pPr>
              <w:pStyle w:val="Source"/>
              <w:jc w:val="both"/>
              <w:rPr>
                <w:kern w:val="0"/>
              </w:rPr>
            </w:pPr>
            <w:r w:rsidRPr="006A5F34">
              <w:rPr>
                <w:rFonts w:hint="eastAsia"/>
                <w:kern w:val="0"/>
              </w:rPr>
              <w:lastRenderedPageBreak/>
              <w:t>资料来源：万得</w:t>
            </w:r>
            <w:r>
              <w:rPr>
                <w:rFonts w:hint="eastAsia"/>
                <w:kern w:val="0"/>
              </w:rPr>
              <w:t>，富荣基金；利差基准为同期限国债</w:t>
            </w:r>
          </w:p>
        </w:tc>
      </w:tr>
    </w:tbl>
    <w:p w14:paraId="26A54476" w14:textId="77777777" w:rsidR="00E0626C" w:rsidRPr="009B0E57"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44159635" w:rsidR="00C37204" w:rsidRPr="00C16434" w:rsidRDefault="003926C0" w:rsidP="00416C5F">
      <w:pPr>
        <w:pStyle w:val="Body-text"/>
        <w:spacing w:after="240"/>
        <w:ind w:firstLineChars="200" w:firstLine="480"/>
        <w:rPr>
          <w:rFonts w:ascii="华文楷体" w:hAnsi="华文楷体"/>
          <w:sz w:val="24"/>
          <w:szCs w:val="24"/>
          <w:lang w:eastAsia="zh-CN"/>
        </w:rPr>
      </w:pPr>
      <w:r w:rsidRPr="003926C0">
        <w:rPr>
          <w:rFonts w:ascii="华文楷体" w:hAnsi="华文楷体" w:hint="eastAsia"/>
          <w:sz w:val="24"/>
          <w:szCs w:val="24"/>
          <w:lang w:eastAsia="zh-CN"/>
        </w:rPr>
        <w:t>权益</w:t>
      </w:r>
      <w:r>
        <w:rPr>
          <w:rFonts w:ascii="华文楷体" w:hAnsi="华文楷体" w:hint="eastAsia"/>
          <w:sz w:val="24"/>
          <w:szCs w:val="24"/>
          <w:lang w:eastAsia="zh-CN"/>
        </w:rPr>
        <w:t>市场</w:t>
      </w:r>
      <w:r w:rsidR="005437B0">
        <w:rPr>
          <w:rFonts w:ascii="华文楷体" w:hAnsi="华文楷体" w:hint="eastAsia"/>
          <w:sz w:val="24"/>
          <w:szCs w:val="24"/>
          <w:lang w:eastAsia="zh-CN"/>
        </w:rPr>
        <w:t>，</w:t>
      </w:r>
      <w:r w:rsidR="00980B5C" w:rsidRPr="00980B5C">
        <w:rPr>
          <w:rFonts w:ascii="华文楷体" w:hAnsi="华文楷体" w:hint="eastAsia"/>
          <w:sz w:val="24"/>
          <w:szCs w:val="24"/>
          <w:lang w:eastAsia="zh-CN"/>
        </w:rPr>
        <w:t>各主要板块指数震荡为主，成交量涨跌互现。</w:t>
      </w:r>
      <w:r w:rsidR="00705D32">
        <w:rPr>
          <w:rFonts w:ascii="华文楷体" w:hAnsi="华文楷体" w:hint="eastAsia"/>
          <w:sz w:val="24"/>
          <w:szCs w:val="24"/>
          <w:lang w:eastAsia="zh-CN"/>
        </w:rPr>
        <w:t>市场表现</w:t>
      </w:r>
      <w:r w:rsidR="00591DD3">
        <w:rPr>
          <w:rFonts w:ascii="华文楷体" w:hAnsi="华文楷体" w:hint="eastAsia"/>
          <w:sz w:val="24"/>
          <w:szCs w:val="24"/>
          <w:lang w:eastAsia="zh-CN"/>
        </w:rPr>
        <w:t>，</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D909DA">
        <w:rPr>
          <w:rFonts w:ascii="华文楷体" w:hAnsi="华文楷体" w:hint="eastAsia"/>
          <w:sz w:val="24"/>
          <w:szCs w:val="24"/>
          <w:lang w:eastAsia="zh-CN"/>
        </w:rPr>
        <w:t>-</w:t>
      </w:r>
      <w:r w:rsidR="00980B5C">
        <w:rPr>
          <w:rFonts w:ascii="华文楷体" w:hAnsi="华文楷体"/>
          <w:sz w:val="24"/>
          <w:szCs w:val="24"/>
          <w:lang w:eastAsia="zh-CN"/>
        </w:rPr>
        <w:t>0.</w:t>
      </w:r>
      <w:r w:rsidR="00980B5C">
        <w:rPr>
          <w:rFonts w:ascii="华文楷体" w:hAnsi="华文楷体" w:hint="eastAsia"/>
          <w:sz w:val="24"/>
          <w:szCs w:val="24"/>
          <w:lang w:eastAsia="zh-CN"/>
        </w:rPr>
        <w:t>1</w:t>
      </w:r>
      <w:r w:rsidR="00AC28BB">
        <w:rPr>
          <w:rFonts w:ascii="华文楷体" w:hAnsi="华文楷体"/>
          <w:sz w:val="24"/>
          <w:szCs w:val="24"/>
          <w:lang w:eastAsia="zh-CN"/>
        </w:rPr>
        <w:t>%、</w:t>
      </w:r>
      <w:r w:rsidR="001F098C">
        <w:rPr>
          <w:rFonts w:ascii="华文楷体" w:hAnsi="华文楷体" w:hint="eastAsia"/>
          <w:sz w:val="24"/>
          <w:szCs w:val="24"/>
          <w:lang w:eastAsia="zh-CN"/>
        </w:rPr>
        <w:t>+</w:t>
      </w:r>
      <w:r w:rsidR="00980B5C">
        <w:rPr>
          <w:rFonts w:ascii="华文楷体" w:hAnsi="华文楷体" w:hint="eastAsia"/>
          <w:sz w:val="24"/>
          <w:szCs w:val="24"/>
          <w:lang w:eastAsia="zh-CN"/>
        </w:rPr>
        <w:t>1.7</w:t>
      </w:r>
      <w:r w:rsidR="00AC28BB">
        <w:rPr>
          <w:rFonts w:ascii="华文楷体" w:hAnsi="华文楷体"/>
          <w:sz w:val="24"/>
          <w:szCs w:val="24"/>
          <w:lang w:eastAsia="zh-CN"/>
        </w:rPr>
        <w:t>%、</w:t>
      </w:r>
      <w:r w:rsidR="00D909DA">
        <w:rPr>
          <w:rFonts w:ascii="华文楷体" w:hAnsi="华文楷体" w:hint="eastAsia"/>
          <w:sz w:val="24"/>
          <w:szCs w:val="24"/>
          <w:lang w:eastAsia="zh-CN"/>
        </w:rPr>
        <w:t>-</w:t>
      </w:r>
      <w:r w:rsidR="00D909DA">
        <w:rPr>
          <w:rFonts w:ascii="华文楷体" w:hAnsi="华文楷体"/>
          <w:sz w:val="24"/>
          <w:szCs w:val="24"/>
          <w:lang w:eastAsia="zh-CN"/>
        </w:rPr>
        <w:t>1.</w:t>
      </w:r>
      <w:r w:rsidR="00980B5C">
        <w:rPr>
          <w:rFonts w:ascii="华文楷体" w:hAnsi="华文楷体" w:hint="eastAsia"/>
          <w:sz w:val="24"/>
          <w:szCs w:val="24"/>
          <w:lang w:eastAsia="zh-CN"/>
        </w:rPr>
        <w:t>0</w:t>
      </w:r>
      <w:r w:rsidR="00307DB0">
        <w:rPr>
          <w:rFonts w:ascii="华文楷体" w:hAnsi="华文楷体" w:hint="eastAsia"/>
          <w:sz w:val="24"/>
          <w:szCs w:val="24"/>
          <w:lang w:eastAsia="zh-CN"/>
        </w:rPr>
        <w:t>%</w:t>
      </w:r>
      <w:r w:rsidR="00AC28BB">
        <w:rPr>
          <w:rFonts w:ascii="华文楷体" w:hAnsi="华文楷体" w:hint="eastAsia"/>
          <w:sz w:val="24"/>
          <w:szCs w:val="24"/>
          <w:lang w:eastAsia="zh-CN"/>
        </w:rPr>
        <w:t>和</w:t>
      </w:r>
      <w:r w:rsidR="00D909DA">
        <w:rPr>
          <w:rFonts w:ascii="华文楷体" w:hAnsi="华文楷体" w:hint="eastAsia"/>
          <w:sz w:val="24"/>
          <w:szCs w:val="24"/>
          <w:lang w:eastAsia="zh-CN"/>
        </w:rPr>
        <w:t>-</w:t>
      </w:r>
      <w:r w:rsidR="00980B5C">
        <w:rPr>
          <w:rFonts w:ascii="华文楷体" w:hAnsi="华文楷体" w:hint="eastAsia"/>
          <w:sz w:val="24"/>
          <w:szCs w:val="24"/>
          <w:lang w:eastAsia="zh-CN"/>
        </w:rPr>
        <w:t>1.1</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C16434">
        <w:rPr>
          <w:rFonts w:ascii="华文楷体" w:hAnsi="华文楷体" w:hint="eastAsia"/>
          <w:sz w:val="24"/>
          <w:szCs w:val="24"/>
          <w:lang w:eastAsia="zh-CN"/>
        </w:rPr>
        <w:t>转债市场</w:t>
      </w:r>
      <w:r w:rsidR="000C3954">
        <w:rPr>
          <w:rFonts w:ascii="华文楷体" w:hAnsi="华文楷体" w:hint="eastAsia"/>
          <w:sz w:val="24"/>
          <w:szCs w:val="24"/>
          <w:lang w:eastAsia="zh-CN"/>
        </w:rPr>
        <w:t>上</w:t>
      </w:r>
      <w:r w:rsidR="00307DB0">
        <w:rPr>
          <w:rFonts w:ascii="华文楷体" w:hAnsi="华文楷体" w:hint="eastAsia"/>
          <w:sz w:val="24"/>
          <w:szCs w:val="24"/>
          <w:lang w:eastAsia="zh-CN"/>
        </w:rPr>
        <w:t>周</w:t>
      </w:r>
      <w:r w:rsidR="002C4A75">
        <w:rPr>
          <w:rFonts w:ascii="华文楷体" w:hAnsi="华文楷体" w:hint="eastAsia"/>
          <w:sz w:val="24"/>
          <w:szCs w:val="24"/>
          <w:lang w:eastAsia="zh-CN"/>
        </w:rPr>
        <w:t>涨幅收窄</w:t>
      </w:r>
      <w:r w:rsidR="00DC05C7">
        <w:rPr>
          <w:rFonts w:ascii="华文楷体" w:hAnsi="华文楷体" w:hint="eastAsia"/>
          <w:sz w:val="24"/>
          <w:szCs w:val="24"/>
          <w:lang w:eastAsia="zh-CN"/>
        </w:rPr>
        <w:t>，</w:t>
      </w:r>
      <w:r w:rsidR="00C16434">
        <w:rPr>
          <w:rFonts w:ascii="华文楷体" w:hAnsi="华文楷体" w:hint="eastAsia"/>
          <w:sz w:val="24"/>
          <w:szCs w:val="24"/>
          <w:lang w:eastAsia="zh-CN"/>
        </w:rPr>
        <w:t>中</w:t>
      </w:r>
      <w:proofErr w:type="gramStart"/>
      <w:r w:rsidR="00C16434">
        <w:rPr>
          <w:rFonts w:ascii="华文楷体" w:hAnsi="华文楷体" w:hint="eastAsia"/>
          <w:sz w:val="24"/>
          <w:szCs w:val="24"/>
          <w:lang w:eastAsia="zh-CN"/>
        </w:rPr>
        <w:t>证转债指数</w:t>
      </w:r>
      <w:proofErr w:type="gramEnd"/>
      <w:r w:rsidR="00976757">
        <w:rPr>
          <w:rFonts w:ascii="华文楷体" w:hAnsi="华文楷体" w:hint="eastAsia"/>
          <w:sz w:val="24"/>
          <w:szCs w:val="24"/>
          <w:lang w:eastAsia="zh-CN"/>
        </w:rPr>
        <w:t>微</w:t>
      </w:r>
      <w:r w:rsidR="00980B5C">
        <w:rPr>
          <w:rFonts w:ascii="华文楷体" w:hAnsi="华文楷体" w:hint="eastAsia"/>
          <w:sz w:val="24"/>
          <w:szCs w:val="24"/>
          <w:lang w:eastAsia="zh-CN"/>
        </w:rPr>
        <w:t>跌-0.2</w:t>
      </w:r>
      <w:r w:rsidR="00DE343B" w:rsidRPr="00DE343B">
        <w:rPr>
          <w:rFonts w:ascii="华文楷体" w:hAnsi="华文楷体" w:hint="eastAsia"/>
          <w:sz w:val="24"/>
          <w:szCs w:val="24"/>
          <w:lang w:eastAsia="zh-CN"/>
        </w:rPr>
        <w:t>%</w:t>
      </w:r>
      <w:r w:rsidR="00D86E50">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980B5C">
        <w:tblPrEx>
          <w:tblCellMar>
            <w:left w:w="108" w:type="dxa"/>
            <w:right w:w="108" w:type="dxa"/>
          </w:tblCellMar>
        </w:tblPrEx>
        <w:trPr>
          <w:trHeight w:val="2921"/>
          <w:jc w:val="center"/>
        </w:trPr>
        <w:tc>
          <w:tcPr>
            <w:tcW w:w="4939" w:type="dxa"/>
            <w:vAlign w:val="center"/>
          </w:tcPr>
          <w:p w14:paraId="5C83721A" w14:textId="1B532DA4" w:rsidR="00E0626C" w:rsidRPr="00345C30" w:rsidRDefault="00980B5C" w:rsidP="00345C30">
            <w:pPr>
              <w:widowControl/>
              <w:jc w:val="left"/>
              <w:rPr>
                <w:rFonts w:ascii="宋体" w:hAnsi="宋体" w:cs="宋体"/>
                <w:kern w:val="0"/>
                <w:sz w:val="24"/>
                <w:szCs w:val="24"/>
              </w:rPr>
            </w:pPr>
            <w:r>
              <w:rPr>
                <w:noProof/>
              </w:rPr>
              <w:drawing>
                <wp:inline distT="0" distB="0" distL="0" distR="0" wp14:anchorId="610AA226" wp14:editId="757B624E">
                  <wp:extent cx="3054985" cy="1941078"/>
                  <wp:effectExtent l="0" t="0" r="0" b="254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075133" cy="1953879"/>
                          </a:xfrm>
                          <a:prstGeom prst="rect">
                            <a:avLst/>
                          </a:prstGeom>
                        </pic:spPr>
                      </pic:pic>
                    </a:graphicData>
                  </a:graphic>
                </wp:inline>
              </w:drawing>
            </w:r>
          </w:p>
        </w:tc>
        <w:tc>
          <w:tcPr>
            <w:tcW w:w="4938" w:type="dxa"/>
            <w:vAlign w:val="center"/>
          </w:tcPr>
          <w:p w14:paraId="39BD4383" w14:textId="3D0D1810" w:rsidR="00E0626C" w:rsidRPr="007E0340" w:rsidRDefault="00980B5C" w:rsidP="009A2BA0">
            <w:pPr>
              <w:jc w:val="center"/>
              <w:rPr>
                <w:noProof/>
                <w:szCs w:val="18"/>
              </w:rPr>
            </w:pPr>
            <w:r>
              <w:rPr>
                <w:noProof/>
              </w:rPr>
              <w:drawing>
                <wp:inline distT="0" distB="0" distL="0" distR="0" wp14:anchorId="3A60F0C2" wp14:editId="0FFF6415">
                  <wp:extent cx="2998470" cy="1937993"/>
                  <wp:effectExtent l="0" t="0" r="0" b="5715"/>
                  <wp:docPr id="7" name="图表 7">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w:t>
            </w:r>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w:t>
            </w:r>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BE2819" w:rsidRDefault="00FF7903" w:rsidP="009A2BA0">
      <w:pPr>
        <w:pStyle w:val="Header2"/>
        <w:rPr>
          <w:rFonts w:eastAsia="PMingLiU"/>
          <w:sz w:val="28"/>
          <w:szCs w:val="21"/>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57A4818D" w:rsidR="00882FA5" w:rsidRPr="003E42BE" w:rsidRDefault="00E34B22" w:rsidP="003F00C6">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生产</w:t>
      </w:r>
      <w:r w:rsidR="00CC2F5D" w:rsidRPr="00D67BD7">
        <w:rPr>
          <w:rFonts w:ascii="华文楷体" w:hAnsi="华文楷体" w:hint="eastAsia"/>
          <w:b/>
          <w:bCs/>
          <w:sz w:val="24"/>
          <w:szCs w:val="24"/>
          <w:lang w:eastAsia="zh-CN"/>
        </w:rPr>
        <w:t>：</w:t>
      </w:r>
      <w:r w:rsidR="006E559F" w:rsidRPr="006E559F">
        <w:rPr>
          <w:rFonts w:ascii="华文楷体" w:hAnsi="华文楷体" w:hint="eastAsia"/>
          <w:sz w:val="24"/>
          <w:szCs w:val="24"/>
          <w:lang w:eastAsia="zh-CN"/>
        </w:rPr>
        <w:t>主要港口动力煤平均价环比上涨1.46%。PTA产业链负荷率下降约1个百分点至80.79%。南华玻璃指数均值在3493.88，环比下降0.95%。</w:t>
      </w:r>
      <w:r w:rsidR="000C3954">
        <w:rPr>
          <w:rFonts w:ascii="华文楷体" w:hAnsi="华文楷体" w:hint="eastAsia"/>
          <w:sz w:val="24"/>
          <w:szCs w:val="24"/>
          <w:lang w:eastAsia="zh-CN"/>
        </w:rPr>
        <w:t>上</w:t>
      </w:r>
      <w:r w:rsidR="006E559F" w:rsidRPr="006E559F">
        <w:rPr>
          <w:rFonts w:ascii="华文楷体" w:hAnsi="华文楷体" w:hint="eastAsia"/>
          <w:sz w:val="24"/>
          <w:szCs w:val="24"/>
          <w:lang w:eastAsia="zh-CN"/>
        </w:rPr>
        <w:t>周</w:t>
      </w:r>
      <w:proofErr w:type="spellStart"/>
      <w:r w:rsidR="006E559F" w:rsidRPr="006E559F">
        <w:rPr>
          <w:rFonts w:ascii="华文楷体" w:hAnsi="华文楷体" w:hint="eastAsia"/>
          <w:sz w:val="24"/>
          <w:szCs w:val="24"/>
          <w:lang w:eastAsia="zh-CN"/>
        </w:rPr>
        <w:t>Myspic</w:t>
      </w:r>
      <w:proofErr w:type="spellEnd"/>
      <w:r w:rsidR="006E559F" w:rsidRPr="006E559F">
        <w:rPr>
          <w:rFonts w:ascii="华文楷体" w:hAnsi="华文楷体" w:hint="eastAsia"/>
          <w:sz w:val="24"/>
          <w:szCs w:val="24"/>
          <w:lang w:eastAsia="zh-CN"/>
        </w:rPr>
        <w:t>综合全国钢铁价格指数下行1.1%，主要钢材品种价格环比回调1%左右。按品种看，螺纹钢、热卷、高线价格分别下降1.2%、0.8%、0.6%，价格走势偏弱；库存方面，主要钢材品种库存环比下降0.64%</w:t>
      </w:r>
      <w:r w:rsidR="006E559F">
        <w:rPr>
          <w:rFonts w:ascii="华文楷体" w:hAnsi="华文楷体" w:hint="eastAsia"/>
          <w:sz w:val="24"/>
          <w:szCs w:val="24"/>
          <w:lang w:eastAsia="zh-CN"/>
        </w:rPr>
        <w:t>，去</w:t>
      </w:r>
      <w:proofErr w:type="gramStart"/>
      <w:r w:rsidR="006E559F">
        <w:rPr>
          <w:rFonts w:ascii="华文楷体" w:hAnsi="华文楷体" w:hint="eastAsia"/>
          <w:sz w:val="24"/>
          <w:szCs w:val="24"/>
          <w:lang w:eastAsia="zh-CN"/>
        </w:rPr>
        <w:t>库速度</w:t>
      </w:r>
      <w:proofErr w:type="gramEnd"/>
      <w:r w:rsidR="006E559F" w:rsidRPr="006E559F">
        <w:rPr>
          <w:rFonts w:ascii="华文楷体" w:hAnsi="华文楷体" w:hint="eastAsia"/>
          <w:sz w:val="24"/>
          <w:szCs w:val="24"/>
          <w:lang w:eastAsia="zh-CN"/>
        </w:rPr>
        <w:t>放慢，其中，螺纹钢、热卷、线材总库存分别变化-0.03%、+0.77%、-4.54%</w:t>
      </w:r>
      <w:r w:rsidR="00A20244" w:rsidRPr="00A20244">
        <w:rPr>
          <w:rFonts w:ascii="华文楷体" w:hAnsi="华文楷体" w:hint="eastAsia"/>
          <w:sz w:val="24"/>
          <w:szCs w:val="24"/>
          <w:lang w:eastAsia="zh-CN"/>
        </w:rPr>
        <w:t>。</w:t>
      </w:r>
    </w:p>
    <w:p w14:paraId="21425444" w14:textId="3FF13F8E" w:rsidR="00FA22A8" w:rsidRDefault="00E34B22"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lastRenderedPageBreak/>
        <w:t>地产</w:t>
      </w:r>
      <w:r w:rsidR="00F704B5">
        <w:rPr>
          <w:rFonts w:ascii="华文楷体" w:hAnsi="华文楷体" w:hint="eastAsia"/>
          <w:b/>
          <w:bCs/>
          <w:sz w:val="24"/>
          <w:szCs w:val="24"/>
          <w:lang w:eastAsia="zh-CN"/>
        </w:rPr>
        <w:t>：</w:t>
      </w:r>
      <w:r w:rsidR="006E559F" w:rsidRPr="006E559F">
        <w:rPr>
          <w:rFonts w:ascii="华文楷体" w:hAnsi="华文楷体" w:hint="eastAsia"/>
          <w:sz w:val="24"/>
          <w:szCs w:val="24"/>
          <w:lang w:eastAsia="zh-CN"/>
        </w:rPr>
        <w:t>30大中城市商品房平均成交</w:t>
      </w:r>
      <w:proofErr w:type="gramStart"/>
      <w:r w:rsidR="006E559F" w:rsidRPr="006E559F">
        <w:rPr>
          <w:rFonts w:ascii="华文楷体" w:hAnsi="华文楷体" w:hint="eastAsia"/>
          <w:sz w:val="24"/>
          <w:szCs w:val="24"/>
          <w:lang w:eastAsia="zh-CN"/>
        </w:rPr>
        <w:t>面积环</w:t>
      </w:r>
      <w:proofErr w:type="gramEnd"/>
      <w:r w:rsidR="006E559F" w:rsidRPr="006E559F">
        <w:rPr>
          <w:rFonts w:ascii="华文楷体" w:hAnsi="华文楷体" w:hint="eastAsia"/>
          <w:sz w:val="24"/>
          <w:szCs w:val="24"/>
          <w:lang w:eastAsia="zh-CN"/>
        </w:rPr>
        <w:t>比回升13.9%，其中，一、二、三线城市分别增加51.9%、4.9%、9.9%；二手房成交面积则延续回落。拿地方面，上周100大中城市土地成交</w:t>
      </w:r>
      <w:proofErr w:type="gramStart"/>
      <w:r w:rsidR="006E559F" w:rsidRPr="006E559F">
        <w:rPr>
          <w:rFonts w:ascii="华文楷体" w:hAnsi="华文楷体" w:hint="eastAsia"/>
          <w:sz w:val="24"/>
          <w:szCs w:val="24"/>
          <w:lang w:eastAsia="zh-CN"/>
        </w:rPr>
        <w:t>面积环</w:t>
      </w:r>
      <w:proofErr w:type="gramEnd"/>
      <w:r w:rsidR="006E559F" w:rsidRPr="006E559F">
        <w:rPr>
          <w:rFonts w:ascii="华文楷体" w:hAnsi="华文楷体" w:hint="eastAsia"/>
          <w:sz w:val="24"/>
          <w:szCs w:val="24"/>
          <w:lang w:eastAsia="zh-CN"/>
        </w:rPr>
        <w:t>比下降约14%</w:t>
      </w:r>
      <w:r w:rsidR="006E559F">
        <w:rPr>
          <w:rFonts w:ascii="华文楷体" w:hAnsi="华文楷体" w:hint="eastAsia"/>
          <w:sz w:val="24"/>
          <w:szCs w:val="24"/>
          <w:lang w:eastAsia="zh-CN"/>
        </w:rPr>
        <w:t>，</w:t>
      </w:r>
      <w:r w:rsidR="006E559F" w:rsidRPr="006E559F">
        <w:rPr>
          <w:rFonts w:ascii="华文楷体" w:hAnsi="华文楷体" w:hint="eastAsia"/>
          <w:sz w:val="24"/>
          <w:szCs w:val="24"/>
          <w:lang w:eastAsia="zh-CN"/>
        </w:rPr>
        <w:t>一、二、三线分别下降44.3%、9.1%、14.1%</w:t>
      </w:r>
      <w:r w:rsidR="00AE5690">
        <w:rPr>
          <w:rFonts w:ascii="华文楷体" w:hAnsi="华文楷体" w:hint="eastAsia"/>
          <w:sz w:val="24"/>
          <w:szCs w:val="24"/>
          <w:lang w:eastAsia="zh-CN"/>
        </w:rPr>
        <w:t>。</w:t>
      </w:r>
    </w:p>
    <w:p w14:paraId="77CCCEDF" w14:textId="06E6EEC5" w:rsidR="007F6B5C" w:rsidRDefault="005D478C" w:rsidP="00153A65">
      <w:pPr>
        <w:pStyle w:val="Body-text"/>
        <w:ind w:firstLineChars="200" w:firstLine="480"/>
        <w:rPr>
          <w:rFonts w:ascii="华文楷体" w:hAnsi="华文楷体"/>
          <w:bCs/>
          <w:sz w:val="24"/>
          <w:szCs w:val="24"/>
          <w:lang w:eastAsia="zh-CN"/>
        </w:rPr>
      </w:pPr>
      <w:r w:rsidRPr="0063487B">
        <w:rPr>
          <w:rFonts w:ascii="华文楷体" w:hAnsi="华文楷体" w:hint="eastAsia"/>
          <w:b/>
          <w:bCs/>
          <w:sz w:val="24"/>
          <w:szCs w:val="24"/>
          <w:lang w:eastAsia="zh-CN"/>
        </w:rPr>
        <w:t>进出口</w:t>
      </w:r>
      <w:r w:rsidR="00CC2F5D" w:rsidRPr="0063487B">
        <w:rPr>
          <w:rFonts w:ascii="华文楷体" w:hAnsi="华文楷体" w:hint="eastAsia"/>
          <w:b/>
          <w:bCs/>
          <w:sz w:val="24"/>
          <w:szCs w:val="24"/>
          <w:lang w:eastAsia="zh-CN"/>
        </w:rPr>
        <w:t>：</w:t>
      </w:r>
      <w:r w:rsidR="001F098C" w:rsidRPr="001F098C">
        <w:rPr>
          <w:rFonts w:ascii="华文楷体" w:hAnsi="华文楷体" w:hint="eastAsia"/>
          <w:sz w:val="24"/>
          <w:szCs w:val="24"/>
          <w:lang w:eastAsia="zh-CN"/>
        </w:rPr>
        <w:t>出口方面，</w:t>
      </w:r>
      <w:r w:rsidR="006E559F" w:rsidRPr="006E559F">
        <w:rPr>
          <w:rFonts w:ascii="华文楷体" w:hAnsi="华文楷体" w:hint="eastAsia"/>
          <w:bCs/>
          <w:sz w:val="24"/>
          <w:szCs w:val="24"/>
          <w:lang w:eastAsia="zh-CN"/>
        </w:rPr>
        <w:t>上海出口集装箱指数（SCFI）</w:t>
      </w:r>
      <w:r w:rsidR="000C3954">
        <w:rPr>
          <w:rFonts w:ascii="华文楷体" w:hAnsi="华文楷体" w:hint="eastAsia"/>
          <w:bCs/>
          <w:sz w:val="24"/>
          <w:szCs w:val="24"/>
          <w:lang w:eastAsia="zh-CN"/>
        </w:rPr>
        <w:t>上</w:t>
      </w:r>
      <w:r w:rsidR="006E559F" w:rsidRPr="006E559F">
        <w:rPr>
          <w:rFonts w:ascii="华文楷体" w:hAnsi="华文楷体" w:hint="eastAsia"/>
          <w:bCs/>
          <w:sz w:val="24"/>
          <w:szCs w:val="24"/>
          <w:lang w:eastAsia="zh-CN"/>
        </w:rPr>
        <w:t>周环比回升2.51%，中国出口集装箱运价指数（CCFI）上行2.9%</w:t>
      </w:r>
      <w:r w:rsidR="003B19EF" w:rsidRPr="003B19EF">
        <w:rPr>
          <w:rFonts w:ascii="华文楷体" w:hAnsi="华文楷体" w:hint="eastAsia"/>
          <w:bCs/>
          <w:sz w:val="24"/>
          <w:szCs w:val="24"/>
          <w:lang w:eastAsia="zh-CN"/>
        </w:rPr>
        <w:t>。</w:t>
      </w:r>
      <w:r w:rsidR="001F098C">
        <w:rPr>
          <w:rFonts w:ascii="华文楷体" w:hAnsi="华文楷体" w:hint="eastAsia"/>
          <w:bCs/>
          <w:sz w:val="24"/>
          <w:szCs w:val="24"/>
          <w:lang w:eastAsia="zh-CN"/>
        </w:rPr>
        <w:t>进口方面，</w:t>
      </w:r>
      <w:r w:rsidR="006E559F" w:rsidRPr="006E559F">
        <w:rPr>
          <w:rFonts w:ascii="华文楷体" w:hAnsi="华文楷体" w:hint="eastAsia"/>
          <w:bCs/>
          <w:sz w:val="24"/>
          <w:szCs w:val="24"/>
          <w:lang w:eastAsia="zh-CN"/>
        </w:rPr>
        <w:t>波罗的海干散货</w:t>
      </w:r>
      <w:proofErr w:type="gramStart"/>
      <w:r w:rsidR="006E559F" w:rsidRPr="006E559F">
        <w:rPr>
          <w:rFonts w:ascii="华文楷体" w:hAnsi="华文楷体" w:hint="eastAsia"/>
          <w:bCs/>
          <w:sz w:val="24"/>
          <w:szCs w:val="24"/>
          <w:lang w:eastAsia="zh-CN"/>
        </w:rPr>
        <w:t>指数环</w:t>
      </w:r>
      <w:proofErr w:type="gramEnd"/>
      <w:r w:rsidR="006E559F" w:rsidRPr="006E559F">
        <w:rPr>
          <w:rFonts w:ascii="华文楷体" w:hAnsi="华文楷体" w:hint="eastAsia"/>
          <w:bCs/>
          <w:sz w:val="24"/>
          <w:szCs w:val="24"/>
          <w:lang w:eastAsia="zh-CN"/>
        </w:rPr>
        <w:t>比上行2.76%，中国进口干散货运价</w:t>
      </w:r>
      <w:proofErr w:type="gramStart"/>
      <w:r w:rsidR="006E559F" w:rsidRPr="006E559F">
        <w:rPr>
          <w:rFonts w:ascii="华文楷体" w:hAnsi="华文楷体" w:hint="eastAsia"/>
          <w:bCs/>
          <w:sz w:val="24"/>
          <w:szCs w:val="24"/>
          <w:lang w:eastAsia="zh-CN"/>
        </w:rPr>
        <w:t>指数环</w:t>
      </w:r>
      <w:proofErr w:type="gramEnd"/>
      <w:r w:rsidR="006E559F" w:rsidRPr="006E559F">
        <w:rPr>
          <w:rFonts w:ascii="华文楷体" w:hAnsi="华文楷体" w:hint="eastAsia"/>
          <w:bCs/>
          <w:sz w:val="24"/>
          <w:szCs w:val="24"/>
          <w:lang w:eastAsia="zh-CN"/>
        </w:rPr>
        <w:t>比下行1.52%</w:t>
      </w:r>
      <w:r w:rsidR="00A20244" w:rsidRPr="00A20244">
        <w:rPr>
          <w:rFonts w:ascii="华文楷体" w:hAnsi="华文楷体" w:hint="eastAsia"/>
          <w:bCs/>
          <w:sz w:val="24"/>
          <w:szCs w:val="24"/>
          <w:lang w:eastAsia="zh-CN"/>
        </w:rPr>
        <w:t>。</w:t>
      </w:r>
    </w:p>
    <w:p w14:paraId="50CC8233" w14:textId="0A11FC1F" w:rsidR="00065754" w:rsidRDefault="00E34B22" w:rsidP="00153A65">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E5436" w:rsidRPr="00AE5436">
        <w:rPr>
          <w:rFonts w:ascii="华文楷体" w:hAnsi="华文楷体" w:hint="eastAsia"/>
          <w:bCs/>
          <w:sz w:val="24"/>
          <w:szCs w:val="24"/>
          <w:lang w:eastAsia="zh-CN"/>
        </w:rPr>
        <w:t>食品价格方面，</w:t>
      </w:r>
      <w:r w:rsidR="000C3954">
        <w:rPr>
          <w:rFonts w:ascii="华文楷体" w:hAnsi="华文楷体" w:hint="eastAsia"/>
          <w:bCs/>
          <w:sz w:val="24"/>
          <w:szCs w:val="24"/>
          <w:lang w:eastAsia="zh-CN"/>
        </w:rPr>
        <w:t>上</w:t>
      </w:r>
      <w:r w:rsidR="003B19EF" w:rsidRPr="003B19EF">
        <w:rPr>
          <w:rFonts w:ascii="华文楷体" w:hAnsi="华文楷体" w:hint="eastAsia"/>
          <w:bCs/>
          <w:sz w:val="24"/>
          <w:szCs w:val="24"/>
          <w:lang w:eastAsia="zh-CN"/>
        </w:rPr>
        <w:t>周</w:t>
      </w:r>
      <w:r w:rsidR="001F098C" w:rsidRPr="001F098C">
        <w:rPr>
          <w:rFonts w:ascii="华文楷体" w:hAnsi="华文楷体" w:hint="eastAsia"/>
          <w:bCs/>
          <w:sz w:val="24"/>
          <w:szCs w:val="24"/>
          <w:lang w:eastAsia="zh-CN"/>
        </w:rPr>
        <w:t>猪价方面，</w:t>
      </w:r>
      <w:r w:rsidR="006E559F" w:rsidRPr="006E559F">
        <w:rPr>
          <w:rFonts w:ascii="华文楷体" w:hAnsi="华文楷体" w:hint="eastAsia"/>
          <w:bCs/>
          <w:sz w:val="24"/>
          <w:szCs w:val="24"/>
          <w:lang w:eastAsia="zh-CN"/>
        </w:rPr>
        <w:t>农业部公布的全国平均批发价下降至24.27元/公斤，环比跌幅2.61%，较上一周有所收窄。水产品价格回涨超1%，蔬菜、牛肉进一步下跌，农产品和菜篮子批发价格200指数分别下降1.21%和1.42%</w:t>
      </w:r>
      <w:r w:rsidR="00065754">
        <w:rPr>
          <w:rFonts w:ascii="华文楷体" w:hAnsi="华文楷体" w:hint="eastAsia"/>
          <w:bCs/>
          <w:sz w:val="24"/>
          <w:szCs w:val="24"/>
          <w:lang w:eastAsia="zh-CN"/>
        </w:rPr>
        <w:t>。</w:t>
      </w:r>
      <w:r w:rsidR="003B19EF" w:rsidRPr="003B19EF">
        <w:rPr>
          <w:rFonts w:ascii="华文楷体" w:hAnsi="华文楷体" w:hint="eastAsia"/>
          <w:bCs/>
          <w:sz w:val="24"/>
          <w:szCs w:val="24"/>
          <w:lang w:eastAsia="zh-CN"/>
        </w:rPr>
        <w:t>工业品价格方面，</w:t>
      </w:r>
      <w:r w:rsidR="006E559F" w:rsidRPr="006E559F">
        <w:rPr>
          <w:rFonts w:ascii="华文楷体" w:hAnsi="华文楷体" w:hint="eastAsia"/>
          <w:bCs/>
          <w:sz w:val="24"/>
          <w:szCs w:val="24"/>
          <w:lang w:eastAsia="zh-CN"/>
        </w:rPr>
        <w:t>国内长江有色市场铜价回调2.3%，铝、铅、锌价分别下跌0.54%、0.84%、1.42%；海外方面，LME铜、铝、铅、</w:t>
      </w:r>
      <w:proofErr w:type="gramStart"/>
      <w:r w:rsidR="006E559F" w:rsidRPr="006E559F">
        <w:rPr>
          <w:rFonts w:ascii="华文楷体" w:hAnsi="华文楷体" w:hint="eastAsia"/>
          <w:bCs/>
          <w:sz w:val="24"/>
          <w:szCs w:val="24"/>
          <w:lang w:eastAsia="zh-CN"/>
        </w:rPr>
        <w:t>锌环比</w:t>
      </w:r>
      <w:proofErr w:type="gramEnd"/>
      <w:r w:rsidR="006E559F" w:rsidRPr="006E559F">
        <w:rPr>
          <w:rFonts w:ascii="华文楷体" w:hAnsi="华文楷体" w:hint="eastAsia"/>
          <w:bCs/>
          <w:sz w:val="24"/>
          <w:szCs w:val="24"/>
          <w:lang w:eastAsia="zh-CN"/>
        </w:rPr>
        <w:t>分别跌1.8%、0.3%、0.4%、1.1%。</w:t>
      </w:r>
    </w:p>
    <w:p w14:paraId="3425BC76" w14:textId="104806BC" w:rsidR="00095AFC" w:rsidRDefault="00DC2C5F" w:rsidP="00153A65">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消费</w:t>
      </w:r>
      <w:r w:rsidR="008D4119" w:rsidRPr="008D4119">
        <w:rPr>
          <w:rFonts w:ascii="华文楷体" w:hAnsi="华文楷体" w:hint="eastAsia"/>
          <w:b/>
          <w:bCs/>
          <w:sz w:val="24"/>
          <w:szCs w:val="24"/>
          <w:lang w:eastAsia="zh-CN"/>
        </w:rPr>
        <w:t>：</w:t>
      </w:r>
      <w:bookmarkStart w:id="2" w:name="_Hlk21205334"/>
      <w:r w:rsidR="00AE5690" w:rsidRPr="00AE5690">
        <w:rPr>
          <w:rFonts w:ascii="华文楷体" w:hAnsi="华文楷体" w:hint="eastAsia"/>
          <w:bCs/>
          <w:sz w:val="24"/>
          <w:szCs w:val="24"/>
          <w:lang w:eastAsia="zh-CN"/>
        </w:rPr>
        <w:t>乘联会最新数据显示，</w:t>
      </w:r>
      <w:r w:rsidR="00BA7FFE" w:rsidRPr="00BA7FFE">
        <w:rPr>
          <w:rFonts w:ascii="华文楷体" w:hAnsi="华文楷体" w:hint="eastAsia"/>
          <w:bCs/>
          <w:sz w:val="24"/>
          <w:szCs w:val="24"/>
          <w:lang w:eastAsia="zh-CN"/>
        </w:rPr>
        <w:t>6月第一周日均零售在2.5万辆左右，同比下滑7%，环比5月首周下降26%，表现偏弱</w:t>
      </w:r>
      <w:r w:rsidR="00065754">
        <w:rPr>
          <w:rFonts w:ascii="华文楷体" w:hAnsi="华文楷体" w:hint="eastAsia"/>
          <w:bCs/>
          <w:sz w:val="24"/>
          <w:szCs w:val="24"/>
          <w:lang w:eastAsia="zh-CN"/>
        </w:rPr>
        <w:t>。</w:t>
      </w:r>
      <w:r w:rsidR="00BA7FFE" w:rsidRPr="00BA7FFE">
        <w:rPr>
          <w:rFonts w:ascii="华文楷体" w:hAnsi="华文楷体" w:hint="eastAsia"/>
          <w:bCs/>
          <w:sz w:val="24"/>
          <w:szCs w:val="24"/>
          <w:lang w:eastAsia="zh-CN"/>
        </w:rPr>
        <w:t>批发方面，当周主要厂商批发销量为日均2.5万辆，环比增2%</w:t>
      </w:r>
      <w:r w:rsidR="00BA7FFE">
        <w:rPr>
          <w:rFonts w:ascii="华文楷体" w:hAnsi="华文楷体" w:hint="eastAsia"/>
          <w:bCs/>
          <w:sz w:val="24"/>
          <w:szCs w:val="24"/>
          <w:lang w:eastAsia="zh-CN"/>
        </w:rPr>
        <w:t>。</w:t>
      </w:r>
    </w:p>
    <w:p w14:paraId="6C0621FD" w14:textId="6F01DB25" w:rsidR="00DC2C5F" w:rsidRPr="00EB6DED" w:rsidRDefault="00DC2C5F" w:rsidP="00153A65">
      <w:pPr>
        <w:pStyle w:val="Body-text"/>
        <w:ind w:firstLineChars="200" w:firstLine="480"/>
        <w:rPr>
          <w:rFonts w:ascii="华文楷体" w:hAnsi="华文楷体"/>
          <w:bCs/>
          <w:sz w:val="24"/>
          <w:szCs w:val="24"/>
          <w:lang w:eastAsia="zh-CN"/>
        </w:rPr>
      </w:pPr>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BA7FFE" w:rsidRPr="00BA7FFE">
        <w:rPr>
          <w:rFonts w:ascii="华文楷体" w:hAnsi="华文楷体" w:hint="eastAsia"/>
          <w:bCs/>
          <w:sz w:val="24"/>
          <w:szCs w:val="24"/>
          <w:lang w:eastAsia="zh-CN"/>
        </w:rPr>
        <w:t>布伦</w:t>
      </w:r>
      <w:proofErr w:type="gramStart"/>
      <w:r w:rsidR="00BA7FFE" w:rsidRPr="00BA7FFE">
        <w:rPr>
          <w:rFonts w:ascii="华文楷体" w:hAnsi="华文楷体" w:hint="eastAsia"/>
          <w:bCs/>
          <w:sz w:val="24"/>
          <w:szCs w:val="24"/>
          <w:lang w:eastAsia="zh-CN"/>
        </w:rPr>
        <w:t>特</w:t>
      </w:r>
      <w:proofErr w:type="gramEnd"/>
      <w:r w:rsidR="00BA7FFE" w:rsidRPr="00BA7FFE">
        <w:rPr>
          <w:rFonts w:ascii="华文楷体" w:hAnsi="华文楷体" w:hint="eastAsia"/>
          <w:bCs/>
          <w:sz w:val="24"/>
          <w:szCs w:val="24"/>
          <w:lang w:eastAsia="zh-CN"/>
        </w:rPr>
        <w:t>原油环比上</w:t>
      </w:r>
      <w:r w:rsidR="000C3954">
        <w:rPr>
          <w:rFonts w:ascii="华文楷体" w:hAnsi="华文楷体" w:hint="eastAsia"/>
          <w:bCs/>
          <w:sz w:val="24"/>
          <w:szCs w:val="24"/>
          <w:lang w:eastAsia="zh-CN"/>
        </w:rPr>
        <w:t>一</w:t>
      </w:r>
      <w:r w:rsidR="00BA7FFE" w:rsidRPr="00BA7FFE">
        <w:rPr>
          <w:rFonts w:ascii="华文楷体" w:hAnsi="华文楷体" w:hint="eastAsia"/>
          <w:bCs/>
          <w:sz w:val="24"/>
          <w:szCs w:val="24"/>
          <w:lang w:eastAsia="zh-CN"/>
        </w:rPr>
        <w:t>周五涨1.82%至72.11美元/桶；WTI原油价格涨2.2%至69.88美元/桶。国内市场方面，6月12日国内成品汽油、柴油价格分别上调175元、170元。</w:t>
      </w:r>
    </w:p>
    <w:p w14:paraId="35D3E229" w14:textId="0303FC67" w:rsidR="00DA6262" w:rsidRDefault="00A058AB" w:rsidP="00F07541">
      <w:pPr>
        <w:pStyle w:val="Body-text"/>
        <w:ind w:firstLineChars="200" w:firstLine="480"/>
        <w:rPr>
          <w:rFonts w:ascii="Helvetica" w:hAnsi="Helvetica"/>
          <w:color w:val="000000"/>
          <w:spacing w:val="8"/>
          <w:sz w:val="23"/>
          <w:szCs w:val="23"/>
          <w:shd w:val="clear" w:color="auto" w:fill="FFFFFF"/>
          <w:lang w:eastAsia="zh-CN"/>
        </w:rPr>
      </w:pPr>
      <w:r w:rsidRPr="00C866C2">
        <w:rPr>
          <w:rFonts w:ascii="华文楷体" w:hAnsi="华文楷体" w:hint="eastAsia"/>
          <w:b/>
          <w:bCs/>
          <w:sz w:val="24"/>
          <w:szCs w:val="24"/>
          <w:lang w:eastAsia="zh-CN"/>
        </w:rPr>
        <w:t>下周</w:t>
      </w:r>
      <w:r>
        <w:rPr>
          <w:rFonts w:ascii="华文楷体" w:hAnsi="华文楷体" w:hint="eastAsia"/>
          <w:b/>
          <w:bCs/>
          <w:sz w:val="24"/>
          <w:szCs w:val="24"/>
          <w:lang w:eastAsia="zh-CN"/>
        </w:rPr>
        <w:t>关注</w:t>
      </w:r>
      <w:r>
        <w:rPr>
          <w:rFonts w:ascii="华文楷体" w:hAnsi="华文楷体" w:hint="eastAsia"/>
          <w:bCs/>
          <w:sz w:val="24"/>
          <w:szCs w:val="24"/>
          <w:lang w:eastAsia="zh-CN"/>
        </w:rPr>
        <w:t>：</w:t>
      </w:r>
      <w:r w:rsidR="007453FD" w:rsidRPr="007453FD">
        <w:rPr>
          <w:rFonts w:ascii="华文楷体" w:hAnsi="华文楷体" w:hint="eastAsia"/>
          <w:sz w:val="24"/>
          <w:szCs w:val="24"/>
          <w:lang w:eastAsia="zh-CN"/>
        </w:rPr>
        <w:t>国内工业增加值、固定资产投资、社零数据、美联储利率决议</w:t>
      </w:r>
      <w:r w:rsidR="005559FC">
        <w:rPr>
          <w:rFonts w:ascii="华文楷体" w:hAnsi="华文楷体" w:hint="eastAsia"/>
          <w:bCs/>
          <w:sz w:val="24"/>
          <w:szCs w:val="24"/>
          <w:lang w:eastAsia="zh-CN"/>
        </w:rPr>
        <w:t>。</w:t>
      </w:r>
    </w:p>
    <w:p w14:paraId="45E291AF" w14:textId="77777777" w:rsidR="006E7D2B" w:rsidRPr="006E7D2B" w:rsidRDefault="006E7D2B" w:rsidP="00F07541">
      <w:pPr>
        <w:pStyle w:val="Body-text"/>
        <w:ind w:firstLineChars="200" w:firstLine="480"/>
        <w:rPr>
          <w:rFonts w:ascii="华文楷体" w:hAnsi="华文楷体"/>
          <w:bCs/>
          <w:sz w:val="24"/>
          <w:szCs w:val="24"/>
          <w:lang w:eastAsia="zh-CN"/>
        </w:rPr>
      </w:pPr>
    </w:p>
    <w:bookmarkEnd w:id="2"/>
    <w:p w14:paraId="07860EC8" w14:textId="41BD2FBB"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8125E2">
        <w:rPr>
          <w:rFonts w:hint="eastAsia"/>
          <w:sz w:val="28"/>
          <w:szCs w:val="21"/>
          <w:lang w:eastAsia="zh-CN"/>
        </w:rPr>
        <w:t>下周</w:t>
      </w:r>
      <w:r w:rsidR="00E0626C">
        <w:rPr>
          <w:rFonts w:hint="eastAsia"/>
          <w:sz w:val="28"/>
          <w:szCs w:val="21"/>
          <w:lang w:eastAsia="zh-CN"/>
        </w:rPr>
        <w:t>债市</w:t>
      </w:r>
      <w:r w:rsidR="00EE070C">
        <w:rPr>
          <w:rFonts w:hint="eastAsia"/>
          <w:sz w:val="28"/>
          <w:szCs w:val="21"/>
          <w:lang w:eastAsia="zh-CN"/>
        </w:rPr>
        <w:t>判断</w:t>
      </w:r>
    </w:p>
    <w:p w14:paraId="24E697A5" w14:textId="5E5DFC23" w:rsidR="00854194" w:rsidRPr="00CD3C43"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854194">
        <w:rPr>
          <w:rFonts w:ascii="华文楷体" w:hAnsi="华文楷体" w:hint="eastAsia"/>
          <w:sz w:val="24"/>
          <w:szCs w:val="24"/>
          <w:lang w:eastAsia="zh-CN"/>
        </w:rPr>
        <w:t>利率债：</w:t>
      </w:r>
      <w:r w:rsidR="007453FD" w:rsidRPr="007453FD">
        <w:rPr>
          <w:rFonts w:ascii="华文楷体" w:hAnsi="华文楷体" w:hint="eastAsia"/>
          <w:sz w:val="24"/>
          <w:szCs w:val="24"/>
          <w:lang w:eastAsia="zh-CN"/>
        </w:rPr>
        <w:t>本周即将迎来月中缴税，市场的关注点转为半年末流动性、MLF续作与地方债供给等方面，利率品种和信用品</w:t>
      </w:r>
      <w:r w:rsidR="008048CF">
        <w:rPr>
          <w:rFonts w:ascii="华文楷体" w:hAnsi="华文楷体" w:hint="eastAsia"/>
          <w:sz w:val="24"/>
          <w:szCs w:val="24"/>
          <w:lang w:eastAsia="zh-CN"/>
        </w:rPr>
        <w:t>种近期获利情绪渐强，基本面仍保持平稳向好，结构性调整局面使得</w:t>
      </w:r>
      <w:r w:rsidR="007453FD" w:rsidRPr="007453FD">
        <w:rPr>
          <w:rFonts w:ascii="华文楷体" w:hAnsi="华文楷体" w:hint="eastAsia"/>
          <w:sz w:val="24"/>
          <w:szCs w:val="24"/>
          <w:lang w:eastAsia="zh-CN"/>
        </w:rPr>
        <w:t>债市趋势性机会难现，多空因素交织为主。周末，现金管理理财新规正式落地，关注对永续债、二级资本债一级市场的冲击。利率债方面，当前利率水平处于震荡中枢水平，市场谨慎、观望情绪渐浓。</w:t>
      </w:r>
    </w:p>
    <w:p w14:paraId="2C3F4BD1" w14:textId="0BEC12EB" w:rsidR="003B3058" w:rsidRDefault="00C505BD" w:rsidP="00C505BD">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t>信用</w:t>
      </w:r>
      <w:r>
        <w:rPr>
          <w:rFonts w:ascii="华文楷体" w:hAnsi="华文楷体" w:hint="eastAsia"/>
          <w:sz w:val="24"/>
          <w:szCs w:val="24"/>
          <w:lang w:eastAsia="zh-CN"/>
        </w:rPr>
        <w:t>债：</w:t>
      </w:r>
      <w:r w:rsidR="007453FD" w:rsidRPr="007453FD">
        <w:rPr>
          <w:rFonts w:ascii="华文楷体" w:hAnsi="华文楷体" w:hint="eastAsia"/>
          <w:sz w:val="24"/>
          <w:szCs w:val="24"/>
          <w:lang w:eastAsia="zh-CN"/>
        </w:rPr>
        <w:t>债市回归基本面研究，市场对过剩产能和部分敏感区域城</w:t>
      </w:r>
      <w:proofErr w:type="gramStart"/>
      <w:r w:rsidR="007453FD" w:rsidRPr="007453FD">
        <w:rPr>
          <w:rFonts w:ascii="华文楷体" w:hAnsi="华文楷体" w:hint="eastAsia"/>
          <w:sz w:val="24"/>
          <w:szCs w:val="24"/>
          <w:lang w:eastAsia="zh-CN"/>
        </w:rPr>
        <w:t>投信心</w:t>
      </w:r>
      <w:proofErr w:type="gramEnd"/>
      <w:r w:rsidR="007453FD" w:rsidRPr="007453FD">
        <w:rPr>
          <w:rFonts w:ascii="华文楷体" w:hAnsi="华文楷体" w:hint="eastAsia"/>
          <w:sz w:val="24"/>
          <w:szCs w:val="24"/>
          <w:lang w:eastAsia="zh-CN"/>
        </w:rPr>
        <w:t>有所修复，中部区域主流平台、过剩产能短</w:t>
      </w:r>
      <w:proofErr w:type="gramStart"/>
      <w:r w:rsidR="007453FD" w:rsidRPr="007453FD">
        <w:rPr>
          <w:rFonts w:ascii="华文楷体" w:hAnsi="华文楷体" w:hint="eastAsia"/>
          <w:sz w:val="24"/>
          <w:szCs w:val="24"/>
          <w:lang w:eastAsia="zh-CN"/>
        </w:rPr>
        <w:t>端目前</w:t>
      </w:r>
      <w:proofErr w:type="gramEnd"/>
      <w:r w:rsidR="007453FD" w:rsidRPr="007453FD">
        <w:rPr>
          <w:rFonts w:ascii="华文楷体" w:hAnsi="华文楷体" w:hint="eastAsia"/>
          <w:sz w:val="24"/>
          <w:szCs w:val="24"/>
          <w:lang w:eastAsia="zh-CN"/>
        </w:rPr>
        <w:t>看可能存在一定结构性交易机会。</w:t>
      </w:r>
    </w:p>
    <w:p w14:paraId="4C893BAE" w14:textId="15AA4089" w:rsidR="00983C71" w:rsidRDefault="00C505BD" w:rsidP="00491B29">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007453FD" w:rsidRPr="007453FD">
        <w:rPr>
          <w:rFonts w:ascii="华文楷体" w:hAnsi="华文楷体" w:hint="eastAsia"/>
          <w:sz w:val="24"/>
          <w:szCs w:val="24"/>
          <w:lang w:eastAsia="zh-CN"/>
        </w:rPr>
        <w:t>权益市场涨跌互现，高弹性品种近期表</w:t>
      </w:r>
      <w:r w:rsidR="008048CF">
        <w:rPr>
          <w:rFonts w:ascii="华文楷体" w:hAnsi="华文楷体" w:hint="eastAsia"/>
          <w:sz w:val="24"/>
          <w:szCs w:val="24"/>
          <w:lang w:eastAsia="zh-CN"/>
        </w:rPr>
        <w:t>现相对更好。转债方面，整体波动有限，但行业轮动较快，仍以结构性行情为主，超高平价</w:t>
      </w:r>
      <w:proofErr w:type="gramStart"/>
      <w:r w:rsidR="008048CF">
        <w:rPr>
          <w:rFonts w:ascii="华文楷体" w:hAnsi="华文楷体" w:hint="eastAsia"/>
          <w:sz w:val="24"/>
          <w:szCs w:val="24"/>
          <w:lang w:eastAsia="zh-CN"/>
        </w:rPr>
        <w:t>券</w:t>
      </w:r>
      <w:proofErr w:type="gramEnd"/>
      <w:r w:rsidR="008048CF">
        <w:rPr>
          <w:rFonts w:ascii="华文楷体" w:hAnsi="华文楷体" w:hint="eastAsia"/>
          <w:sz w:val="24"/>
          <w:szCs w:val="24"/>
          <w:lang w:eastAsia="zh-CN"/>
        </w:rPr>
        <w:t>涨幅最大，</w:t>
      </w:r>
      <w:proofErr w:type="gramStart"/>
      <w:r w:rsidR="008048CF">
        <w:rPr>
          <w:rFonts w:ascii="华文楷体" w:hAnsi="华文楷体" w:hint="eastAsia"/>
          <w:sz w:val="24"/>
          <w:szCs w:val="24"/>
          <w:lang w:eastAsia="zh-CN"/>
        </w:rPr>
        <w:t>偏股性</w:t>
      </w:r>
      <w:proofErr w:type="gramEnd"/>
      <w:r w:rsidR="008048CF">
        <w:rPr>
          <w:rFonts w:ascii="华文楷体" w:hAnsi="华文楷体" w:hint="eastAsia"/>
          <w:sz w:val="24"/>
          <w:szCs w:val="24"/>
          <w:lang w:eastAsia="zh-CN"/>
        </w:rPr>
        <w:t>转债跟随正股上涨。后续</w:t>
      </w:r>
      <w:r w:rsidR="007453FD" w:rsidRPr="007453FD">
        <w:rPr>
          <w:rFonts w:ascii="华文楷体" w:hAnsi="华文楷体" w:hint="eastAsia"/>
          <w:sz w:val="24"/>
          <w:szCs w:val="24"/>
          <w:lang w:eastAsia="zh-CN"/>
        </w:rPr>
        <w:t>关注中报业绩预期差</w:t>
      </w:r>
      <w:r w:rsidR="008048CF">
        <w:rPr>
          <w:rFonts w:ascii="华文楷体" w:hAnsi="华文楷体" w:hint="eastAsia"/>
          <w:sz w:val="24"/>
          <w:szCs w:val="24"/>
          <w:lang w:eastAsia="zh-CN"/>
        </w:rPr>
        <w:t>，</w:t>
      </w:r>
      <w:r w:rsidR="007453FD" w:rsidRPr="007453FD">
        <w:rPr>
          <w:rFonts w:ascii="华文楷体" w:hAnsi="华文楷体" w:hint="eastAsia"/>
          <w:sz w:val="24"/>
          <w:szCs w:val="24"/>
          <w:lang w:eastAsia="zh-CN"/>
        </w:rPr>
        <w:t>精选行业，对应寻找正股估值低的转债，以寻找结构性机会为主。</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0DE678C3" w:rsidR="001D35B3" w:rsidRPr="006A5F34" w:rsidRDefault="001D35B3" w:rsidP="001858A9">
            <w:pPr>
              <w:pStyle w:val="ChartHeading"/>
              <w:jc w:val="both"/>
            </w:pPr>
            <w:r w:rsidRPr="006A5F34">
              <w:rPr>
                <w:rFonts w:hint="eastAsia"/>
              </w:rPr>
              <w:lastRenderedPageBreak/>
              <w:t>图表</w:t>
            </w:r>
            <w:r w:rsidRPr="006A5F34">
              <w:t>.</w:t>
            </w:r>
            <w:r w:rsidR="00FF26B0">
              <w:rPr>
                <w:rFonts w:hint="eastAsia"/>
              </w:rPr>
              <w:t xml:space="preserve"> </w:t>
            </w:r>
            <w:r w:rsidR="00FF26B0">
              <w:rPr>
                <w:rFonts w:hint="eastAsia"/>
              </w:rPr>
              <w:t>南华工业品指数</w:t>
            </w:r>
            <w:r w:rsidR="00AE643A">
              <w:rPr>
                <w:rFonts w:hint="eastAsia"/>
              </w:rPr>
              <w:t>震荡上行</w:t>
            </w:r>
          </w:p>
        </w:tc>
        <w:tc>
          <w:tcPr>
            <w:tcW w:w="4938" w:type="dxa"/>
            <w:vAlign w:val="center"/>
          </w:tcPr>
          <w:p w14:paraId="02A10F26" w14:textId="6D2F1475"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203843">
              <w:rPr>
                <w:rFonts w:hint="eastAsia"/>
              </w:rPr>
              <w:t>持续</w:t>
            </w:r>
            <w:r w:rsidR="00AE643A">
              <w:rPr>
                <w:rFonts w:hint="eastAsia"/>
              </w:rPr>
              <w:t>回调</w:t>
            </w:r>
          </w:p>
        </w:tc>
      </w:tr>
      <w:tr w:rsidR="001D35B3" w:rsidRPr="006A5F34" w14:paraId="205667F1" w14:textId="77777777" w:rsidTr="00203843">
        <w:tblPrEx>
          <w:tblCellMar>
            <w:left w:w="108" w:type="dxa"/>
            <w:right w:w="108" w:type="dxa"/>
          </w:tblCellMar>
        </w:tblPrEx>
        <w:trPr>
          <w:jc w:val="center"/>
        </w:trPr>
        <w:tc>
          <w:tcPr>
            <w:tcW w:w="4939" w:type="dxa"/>
            <w:vAlign w:val="center"/>
          </w:tcPr>
          <w:p w14:paraId="56C782C2" w14:textId="6C51EAC5" w:rsidR="001D35B3" w:rsidRPr="007E0340" w:rsidRDefault="00203843" w:rsidP="009A2BA0">
            <w:pPr>
              <w:jc w:val="center"/>
              <w:rPr>
                <w:noProof/>
              </w:rPr>
            </w:pPr>
            <w:r>
              <w:rPr>
                <w:noProof/>
              </w:rPr>
              <w:drawing>
                <wp:inline distT="0" distB="0" distL="0" distR="0" wp14:anchorId="1DA88706" wp14:editId="38FE39FD">
                  <wp:extent cx="2999105" cy="1902460"/>
                  <wp:effectExtent l="0" t="0" r="0" b="2540"/>
                  <wp:docPr id="8" name="图表 8">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938" w:type="dxa"/>
            <w:vAlign w:val="center"/>
          </w:tcPr>
          <w:p w14:paraId="3EF0360D" w14:textId="762EF00F" w:rsidR="001D35B3" w:rsidRPr="007E0340" w:rsidRDefault="00203843" w:rsidP="009A2BA0">
            <w:pPr>
              <w:jc w:val="center"/>
              <w:rPr>
                <w:noProof/>
                <w:szCs w:val="18"/>
              </w:rPr>
            </w:pPr>
            <w:r>
              <w:rPr>
                <w:noProof/>
              </w:rPr>
              <w:drawing>
                <wp:inline distT="0" distB="0" distL="0" distR="0" wp14:anchorId="01BC6FBB" wp14:editId="633CBE39">
                  <wp:extent cx="2998470" cy="1913504"/>
                  <wp:effectExtent l="0" t="0" r="0" b="0"/>
                  <wp:docPr id="9" name="图表 9">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，富荣基金</w:t>
            </w:r>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，富荣基金</w:t>
            </w:r>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4D7C4D30" w:rsidR="001D35B3" w:rsidRPr="006A5F34" w:rsidRDefault="001D35B3" w:rsidP="00966A21">
            <w:pPr>
              <w:pStyle w:val="ChartHeading"/>
              <w:jc w:val="both"/>
            </w:pPr>
            <w:r w:rsidRPr="006A5F34">
              <w:rPr>
                <w:rFonts w:hint="eastAsia"/>
              </w:rPr>
              <w:t>图表</w:t>
            </w:r>
            <w:r w:rsidRPr="006A5F34">
              <w:t>.</w:t>
            </w:r>
            <w:r>
              <w:t xml:space="preserve"> </w:t>
            </w:r>
            <w:r w:rsidR="00FF26B0">
              <w:rPr>
                <w:rFonts w:hint="eastAsia"/>
              </w:rPr>
              <w:t>人民币汇率</w:t>
            </w:r>
            <w:r w:rsidR="00966A21">
              <w:rPr>
                <w:rFonts w:hint="eastAsia"/>
              </w:rPr>
              <w:t>小幅</w:t>
            </w:r>
            <w:r w:rsidR="00AE643A">
              <w:rPr>
                <w:rFonts w:hint="eastAsia"/>
              </w:rPr>
              <w:t>贬值</w:t>
            </w:r>
          </w:p>
        </w:tc>
        <w:tc>
          <w:tcPr>
            <w:tcW w:w="4938" w:type="dxa"/>
            <w:vAlign w:val="center"/>
          </w:tcPr>
          <w:p w14:paraId="07575C0F" w14:textId="1F52F3D5" w:rsidR="001D35B3" w:rsidRPr="006A5F34" w:rsidRDefault="001D35B3" w:rsidP="00CE0946">
            <w:pPr>
              <w:pStyle w:val="ChartHeading"/>
              <w:jc w:val="both"/>
            </w:pPr>
            <w:r w:rsidRPr="006A5F34">
              <w:rPr>
                <w:rFonts w:hint="eastAsia"/>
              </w:rPr>
              <w:t>图表</w:t>
            </w:r>
            <w:r w:rsidRPr="006A5F34">
              <w:t xml:space="preserve">. </w:t>
            </w:r>
            <w:r w:rsidR="00CE0946">
              <w:rPr>
                <w:rFonts w:hint="eastAsia"/>
              </w:rPr>
              <w:t>猪肉价格</w:t>
            </w:r>
            <w:r w:rsidR="00DE343B">
              <w:rPr>
                <w:rFonts w:hint="eastAsia"/>
              </w:rPr>
              <w:t>持续</w:t>
            </w:r>
            <w:r w:rsidR="003300DB">
              <w:rPr>
                <w:rFonts w:hint="eastAsia"/>
              </w:rPr>
              <w:t>回落</w:t>
            </w:r>
          </w:p>
        </w:tc>
      </w:tr>
      <w:tr w:rsidR="001D35B3" w:rsidRPr="006A5F34" w14:paraId="49BBD33E" w14:textId="77777777" w:rsidTr="00203843">
        <w:tblPrEx>
          <w:tblCellMar>
            <w:left w:w="108" w:type="dxa"/>
            <w:right w:w="108" w:type="dxa"/>
          </w:tblCellMar>
        </w:tblPrEx>
        <w:trPr>
          <w:trHeight w:val="2987"/>
          <w:jc w:val="center"/>
        </w:trPr>
        <w:tc>
          <w:tcPr>
            <w:tcW w:w="4939" w:type="dxa"/>
            <w:vAlign w:val="center"/>
          </w:tcPr>
          <w:p w14:paraId="0BAC1731" w14:textId="33C8F51E" w:rsidR="001D35B3" w:rsidRPr="007E0340" w:rsidRDefault="00203843" w:rsidP="009A2BA0">
            <w:pPr>
              <w:jc w:val="center"/>
              <w:rPr>
                <w:noProof/>
              </w:rPr>
            </w:pPr>
            <w:r>
              <w:rPr>
                <w:noProof/>
              </w:rPr>
              <w:drawing>
                <wp:inline distT="0" distB="0" distL="0" distR="0" wp14:anchorId="3F704848" wp14:editId="2F7CE24D">
                  <wp:extent cx="2999105" cy="1876894"/>
                  <wp:effectExtent l="0" t="0" r="10795" b="0"/>
                  <wp:docPr id="11" name="图表 11">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18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938" w:type="dxa"/>
            <w:vAlign w:val="center"/>
          </w:tcPr>
          <w:p w14:paraId="64025D22" w14:textId="5F4069CA" w:rsidR="001D35B3" w:rsidRPr="007E0340" w:rsidRDefault="00203843" w:rsidP="009A2BA0">
            <w:pPr>
              <w:jc w:val="center"/>
              <w:rPr>
                <w:noProof/>
                <w:szCs w:val="18"/>
              </w:rPr>
            </w:pPr>
            <w:r>
              <w:rPr>
                <w:noProof/>
              </w:rPr>
              <w:drawing>
                <wp:inline distT="0" distB="0" distL="0" distR="0" wp14:anchorId="452762A5" wp14:editId="4580907F">
                  <wp:extent cx="2998470" cy="1894260"/>
                  <wp:effectExtent l="0" t="0" r="0" b="0"/>
                  <wp:docPr id="16" name="图表 16">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，富荣基金</w:t>
            </w:r>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，富荣基金</w:t>
            </w:r>
          </w:p>
        </w:tc>
      </w:tr>
    </w:tbl>
    <w:p w14:paraId="2243C4C4" w14:textId="63198F1D" w:rsidR="00594303" w:rsidRDefault="00594303" w:rsidP="009A2BA0">
      <w:pPr>
        <w:pStyle w:val="Body-text"/>
        <w:spacing w:after="0"/>
        <w:rPr>
          <w:rFonts w:ascii="华文楷体" w:hAnsi="华文楷体"/>
          <w:sz w:val="24"/>
          <w:szCs w:val="24"/>
          <w:lang w:eastAsia="zh-CN"/>
        </w:rPr>
      </w:pPr>
    </w:p>
    <w:p w14:paraId="4F73F420" w14:textId="77777777" w:rsidR="008048CF" w:rsidRDefault="008048CF" w:rsidP="008048CF">
      <w:pPr>
        <w:widowControl/>
        <w:jc w:val="left"/>
        <w:rPr>
          <w:rFonts w:ascii="华文楷体" w:hAnsi="华文楷体" w:hint="eastAsia"/>
          <w:sz w:val="24"/>
          <w:szCs w:val="24"/>
        </w:rPr>
      </w:pPr>
    </w:p>
    <w:p w14:paraId="2E694E1C" w14:textId="77777777" w:rsidR="008048CF" w:rsidRPr="00B876F4" w:rsidRDefault="008048CF" w:rsidP="008048CF">
      <w:pPr>
        <w:rPr>
          <w:sz w:val="13"/>
          <w:szCs w:val="13"/>
        </w:rPr>
      </w:pPr>
      <w:r w:rsidRPr="00B876F4">
        <w:rPr>
          <w:rFonts w:ascii="微软雅黑" w:eastAsia="微软雅黑" w:hAnsi="微软雅黑" w:hint="eastAsia"/>
          <w:color w:val="474747"/>
          <w:sz w:val="13"/>
          <w:szCs w:val="13"/>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B876F4">
        <w:rPr>
          <w:rFonts w:ascii="微软雅黑" w:eastAsia="微软雅黑" w:hAnsi="微软雅黑" w:hint="eastAsia"/>
          <w:color w:val="474747"/>
          <w:sz w:val="13"/>
          <w:szCs w:val="13"/>
          <w:shd w:val="clear" w:color="auto" w:fill="FFFFFF"/>
        </w:rPr>
        <w:t>作出</w:t>
      </w:r>
      <w:proofErr w:type="gramEnd"/>
      <w:r w:rsidRPr="00B876F4">
        <w:rPr>
          <w:rFonts w:ascii="微软雅黑" w:eastAsia="微软雅黑" w:hAnsi="微软雅黑" w:hint="eastAsia"/>
          <w:color w:val="474747"/>
          <w:sz w:val="13"/>
          <w:szCs w:val="13"/>
          <w:shd w:val="clear" w:color="auto" w:fill="FFFFFF"/>
        </w:rPr>
        <w:t>调整。2、本报告中的资料、观点和预测等仅供参考，在任何时候均不构成对任何人的个人推荐。市场有风险，投资需谨慎。</w:t>
      </w:r>
    </w:p>
    <w:p w14:paraId="36DE518D" w14:textId="18E663E3" w:rsidR="001170AF" w:rsidRPr="008048CF" w:rsidRDefault="001170AF" w:rsidP="008048CF">
      <w:pPr>
        <w:widowControl/>
        <w:jc w:val="left"/>
        <w:rPr>
          <w:rFonts w:ascii="华文楷体" w:eastAsia="华文楷体" w:hAnsi="华文楷体"/>
          <w:kern w:val="0"/>
          <w:sz w:val="24"/>
          <w:szCs w:val="24"/>
        </w:rPr>
      </w:pPr>
    </w:p>
    <w:sectPr w:rsidR="001170AF" w:rsidRPr="008048CF" w:rsidSect="00AB78C4">
      <w:headerReference w:type="default" r:id="rId19"/>
      <w:footerReference w:type="default" r:id="rId20"/>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D113248" w14:textId="77777777" w:rsidR="00D15168" w:rsidRDefault="00D15168">
      <w:r>
        <w:separator/>
      </w:r>
    </w:p>
  </w:endnote>
  <w:endnote w:type="continuationSeparator" w:id="0">
    <w:p w14:paraId="07F26670" w14:textId="77777777" w:rsidR="00D15168" w:rsidRDefault="00D151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altName w:val="汉仪楷体KW"/>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DD187B" w:rsidRDefault="00DD187B">
        <w:pPr>
          <w:pStyle w:val="a4"/>
          <w:jc w:val="right"/>
        </w:pPr>
        <w:r>
          <w:fldChar w:fldCharType="begin"/>
        </w:r>
        <w:r>
          <w:instrText>PAGE   \* MERGEFORMAT</w:instrText>
        </w:r>
        <w:r>
          <w:fldChar w:fldCharType="separate"/>
        </w:r>
        <w:r w:rsidR="008048CF" w:rsidRPr="008048CF">
          <w:rPr>
            <w:noProof/>
            <w:lang w:val="zh-CN"/>
          </w:rPr>
          <w:t>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15F38A0" w14:textId="77777777" w:rsidR="00D15168" w:rsidRDefault="00D15168">
      <w:r>
        <w:separator/>
      </w:r>
    </w:p>
  </w:footnote>
  <w:footnote w:type="continuationSeparator" w:id="0">
    <w:p w14:paraId="680AC85F" w14:textId="77777777" w:rsidR="00D15168" w:rsidRDefault="00D1516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DD187B" w:rsidRDefault="00DD187B"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0E9E65D6"/>
    <w:multiLevelType w:val="multilevel"/>
    <w:tmpl w:val="39BA2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CF21DC7"/>
    <w:multiLevelType w:val="hybridMultilevel"/>
    <w:tmpl w:val="5914BAAE"/>
    <w:lvl w:ilvl="0" w:tplc="F95A8FC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11">
    <w:nsid w:val="273729AD"/>
    <w:multiLevelType w:val="multilevel"/>
    <w:tmpl w:val="2A428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5">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6">
    <w:nsid w:val="39E00319"/>
    <w:multiLevelType w:val="multilevel"/>
    <w:tmpl w:val="278EE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257513A"/>
    <w:multiLevelType w:val="multilevel"/>
    <w:tmpl w:val="D40C5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9">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20">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22">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23">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6">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8">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6"/>
  </w:num>
  <w:num w:numId="7">
    <w:abstractNumId w:val="18"/>
  </w:num>
  <w:num w:numId="8">
    <w:abstractNumId w:val="15"/>
  </w:num>
  <w:num w:numId="9">
    <w:abstractNumId w:val="6"/>
  </w:num>
  <w:num w:numId="10">
    <w:abstractNumId w:val="21"/>
  </w:num>
  <w:num w:numId="11">
    <w:abstractNumId w:val="25"/>
  </w:num>
  <w:num w:numId="12">
    <w:abstractNumId w:val="19"/>
  </w:num>
  <w:num w:numId="13">
    <w:abstractNumId w:val="27"/>
  </w:num>
  <w:num w:numId="14">
    <w:abstractNumId w:val="28"/>
  </w:num>
  <w:num w:numId="15">
    <w:abstractNumId w:val="22"/>
  </w:num>
  <w:num w:numId="16">
    <w:abstractNumId w:val="14"/>
  </w:num>
  <w:num w:numId="17">
    <w:abstractNumId w:val="10"/>
  </w:num>
  <w:num w:numId="18">
    <w:abstractNumId w:val="24"/>
  </w:num>
  <w:num w:numId="19">
    <w:abstractNumId w:val="12"/>
  </w:num>
  <w:num w:numId="20">
    <w:abstractNumId w:val="23"/>
  </w:num>
  <w:num w:numId="21">
    <w:abstractNumId w:val="7"/>
  </w:num>
  <w:num w:numId="22">
    <w:abstractNumId w:val="20"/>
  </w:num>
  <w:num w:numId="23">
    <w:abstractNumId w:val="5"/>
  </w:num>
  <w:num w:numId="24">
    <w:abstractNumId w:val="13"/>
  </w:num>
  <w:num w:numId="25">
    <w:abstractNumId w:val="9"/>
  </w:num>
  <w:num w:numId="26">
    <w:abstractNumId w:val="17"/>
  </w:num>
  <w:num w:numId="27">
    <w:abstractNumId w:val="11"/>
  </w:num>
  <w:num w:numId="28">
    <w:abstractNumId w:val="8"/>
  </w:num>
  <w:num w:numId="2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CA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BE5"/>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D9D"/>
    <w:rsid w:val="00023E14"/>
    <w:rsid w:val="0002431B"/>
    <w:rsid w:val="00025073"/>
    <w:rsid w:val="00025B9D"/>
    <w:rsid w:val="00025F12"/>
    <w:rsid w:val="00026193"/>
    <w:rsid w:val="00026E14"/>
    <w:rsid w:val="000270FF"/>
    <w:rsid w:val="000274EB"/>
    <w:rsid w:val="000275C9"/>
    <w:rsid w:val="0002765B"/>
    <w:rsid w:val="00027744"/>
    <w:rsid w:val="0002780B"/>
    <w:rsid w:val="00027AAB"/>
    <w:rsid w:val="00027E39"/>
    <w:rsid w:val="0003065D"/>
    <w:rsid w:val="00030711"/>
    <w:rsid w:val="00030E2D"/>
    <w:rsid w:val="00030E7C"/>
    <w:rsid w:val="000312AB"/>
    <w:rsid w:val="00031A0F"/>
    <w:rsid w:val="00032A5F"/>
    <w:rsid w:val="00032A68"/>
    <w:rsid w:val="00032ABF"/>
    <w:rsid w:val="000331EC"/>
    <w:rsid w:val="0003324E"/>
    <w:rsid w:val="000332AD"/>
    <w:rsid w:val="00033828"/>
    <w:rsid w:val="00034037"/>
    <w:rsid w:val="00034E64"/>
    <w:rsid w:val="0003520F"/>
    <w:rsid w:val="0003530E"/>
    <w:rsid w:val="00035CC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0B2"/>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0F1B"/>
    <w:rsid w:val="000617BF"/>
    <w:rsid w:val="00061869"/>
    <w:rsid w:val="000618ED"/>
    <w:rsid w:val="00061C3C"/>
    <w:rsid w:val="00061D9E"/>
    <w:rsid w:val="000620E2"/>
    <w:rsid w:val="0006250F"/>
    <w:rsid w:val="00062981"/>
    <w:rsid w:val="000629A2"/>
    <w:rsid w:val="00062E89"/>
    <w:rsid w:val="0006364B"/>
    <w:rsid w:val="00063EF1"/>
    <w:rsid w:val="00064007"/>
    <w:rsid w:val="000643F4"/>
    <w:rsid w:val="0006472D"/>
    <w:rsid w:val="00064DDC"/>
    <w:rsid w:val="00065754"/>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8B"/>
    <w:rsid w:val="0008119E"/>
    <w:rsid w:val="000815F6"/>
    <w:rsid w:val="00081E60"/>
    <w:rsid w:val="00082044"/>
    <w:rsid w:val="00082CE4"/>
    <w:rsid w:val="00083341"/>
    <w:rsid w:val="00083392"/>
    <w:rsid w:val="00083A35"/>
    <w:rsid w:val="00083B64"/>
    <w:rsid w:val="00083E1C"/>
    <w:rsid w:val="00084085"/>
    <w:rsid w:val="000840CD"/>
    <w:rsid w:val="00084848"/>
    <w:rsid w:val="00084873"/>
    <w:rsid w:val="0008490D"/>
    <w:rsid w:val="000853E5"/>
    <w:rsid w:val="00085AC0"/>
    <w:rsid w:val="00085CBE"/>
    <w:rsid w:val="0008649A"/>
    <w:rsid w:val="000869DB"/>
    <w:rsid w:val="00086E6D"/>
    <w:rsid w:val="00086E99"/>
    <w:rsid w:val="00087119"/>
    <w:rsid w:val="0008719E"/>
    <w:rsid w:val="000875B7"/>
    <w:rsid w:val="00087DC6"/>
    <w:rsid w:val="00087E90"/>
    <w:rsid w:val="00090261"/>
    <w:rsid w:val="000907BC"/>
    <w:rsid w:val="0009124F"/>
    <w:rsid w:val="00091402"/>
    <w:rsid w:val="00091559"/>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AFC"/>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54"/>
    <w:rsid w:val="000C39FF"/>
    <w:rsid w:val="000C3DC4"/>
    <w:rsid w:val="000C449C"/>
    <w:rsid w:val="000C48A2"/>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B79"/>
    <w:rsid w:val="000D20CB"/>
    <w:rsid w:val="000D2ABF"/>
    <w:rsid w:val="000D2ACF"/>
    <w:rsid w:val="000D3239"/>
    <w:rsid w:val="000D39B6"/>
    <w:rsid w:val="000D476C"/>
    <w:rsid w:val="000D4D45"/>
    <w:rsid w:val="000D4F30"/>
    <w:rsid w:val="000D5319"/>
    <w:rsid w:val="000D5735"/>
    <w:rsid w:val="000D6268"/>
    <w:rsid w:val="000D6289"/>
    <w:rsid w:val="000D6D98"/>
    <w:rsid w:val="000D7167"/>
    <w:rsid w:val="000D7AE6"/>
    <w:rsid w:val="000D7AF4"/>
    <w:rsid w:val="000E0C96"/>
    <w:rsid w:val="000E0E2A"/>
    <w:rsid w:val="000E0E59"/>
    <w:rsid w:val="000E131B"/>
    <w:rsid w:val="000E1BF0"/>
    <w:rsid w:val="000E2002"/>
    <w:rsid w:val="000E2496"/>
    <w:rsid w:val="000E25F5"/>
    <w:rsid w:val="000E2962"/>
    <w:rsid w:val="000E2A9F"/>
    <w:rsid w:val="000E2AF3"/>
    <w:rsid w:val="000E3119"/>
    <w:rsid w:val="000E3145"/>
    <w:rsid w:val="000E322E"/>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6EE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808"/>
    <w:rsid w:val="00127AE1"/>
    <w:rsid w:val="00127E16"/>
    <w:rsid w:val="00127E8D"/>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4AF9"/>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DE7"/>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C9"/>
    <w:rsid w:val="00155427"/>
    <w:rsid w:val="001556C9"/>
    <w:rsid w:val="00155C96"/>
    <w:rsid w:val="00155CBE"/>
    <w:rsid w:val="00155D06"/>
    <w:rsid w:val="00156190"/>
    <w:rsid w:val="0015634E"/>
    <w:rsid w:val="00156410"/>
    <w:rsid w:val="00156515"/>
    <w:rsid w:val="00156B73"/>
    <w:rsid w:val="0015798B"/>
    <w:rsid w:val="00157A31"/>
    <w:rsid w:val="00157AEE"/>
    <w:rsid w:val="001602AE"/>
    <w:rsid w:val="00160370"/>
    <w:rsid w:val="0016096D"/>
    <w:rsid w:val="0016107A"/>
    <w:rsid w:val="001611C1"/>
    <w:rsid w:val="0016142C"/>
    <w:rsid w:val="0016155D"/>
    <w:rsid w:val="00161568"/>
    <w:rsid w:val="00161909"/>
    <w:rsid w:val="00161984"/>
    <w:rsid w:val="00161D5D"/>
    <w:rsid w:val="0016251D"/>
    <w:rsid w:val="001629D2"/>
    <w:rsid w:val="00162C39"/>
    <w:rsid w:val="0016431D"/>
    <w:rsid w:val="001644C8"/>
    <w:rsid w:val="0016453E"/>
    <w:rsid w:val="001647E6"/>
    <w:rsid w:val="00166825"/>
    <w:rsid w:val="001668A4"/>
    <w:rsid w:val="00166EF2"/>
    <w:rsid w:val="00167137"/>
    <w:rsid w:val="00167E3A"/>
    <w:rsid w:val="00167EF4"/>
    <w:rsid w:val="00170521"/>
    <w:rsid w:val="00170F26"/>
    <w:rsid w:val="001715B3"/>
    <w:rsid w:val="00171997"/>
    <w:rsid w:val="0017214C"/>
    <w:rsid w:val="0017231C"/>
    <w:rsid w:val="0017232C"/>
    <w:rsid w:val="001723BD"/>
    <w:rsid w:val="001724C7"/>
    <w:rsid w:val="001725E0"/>
    <w:rsid w:val="0017270C"/>
    <w:rsid w:val="00172A27"/>
    <w:rsid w:val="00173BBF"/>
    <w:rsid w:val="001741DB"/>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58A9"/>
    <w:rsid w:val="00185EBC"/>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59A4"/>
    <w:rsid w:val="001967C0"/>
    <w:rsid w:val="001969E7"/>
    <w:rsid w:val="00196ABA"/>
    <w:rsid w:val="00196FDB"/>
    <w:rsid w:val="001973D0"/>
    <w:rsid w:val="00197AF1"/>
    <w:rsid w:val="00197F64"/>
    <w:rsid w:val="00197F76"/>
    <w:rsid w:val="001A056C"/>
    <w:rsid w:val="001A074B"/>
    <w:rsid w:val="001A07EE"/>
    <w:rsid w:val="001A0B1B"/>
    <w:rsid w:val="001A0EBD"/>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6D9"/>
    <w:rsid w:val="001A59CA"/>
    <w:rsid w:val="001A5CA0"/>
    <w:rsid w:val="001A601B"/>
    <w:rsid w:val="001A621B"/>
    <w:rsid w:val="001A62A8"/>
    <w:rsid w:val="001A6417"/>
    <w:rsid w:val="001A6D3B"/>
    <w:rsid w:val="001A6DF0"/>
    <w:rsid w:val="001A6F68"/>
    <w:rsid w:val="001A6FA9"/>
    <w:rsid w:val="001A73A0"/>
    <w:rsid w:val="001A744D"/>
    <w:rsid w:val="001A7792"/>
    <w:rsid w:val="001A7A22"/>
    <w:rsid w:val="001B0403"/>
    <w:rsid w:val="001B0864"/>
    <w:rsid w:val="001B0F99"/>
    <w:rsid w:val="001B1517"/>
    <w:rsid w:val="001B1AFF"/>
    <w:rsid w:val="001B27AB"/>
    <w:rsid w:val="001B28BB"/>
    <w:rsid w:val="001B29BE"/>
    <w:rsid w:val="001B3023"/>
    <w:rsid w:val="001B383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3AD"/>
    <w:rsid w:val="001C170A"/>
    <w:rsid w:val="001C1BEB"/>
    <w:rsid w:val="001C225E"/>
    <w:rsid w:val="001C23AD"/>
    <w:rsid w:val="001C24BA"/>
    <w:rsid w:val="001C269A"/>
    <w:rsid w:val="001C2789"/>
    <w:rsid w:val="001C2DB8"/>
    <w:rsid w:val="001C3579"/>
    <w:rsid w:val="001C398F"/>
    <w:rsid w:val="001C44A7"/>
    <w:rsid w:val="001C44D6"/>
    <w:rsid w:val="001C4E64"/>
    <w:rsid w:val="001C532E"/>
    <w:rsid w:val="001C53EB"/>
    <w:rsid w:val="001C574D"/>
    <w:rsid w:val="001C5AAA"/>
    <w:rsid w:val="001C64E1"/>
    <w:rsid w:val="001C682E"/>
    <w:rsid w:val="001D07B6"/>
    <w:rsid w:val="001D0BB7"/>
    <w:rsid w:val="001D0BFB"/>
    <w:rsid w:val="001D0EDD"/>
    <w:rsid w:val="001D1897"/>
    <w:rsid w:val="001D19D7"/>
    <w:rsid w:val="001D1D32"/>
    <w:rsid w:val="001D2283"/>
    <w:rsid w:val="001D2EC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16F5"/>
    <w:rsid w:val="001E28D3"/>
    <w:rsid w:val="001E30B3"/>
    <w:rsid w:val="001E3431"/>
    <w:rsid w:val="001E386F"/>
    <w:rsid w:val="001E38AC"/>
    <w:rsid w:val="001E38B1"/>
    <w:rsid w:val="001E3C02"/>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98C"/>
    <w:rsid w:val="001F0EA2"/>
    <w:rsid w:val="001F17BA"/>
    <w:rsid w:val="001F1991"/>
    <w:rsid w:val="001F215E"/>
    <w:rsid w:val="001F2627"/>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3843"/>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125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ECA"/>
    <w:rsid w:val="00230F62"/>
    <w:rsid w:val="00231973"/>
    <w:rsid w:val="00231B4A"/>
    <w:rsid w:val="00231B55"/>
    <w:rsid w:val="00231C7A"/>
    <w:rsid w:val="00231D1F"/>
    <w:rsid w:val="00231E63"/>
    <w:rsid w:val="00231E89"/>
    <w:rsid w:val="00232244"/>
    <w:rsid w:val="00232295"/>
    <w:rsid w:val="00232A2D"/>
    <w:rsid w:val="00233451"/>
    <w:rsid w:val="002334CA"/>
    <w:rsid w:val="002335E8"/>
    <w:rsid w:val="00233DD7"/>
    <w:rsid w:val="00233F53"/>
    <w:rsid w:val="0023464F"/>
    <w:rsid w:val="002346CA"/>
    <w:rsid w:val="00234798"/>
    <w:rsid w:val="00234ABC"/>
    <w:rsid w:val="00234E86"/>
    <w:rsid w:val="00235216"/>
    <w:rsid w:val="00235BF6"/>
    <w:rsid w:val="00235D65"/>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4E7"/>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4AC8"/>
    <w:rsid w:val="002556C4"/>
    <w:rsid w:val="00255AC9"/>
    <w:rsid w:val="00256370"/>
    <w:rsid w:val="0025676D"/>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094F"/>
    <w:rsid w:val="00271825"/>
    <w:rsid w:val="00271835"/>
    <w:rsid w:val="00271EDC"/>
    <w:rsid w:val="002728FC"/>
    <w:rsid w:val="00272B90"/>
    <w:rsid w:val="00273B77"/>
    <w:rsid w:val="00273BF9"/>
    <w:rsid w:val="00273F66"/>
    <w:rsid w:val="0027404F"/>
    <w:rsid w:val="002749A4"/>
    <w:rsid w:val="00275140"/>
    <w:rsid w:val="00275727"/>
    <w:rsid w:val="00275C52"/>
    <w:rsid w:val="00275C90"/>
    <w:rsid w:val="00275F5F"/>
    <w:rsid w:val="00276481"/>
    <w:rsid w:val="00276EDD"/>
    <w:rsid w:val="00277145"/>
    <w:rsid w:val="002775AA"/>
    <w:rsid w:val="00277ACC"/>
    <w:rsid w:val="00277FA3"/>
    <w:rsid w:val="002800E2"/>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ADF"/>
    <w:rsid w:val="00282C84"/>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080"/>
    <w:rsid w:val="00295171"/>
    <w:rsid w:val="0029549E"/>
    <w:rsid w:val="0029551B"/>
    <w:rsid w:val="00296316"/>
    <w:rsid w:val="00296658"/>
    <w:rsid w:val="00296F7D"/>
    <w:rsid w:val="00296FE0"/>
    <w:rsid w:val="00297DC5"/>
    <w:rsid w:val="00297DF3"/>
    <w:rsid w:val="00297FBC"/>
    <w:rsid w:val="002A000F"/>
    <w:rsid w:val="002A08C3"/>
    <w:rsid w:val="002A0FA8"/>
    <w:rsid w:val="002A111A"/>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1BBF"/>
    <w:rsid w:val="002B1C30"/>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1C34"/>
    <w:rsid w:val="002C2475"/>
    <w:rsid w:val="002C252C"/>
    <w:rsid w:val="002C2CA8"/>
    <w:rsid w:val="002C2F3B"/>
    <w:rsid w:val="002C352A"/>
    <w:rsid w:val="002C3941"/>
    <w:rsid w:val="002C3C3B"/>
    <w:rsid w:val="002C3E85"/>
    <w:rsid w:val="002C448D"/>
    <w:rsid w:val="002C4A75"/>
    <w:rsid w:val="002C4ACD"/>
    <w:rsid w:val="002C4EA8"/>
    <w:rsid w:val="002C5496"/>
    <w:rsid w:val="002C6182"/>
    <w:rsid w:val="002C61A1"/>
    <w:rsid w:val="002C6BBD"/>
    <w:rsid w:val="002C70B3"/>
    <w:rsid w:val="002C763E"/>
    <w:rsid w:val="002C7910"/>
    <w:rsid w:val="002C7DA8"/>
    <w:rsid w:val="002C7E05"/>
    <w:rsid w:val="002D0834"/>
    <w:rsid w:val="002D0B07"/>
    <w:rsid w:val="002D0C96"/>
    <w:rsid w:val="002D0D12"/>
    <w:rsid w:val="002D14C6"/>
    <w:rsid w:val="002D19CF"/>
    <w:rsid w:val="002D251D"/>
    <w:rsid w:val="002D27D9"/>
    <w:rsid w:val="002D2B4C"/>
    <w:rsid w:val="002D32D5"/>
    <w:rsid w:val="002D354D"/>
    <w:rsid w:val="002D361C"/>
    <w:rsid w:val="002D3BDB"/>
    <w:rsid w:val="002D3DEE"/>
    <w:rsid w:val="002D44EF"/>
    <w:rsid w:val="002D521C"/>
    <w:rsid w:val="002D5222"/>
    <w:rsid w:val="002D525F"/>
    <w:rsid w:val="002D5DF7"/>
    <w:rsid w:val="002D714B"/>
    <w:rsid w:val="002D7606"/>
    <w:rsid w:val="002D7893"/>
    <w:rsid w:val="002D79BB"/>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0AC0"/>
    <w:rsid w:val="00301057"/>
    <w:rsid w:val="0030212C"/>
    <w:rsid w:val="00302151"/>
    <w:rsid w:val="00302427"/>
    <w:rsid w:val="003026AE"/>
    <w:rsid w:val="00302A7B"/>
    <w:rsid w:val="00302CD4"/>
    <w:rsid w:val="00302F67"/>
    <w:rsid w:val="00303034"/>
    <w:rsid w:val="0030309D"/>
    <w:rsid w:val="0030333F"/>
    <w:rsid w:val="00303424"/>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DB0"/>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D1A"/>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0DB"/>
    <w:rsid w:val="0033013A"/>
    <w:rsid w:val="00330401"/>
    <w:rsid w:val="003307C2"/>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516"/>
    <w:rsid w:val="00335A08"/>
    <w:rsid w:val="003370C6"/>
    <w:rsid w:val="00337365"/>
    <w:rsid w:val="003373AF"/>
    <w:rsid w:val="00337BF7"/>
    <w:rsid w:val="00337FC0"/>
    <w:rsid w:val="003401AF"/>
    <w:rsid w:val="003401E6"/>
    <w:rsid w:val="003402AD"/>
    <w:rsid w:val="00340776"/>
    <w:rsid w:val="003409B2"/>
    <w:rsid w:val="00340BAB"/>
    <w:rsid w:val="0034105F"/>
    <w:rsid w:val="00341169"/>
    <w:rsid w:val="003411E9"/>
    <w:rsid w:val="003413B0"/>
    <w:rsid w:val="00341DD0"/>
    <w:rsid w:val="00341E75"/>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70"/>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73CA"/>
    <w:rsid w:val="00367DA6"/>
    <w:rsid w:val="00367F49"/>
    <w:rsid w:val="003708C4"/>
    <w:rsid w:val="00370BFD"/>
    <w:rsid w:val="0037137A"/>
    <w:rsid w:val="00371885"/>
    <w:rsid w:val="00371A4E"/>
    <w:rsid w:val="00371BBF"/>
    <w:rsid w:val="003721E5"/>
    <w:rsid w:val="003728F4"/>
    <w:rsid w:val="0037297A"/>
    <w:rsid w:val="003729D4"/>
    <w:rsid w:val="00372BA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0210"/>
    <w:rsid w:val="003A0290"/>
    <w:rsid w:val="003A1587"/>
    <w:rsid w:val="003A1612"/>
    <w:rsid w:val="003A20B9"/>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9EF"/>
    <w:rsid w:val="003B1A43"/>
    <w:rsid w:val="003B1C7E"/>
    <w:rsid w:val="003B2407"/>
    <w:rsid w:val="003B2C94"/>
    <w:rsid w:val="003B2CC2"/>
    <w:rsid w:val="003B3058"/>
    <w:rsid w:val="003B3167"/>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0E83"/>
    <w:rsid w:val="003C1818"/>
    <w:rsid w:val="003C1CC8"/>
    <w:rsid w:val="003C1F1C"/>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E47"/>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13E"/>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5B0"/>
    <w:rsid w:val="003E39D2"/>
    <w:rsid w:val="003E3A33"/>
    <w:rsid w:val="003E3A5E"/>
    <w:rsid w:val="003E42BE"/>
    <w:rsid w:val="003E4804"/>
    <w:rsid w:val="003E4BF7"/>
    <w:rsid w:val="003E578A"/>
    <w:rsid w:val="003E5F76"/>
    <w:rsid w:val="003E62BD"/>
    <w:rsid w:val="003E64BA"/>
    <w:rsid w:val="003E66CA"/>
    <w:rsid w:val="003E6A42"/>
    <w:rsid w:val="003E6FC1"/>
    <w:rsid w:val="003E74C3"/>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C16"/>
    <w:rsid w:val="003F4F77"/>
    <w:rsid w:val="003F5897"/>
    <w:rsid w:val="003F59A9"/>
    <w:rsid w:val="003F5A02"/>
    <w:rsid w:val="003F5BA2"/>
    <w:rsid w:val="003F6042"/>
    <w:rsid w:val="003F63D6"/>
    <w:rsid w:val="003F66B9"/>
    <w:rsid w:val="003F6779"/>
    <w:rsid w:val="003F680F"/>
    <w:rsid w:val="003F68B2"/>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38B4"/>
    <w:rsid w:val="00404169"/>
    <w:rsid w:val="00404517"/>
    <w:rsid w:val="004048B4"/>
    <w:rsid w:val="004049CF"/>
    <w:rsid w:val="00404A4A"/>
    <w:rsid w:val="00404BDE"/>
    <w:rsid w:val="00405140"/>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862"/>
    <w:rsid w:val="00413D38"/>
    <w:rsid w:val="00413EAE"/>
    <w:rsid w:val="00414307"/>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3A8C"/>
    <w:rsid w:val="004544EB"/>
    <w:rsid w:val="004545E0"/>
    <w:rsid w:val="004547FE"/>
    <w:rsid w:val="00454AA0"/>
    <w:rsid w:val="00454C2A"/>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33E"/>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055E"/>
    <w:rsid w:val="00481216"/>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87DBE"/>
    <w:rsid w:val="004901FB"/>
    <w:rsid w:val="00490569"/>
    <w:rsid w:val="00490F0B"/>
    <w:rsid w:val="004910FA"/>
    <w:rsid w:val="00491215"/>
    <w:rsid w:val="00491B29"/>
    <w:rsid w:val="00491B39"/>
    <w:rsid w:val="00491BDF"/>
    <w:rsid w:val="00491CA1"/>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6CF"/>
    <w:rsid w:val="004B3730"/>
    <w:rsid w:val="004B40FA"/>
    <w:rsid w:val="004B4CB3"/>
    <w:rsid w:val="004B5223"/>
    <w:rsid w:val="004B52CB"/>
    <w:rsid w:val="004B56B4"/>
    <w:rsid w:val="004B5ADF"/>
    <w:rsid w:val="004B67CE"/>
    <w:rsid w:val="004B6DC5"/>
    <w:rsid w:val="004B7377"/>
    <w:rsid w:val="004B74ED"/>
    <w:rsid w:val="004B7B88"/>
    <w:rsid w:val="004C0393"/>
    <w:rsid w:val="004C08D2"/>
    <w:rsid w:val="004C131A"/>
    <w:rsid w:val="004C22D4"/>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2B1"/>
    <w:rsid w:val="004F0526"/>
    <w:rsid w:val="004F07EC"/>
    <w:rsid w:val="004F0916"/>
    <w:rsid w:val="004F0D08"/>
    <w:rsid w:val="004F11F5"/>
    <w:rsid w:val="004F132D"/>
    <w:rsid w:val="004F189D"/>
    <w:rsid w:val="004F1963"/>
    <w:rsid w:val="004F1AB3"/>
    <w:rsid w:val="004F1BB5"/>
    <w:rsid w:val="004F1DE8"/>
    <w:rsid w:val="004F2008"/>
    <w:rsid w:val="004F29E1"/>
    <w:rsid w:val="004F2F98"/>
    <w:rsid w:val="004F306C"/>
    <w:rsid w:val="004F311A"/>
    <w:rsid w:val="004F38C5"/>
    <w:rsid w:val="004F3CC7"/>
    <w:rsid w:val="004F3D46"/>
    <w:rsid w:val="004F405B"/>
    <w:rsid w:val="004F57AE"/>
    <w:rsid w:val="004F5CB0"/>
    <w:rsid w:val="004F6069"/>
    <w:rsid w:val="004F6333"/>
    <w:rsid w:val="004F63FA"/>
    <w:rsid w:val="004F64F2"/>
    <w:rsid w:val="004F69E1"/>
    <w:rsid w:val="004F6A24"/>
    <w:rsid w:val="004F6C21"/>
    <w:rsid w:val="004F713E"/>
    <w:rsid w:val="004F755E"/>
    <w:rsid w:val="004F78E8"/>
    <w:rsid w:val="004F791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400"/>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B9E"/>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313D"/>
    <w:rsid w:val="005341AA"/>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7B0"/>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1C03"/>
    <w:rsid w:val="00552161"/>
    <w:rsid w:val="00552372"/>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9FC"/>
    <w:rsid w:val="00555D4E"/>
    <w:rsid w:val="00556125"/>
    <w:rsid w:val="0055715D"/>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67E5A"/>
    <w:rsid w:val="0057023D"/>
    <w:rsid w:val="005707EB"/>
    <w:rsid w:val="00570822"/>
    <w:rsid w:val="005709DA"/>
    <w:rsid w:val="00570DBD"/>
    <w:rsid w:val="0057151F"/>
    <w:rsid w:val="005715B5"/>
    <w:rsid w:val="005715FD"/>
    <w:rsid w:val="00571840"/>
    <w:rsid w:val="0057185D"/>
    <w:rsid w:val="005718BC"/>
    <w:rsid w:val="00571977"/>
    <w:rsid w:val="00571EF7"/>
    <w:rsid w:val="0057268E"/>
    <w:rsid w:val="00572CB3"/>
    <w:rsid w:val="0057315D"/>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628"/>
    <w:rsid w:val="00581B77"/>
    <w:rsid w:val="00581D26"/>
    <w:rsid w:val="00581D5B"/>
    <w:rsid w:val="00581F07"/>
    <w:rsid w:val="0058229A"/>
    <w:rsid w:val="005822DA"/>
    <w:rsid w:val="00582411"/>
    <w:rsid w:val="0058294C"/>
    <w:rsid w:val="005829A7"/>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3D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33B"/>
    <w:rsid w:val="005A7F88"/>
    <w:rsid w:val="005B0BC9"/>
    <w:rsid w:val="005B1AA7"/>
    <w:rsid w:val="005B1D9E"/>
    <w:rsid w:val="005B2811"/>
    <w:rsid w:val="005B2ACA"/>
    <w:rsid w:val="005B2C07"/>
    <w:rsid w:val="005B2DB2"/>
    <w:rsid w:val="005B2F90"/>
    <w:rsid w:val="005B32BC"/>
    <w:rsid w:val="005B33EC"/>
    <w:rsid w:val="005B354F"/>
    <w:rsid w:val="005B35FB"/>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1B69"/>
    <w:rsid w:val="005C2BD3"/>
    <w:rsid w:val="005C3C1E"/>
    <w:rsid w:val="005C3F29"/>
    <w:rsid w:val="005C4BA8"/>
    <w:rsid w:val="005C514B"/>
    <w:rsid w:val="005C51D7"/>
    <w:rsid w:val="005C5E52"/>
    <w:rsid w:val="005C5F5F"/>
    <w:rsid w:val="005C61A4"/>
    <w:rsid w:val="005C62E1"/>
    <w:rsid w:val="005C6814"/>
    <w:rsid w:val="005C6B09"/>
    <w:rsid w:val="005C6F6B"/>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C69"/>
    <w:rsid w:val="005D5DCB"/>
    <w:rsid w:val="005D6554"/>
    <w:rsid w:val="005D65C2"/>
    <w:rsid w:val="005D70EC"/>
    <w:rsid w:val="005D7568"/>
    <w:rsid w:val="005D7719"/>
    <w:rsid w:val="005D7ED9"/>
    <w:rsid w:val="005D7FDC"/>
    <w:rsid w:val="005E0ABD"/>
    <w:rsid w:val="005E1097"/>
    <w:rsid w:val="005E1131"/>
    <w:rsid w:val="005E1B78"/>
    <w:rsid w:val="005E1D88"/>
    <w:rsid w:val="005E20F9"/>
    <w:rsid w:val="005E23FC"/>
    <w:rsid w:val="005E2B38"/>
    <w:rsid w:val="005E315B"/>
    <w:rsid w:val="005E31F0"/>
    <w:rsid w:val="005E335D"/>
    <w:rsid w:val="005E355B"/>
    <w:rsid w:val="005E374C"/>
    <w:rsid w:val="005E3811"/>
    <w:rsid w:val="005E4396"/>
    <w:rsid w:val="005E4544"/>
    <w:rsid w:val="005E45CC"/>
    <w:rsid w:val="005E4A97"/>
    <w:rsid w:val="005E4E3E"/>
    <w:rsid w:val="005E51AE"/>
    <w:rsid w:val="005E5580"/>
    <w:rsid w:val="005E5CB1"/>
    <w:rsid w:val="005E5CBA"/>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D18"/>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4BA"/>
    <w:rsid w:val="00604528"/>
    <w:rsid w:val="00604D15"/>
    <w:rsid w:val="006050AB"/>
    <w:rsid w:val="0060524A"/>
    <w:rsid w:val="006052B5"/>
    <w:rsid w:val="006059D2"/>
    <w:rsid w:val="006067A9"/>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5F5"/>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17BC1"/>
    <w:rsid w:val="006202EF"/>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27CD5"/>
    <w:rsid w:val="006301DC"/>
    <w:rsid w:val="0063020A"/>
    <w:rsid w:val="0063050F"/>
    <w:rsid w:val="0063059B"/>
    <w:rsid w:val="00630782"/>
    <w:rsid w:val="00630D51"/>
    <w:rsid w:val="00630D8F"/>
    <w:rsid w:val="00630EBF"/>
    <w:rsid w:val="00630F08"/>
    <w:rsid w:val="00631253"/>
    <w:rsid w:val="00631860"/>
    <w:rsid w:val="0063192C"/>
    <w:rsid w:val="00631A17"/>
    <w:rsid w:val="0063279A"/>
    <w:rsid w:val="00632CB6"/>
    <w:rsid w:val="00632ECA"/>
    <w:rsid w:val="0063323D"/>
    <w:rsid w:val="00633845"/>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49E"/>
    <w:rsid w:val="006416D0"/>
    <w:rsid w:val="00642E2C"/>
    <w:rsid w:val="00642FDD"/>
    <w:rsid w:val="006439FF"/>
    <w:rsid w:val="00643A07"/>
    <w:rsid w:val="0064451B"/>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972"/>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D14"/>
    <w:rsid w:val="006629A0"/>
    <w:rsid w:val="0066321A"/>
    <w:rsid w:val="0066365D"/>
    <w:rsid w:val="00664AED"/>
    <w:rsid w:val="00665168"/>
    <w:rsid w:val="0066547A"/>
    <w:rsid w:val="00665997"/>
    <w:rsid w:val="00666EA1"/>
    <w:rsid w:val="006671E7"/>
    <w:rsid w:val="00667451"/>
    <w:rsid w:val="006674F6"/>
    <w:rsid w:val="006675F8"/>
    <w:rsid w:val="00670296"/>
    <w:rsid w:val="0067037F"/>
    <w:rsid w:val="0067170A"/>
    <w:rsid w:val="00671C98"/>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9F6"/>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381"/>
    <w:rsid w:val="006939E7"/>
    <w:rsid w:val="00693AD7"/>
    <w:rsid w:val="00695437"/>
    <w:rsid w:val="0069562C"/>
    <w:rsid w:val="00695938"/>
    <w:rsid w:val="00695B5A"/>
    <w:rsid w:val="00695D17"/>
    <w:rsid w:val="00695DD9"/>
    <w:rsid w:val="00695FC7"/>
    <w:rsid w:val="0069695A"/>
    <w:rsid w:val="00696F26"/>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ED"/>
    <w:rsid w:val="006A4CD1"/>
    <w:rsid w:val="006A4DF4"/>
    <w:rsid w:val="006A4F90"/>
    <w:rsid w:val="006A58DE"/>
    <w:rsid w:val="006A5914"/>
    <w:rsid w:val="006A5CEB"/>
    <w:rsid w:val="006A61A6"/>
    <w:rsid w:val="006A62D4"/>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9F"/>
    <w:rsid w:val="006C3FA8"/>
    <w:rsid w:val="006C425F"/>
    <w:rsid w:val="006C470F"/>
    <w:rsid w:val="006C47C9"/>
    <w:rsid w:val="006C503D"/>
    <w:rsid w:val="006C51C0"/>
    <w:rsid w:val="006C52B5"/>
    <w:rsid w:val="006C5320"/>
    <w:rsid w:val="006C5B23"/>
    <w:rsid w:val="006C5D7C"/>
    <w:rsid w:val="006C63FF"/>
    <w:rsid w:val="006C65D2"/>
    <w:rsid w:val="006C6917"/>
    <w:rsid w:val="006C6AD9"/>
    <w:rsid w:val="006C7295"/>
    <w:rsid w:val="006C72FD"/>
    <w:rsid w:val="006C7663"/>
    <w:rsid w:val="006C76B5"/>
    <w:rsid w:val="006D0530"/>
    <w:rsid w:val="006D0613"/>
    <w:rsid w:val="006D0886"/>
    <w:rsid w:val="006D0D8D"/>
    <w:rsid w:val="006D11D5"/>
    <w:rsid w:val="006D13F5"/>
    <w:rsid w:val="006D1841"/>
    <w:rsid w:val="006D1AD9"/>
    <w:rsid w:val="006D20EA"/>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2C8"/>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B59"/>
    <w:rsid w:val="006E4C06"/>
    <w:rsid w:val="006E559F"/>
    <w:rsid w:val="006E5744"/>
    <w:rsid w:val="006E594F"/>
    <w:rsid w:val="006E5E0F"/>
    <w:rsid w:val="006E6811"/>
    <w:rsid w:val="006E6BA5"/>
    <w:rsid w:val="006E6EFB"/>
    <w:rsid w:val="006E78DD"/>
    <w:rsid w:val="006E798E"/>
    <w:rsid w:val="006E7D2B"/>
    <w:rsid w:val="006F0A7B"/>
    <w:rsid w:val="006F0CA7"/>
    <w:rsid w:val="006F1138"/>
    <w:rsid w:val="006F1E2D"/>
    <w:rsid w:val="006F1F5D"/>
    <w:rsid w:val="006F2072"/>
    <w:rsid w:val="006F21C0"/>
    <w:rsid w:val="006F26B5"/>
    <w:rsid w:val="006F2AA1"/>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2B2"/>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5D32"/>
    <w:rsid w:val="007068DB"/>
    <w:rsid w:val="00707088"/>
    <w:rsid w:val="0070717D"/>
    <w:rsid w:val="0070722C"/>
    <w:rsid w:val="007077F1"/>
    <w:rsid w:val="00707899"/>
    <w:rsid w:val="00707BBB"/>
    <w:rsid w:val="00707C5D"/>
    <w:rsid w:val="0071038D"/>
    <w:rsid w:val="007104C0"/>
    <w:rsid w:val="00710573"/>
    <w:rsid w:val="00710821"/>
    <w:rsid w:val="00710C35"/>
    <w:rsid w:val="00710EEA"/>
    <w:rsid w:val="0071175B"/>
    <w:rsid w:val="00711C69"/>
    <w:rsid w:val="00711CC7"/>
    <w:rsid w:val="00711EF1"/>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6F3B"/>
    <w:rsid w:val="00717070"/>
    <w:rsid w:val="0071710C"/>
    <w:rsid w:val="0071731C"/>
    <w:rsid w:val="00717338"/>
    <w:rsid w:val="00717755"/>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615"/>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3B0"/>
    <w:rsid w:val="007453FD"/>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83A"/>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155"/>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70032"/>
    <w:rsid w:val="007700C7"/>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6007"/>
    <w:rsid w:val="0077705A"/>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27"/>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5FA"/>
    <w:rsid w:val="00790642"/>
    <w:rsid w:val="00790C07"/>
    <w:rsid w:val="00790C2A"/>
    <w:rsid w:val="00790F32"/>
    <w:rsid w:val="00791056"/>
    <w:rsid w:val="00791236"/>
    <w:rsid w:val="007914EB"/>
    <w:rsid w:val="0079154D"/>
    <w:rsid w:val="007927BD"/>
    <w:rsid w:val="00792851"/>
    <w:rsid w:val="00792B0A"/>
    <w:rsid w:val="00792EA6"/>
    <w:rsid w:val="00793DD0"/>
    <w:rsid w:val="00793F51"/>
    <w:rsid w:val="00794662"/>
    <w:rsid w:val="007946A0"/>
    <w:rsid w:val="00794DBA"/>
    <w:rsid w:val="00795B1F"/>
    <w:rsid w:val="00796656"/>
    <w:rsid w:val="00796CE4"/>
    <w:rsid w:val="007976D4"/>
    <w:rsid w:val="007978C1"/>
    <w:rsid w:val="00797A40"/>
    <w:rsid w:val="007A08A9"/>
    <w:rsid w:val="007A11A5"/>
    <w:rsid w:val="007A1399"/>
    <w:rsid w:val="007A1EA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6F4"/>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1AAE"/>
    <w:rsid w:val="007D249B"/>
    <w:rsid w:val="007D2AAD"/>
    <w:rsid w:val="007D306B"/>
    <w:rsid w:val="007D31F3"/>
    <w:rsid w:val="007D34CA"/>
    <w:rsid w:val="007D387D"/>
    <w:rsid w:val="007D45C2"/>
    <w:rsid w:val="007D4738"/>
    <w:rsid w:val="007D48F4"/>
    <w:rsid w:val="007D4EC0"/>
    <w:rsid w:val="007D50A3"/>
    <w:rsid w:val="007D5A1C"/>
    <w:rsid w:val="007D5AFD"/>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47E"/>
    <w:rsid w:val="007E57DA"/>
    <w:rsid w:val="007E59F7"/>
    <w:rsid w:val="007E6E24"/>
    <w:rsid w:val="007E7147"/>
    <w:rsid w:val="007F045E"/>
    <w:rsid w:val="007F08E9"/>
    <w:rsid w:val="007F0DC6"/>
    <w:rsid w:val="007F0F7C"/>
    <w:rsid w:val="007F14F1"/>
    <w:rsid w:val="007F15DA"/>
    <w:rsid w:val="007F15F2"/>
    <w:rsid w:val="007F1B22"/>
    <w:rsid w:val="007F1FCD"/>
    <w:rsid w:val="007F22A6"/>
    <w:rsid w:val="007F236E"/>
    <w:rsid w:val="007F2684"/>
    <w:rsid w:val="007F278A"/>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7B5"/>
    <w:rsid w:val="007F780C"/>
    <w:rsid w:val="007F7F46"/>
    <w:rsid w:val="00800139"/>
    <w:rsid w:val="008002C6"/>
    <w:rsid w:val="008003F6"/>
    <w:rsid w:val="008011F8"/>
    <w:rsid w:val="00801445"/>
    <w:rsid w:val="00801702"/>
    <w:rsid w:val="00801936"/>
    <w:rsid w:val="00801962"/>
    <w:rsid w:val="00802293"/>
    <w:rsid w:val="00802E71"/>
    <w:rsid w:val="00802F0E"/>
    <w:rsid w:val="00803028"/>
    <w:rsid w:val="008032B0"/>
    <w:rsid w:val="00803B8E"/>
    <w:rsid w:val="0080420E"/>
    <w:rsid w:val="00804803"/>
    <w:rsid w:val="008048C5"/>
    <w:rsid w:val="008048CF"/>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65A"/>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47EB6"/>
    <w:rsid w:val="00850026"/>
    <w:rsid w:val="00850548"/>
    <w:rsid w:val="008507E6"/>
    <w:rsid w:val="008509C9"/>
    <w:rsid w:val="008510CB"/>
    <w:rsid w:val="00851C6B"/>
    <w:rsid w:val="00851D0A"/>
    <w:rsid w:val="00852383"/>
    <w:rsid w:val="00852ECE"/>
    <w:rsid w:val="008534ED"/>
    <w:rsid w:val="00853AFB"/>
    <w:rsid w:val="00853B2D"/>
    <w:rsid w:val="00853D0C"/>
    <w:rsid w:val="00854107"/>
    <w:rsid w:val="00854190"/>
    <w:rsid w:val="00854194"/>
    <w:rsid w:val="00854481"/>
    <w:rsid w:val="0085459B"/>
    <w:rsid w:val="008549FC"/>
    <w:rsid w:val="00854DBE"/>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6FC"/>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76FFA"/>
    <w:rsid w:val="00880256"/>
    <w:rsid w:val="00880284"/>
    <w:rsid w:val="008802EC"/>
    <w:rsid w:val="00880329"/>
    <w:rsid w:val="00880D8B"/>
    <w:rsid w:val="00880FE2"/>
    <w:rsid w:val="00881083"/>
    <w:rsid w:val="008819C3"/>
    <w:rsid w:val="00881AB2"/>
    <w:rsid w:val="0088255E"/>
    <w:rsid w:val="00882963"/>
    <w:rsid w:val="00882FA5"/>
    <w:rsid w:val="008831F7"/>
    <w:rsid w:val="0088359C"/>
    <w:rsid w:val="00883E4F"/>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6D8"/>
    <w:rsid w:val="008918FC"/>
    <w:rsid w:val="00891D23"/>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6CF5"/>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6FF9"/>
    <w:rsid w:val="008B73E0"/>
    <w:rsid w:val="008B7885"/>
    <w:rsid w:val="008B7D39"/>
    <w:rsid w:val="008C013F"/>
    <w:rsid w:val="008C103F"/>
    <w:rsid w:val="008C1820"/>
    <w:rsid w:val="008C18FD"/>
    <w:rsid w:val="008C1A52"/>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8C5"/>
    <w:rsid w:val="008C79B4"/>
    <w:rsid w:val="008C7F90"/>
    <w:rsid w:val="008D00B5"/>
    <w:rsid w:val="008D0180"/>
    <w:rsid w:val="008D0721"/>
    <w:rsid w:val="008D09A9"/>
    <w:rsid w:val="008D0A2E"/>
    <w:rsid w:val="008D0A55"/>
    <w:rsid w:val="008D151F"/>
    <w:rsid w:val="008D1FBA"/>
    <w:rsid w:val="008D2053"/>
    <w:rsid w:val="008D24E0"/>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08B"/>
    <w:rsid w:val="00905885"/>
    <w:rsid w:val="00905F50"/>
    <w:rsid w:val="0090605D"/>
    <w:rsid w:val="00906AF9"/>
    <w:rsid w:val="00907220"/>
    <w:rsid w:val="00907297"/>
    <w:rsid w:val="00907326"/>
    <w:rsid w:val="00907933"/>
    <w:rsid w:val="00910263"/>
    <w:rsid w:val="00910421"/>
    <w:rsid w:val="00910574"/>
    <w:rsid w:val="00910F74"/>
    <w:rsid w:val="00911135"/>
    <w:rsid w:val="009111E9"/>
    <w:rsid w:val="009117EB"/>
    <w:rsid w:val="00911B5E"/>
    <w:rsid w:val="0091219C"/>
    <w:rsid w:val="00912901"/>
    <w:rsid w:val="00912945"/>
    <w:rsid w:val="00912C67"/>
    <w:rsid w:val="009131C4"/>
    <w:rsid w:val="0091354A"/>
    <w:rsid w:val="00913727"/>
    <w:rsid w:val="00913F7F"/>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2E68"/>
    <w:rsid w:val="0093309D"/>
    <w:rsid w:val="00933219"/>
    <w:rsid w:val="00933F6B"/>
    <w:rsid w:val="00934A6C"/>
    <w:rsid w:val="00934B1E"/>
    <w:rsid w:val="00934F66"/>
    <w:rsid w:val="00935A5F"/>
    <w:rsid w:val="00935CAF"/>
    <w:rsid w:val="00935EDA"/>
    <w:rsid w:val="0093645F"/>
    <w:rsid w:val="00936B4B"/>
    <w:rsid w:val="00936F6A"/>
    <w:rsid w:val="00937436"/>
    <w:rsid w:val="0094023F"/>
    <w:rsid w:val="00940723"/>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4EDC"/>
    <w:rsid w:val="0096570A"/>
    <w:rsid w:val="0096597E"/>
    <w:rsid w:val="00965FE4"/>
    <w:rsid w:val="009665FF"/>
    <w:rsid w:val="0096687C"/>
    <w:rsid w:val="00966A21"/>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757"/>
    <w:rsid w:val="009769B2"/>
    <w:rsid w:val="00976D68"/>
    <w:rsid w:val="00976DFB"/>
    <w:rsid w:val="009777C1"/>
    <w:rsid w:val="009779F4"/>
    <w:rsid w:val="00977F1B"/>
    <w:rsid w:val="00980013"/>
    <w:rsid w:val="00980B5C"/>
    <w:rsid w:val="0098179A"/>
    <w:rsid w:val="0098209F"/>
    <w:rsid w:val="009825CA"/>
    <w:rsid w:val="00982967"/>
    <w:rsid w:val="00983817"/>
    <w:rsid w:val="00983C71"/>
    <w:rsid w:val="00983E46"/>
    <w:rsid w:val="009846F7"/>
    <w:rsid w:val="009848DB"/>
    <w:rsid w:val="009853A2"/>
    <w:rsid w:val="0098546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D03"/>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1371"/>
    <w:rsid w:val="009B1D72"/>
    <w:rsid w:val="009B1F76"/>
    <w:rsid w:val="009B25CD"/>
    <w:rsid w:val="009B2629"/>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2ACE"/>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C77AF"/>
    <w:rsid w:val="009D045F"/>
    <w:rsid w:val="009D05BF"/>
    <w:rsid w:val="009D060D"/>
    <w:rsid w:val="009D07C3"/>
    <w:rsid w:val="009D0A8F"/>
    <w:rsid w:val="009D0EBC"/>
    <w:rsid w:val="009D0FF8"/>
    <w:rsid w:val="009D19E0"/>
    <w:rsid w:val="009D1A77"/>
    <w:rsid w:val="009D1B63"/>
    <w:rsid w:val="009D1BEC"/>
    <w:rsid w:val="009D1E9D"/>
    <w:rsid w:val="009D1F60"/>
    <w:rsid w:val="009D203E"/>
    <w:rsid w:val="009D227B"/>
    <w:rsid w:val="009D22E3"/>
    <w:rsid w:val="009D2EB9"/>
    <w:rsid w:val="009D2EBA"/>
    <w:rsid w:val="009D2FC6"/>
    <w:rsid w:val="009D3148"/>
    <w:rsid w:val="009D3702"/>
    <w:rsid w:val="009D388C"/>
    <w:rsid w:val="009D3993"/>
    <w:rsid w:val="009D3E01"/>
    <w:rsid w:val="009D435B"/>
    <w:rsid w:val="009D44D6"/>
    <w:rsid w:val="009D4C66"/>
    <w:rsid w:val="009D5283"/>
    <w:rsid w:val="009D5305"/>
    <w:rsid w:val="009D568A"/>
    <w:rsid w:val="009D5B8D"/>
    <w:rsid w:val="009D628D"/>
    <w:rsid w:val="009D6497"/>
    <w:rsid w:val="009D71FF"/>
    <w:rsid w:val="009D798A"/>
    <w:rsid w:val="009D7E3B"/>
    <w:rsid w:val="009E0097"/>
    <w:rsid w:val="009E0419"/>
    <w:rsid w:val="009E0557"/>
    <w:rsid w:val="009E0720"/>
    <w:rsid w:val="009E0970"/>
    <w:rsid w:val="009E0F3D"/>
    <w:rsid w:val="009E2426"/>
    <w:rsid w:val="009E25BC"/>
    <w:rsid w:val="009E304F"/>
    <w:rsid w:val="009E3553"/>
    <w:rsid w:val="009E3C2E"/>
    <w:rsid w:val="009E4AD6"/>
    <w:rsid w:val="009E4AE5"/>
    <w:rsid w:val="009E543F"/>
    <w:rsid w:val="009E5700"/>
    <w:rsid w:val="009E5BDB"/>
    <w:rsid w:val="009E5F82"/>
    <w:rsid w:val="009E6CCC"/>
    <w:rsid w:val="009E75BB"/>
    <w:rsid w:val="009E76BB"/>
    <w:rsid w:val="009E7CE5"/>
    <w:rsid w:val="009E7D99"/>
    <w:rsid w:val="009F01A8"/>
    <w:rsid w:val="009F033E"/>
    <w:rsid w:val="009F03F4"/>
    <w:rsid w:val="009F0675"/>
    <w:rsid w:val="009F0E49"/>
    <w:rsid w:val="009F1386"/>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8C2"/>
    <w:rsid w:val="009F6C52"/>
    <w:rsid w:val="009F6CB1"/>
    <w:rsid w:val="009F731E"/>
    <w:rsid w:val="009F7795"/>
    <w:rsid w:val="009F786B"/>
    <w:rsid w:val="009F797E"/>
    <w:rsid w:val="009F79CF"/>
    <w:rsid w:val="00A001FE"/>
    <w:rsid w:val="00A00322"/>
    <w:rsid w:val="00A00611"/>
    <w:rsid w:val="00A00944"/>
    <w:rsid w:val="00A0169A"/>
    <w:rsid w:val="00A01F0D"/>
    <w:rsid w:val="00A027BA"/>
    <w:rsid w:val="00A02C8D"/>
    <w:rsid w:val="00A02DD0"/>
    <w:rsid w:val="00A036A0"/>
    <w:rsid w:val="00A037A4"/>
    <w:rsid w:val="00A03C3A"/>
    <w:rsid w:val="00A040E8"/>
    <w:rsid w:val="00A0455D"/>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1EC6"/>
    <w:rsid w:val="00A1281A"/>
    <w:rsid w:val="00A1370A"/>
    <w:rsid w:val="00A13B19"/>
    <w:rsid w:val="00A13DB2"/>
    <w:rsid w:val="00A13F70"/>
    <w:rsid w:val="00A141F8"/>
    <w:rsid w:val="00A142F3"/>
    <w:rsid w:val="00A14C03"/>
    <w:rsid w:val="00A14CC1"/>
    <w:rsid w:val="00A14E0C"/>
    <w:rsid w:val="00A1537F"/>
    <w:rsid w:val="00A15BA0"/>
    <w:rsid w:val="00A15C20"/>
    <w:rsid w:val="00A15C66"/>
    <w:rsid w:val="00A16FFF"/>
    <w:rsid w:val="00A17B4E"/>
    <w:rsid w:val="00A17C8D"/>
    <w:rsid w:val="00A200E2"/>
    <w:rsid w:val="00A20208"/>
    <w:rsid w:val="00A20244"/>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379A1"/>
    <w:rsid w:val="00A402A4"/>
    <w:rsid w:val="00A405CF"/>
    <w:rsid w:val="00A40C38"/>
    <w:rsid w:val="00A4100F"/>
    <w:rsid w:val="00A41673"/>
    <w:rsid w:val="00A41698"/>
    <w:rsid w:val="00A4174B"/>
    <w:rsid w:val="00A41A4F"/>
    <w:rsid w:val="00A41B59"/>
    <w:rsid w:val="00A41BA7"/>
    <w:rsid w:val="00A41C09"/>
    <w:rsid w:val="00A41F7D"/>
    <w:rsid w:val="00A41F99"/>
    <w:rsid w:val="00A42194"/>
    <w:rsid w:val="00A42278"/>
    <w:rsid w:val="00A42338"/>
    <w:rsid w:val="00A4292C"/>
    <w:rsid w:val="00A429F9"/>
    <w:rsid w:val="00A42DBA"/>
    <w:rsid w:val="00A4343E"/>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AD4"/>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5DFD"/>
    <w:rsid w:val="00A56472"/>
    <w:rsid w:val="00A5662C"/>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17BC"/>
    <w:rsid w:val="00A9219F"/>
    <w:rsid w:val="00A92BCC"/>
    <w:rsid w:val="00A932E8"/>
    <w:rsid w:val="00A93955"/>
    <w:rsid w:val="00A93B28"/>
    <w:rsid w:val="00A93CDD"/>
    <w:rsid w:val="00A93D07"/>
    <w:rsid w:val="00A941DD"/>
    <w:rsid w:val="00A9435D"/>
    <w:rsid w:val="00A94D25"/>
    <w:rsid w:val="00A94FE2"/>
    <w:rsid w:val="00A94FF9"/>
    <w:rsid w:val="00A95186"/>
    <w:rsid w:val="00A95527"/>
    <w:rsid w:val="00A959EB"/>
    <w:rsid w:val="00A95A25"/>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B39"/>
    <w:rsid w:val="00AA2C48"/>
    <w:rsid w:val="00AA36F1"/>
    <w:rsid w:val="00AA3864"/>
    <w:rsid w:val="00AA38A9"/>
    <w:rsid w:val="00AA399A"/>
    <w:rsid w:val="00AA3A6B"/>
    <w:rsid w:val="00AA3A9E"/>
    <w:rsid w:val="00AA3E93"/>
    <w:rsid w:val="00AA44FF"/>
    <w:rsid w:val="00AA4565"/>
    <w:rsid w:val="00AA4BE4"/>
    <w:rsid w:val="00AA55D4"/>
    <w:rsid w:val="00AA5ABD"/>
    <w:rsid w:val="00AA614B"/>
    <w:rsid w:val="00AA61F2"/>
    <w:rsid w:val="00AA6C5A"/>
    <w:rsid w:val="00AA6D3C"/>
    <w:rsid w:val="00AA6F9D"/>
    <w:rsid w:val="00AA6FCF"/>
    <w:rsid w:val="00AA748E"/>
    <w:rsid w:val="00AA781B"/>
    <w:rsid w:val="00AA79CB"/>
    <w:rsid w:val="00AA7CAD"/>
    <w:rsid w:val="00AB06D9"/>
    <w:rsid w:val="00AB0E3A"/>
    <w:rsid w:val="00AB2323"/>
    <w:rsid w:val="00AB2A4A"/>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3A5"/>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C7FD5"/>
    <w:rsid w:val="00AD0512"/>
    <w:rsid w:val="00AD112D"/>
    <w:rsid w:val="00AD1170"/>
    <w:rsid w:val="00AD1345"/>
    <w:rsid w:val="00AD1722"/>
    <w:rsid w:val="00AD1917"/>
    <w:rsid w:val="00AD1BDB"/>
    <w:rsid w:val="00AD1C83"/>
    <w:rsid w:val="00AD25D0"/>
    <w:rsid w:val="00AD2771"/>
    <w:rsid w:val="00AD2AAC"/>
    <w:rsid w:val="00AD2D74"/>
    <w:rsid w:val="00AD33CB"/>
    <w:rsid w:val="00AD3A86"/>
    <w:rsid w:val="00AD3AAE"/>
    <w:rsid w:val="00AD3B62"/>
    <w:rsid w:val="00AD3F01"/>
    <w:rsid w:val="00AD42D5"/>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0E3F"/>
    <w:rsid w:val="00AE1543"/>
    <w:rsid w:val="00AE1669"/>
    <w:rsid w:val="00AE16A2"/>
    <w:rsid w:val="00AE1BD4"/>
    <w:rsid w:val="00AE1C6A"/>
    <w:rsid w:val="00AE22B7"/>
    <w:rsid w:val="00AE2314"/>
    <w:rsid w:val="00AE284F"/>
    <w:rsid w:val="00AE2A3A"/>
    <w:rsid w:val="00AE2DD7"/>
    <w:rsid w:val="00AE319C"/>
    <w:rsid w:val="00AE3D22"/>
    <w:rsid w:val="00AE3D82"/>
    <w:rsid w:val="00AE438F"/>
    <w:rsid w:val="00AE4415"/>
    <w:rsid w:val="00AE4538"/>
    <w:rsid w:val="00AE4C03"/>
    <w:rsid w:val="00AE5436"/>
    <w:rsid w:val="00AE5690"/>
    <w:rsid w:val="00AE57B3"/>
    <w:rsid w:val="00AE57F5"/>
    <w:rsid w:val="00AE5DF2"/>
    <w:rsid w:val="00AE612E"/>
    <w:rsid w:val="00AE643A"/>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77D"/>
    <w:rsid w:val="00B0099E"/>
    <w:rsid w:val="00B01951"/>
    <w:rsid w:val="00B019AF"/>
    <w:rsid w:val="00B0298F"/>
    <w:rsid w:val="00B02A82"/>
    <w:rsid w:val="00B0312C"/>
    <w:rsid w:val="00B03156"/>
    <w:rsid w:val="00B03224"/>
    <w:rsid w:val="00B03273"/>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1EFE"/>
    <w:rsid w:val="00B12437"/>
    <w:rsid w:val="00B1313A"/>
    <w:rsid w:val="00B13675"/>
    <w:rsid w:val="00B1368E"/>
    <w:rsid w:val="00B150CF"/>
    <w:rsid w:val="00B1574A"/>
    <w:rsid w:val="00B16344"/>
    <w:rsid w:val="00B16E5A"/>
    <w:rsid w:val="00B17B47"/>
    <w:rsid w:val="00B17D03"/>
    <w:rsid w:val="00B20080"/>
    <w:rsid w:val="00B20149"/>
    <w:rsid w:val="00B20402"/>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899"/>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09D"/>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9CF"/>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1DC1"/>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05A8"/>
    <w:rsid w:val="00B81132"/>
    <w:rsid w:val="00B81BCA"/>
    <w:rsid w:val="00B81E73"/>
    <w:rsid w:val="00B82011"/>
    <w:rsid w:val="00B82214"/>
    <w:rsid w:val="00B82E6C"/>
    <w:rsid w:val="00B830A3"/>
    <w:rsid w:val="00B83593"/>
    <w:rsid w:val="00B83B6C"/>
    <w:rsid w:val="00B83C90"/>
    <w:rsid w:val="00B83F58"/>
    <w:rsid w:val="00B84044"/>
    <w:rsid w:val="00B842E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2F0A"/>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CD0"/>
    <w:rsid w:val="00BA1EEF"/>
    <w:rsid w:val="00BA222C"/>
    <w:rsid w:val="00BA26B4"/>
    <w:rsid w:val="00BA3D40"/>
    <w:rsid w:val="00BA42E9"/>
    <w:rsid w:val="00BA4BB9"/>
    <w:rsid w:val="00BA54EB"/>
    <w:rsid w:val="00BA57B6"/>
    <w:rsid w:val="00BA5CBC"/>
    <w:rsid w:val="00BA6ED6"/>
    <w:rsid w:val="00BA720A"/>
    <w:rsid w:val="00BA747F"/>
    <w:rsid w:val="00BA78FB"/>
    <w:rsid w:val="00BA7FFE"/>
    <w:rsid w:val="00BB04DE"/>
    <w:rsid w:val="00BB05CF"/>
    <w:rsid w:val="00BB0B30"/>
    <w:rsid w:val="00BB0E41"/>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3F9"/>
    <w:rsid w:val="00BD4451"/>
    <w:rsid w:val="00BD4AD2"/>
    <w:rsid w:val="00BD4ADB"/>
    <w:rsid w:val="00BD4D87"/>
    <w:rsid w:val="00BD5202"/>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1F75"/>
    <w:rsid w:val="00BE2285"/>
    <w:rsid w:val="00BE2486"/>
    <w:rsid w:val="00BE251E"/>
    <w:rsid w:val="00BE2819"/>
    <w:rsid w:val="00BE2AB0"/>
    <w:rsid w:val="00BE3228"/>
    <w:rsid w:val="00BE3923"/>
    <w:rsid w:val="00BE4138"/>
    <w:rsid w:val="00BE44BF"/>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74D"/>
    <w:rsid w:val="00C0194C"/>
    <w:rsid w:val="00C01AAA"/>
    <w:rsid w:val="00C01D77"/>
    <w:rsid w:val="00C02929"/>
    <w:rsid w:val="00C02933"/>
    <w:rsid w:val="00C029A2"/>
    <w:rsid w:val="00C02AD1"/>
    <w:rsid w:val="00C02BD7"/>
    <w:rsid w:val="00C032D4"/>
    <w:rsid w:val="00C03692"/>
    <w:rsid w:val="00C03A9E"/>
    <w:rsid w:val="00C03E9E"/>
    <w:rsid w:val="00C0408A"/>
    <w:rsid w:val="00C05B0D"/>
    <w:rsid w:val="00C05BDD"/>
    <w:rsid w:val="00C05CFA"/>
    <w:rsid w:val="00C0676D"/>
    <w:rsid w:val="00C070BF"/>
    <w:rsid w:val="00C07146"/>
    <w:rsid w:val="00C07362"/>
    <w:rsid w:val="00C07ECA"/>
    <w:rsid w:val="00C07FBE"/>
    <w:rsid w:val="00C10D65"/>
    <w:rsid w:val="00C10D78"/>
    <w:rsid w:val="00C114A1"/>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5F3D"/>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482"/>
    <w:rsid w:val="00C2397D"/>
    <w:rsid w:val="00C23BE6"/>
    <w:rsid w:val="00C23C02"/>
    <w:rsid w:val="00C24862"/>
    <w:rsid w:val="00C24C46"/>
    <w:rsid w:val="00C24FFF"/>
    <w:rsid w:val="00C25348"/>
    <w:rsid w:val="00C2581A"/>
    <w:rsid w:val="00C25CD0"/>
    <w:rsid w:val="00C26518"/>
    <w:rsid w:val="00C265C3"/>
    <w:rsid w:val="00C267D1"/>
    <w:rsid w:val="00C26EBA"/>
    <w:rsid w:val="00C270DD"/>
    <w:rsid w:val="00C27DF1"/>
    <w:rsid w:val="00C3105E"/>
    <w:rsid w:val="00C3147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5F2"/>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545"/>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868"/>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FED"/>
    <w:rsid w:val="00C900E3"/>
    <w:rsid w:val="00C90299"/>
    <w:rsid w:val="00C908E2"/>
    <w:rsid w:val="00C91136"/>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62A"/>
    <w:rsid w:val="00C95ADE"/>
    <w:rsid w:val="00C95DC2"/>
    <w:rsid w:val="00C966EE"/>
    <w:rsid w:val="00C96783"/>
    <w:rsid w:val="00C96FF2"/>
    <w:rsid w:val="00C97565"/>
    <w:rsid w:val="00C97C9B"/>
    <w:rsid w:val="00CA008E"/>
    <w:rsid w:val="00CA01A5"/>
    <w:rsid w:val="00CA0799"/>
    <w:rsid w:val="00CA0A27"/>
    <w:rsid w:val="00CA0DAC"/>
    <w:rsid w:val="00CA1126"/>
    <w:rsid w:val="00CA144C"/>
    <w:rsid w:val="00CA1451"/>
    <w:rsid w:val="00CA14D5"/>
    <w:rsid w:val="00CA1A88"/>
    <w:rsid w:val="00CA1B69"/>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0E5C"/>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BDC"/>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093"/>
    <w:rsid w:val="00CC31F9"/>
    <w:rsid w:val="00CC3B25"/>
    <w:rsid w:val="00CC4226"/>
    <w:rsid w:val="00CC4255"/>
    <w:rsid w:val="00CC45A5"/>
    <w:rsid w:val="00CC4FC0"/>
    <w:rsid w:val="00CC5035"/>
    <w:rsid w:val="00CC5B7E"/>
    <w:rsid w:val="00CC5F00"/>
    <w:rsid w:val="00CC6D09"/>
    <w:rsid w:val="00CC7800"/>
    <w:rsid w:val="00CC79CE"/>
    <w:rsid w:val="00CC7A4F"/>
    <w:rsid w:val="00CD0131"/>
    <w:rsid w:val="00CD02EA"/>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60AC"/>
    <w:rsid w:val="00CD630E"/>
    <w:rsid w:val="00CD7D7A"/>
    <w:rsid w:val="00CE0946"/>
    <w:rsid w:val="00CE0C38"/>
    <w:rsid w:val="00CE0D51"/>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1F"/>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0A3"/>
    <w:rsid w:val="00D138CD"/>
    <w:rsid w:val="00D13AF5"/>
    <w:rsid w:val="00D13E2E"/>
    <w:rsid w:val="00D14B59"/>
    <w:rsid w:val="00D15168"/>
    <w:rsid w:val="00D155AA"/>
    <w:rsid w:val="00D15646"/>
    <w:rsid w:val="00D1591C"/>
    <w:rsid w:val="00D15958"/>
    <w:rsid w:val="00D15B30"/>
    <w:rsid w:val="00D15EA9"/>
    <w:rsid w:val="00D16090"/>
    <w:rsid w:val="00D16295"/>
    <w:rsid w:val="00D162CD"/>
    <w:rsid w:val="00D16571"/>
    <w:rsid w:val="00D168B2"/>
    <w:rsid w:val="00D175B7"/>
    <w:rsid w:val="00D17748"/>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9E7"/>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0FB"/>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A89"/>
    <w:rsid w:val="00D50C96"/>
    <w:rsid w:val="00D50F36"/>
    <w:rsid w:val="00D51923"/>
    <w:rsid w:val="00D51BF0"/>
    <w:rsid w:val="00D51DFD"/>
    <w:rsid w:val="00D51E62"/>
    <w:rsid w:val="00D522B1"/>
    <w:rsid w:val="00D52DAF"/>
    <w:rsid w:val="00D53B48"/>
    <w:rsid w:val="00D53DFA"/>
    <w:rsid w:val="00D5436D"/>
    <w:rsid w:val="00D54378"/>
    <w:rsid w:val="00D54865"/>
    <w:rsid w:val="00D54889"/>
    <w:rsid w:val="00D54CC8"/>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A8D"/>
    <w:rsid w:val="00D72C22"/>
    <w:rsid w:val="00D732FC"/>
    <w:rsid w:val="00D7370B"/>
    <w:rsid w:val="00D73E84"/>
    <w:rsid w:val="00D747CD"/>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49A"/>
    <w:rsid w:val="00D83659"/>
    <w:rsid w:val="00D83894"/>
    <w:rsid w:val="00D83EE4"/>
    <w:rsid w:val="00D84ABE"/>
    <w:rsid w:val="00D84C29"/>
    <w:rsid w:val="00D85027"/>
    <w:rsid w:val="00D85D5A"/>
    <w:rsid w:val="00D86149"/>
    <w:rsid w:val="00D862F6"/>
    <w:rsid w:val="00D8651E"/>
    <w:rsid w:val="00D86924"/>
    <w:rsid w:val="00D869DD"/>
    <w:rsid w:val="00D86D33"/>
    <w:rsid w:val="00D86E50"/>
    <w:rsid w:val="00D8723C"/>
    <w:rsid w:val="00D87455"/>
    <w:rsid w:val="00D90219"/>
    <w:rsid w:val="00D909DA"/>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B17"/>
    <w:rsid w:val="00DA0CB6"/>
    <w:rsid w:val="00DA1257"/>
    <w:rsid w:val="00DA16F7"/>
    <w:rsid w:val="00DA1B15"/>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693"/>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3B3"/>
    <w:rsid w:val="00DD0678"/>
    <w:rsid w:val="00DD14FE"/>
    <w:rsid w:val="00DD15D2"/>
    <w:rsid w:val="00DD187B"/>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C09"/>
    <w:rsid w:val="00DD7F1E"/>
    <w:rsid w:val="00DE01B6"/>
    <w:rsid w:val="00DE07AD"/>
    <w:rsid w:val="00DE0D4B"/>
    <w:rsid w:val="00DE1B1C"/>
    <w:rsid w:val="00DE29C0"/>
    <w:rsid w:val="00DE2EA5"/>
    <w:rsid w:val="00DE311C"/>
    <w:rsid w:val="00DE343B"/>
    <w:rsid w:val="00DE3E10"/>
    <w:rsid w:val="00DE40AA"/>
    <w:rsid w:val="00DE415F"/>
    <w:rsid w:val="00DE490B"/>
    <w:rsid w:val="00DE5926"/>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B2E"/>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DF8"/>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764"/>
    <w:rsid w:val="00E06FF0"/>
    <w:rsid w:val="00E10677"/>
    <w:rsid w:val="00E106B0"/>
    <w:rsid w:val="00E10ADD"/>
    <w:rsid w:val="00E10C3C"/>
    <w:rsid w:val="00E10C88"/>
    <w:rsid w:val="00E11883"/>
    <w:rsid w:val="00E11FFF"/>
    <w:rsid w:val="00E1201F"/>
    <w:rsid w:val="00E12079"/>
    <w:rsid w:val="00E12EE7"/>
    <w:rsid w:val="00E13285"/>
    <w:rsid w:val="00E1376B"/>
    <w:rsid w:val="00E138F3"/>
    <w:rsid w:val="00E13950"/>
    <w:rsid w:val="00E13978"/>
    <w:rsid w:val="00E15355"/>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D30"/>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925"/>
    <w:rsid w:val="00E50EF3"/>
    <w:rsid w:val="00E51335"/>
    <w:rsid w:val="00E517EB"/>
    <w:rsid w:val="00E52BA6"/>
    <w:rsid w:val="00E53631"/>
    <w:rsid w:val="00E53C37"/>
    <w:rsid w:val="00E53D6B"/>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52F"/>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7765C"/>
    <w:rsid w:val="00E80014"/>
    <w:rsid w:val="00E8007C"/>
    <w:rsid w:val="00E803B7"/>
    <w:rsid w:val="00E805E3"/>
    <w:rsid w:val="00E807C9"/>
    <w:rsid w:val="00E810C1"/>
    <w:rsid w:val="00E81491"/>
    <w:rsid w:val="00E817DF"/>
    <w:rsid w:val="00E82150"/>
    <w:rsid w:val="00E8230D"/>
    <w:rsid w:val="00E8299C"/>
    <w:rsid w:val="00E82BC0"/>
    <w:rsid w:val="00E8344E"/>
    <w:rsid w:val="00E83645"/>
    <w:rsid w:val="00E83877"/>
    <w:rsid w:val="00E84203"/>
    <w:rsid w:val="00E84276"/>
    <w:rsid w:val="00E842FD"/>
    <w:rsid w:val="00E84ABC"/>
    <w:rsid w:val="00E84AD0"/>
    <w:rsid w:val="00E8500A"/>
    <w:rsid w:val="00E853C7"/>
    <w:rsid w:val="00E8573C"/>
    <w:rsid w:val="00E85817"/>
    <w:rsid w:val="00E85AF4"/>
    <w:rsid w:val="00E860B7"/>
    <w:rsid w:val="00E86157"/>
    <w:rsid w:val="00E864BF"/>
    <w:rsid w:val="00E86600"/>
    <w:rsid w:val="00E86CEA"/>
    <w:rsid w:val="00E86CF9"/>
    <w:rsid w:val="00E86EE6"/>
    <w:rsid w:val="00E87015"/>
    <w:rsid w:val="00E8791E"/>
    <w:rsid w:val="00E87F32"/>
    <w:rsid w:val="00E907A3"/>
    <w:rsid w:val="00E9082B"/>
    <w:rsid w:val="00E90D87"/>
    <w:rsid w:val="00E925D9"/>
    <w:rsid w:val="00E92C1D"/>
    <w:rsid w:val="00E92F60"/>
    <w:rsid w:val="00E93233"/>
    <w:rsid w:val="00E935BA"/>
    <w:rsid w:val="00E93A7C"/>
    <w:rsid w:val="00E93D1F"/>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1966"/>
    <w:rsid w:val="00EA2197"/>
    <w:rsid w:val="00EA2340"/>
    <w:rsid w:val="00EA26C8"/>
    <w:rsid w:val="00EA2724"/>
    <w:rsid w:val="00EA2E69"/>
    <w:rsid w:val="00EA301F"/>
    <w:rsid w:val="00EA3900"/>
    <w:rsid w:val="00EA42E3"/>
    <w:rsid w:val="00EA43DF"/>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54B"/>
    <w:rsid w:val="00EB1B57"/>
    <w:rsid w:val="00EB1FA1"/>
    <w:rsid w:val="00EB2141"/>
    <w:rsid w:val="00EB2A26"/>
    <w:rsid w:val="00EB2DBC"/>
    <w:rsid w:val="00EB39EC"/>
    <w:rsid w:val="00EB3A3D"/>
    <w:rsid w:val="00EB3B99"/>
    <w:rsid w:val="00EB3C38"/>
    <w:rsid w:val="00EB3CD5"/>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1FBC"/>
    <w:rsid w:val="00ED204D"/>
    <w:rsid w:val="00ED223C"/>
    <w:rsid w:val="00ED2816"/>
    <w:rsid w:val="00ED2989"/>
    <w:rsid w:val="00ED2F30"/>
    <w:rsid w:val="00ED34C3"/>
    <w:rsid w:val="00ED3853"/>
    <w:rsid w:val="00ED3C64"/>
    <w:rsid w:val="00ED55F9"/>
    <w:rsid w:val="00ED5E05"/>
    <w:rsid w:val="00ED67E4"/>
    <w:rsid w:val="00ED685E"/>
    <w:rsid w:val="00ED691E"/>
    <w:rsid w:val="00ED7521"/>
    <w:rsid w:val="00ED78D5"/>
    <w:rsid w:val="00ED7CCC"/>
    <w:rsid w:val="00ED7FD1"/>
    <w:rsid w:val="00EE001E"/>
    <w:rsid w:val="00EE037F"/>
    <w:rsid w:val="00EE070C"/>
    <w:rsid w:val="00EE0CF9"/>
    <w:rsid w:val="00EE0EA2"/>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C30"/>
    <w:rsid w:val="00EF2D6E"/>
    <w:rsid w:val="00EF368F"/>
    <w:rsid w:val="00EF371F"/>
    <w:rsid w:val="00EF3B44"/>
    <w:rsid w:val="00EF3C90"/>
    <w:rsid w:val="00EF3C9E"/>
    <w:rsid w:val="00EF47E3"/>
    <w:rsid w:val="00EF502B"/>
    <w:rsid w:val="00EF5291"/>
    <w:rsid w:val="00EF539B"/>
    <w:rsid w:val="00EF5CE8"/>
    <w:rsid w:val="00EF5E3C"/>
    <w:rsid w:val="00EF6263"/>
    <w:rsid w:val="00EF6395"/>
    <w:rsid w:val="00EF6595"/>
    <w:rsid w:val="00EF6825"/>
    <w:rsid w:val="00EF6929"/>
    <w:rsid w:val="00EF6EBE"/>
    <w:rsid w:val="00EF6F15"/>
    <w:rsid w:val="00EF7670"/>
    <w:rsid w:val="00F00345"/>
    <w:rsid w:val="00F00CF7"/>
    <w:rsid w:val="00F0127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6E9"/>
    <w:rsid w:val="00F14B3A"/>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B87"/>
    <w:rsid w:val="00F31E5C"/>
    <w:rsid w:val="00F31F26"/>
    <w:rsid w:val="00F3229A"/>
    <w:rsid w:val="00F32A15"/>
    <w:rsid w:val="00F34059"/>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C6B"/>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091"/>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A9C"/>
    <w:rsid w:val="00F62CF9"/>
    <w:rsid w:val="00F62F43"/>
    <w:rsid w:val="00F6375C"/>
    <w:rsid w:val="00F63C10"/>
    <w:rsid w:val="00F64726"/>
    <w:rsid w:val="00F65927"/>
    <w:rsid w:val="00F65A0B"/>
    <w:rsid w:val="00F65C05"/>
    <w:rsid w:val="00F65C21"/>
    <w:rsid w:val="00F66073"/>
    <w:rsid w:val="00F66512"/>
    <w:rsid w:val="00F6681D"/>
    <w:rsid w:val="00F66BB5"/>
    <w:rsid w:val="00F66C8C"/>
    <w:rsid w:val="00F66EE8"/>
    <w:rsid w:val="00F670CB"/>
    <w:rsid w:val="00F67769"/>
    <w:rsid w:val="00F67A1B"/>
    <w:rsid w:val="00F67E0C"/>
    <w:rsid w:val="00F703B4"/>
    <w:rsid w:val="00F704B5"/>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6A1"/>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982"/>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470"/>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90"/>
    <w:rsid w:val="00FB05BB"/>
    <w:rsid w:val="00FB0BC0"/>
    <w:rsid w:val="00FB0C66"/>
    <w:rsid w:val="00FB0E77"/>
    <w:rsid w:val="00FB1673"/>
    <w:rsid w:val="00FB1C79"/>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2F92"/>
    <w:rsid w:val="00FC32AB"/>
    <w:rsid w:val="00FC34E5"/>
    <w:rsid w:val="00FC3FC7"/>
    <w:rsid w:val="00FC42DA"/>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D86"/>
    <w:rsid w:val="00FE1F45"/>
    <w:rsid w:val="00FE1F64"/>
    <w:rsid w:val="00FE2372"/>
    <w:rsid w:val="00FE2B4C"/>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6B0"/>
    <w:rsid w:val="00FF2720"/>
    <w:rsid w:val="00FF2BBB"/>
    <w:rsid w:val="00FF2CB1"/>
    <w:rsid w:val="00FF2CBC"/>
    <w:rsid w:val="00FF2F91"/>
    <w:rsid w:val="00FF3811"/>
    <w:rsid w:val="00FF38C4"/>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0B1"/>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52411">
      <w:bodyDiv w:val="1"/>
      <w:marLeft w:val="0"/>
      <w:marRight w:val="0"/>
      <w:marTop w:val="0"/>
      <w:marBottom w:val="0"/>
      <w:divBdr>
        <w:top w:val="none" w:sz="0" w:space="0" w:color="auto"/>
        <w:left w:val="none" w:sz="0" w:space="0" w:color="auto"/>
        <w:bottom w:val="none" w:sz="0" w:space="0" w:color="auto"/>
        <w:right w:val="none" w:sz="0" w:space="0" w:color="auto"/>
      </w:divBdr>
    </w:div>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3797640">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7493660">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9052149">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50567264">
      <w:bodyDiv w:val="1"/>
      <w:marLeft w:val="0"/>
      <w:marRight w:val="0"/>
      <w:marTop w:val="0"/>
      <w:marBottom w:val="0"/>
      <w:divBdr>
        <w:top w:val="none" w:sz="0" w:space="0" w:color="auto"/>
        <w:left w:val="none" w:sz="0" w:space="0" w:color="auto"/>
        <w:bottom w:val="none" w:sz="0" w:space="0" w:color="auto"/>
        <w:right w:val="none" w:sz="0" w:space="0" w:color="auto"/>
      </w:divBdr>
    </w:div>
    <w:div w:id="353922964">
      <w:bodyDiv w:val="1"/>
      <w:marLeft w:val="0"/>
      <w:marRight w:val="0"/>
      <w:marTop w:val="0"/>
      <w:marBottom w:val="0"/>
      <w:divBdr>
        <w:top w:val="none" w:sz="0" w:space="0" w:color="auto"/>
        <w:left w:val="none" w:sz="0" w:space="0" w:color="auto"/>
        <w:bottom w:val="none" w:sz="0" w:space="0" w:color="auto"/>
        <w:right w:val="none" w:sz="0" w:space="0" w:color="auto"/>
      </w:divBdr>
    </w:div>
    <w:div w:id="381635052">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3937312">
      <w:bodyDiv w:val="1"/>
      <w:marLeft w:val="0"/>
      <w:marRight w:val="0"/>
      <w:marTop w:val="0"/>
      <w:marBottom w:val="0"/>
      <w:divBdr>
        <w:top w:val="none" w:sz="0" w:space="0" w:color="auto"/>
        <w:left w:val="none" w:sz="0" w:space="0" w:color="auto"/>
        <w:bottom w:val="none" w:sz="0" w:space="0" w:color="auto"/>
        <w:right w:val="none" w:sz="0" w:space="0" w:color="auto"/>
      </w:divBdr>
      <w:divsChild>
        <w:div w:id="2069374055">
          <w:marLeft w:val="0"/>
          <w:marRight w:val="0"/>
          <w:marTop w:val="0"/>
          <w:marBottom w:val="0"/>
          <w:divBdr>
            <w:top w:val="none" w:sz="0" w:space="0" w:color="auto"/>
            <w:left w:val="none" w:sz="0" w:space="0" w:color="auto"/>
            <w:bottom w:val="none" w:sz="0" w:space="0" w:color="auto"/>
            <w:right w:val="none" w:sz="0" w:space="0" w:color="auto"/>
          </w:divBdr>
        </w:div>
      </w:divsChild>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01829362">
      <w:bodyDiv w:val="1"/>
      <w:marLeft w:val="0"/>
      <w:marRight w:val="0"/>
      <w:marTop w:val="0"/>
      <w:marBottom w:val="0"/>
      <w:divBdr>
        <w:top w:val="none" w:sz="0" w:space="0" w:color="auto"/>
        <w:left w:val="none" w:sz="0" w:space="0" w:color="auto"/>
        <w:bottom w:val="none" w:sz="0" w:space="0" w:color="auto"/>
        <w:right w:val="none" w:sz="0" w:space="0" w:color="auto"/>
      </w:divBdr>
    </w:div>
    <w:div w:id="408768525">
      <w:bodyDiv w:val="1"/>
      <w:marLeft w:val="0"/>
      <w:marRight w:val="0"/>
      <w:marTop w:val="0"/>
      <w:marBottom w:val="0"/>
      <w:divBdr>
        <w:top w:val="none" w:sz="0" w:space="0" w:color="auto"/>
        <w:left w:val="none" w:sz="0" w:space="0" w:color="auto"/>
        <w:bottom w:val="none" w:sz="0" w:space="0" w:color="auto"/>
        <w:right w:val="none" w:sz="0" w:space="0" w:color="auto"/>
      </w:divBdr>
      <w:divsChild>
        <w:div w:id="89787644">
          <w:marLeft w:val="0"/>
          <w:marRight w:val="0"/>
          <w:marTop w:val="0"/>
          <w:marBottom w:val="0"/>
          <w:divBdr>
            <w:top w:val="none" w:sz="0" w:space="0" w:color="auto"/>
            <w:left w:val="none" w:sz="0" w:space="0" w:color="auto"/>
            <w:bottom w:val="none" w:sz="0" w:space="0" w:color="auto"/>
            <w:right w:val="none" w:sz="0" w:space="0" w:color="auto"/>
          </w:divBdr>
        </w:div>
      </w:divsChild>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30667084">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486284636">
      <w:bodyDiv w:val="1"/>
      <w:marLeft w:val="0"/>
      <w:marRight w:val="0"/>
      <w:marTop w:val="0"/>
      <w:marBottom w:val="0"/>
      <w:divBdr>
        <w:top w:val="none" w:sz="0" w:space="0" w:color="auto"/>
        <w:left w:val="none" w:sz="0" w:space="0" w:color="auto"/>
        <w:bottom w:val="none" w:sz="0" w:space="0" w:color="auto"/>
        <w:right w:val="none" w:sz="0" w:space="0" w:color="auto"/>
      </w:divBdr>
    </w:div>
    <w:div w:id="494417478">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68535509">
      <w:bodyDiv w:val="1"/>
      <w:marLeft w:val="0"/>
      <w:marRight w:val="0"/>
      <w:marTop w:val="0"/>
      <w:marBottom w:val="0"/>
      <w:divBdr>
        <w:top w:val="none" w:sz="0" w:space="0" w:color="auto"/>
        <w:left w:val="none" w:sz="0" w:space="0" w:color="auto"/>
        <w:bottom w:val="none" w:sz="0" w:space="0" w:color="auto"/>
        <w:right w:val="none" w:sz="0" w:space="0" w:color="auto"/>
      </w:divBdr>
    </w:div>
    <w:div w:id="573977461">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35331640">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763692169">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39350559">
      <w:bodyDiv w:val="1"/>
      <w:marLeft w:val="0"/>
      <w:marRight w:val="0"/>
      <w:marTop w:val="0"/>
      <w:marBottom w:val="0"/>
      <w:divBdr>
        <w:top w:val="none" w:sz="0" w:space="0" w:color="auto"/>
        <w:left w:val="none" w:sz="0" w:space="0" w:color="auto"/>
        <w:bottom w:val="none" w:sz="0" w:space="0" w:color="auto"/>
        <w:right w:val="none" w:sz="0" w:space="0" w:color="auto"/>
      </w:divBdr>
    </w:div>
    <w:div w:id="865557369">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1725927">
      <w:bodyDiv w:val="1"/>
      <w:marLeft w:val="0"/>
      <w:marRight w:val="0"/>
      <w:marTop w:val="0"/>
      <w:marBottom w:val="0"/>
      <w:divBdr>
        <w:top w:val="none" w:sz="0" w:space="0" w:color="auto"/>
        <w:left w:val="none" w:sz="0" w:space="0" w:color="auto"/>
        <w:bottom w:val="none" w:sz="0" w:space="0" w:color="auto"/>
        <w:right w:val="none" w:sz="0" w:space="0" w:color="auto"/>
      </w:divBdr>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894007863">
      <w:bodyDiv w:val="1"/>
      <w:marLeft w:val="0"/>
      <w:marRight w:val="0"/>
      <w:marTop w:val="0"/>
      <w:marBottom w:val="0"/>
      <w:divBdr>
        <w:top w:val="none" w:sz="0" w:space="0" w:color="auto"/>
        <w:left w:val="none" w:sz="0" w:space="0" w:color="auto"/>
        <w:bottom w:val="none" w:sz="0" w:space="0" w:color="auto"/>
        <w:right w:val="none" w:sz="0" w:space="0" w:color="auto"/>
      </w:divBdr>
      <w:divsChild>
        <w:div w:id="962273013">
          <w:marLeft w:val="0"/>
          <w:marRight w:val="0"/>
          <w:marTop w:val="0"/>
          <w:marBottom w:val="0"/>
          <w:divBdr>
            <w:top w:val="none" w:sz="0" w:space="0" w:color="auto"/>
            <w:left w:val="none" w:sz="0" w:space="0" w:color="auto"/>
            <w:bottom w:val="none" w:sz="0" w:space="0" w:color="auto"/>
            <w:right w:val="none" w:sz="0" w:space="0" w:color="auto"/>
          </w:divBdr>
        </w:div>
      </w:divsChild>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73352238">
      <w:bodyDiv w:val="1"/>
      <w:marLeft w:val="0"/>
      <w:marRight w:val="0"/>
      <w:marTop w:val="0"/>
      <w:marBottom w:val="0"/>
      <w:divBdr>
        <w:top w:val="none" w:sz="0" w:space="0" w:color="auto"/>
        <w:left w:val="none" w:sz="0" w:space="0" w:color="auto"/>
        <w:bottom w:val="none" w:sz="0" w:space="0" w:color="auto"/>
        <w:right w:val="none" w:sz="0" w:space="0" w:color="auto"/>
      </w:divBdr>
      <w:divsChild>
        <w:div w:id="799302574">
          <w:marLeft w:val="0"/>
          <w:marRight w:val="0"/>
          <w:marTop w:val="0"/>
          <w:marBottom w:val="0"/>
          <w:divBdr>
            <w:top w:val="none" w:sz="0" w:space="0" w:color="auto"/>
            <w:left w:val="none" w:sz="0" w:space="0" w:color="auto"/>
            <w:bottom w:val="none" w:sz="0" w:space="0" w:color="auto"/>
            <w:right w:val="none" w:sz="0" w:space="0" w:color="auto"/>
          </w:divBdr>
        </w:div>
      </w:divsChild>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094664281">
      <w:bodyDiv w:val="1"/>
      <w:marLeft w:val="0"/>
      <w:marRight w:val="0"/>
      <w:marTop w:val="0"/>
      <w:marBottom w:val="0"/>
      <w:divBdr>
        <w:top w:val="none" w:sz="0" w:space="0" w:color="auto"/>
        <w:left w:val="none" w:sz="0" w:space="0" w:color="auto"/>
        <w:bottom w:val="none" w:sz="0" w:space="0" w:color="auto"/>
        <w:right w:val="none" w:sz="0" w:space="0" w:color="auto"/>
      </w:divBdr>
      <w:divsChild>
        <w:div w:id="382607494">
          <w:marLeft w:val="0"/>
          <w:marRight w:val="0"/>
          <w:marTop w:val="0"/>
          <w:marBottom w:val="0"/>
          <w:divBdr>
            <w:top w:val="none" w:sz="0" w:space="0" w:color="auto"/>
            <w:left w:val="none" w:sz="0" w:space="0" w:color="auto"/>
            <w:bottom w:val="none" w:sz="0" w:space="0" w:color="auto"/>
            <w:right w:val="none" w:sz="0" w:space="0" w:color="auto"/>
          </w:divBdr>
        </w:div>
      </w:divsChild>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06272689">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8599151">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26582156">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74347117">
      <w:bodyDiv w:val="1"/>
      <w:marLeft w:val="0"/>
      <w:marRight w:val="0"/>
      <w:marTop w:val="0"/>
      <w:marBottom w:val="0"/>
      <w:divBdr>
        <w:top w:val="none" w:sz="0" w:space="0" w:color="auto"/>
        <w:left w:val="none" w:sz="0" w:space="0" w:color="auto"/>
        <w:bottom w:val="none" w:sz="0" w:space="0" w:color="auto"/>
        <w:right w:val="none" w:sz="0" w:space="0" w:color="auto"/>
      </w:divBdr>
      <w:divsChild>
        <w:div w:id="623077532">
          <w:marLeft w:val="0"/>
          <w:marRight w:val="0"/>
          <w:marTop w:val="0"/>
          <w:marBottom w:val="0"/>
          <w:divBdr>
            <w:top w:val="none" w:sz="0" w:space="0" w:color="auto"/>
            <w:left w:val="none" w:sz="0" w:space="0" w:color="auto"/>
            <w:bottom w:val="none" w:sz="0" w:space="0" w:color="auto"/>
            <w:right w:val="none" w:sz="0" w:space="0" w:color="auto"/>
          </w:divBdr>
        </w:div>
      </w:divsChild>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07909033">
      <w:bodyDiv w:val="1"/>
      <w:marLeft w:val="0"/>
      <w:marRight w:val="0"/>
      <w:marTop w:val="0"/>
      <w:marBottom w:val="0"/>
      <w:divBdr>
        <w:top w:val="none" w:sz="0" w:space="0" w:color="auto"/>
        <w:left w:val="none" w:sz="0" w:space="0" w:color="auto"/>
        <w:bottom w:val="none" w:sz="0" w:space="0" w:color="auto"/>
        <w:right w:val="none" w:sz="0" w:space="0" w:color="auto"/>
      </w:divBdr>
    </w:div>
    <w:div w:id="1266577147">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04964852">
      <w:bodyDiv w:val="1"/>
      <w:marLeft w:val="0"/>
      <w:marRight w:val="0"/>
      <w:marTop w:val="0"/>
      <w:marBottom w:val="0"/>
      <w:divBdr>
        <w:top w:val="none" w:sz="0" w:space="0" w:color="auto"/>
        <w:left w:val="none" w:sz="0" w:space="0" w:color="auto"/>
        <w:bottom w:val="none" w:sz="0" w:space="0" w:color="auto"/>
        <w:right w:val="none" w:sz="0" w:space="0" w:color="auto"/>
      </w:divBdr>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57196507">
      <w:bodyDiv w:val="1"/>
      <w:marLeft w:val="0"/>
      <w:marRight w:val="0"/>
      <w:marTop w:val="0"/>
      <w:marBottom w:val="0"/>
      <w:divBdr>
        <w:top w:val="none" w:sz="0" w:space="0" w:color="auto"/>
        <w:left w:val="none" w:sz="0" w:space="0" w:color="auto"/>
        <w:bottom w:val="none" w:sz="0" w:space="0" w:color="auto"/>
        <w:right w:val="none" w:sz="0" w:space="0" w:color="auto"/>
      </w:divBdr>
      <w:divsChild>
        <w:div w:id="133068627">
          <w:marLeft w:val="0"/>
          <w:marRight w:val="0"/>
          <w:marTop w:val="0"/>
          <w:marBottom w:val="0"/>
          <w:divBdr>
            <w:top w:val="none" w:sz="0" w:space="0" w:color="auto"/>
            <w:left w:val="none" w:sz="0" w:space="0" w:color="auto"/>
            <w:bottom w:val="none" w:sz="0" w:space="0" w:color="auto"/>
            <w:right w:val="none" w:sz="0" w:space="0" w:color="auto"/>
          </w:divBdr>
        </w:div>
      </w:divsChild>
    </w:div>
    <w:div w:id="1370494342">
      <w:bodyDiv w:val="1"/>
      <w:marLeft w:val="0"/>
      <w:marRight w:val="0"/>
      <w:marTop w:val="0"/>
      <w:marBottom w:val="0"/>
      <w:divBdr>
        <w:top w:val="none" w:sz="0" w:space="0" w:color="auto"/>
        <w:left w:val="none" w:sz="0" w:space="0" w:color="auto"/>
        <w:bottom w:val="none" w:sz="0" w:space="0" w:color="auto"/>
        <w:right w:val="none" w:sz="0" w:space="0" w:color="auto"/>
      </w:divBdr>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389497229">
      <w:bodyDiv w:val="1"/>
      <w:marLeft w:val="0"/>
      <w:marRight w:val="0"/>
      <w:marTop w:val="0"/>
      <w:marBottom w:val="0"/>
      <w:divBdr>
        <w:top w:val="none" w:sz="0" w:space="0" w:color="auto"/>
        <w:left w:val="none" w:sz="0" w:space="0" w:color="auto"/>
        <w:bottom w:val="none" w:sz="0" w:space="0" w:color="auto"/>
        <w:right w:val="none" w:sz="0" w:space="0" w:color="auto"/>
      </w:divBdr>
    </w:div>
    <w:div w:id="1392999421">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03739994">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47526740">
      <w:bodyDiv w:val="1"/>
      <w:marLeft w:val="0"/>
      <w:marRight w:val="0"/>
      <w:marTop w:val="0"/>
      <w:marBottom w:val="0"/>
      <w:divBdr>
        <w:top w:val="none" w:sz="0" w:space="0" w:color="auto"/>
        <w:left w:val="none" w:sz="0" w:space="0" w:color="auto"/>
        <w:bottom w:val="none" w:sz="0" w:space="0" w:color="auto"/>
        <w:right w:val="none" w:sz="0" w:space="0" w:color="auto"/>
      </w:divBdr>
      <w:divsChild>
        <w:div w:id="463549119">
          <w:marLeft w:val="0"/>
          <w:marRight w:val="0"/>
          <w:marTop w:val="0"/>
          <w:marBottom w:val="0"/>
          <w:divBdr>
            <w:top w:val="none" w:sz="0" w:space="0" w:color="auto"/>
            <w:left w:val="none" w:sz="0" w:space="0" w:color="auto"/>
            <w:bottom w:val="none" w:sz="0" w:space="0" w:color="auto"/>
            <w:right w:val="none" w:sz="0" w:space="0" w:color="auto"/>
          </w:divBdr>
        </w:div>
      </w:divsChild>
    </w:div>
    <w:div w:id="1554346420">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70067966">
      <w:bodyDiv w:val="1"/>
      <w:marLeft w:val="0"/>
      <w:marRight w:val="0"/>
      <w:marTop w:val="0"/>
      <w:marBottom w:val="0"/>
      <w:divBdr>
        <w:top w:val="none" w:sz="0" w:space="0" w:color="auto"/>
        <w:left w:val="none" w:sz="0" w:space="0" w:color="auto"/>
        <w:bottom w:val="none" w:sz="0" w:space="0" w:color="auto"/>
        <w:right w:val="none" w:sz="0" w:space="0" w:color="auto"/>
      </w:divBdr>
      <w:divsChild>
        <w:div w:id="524945384">
          <w:marLeft w:val="0"/>
          <w:marRight w:val="0"/>
          <w:marTop w:val="0"/>
          <w:marBottom w:val="0"/>
          <w:divBdr>
            <w:top w:val="none" w:sz="0" w:space="0" w:color="auto"/>
            <w:left w:val="none" w:sz="0" w:space="0" w:color="auto"/>
            <w:bottom w:val="none" w:sz="0" w:space="0" w:color="auto"/>
            <w:right w:val="none" w:sz="0" w:space="0" w:color="auto"/>
          </w:divBdr>
        </w:div>
      </w:divsChild>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0707997">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895311162">
      <w:bodyDiv w:val="1"/>
      <w:marLeft w:val="0"/>
      <w:marRight w:val="0"/>
      <w:marTop w:val="0"/>
      <w:marBottom w:val="0"/>
      <w:divBdr>
        <w:top w:val="none" w:sz="0" w:space="0" w:color="auto"/>
        <w:left w:val="none" w:sz="0" w:space="0" w:color="auto"/>
        <w:bottom w:val="none" w:sz="0" w:space="0" w:color="auto"/>
        <w:right w:val="none" w:sz="0" w:space="0" w:color="auto"/>
      </w:divBdr>
      <w:divsChild>
        <w:div w:id="1065958894">
          <w:marLeft w:val="0"/>
          <w:marRight w:val="0"/>
          <w:marTop w:val="0"/>
          <w:marBottom w:val="0"/>
          <w:divBdr>
            <w:top w:val="none" w:sz="0" w:space="0" w:color="auto"/>
            <w:left w:val="none" w:sz="0" w:space="0" w:color="auto"/>
            <w:bottom w:val="none" w:sz="0" w:space="0" w:color="auto"/>
            <w:right w:val="none" w:sz="0" w:space="0" w:color="auto"/>
          </w:divBdr>
        </w:div>
      </w:divsChild>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29015173">
      <w:bodyDiv w:val="1"/>
      <w:marLeft w:val="0"/>
      <w:marRight w:val="0"/>
      <w:marTop w:val="0"/>
      <w:marBottom w:val="0"/>
      <w:divBdr>
        <w:top w:val="none" w:sz="0" w:space="0" w:color="auto"/>
        <w:left w:val="none" w:sz="0" w:space="0" w:color="auto"/>
        <w:bottom w:val="none" w:sz="0" w:space="0" w:color="auto"/>
        <w:right w:val="none" w:sz="0" w:space="0" w:color="auto"/>
      </w:divBdr>
    </w:div>
    <w:div w:id="2045788401">
      <w:bodyDiv w:val="1"/>
      <w:marLeft w:val="0"/>
      <w:marRight w:val="0"/>
      <w:marTop w:val="0"/>
      <w:marBottom w:val="0"/>
      <w:divBdr>
        <w:top w:val="none" w:sz="0" w:space="0" w:color="auto"/>
        <w:left w:val="none" w:sz="0" w:space="0" w:color="auto"/>
        <w:bottom w:val="none" w:sz="0" w:space="0" w:color="auto"/>
        <w:right w:val="none" w:sz="0" w:space="0" w:color="auto"/>
      </w:divBdr>
    </w:div>
    <w:div w:id="2062752289">
      <w:bodyDiv w:val="1"/>
      <w:marLeft w:val="0"/>
      <w:marRight w:val="0"/>
      <w:marTop w:val="0"/>
      <w:marBottom w:val="0"/>
      <w:divBdr>
        <w:top w:val="none" w:sz="0" w:space="0" w:color="auto"/>
        <w:left w:val="none" w:sz="0" w:space="0" w:color="auto"/>
        <w:bottom w:val="none" w:sz="0" w:space="0" w:color="auto"/>
        <w:right w:val="none" w:sz="0" w:space="0" w:color="auto"/>
      </w:divBdr>
      <w:divsChild>
        <w:div w:id="840705970">
          <w:marLeft w:val="0"/>
          <w:marRight w:val="0"/>
          <w:marTop w:val="0"/>
          <w:marBottom w:val="0"/>
          <w:divBdr>
            <w:top w:val="none" w:sz="0" w:space="0" w:color="auto"/>
            <w:left w:val="none" w:sz="0" w:space="0" w:color="auto"/>
            <w:bottom w:val="none" w:sz="0" w:space="0" w:color="auto"/>
            <w:right w:val="none" w:sz="0" w:space="0" w:color="auto"/>
          </w:divBdr>
        </w:div>
      </w:divsChild>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2653167">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089034774">
      <w:bodyDiv w:val="1"/>
      <w:marLeft w:val="0"/>
      <w:marRight w:val="0"/>
      <w:marTop w:val="0"/>
      <w:marBottom w:val="0"/>
      <w:divBdr>
        <w:top w:val="none" w:sz="0" w:space="0" w:color="auto"/>
        <w:left w:val="none" w:sz="0" w:space="0" w:color="auto"/>
        <w:bottom w:val="none" w:sz="0" w:space="0" w:color="auto"/>
        <w:right w:val="none" w:sz="0" w:space="0" w:color="auto"/>
      </w:divBdr>
      <w:divsChild>
        <w:div w:id="700591324">
          <w:marLeft w:val="0"/>
          <w:marRight w:val="0"/>
          <w:marTop w:val="0"/>
          <w:marBottom w:val="0"/>
          <w:divBdr>
            <w:top w:val="none" w:sz="0" w:space="0" w:color="auto"/>
            <w:left w:val="none" w:sz="0" w:space="0" w:color="auto"/>
            <w:bottom w:val="none" w:sz="0" w:space="0" w:color="auto"/>
            <w:right w:val="none" w:sz="0" w:space="0" w:color="auto"/>
          </w:divBdr>
        </w:div>
      </w:divsChild>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10" Type="http://schemas.openxmlformats.org/officeDocument/2006/relationships/chart" Target="charts/chart2.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package" Target="../embeddings/Microsoft_Excel_Worksheet1.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H:\&#37329;&#34701;&#34903;\&#22266;&#25910;&#21608;&#25253;\&#21608;&#25253;&#25968;&#25454;&#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44204</c:v>
                </c:pt>
                <c:pt idx="1">
                  <c:v>44211</c:v>
                </c:pt>
                <c:pt idx="2">
                  <c:v>44218</c:v>
                </c:pt>
                <c:pt idx="3">
                  <c:v>44225</c:v>
                </c:pt>
                <c:pt idx="4">
                  <c:v>44232</c:v>
                </c:pt>
                <c:pt idx="5">
                  <c:v>44239</c:v>
                </c:pt>
                <c:pt idx="6">
                  <c:v>44246</c:v>
                </c:pt>
                <c:pt idx="7">
                  <c:v>44253</c:v>
                </c:pt>
                <c:pt idx="8">
                  <c:v>44260</c:v>
                </c:pt>
                <c:pt idx="9">
                  <c:v>44267</c:v>
                </c:pt>
                <c:pt idx="10">
                  <c:v>44274</c:v>
                </c:pt>
                <c:pt idx="11">
                  <c:v>44281</c:v>
                </c:pt>
                <c:pt idx="12">
                  <c:v>44288</c:v>
                </c:pt>
                <c:pt idx="13">
                  <c:v>44295</c:v>
                </c:pt>
                <c:pt idx="14">
                  <c:v>44302</c:v>
                </c:pt>
                <c:pt idx="15">
                  <c:v>44309</c:v>
                </c:pt>
                <c:pt idx="16">
                  <c:v>44316</c:v>
                </c:pt>
                <c:pt idx="17">
                  <c:v>44323</c:v>
                </c:pt>
                <c:pt idx="18">
                  <c:v>44330</c:v>
                </c:pt>
                <c:pt idx="19">
                  <c:v>44337</c:v>
                </c:pt>
                <c:pt idx="20">
                  <c:v>44344</c:v>
                </c:pt>
                <c:pt idx="21">
                  <c:v>44351</c:v>
                </c:pt>
                <c:pt idx="22">
                  <c:v>44358</c:v>
                </c:pt>
              </c:numCache>
            </c:numRef>
          </c:cat>
          <c:val>
            <c:numRef>
              <c:f>央行!$B$5:$B$27</c:f>
              <c:numCache>
                <c:formatCode>###,###,###,###,##0.00</c:formatCode>
                <c:ptCount val="23"/>
                <c:pt idx="0">
                  <c:v>550</c:v>
                </c:pt>
                <c:pt idx="1">
                  <c:v>160</c:v>
                </c:pt>
                <c:pt idx="2">
                  <c:v>6140</c:v>
                </c:pt>
                <c:pt idx="3">
                  <c:v>3890</c:v>
                </c:pt>
                <c:pt idx="4">
                  <c:v>4800</c:v>
                </c:pt>
                <c:pt idx="5">
                  <c:v>2300</c:v>
                </c:pt>
                <c:pt idx="6">
                  <c:v>400</c:v>
                </c:pt>
                <c:pt idx="7">
                  <c:v>800</c:v>
                </c:pt>
                <c:pt idx="8">
                  <c:v>550</c:v>
                </c:pt>
                <c:pt idx="9">
                  <c:v>500</c:v>
                </c:pt>
                <c:pt idx="10">
                  <c:v>500</c:v>
                </c:pt>
                <c:pt idx="11">
                  <c:v>550</c:v>
                </c:pt>
                <c:pt idx="12">
                  <c:v>500</c:v>
                </c:pt>
                <c:pt idx="13">
                  <c:v>400</c:v>
                </c:pt>
                <c:pt idx="14">
                  <c:v>500</c:v>
                </c:pt>
                <c:pt idx="15">
                  <c:v>500</c:v>
                </c:pt>
                <c:pt idx="16">
                  <c:v>650</c:v>
                </c:pt>
                <c:pt idx="17">
                  <c:v>200</c:v>
                </c:pt>
                <c:pt idx="18">
                  <c:v>600</c:v>
                </c:pt>
                <c:pt idx="19">
                  <c:v>500</c:v>
                </c:pt>
                <c:pt idx="20">
                  <c:v>550</c:v>
                </c:pt>
                <c:pt idx="21">
                  <c:v>500</c:v>
                </c:pt>
                <c:pt idx="22">
                  <c:v>500</c:v>
                </c:pt>
              </c:numCache>
            </c:numRef>
          </c:val>
          <c:extLst xmlns:c16r2="http://schemas.microsoft.com/office/drawing/2015/06/chart">
            <c:ext xmlns:c16="http://schemas.microsoft.com/office/drawing/2014/chart" uri="{C3380CC4-5D6E-409C-BE32-E72D297353CC}">
              <c16:uniqueId val="{00000000-EB57-4469-BDD5-40CE8CE88BD6}"/>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44204</c:v>
                </c:pt>
                <c:pt idx="1">
                  <c:v>44211</c:v>
                </c:pt>
                <c:pt idx="2">
                  <c:v>44218</c:v>
                </c:pt>
                <c:pt idx="3">
                  <c:v>44225</c:v>
                </c:pt>
                <c:pt idx="4">
                  <c:v>44232</c:v>
                </c:pt>
                <c:pt idx="5">
                  <c:v>44239</c:v>
                </c:pt>
                <c:pt idx="6">
                  <c:v>44246</c:v>
                </c:pt>
                <c:pt idx="7">
                  <c:v>44253</c:v>
                </c:pt>
                <c:pt idx="8">
                  <c:v>44260</c:v>
                </c:pt>
                <c:pt idx="9">
                  <c:v>44267</c:v>
                </c:pt>
                <c:pt idx="10">
                  <c:v>44274</c:v>
                </c:pt>
                <c:pt idx="11">
                  <c:v>44281</c:v>
                </c:pt>
                <c:pt idx="12">
                  <c:v>44288</c:v>
                </c:pt>
                <c:pt idx="13">
                  <c:v>44295</c:v>
                </c:pt>
                <c:pt idx="14">
                  <c:v>44302</c:v>
                </c:pt>
                <c:pt idx="15">
                  <c:v>44309</c:v>
                </c:pt>
                <c:pt idx="16">
                  <c:v>44316</c:v>
                </c:pt>
                <c:pt idx="17">
                  <c:v>44323</c:v>
                </c:pt>
                <c:pt idx="18">
                  <c:v>44330</c:v>
                </c:pt>
                <c:pt idx="19">
                  <c:v>44337</c:v>
                </c:pt>
                <c:pt idx="20">
                  <c:v>44344</c:v>
                </c:pt>
                <c:pt idx="21">
                  <c:v>44351</c:v>
                </c:pt>
                <c:pt idx="22">
                  <c:v>44358</c:v>
                </c:pt>
              </c:numCache>
            </c:numRef>
          </c:cat>
          <c:val>
            <c:numRef>
              <c:f>央行!$C$5:$C$27</c:f>
              <c:numCache>
                <c:formatCode>###,###,###,###,##0.00</c:formatCode>
                <c:ptCount val="23"/>
                <c:pt idx="0">
                  <c:v>-5200</c:v>
                </c:pt>
                <c:pt idx="1">
                  <c:v>-550</c:v>
                </c:pt>
                <c:pt idx="2">
                  <c:v>-160</c:v>
                </c:pt>
                <c:pt idx="3">
                  <c:v>-6190</c:v>
                </c:pt>
                <c:pt idx="4">
                  <c:v>-3840</c:v>
                </c:pt>
                <c:pt idx="5">
                  <c:v>-2800</c:v>
                </c:pt>
                <c:pt idx="6">
                  <c:v>-3800</c:v>
                </c:pt>
                <c:pt idx="7">
                  <c:v>-950</c:v>
                </c:pt>
                <c:pt idx="8">
                  <c:v>-800</c:v>
                </c:pt>
                <c:pt idx="9">
                  <c:v>-500</c:v>
                </c:pt>
                <c:pt idx="10">
                  <c:v>-500</c:v>
                </c:pt>
                <c:pt idx="11">
                  <c:v>-550</c:v>
                </c:pt>
                <c:pt idx="12">
                  <c:v>-500</c:v>
                </c:pt>
                <c:pt idx="13">
                  <c:v>-500</c:v>
                </c:pt>
                <c:pt idx="14">
                  <c:v>-400</c:v>
                </c:pt>
                <c:pt idx="15">
                  <c:v>-500</c:v>
                </c:pt>
                <c:pt idx="16">
                  <c:v>-550</c:v>
                </c:pt>
                <c:pt idx="17">
                  <c:v>-600</c:v>
                </c:pt>
                <c:pt idx="18">
                  <c:v>-200</c:v>
                </c:pt>
                <c:pt idx="19">
                  <c:v>-600</c:v>
                </c:pt>
                <c:pt idx="20">
                  <c:v>-550</c:v>
                </c:pt>
                <c:pt idx="21">
                  <c:v>-500</c:v>
                </c:pt>
                <c:pt idx="22">
                  <c:v>-500</c:v>
                </c:pt>
              </c:numCache>
            </c:numRef>
          </c:val>
          <c:extLst xmlns:c16r2="http://schemas.microsoft.com/office/drawing/2015/06/chart">
            <c:ext xmlns:c16="http://schemas.microsoft.com/office/drawing/2014/chart" uri="{C3380CC4-5D6E-409C-BE32-E72D297353CC}">
              <c16:uniqueId val="{00000001-EB57-4469-BDD5-40CE8CE88BD6}"/>
            </c:ext>
          </c:extLst>
        </c:ser>
        <c:dLbls>
          <c:showLegendKey val="0"/>
          <c:showVal val="0"/>
          <c:showCatName val="0"/>
          <c:showSerName val="0"/>
          <c:showPercent val="0"/>
          <c:showBubbleSize val="0"/>
        </c:dLbls>
        <c:gapWidth val="150"/>
        <c:overlap val="100"/>
        <c:axId val="503493376"/>
        <c:axId val="503495296"/>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44204</c:v>
                </c:pt>
                <c:pt idx="1">
                  <c:v>44211</c:v>
                </c:pt>
                <c:pt idx="2">
                  <c:v>44218</c:v>
                </c:pt>
                <c:pt idx="3">
                  <c:v>44225</c:v>
                </c:pt>
                <c:pt idx="4">
                  <c:v>44232</c:v>
                </c:pt>
                <c:pt idx="5">
                  <c:v>44239</c:v>
                </c:pt>
                <c:pt idx="6">
                  <c:v>44246</c:v>
                </c:pt>
                <c:pt idx="7">
                  <c:v>44253</c:v>
                </c:pt>
                <c:pt idx="8">
                  <c:v>44260</c:v>
                </c:pt>
                <c:pt idx="9">
                  <c:v>44267</c:v>
                </c:pt>
                <c:pt idx="10">
                  <c:v>44274</c:v>
                </c:pt>
                <c:pt idx="11">
                  <c:v>44281</c:v>
                </c:pt>
                <c:pt idx="12">
                  <c:v>44288</c:v>
                </c:pt>
                <c:pt idx="13">
                  <c:v>44295</c:v>
                </c:pt>
                <c:pt idx="14">
                  <c:v>44302</c:v>
                </c:pt>
                <c:pt idx="15">
                  <c:v>44309</c:v>
                </c:pt>
                <c:pt idx="16">
                  <c:v>44316</c:v>
                </c:pt>
                <c:pt idx="17">
                  <c:v>44323</c:v>
                </c:pt>
                <c:pt idx="18">
                  <c:v>44330</c:v>
                </c:pt>
                <c:pt idx="19">
                  <c:v>44337</c:v>
                </c:pt>
                <c:pt idx="20">
                  <c:v>44344</c:v>
                </c:pt>
                <c:pt idx="21">
                  <c:v>44351</c:v>
                </c:pt>
                <c:pt idx="22">
                  <c:v>44358</c:v>
                </c:pt>
              </c:numCache>
            </c:numRef>
          </c:cat>
          <c:val>
            <c:numRef>
              <c:f>央行!$D$5:$D$27</c:f>
              <c:numCache>
                <c:formatCode>###,###,###,###,##0.00</c:formatCode>
                <c:ptCount val="23"/>
                <c:pt idx="0">
                  <c:v>-4650</c:v>
                </c:pt>
                <c:pt idx="1">
                  <c:v>-390</c:v>
                </c:pt>
                <c:pt idx="2">
                  <c:v>5980</c:v>
                </c:pt>
                <c:pt idx="3">
                  <c:v>-2300</c:v>
                </c:pt>
                <c:pt idx="4">
                  <c:v>960</c:v>
                </c:pt>
                <c:pt idx="5">
                  <c:v>-500</c:v>
                </c:pt>
                <c:pt idx="6">
                  <c:v>-3400</c:v>
                </c:pt>
                <c:pt idx="7">
                  <c:v>-150</c:v>
                </c:pt>
                <c:pt idx="8">
                  <c:v>-250</c:v>
                </c:pt>
                <c:pt idx="9">
                  <c:v>0</c:v>
                </c:pt>
                <c:pt idx="10">
                  <c:v>0</c:v>
                </c:pt>
                <c:pt idx="11">
                  <c:v>0</c:v>
                </c:pt>
                <c:pt idx="12">
                  <c:v>0</c:v>
                </c:pt>
                <c:pt idx="13">
                  <c:v>-100</c:v>
                </c:pt>
                <c:pt idx="14">
                  <c:v>100</c:v>
                </c:pt>
                <c:pt idx="15">
                  <c:v>0</c:v>
                </c:pt>
                <c:pt idx="16">
                  <c:v>100</c:v>
                </c:pt>
                <c:pt idx="17">
                  <c:v>-400</c:v>
                </c:pt>
                <c:pt idx="18">
                  <c:v>400</c:v>
                </c:pt>
                <c:pt idx="19">
                  <c:v>-100</c:v>
                </c:pt>
                <c:pt idx="20">
                  <c:v>0</c:v>
                </c:pt>
                <c:pt idx="21">
                  <c:v>0</c:v>
                </c:pt>
                <c:pt idx="22">
                  <c:v>0</c:v>
                </c:pt>
              </c:numCache>
            </c:numRef>
          </c:val>
          <c:smooth val="0"/>
          <c:extLst xmlns:c16r2="http://schemas.microsoft.com/office/drawing/2015/06/chart">
            <c:ext xmlns:c16="http://schemas.microsoft.com/office/drawing/2014/chart" uri="{C3380CC4-5D6E-409C-BE32-E72D297353CC}">
              <c16:uniqueId val="{00000002-EB57-4469-BDD5-40CE8CE88BD6}"/>
            </c:ext>
          </c:extLst>
        </c:ser>
        <c:dLbls>
          <c:showLegendKey val="0"/>
          <c:showVal val="0"/>
          <c:showCatName val="0"/>
          <c:showSerName val="0"/>
          <c:showPercent val="0"/>
          <c:showBubbleSize val="0"/>
        </c:dLbls>
        <c:marker val="1"/>
        <c:smooth val="0"/>
        <c:axId val="503493376"/>
        <c:axId val="503495296"/>
      </c:lineChart>
      <c:catAx>
        <c:axId val="503493376"/>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503495296"/>
        <c:crosses val="autoZero"/>
        <c:auto val="0"/>
        <c:lblAlgn val="ctr"/>
        <c:lblOffset val="0"/>
        <c:tickMarkSkip val="2"/>
        <c:noMultiLvlLbl val="0"/>
      </c:catAx>
      <c:valAx>
        <c:axId val="503495296"/>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503493376"/>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87224725300753059"/>
          <c:h val="0.76566511660269265"/>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44358</c:v>
                </c:pt>
                <c:pt idx="1">
                  <c:v>44357</c:v>
                </c:pt>
                <c:pt idx="2">
                  <c:v>44356</c:v>
                </c:pt>
                <c:pt idx="3">
                  <c:v>44355</c:v>
                </c:pt>
                <c:pt idx="4">
                  <c:v>44354</c:v>
                </c:pt>
                <c:pt idx="5">
                  <c:v>44351</c:v>
                </c:pt>
                <c:pt idx="6">
                  <c:v>44350</c:v>
                </c:pt>
                <c:pt idx="7">
                  <c:v>44349</c:v>
                </c:pt>
                <c:pt idx="8">
                  <c:v>44348</c:v>
                </c:pt>
                <c:pt idx="9">
                  <c:v>44347</c:v>
                </c:pt>
                <c:pt idx="10">
                  <c:v>44344</c:v>
                </c:pt>
                <c:pt idx="11">
                  <c:v>44343</c:v>
                </c:pt>
                <c:pt idx="12">
                  <c:v>44342</c:v>
                </c:pt>
                <c:pt idx="13">
                  <c:v>44341</c:v>
                </c:pt>
                <c:pt idx="14">
                  <c:v>44340</c:v>
                </c:pt>
                <c:pt idx="15">
                  <c:v>44337</c:v>
                </c:pt>
                <c:pt idx="16">
                  <c:v>44336</c:v>
                </c:pt>
                <c:pt idx="17">
                  <c:v>44335</c:v>
                </c:pt>
                <c:pt idx="18">
                  <c:v>44334</c:v>
                </c:pt>
                <c:pt idx="19">
                  <c:v>44333</c:v>
                </c:pt>
                <c:pt idx="20">
                  <c:v>44330</c:v>
                </c:pt>
                <c:pt idx="21">
                  <c:v>44329</c:v>
                </c:pt>
                <c:pt idx="22">
                  <c:v>44328</c:v>
                </c:pt>
                <c:pt idx="23">
                  <c:v>44327</c:v>
                </c:pt>
                <c:pt idx="24">
                  <c:v>44326</c:v>
                </c:pt>
                <c:pt idx="25">
                  <c:v>44324</c:v>
                </c:pt>
                <c:pt idx="26">
                  <c:v>44323</c:v>
                </c:pt>
                <c:pt idx="27">
                  <c:v>44322</c:v>
                </c:pt>
                <c:pt idx="28">
                  <c:v>44316</c:v>
                </c:pt>
                <c:pt idx="29">
                  <c:v>44315</c:v>
                </c:pt>
                <c:pt idx="30">
                  <c:v>44314</c:v>
                </c:pt>
                <c:pt idx="31">
                  <c:v>44313</c:v>
                </c:pt>
                <c:pt idx="32">
                  <c:v>44312</c:v>
                </c:pt>
                <c:pt idx="33">
                  <c:v>44311</c:v>
                </c:pt>
                <c:pt idx="34">
                  <c:v>44309</c:v>
                </c:pt>
                <c:pt idx="35">
                  <c:v>44308</c:v>
                </c:pt>
                <c:pt idx="36">
                  <c:v>44307</c:v>
                </c:pt>
                <c:pt idx="37">
                  <c:v>44306</c:v>
                </c:pt>
                <c:pt idx="38">
                  <c:v>44305</c:v>
                </c:pt>
                <c:pt idx="39">
                  <c:v>44302</c:v>
                </c:pt>
                <c:pt idx="40">
                  <c:v>44301</c:v>
                </c:pt>
                <c:pt idx="41">
                  <c:v>44300</c:v>
                </c:pt>
                <c:pt idx="42">
                  <c:v>44299</c:v>
                </c:pt>
                <c:pt idx="43">
                  <c:v>44298</c:v>
                </c:pt>
                <c:pt idx="44">
                  <c:v>44295</c:v>
                </c:pt>
                <c:pt idx="45">
                  <c:v>44294</c:v>
                </c:pt>
                <c:pt idx="46">
                  <c:v>44293</c:v>
                </c:pt>
                <c:pt idx="47">
                  <c:v>44292</c:v>
                </c:pt>
                <c:pt idx="48">
                  <c:v>44288</c:v>
                </c:pt>
                <c:pt idx="49">
                  <c:v>44287</c:v>
                </c:pt>
                <c:pt idx="50">
                  <c:v>44286</c:v>
                </c:pt>
                <c:pt idx="51">
                  <c:v>44285</c:v>
                </c:pt>
                <c:pt idx="52">
                  <c:v>44284</c:v>
                </c:pt>
                <c:pt idx="53">
                  <c:v>44281</c:v>
                </c:pt>
                <c:pt idx="54">
                  <c:v>44280</c:v>
                </c:pt>
                <c:pt idx="55">
                  <c:v>44279</c:v>
                </c:pt>
                <c:pt idx="56">
                  <c:v>44278</c:v>
                </c:pt>
                <c:pt idx="57">
                  <c:v>44277</c:v>
                </c:pt>
                <c:pt idx="58">
                  <c:v>44274</c:v>
                </c:pt>
              </c:numCache>
            </c:numRef>
          </c:cat>
          <c:val>
            <c:numRef>
              <c:f>资金!$B$3:$B$61</c:f>
              <c:numCache>
                <c:formatCode>###,###,###,###,##0.0000</c:formatCode>
                <c:ptCount val="59"/>
                <c:pt idx="0">
                  <c:v>2.0297000000000001</c:v>
                </c:pt>
                <c:pt idx="1">
                  <c:v>1.9117</c:v>
                </c:pt>
                <c:pt idx="2">
                  <c:v>2.194</c:v>
                </c:pt>
                <c:pt idx="3">
                  <c:v>2.2252000000000001</c:v>
                </c:pt>
                <c:pt idx="4">
                  <c:v>2.3681000000000001</c:v>
                </c:pt>
                <c:pt idx="5">
                  <c:v>2.2187999999999999</c:v>
                </c:pt>
                <c:pt idx="6">
                  <c:v>1.8841000000000001</c:v>
                </c:pt>
                <c:pt idx="7">
                  <c:v>2.0444</c:v>
                </c:pt>
                <c:pt idx="8">
                  <c:v>2.2265999999999999</c:v>
                </c:pt>
                <c:pt idx="9">
                  <c:v>2.5068999999999999</c:v>
                </c:pt>
                <c:pt idx="10">
                  <c:v>2.2092000000000001</c:v>
                </c:pt>
                <c:pt idx="11">
                  <c:v>2.1524000000000001</c:v>
                </c:pt>
                <c:pt idx="12">
                  <c:v>2.0261</c:v>
                </c:pt>
                <c:pt idx="13">
                  <c:v>2.2078000000000002</c:v>
                </c:pt>
                <c:pt idx="14">
                  <c:v>2.2084999999999999</c:v>
                </c:pt>
                <c:pt idx="15">
                  <c:v>2.0007000000000001</c:v>
                </c:pt>
                <c:pt idx="16">
                  <c:v>2.1055999999999999</c:v>
                </c:pt>
                <c:pt idx="17">
                  <c:v>2.0579999999999998</c:v>
                </c:pt>
                <c:pt idx="18">
                  <c:v>2.1303999999999998</c:v>
                </c:pt>
                <c:pt idx="19">
                  <c:v>2.1846000000000001</c:v>
                </c:pt>
                <c:pt idx="20">
                  <c:v>1.8376999999999999</c:v>
                </c:pt>
                <c:pt idx="21">
                  <c:v>1.9856</c:v>
                </c:pt>
                <c:pt idx="22">
                  <c:v>1.9772000000000001</c:v>
                </c:pt>
                <c:pt idx="23">
                  <c:v>1.9589000000000001</c:v>
                </c:pt>
                <c:pt idx="24">
                  <c:v>1.6997</c:v>
                </c:pt>
                <c:pt idx="25">
                  <c:v>1.4749000000000001</c:v>
                </c:pt>
                <c:pt idx="26">
                  <c:v>1.7567999999999999</c:v>
                </c:pt>
                <c:pt idx="27">
                  <c:v>2.1004999999999998</c:v>
                </c:pt>
                <c:pt idx="28">
                  <c:v>2.3130000000000002</c:v>
                </c:pt>
                <c:pt idx="29">
                  <c:v>1.8532</c:v>
                </c:pt>
                <c:pt idx="30">
                  <c:v>1.8116000000000001</c:v>
                </c:pt>
                <c:pt idx="31">
                  <c:v>1.8314999999999999</c:v>
                </c:pt>
                <c:pt idx="32">
                  <c:v>2.0872999999999999</c:v>
                </c:pt>
                <c:pt idx="33">
                  <c:v>2.0192000000000001</c:v>
                </c:pt>
                <c:pt idx="34">
                  <c:v>1.9596</c:v>
                </c:pt>
                <c:pt idx="35">
                  <c:v>2.1551999999999998</c:v>
                </c:pt>
                <c:pt idx="36">
                  <c:v>1.9048</c:v>
                </c:pt>
                <c:pt idx="37">
                  <c:v>1.873</c:v>
                </c:pt>
                <c:pt idx="38">
                  <c:v>2.1116999999999999</c:v>
                </c:pt>
                <c:pt idx="39">
                  <c:v>1.9665999999999999</c:v>
                </c:pt>
                <c:pt idx="40">
                  <c:v>1.8460000000000001</c:v>
                </c:pt>
                <c:pt idx="41">
                  <c:v>1.8394999999999999</c:v>
                </c:pt>
                <c:pt idx="42">
                  <c:v>1.8163</c:v>
                </c:pt>
                <c:pt idx="43">
                  <c:v>1.8184</c:v>
                </c:pt>
                <c:pt idx="44">
                  <c:v>1.8128</c:v>
                </c:pt>
                <c:pt idx="45">
                  <c:v>1.7882</c:v>
                </c:pt>
                <c:pt idx="46">
                  <c:v>1.8531</c:v>
                </c:pt>
                <c:pt idx="47">
                  <c:v>1.8081</c:v>
                </c:pt>
                <c:pt idx="48">
                  <c:v>1.7512000000000001</c:v>
                </c:pt>
                <c:pt idx="49">
                  <c:v>2.1960000000000002</c:v>
                </c:pt>
                <c:pt idx="50">
                  <c:v>2.3929</c:v>
                </c:pt>
                <c:pt idx="51">
                  <c:v>1.8808</c:v>
                </c:pt>
                <c:pt idx="52">
                  <c:v>1.8393999999999999</c:v>
                </c:pt>
                <c:pt idx="53">
                  <c:v>1.8057000000000001</c:v>
                </c:pt>
                <c:pt idx="54">
                  <c:v>2.0571999999999999</c:v>
                </c:pt>
                <c:pt idx="55">
                  <c:v>1.8817999999999999</c:v>
                </c:pt>
                <c:pt idx="56">
                  <c:v>2.0042</c:v>
                </c:pt>
                <c:pt idx="57">
                  <c:v>2.0869</c:v>
                </c:pt>
                <c:pt idx="58">
                  <c:v>2.1583999999999999</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44358</c:v>
                </c:pt>
                <c:pt idx="1">
                  <c:v>44357</c:v>
                </c:pt>
                <c:pt idx="2">
                  <c:v>44356</c:v>
                </c:pt>
                <c:pt idx="3">
                  <c:v>44355</c:v>
                </c:pt>
                <c:pt idx="4">
                  <c:v>44354</c:v>
                </c:pt>
                <c:pt idx="5">
                  <c:v>44351</c:v>
                </c:pt>
                <c:pt idx="6">
                  <c:v>44350</c:v>
                </c:pt>
                <c:pt idx="7">
                  <c:v>44349</c:v>
                </c:pt>
                <c:pt idx="8">
                  <c:v>44348</c:v>
                </c:pt>
                <c:pt idx="9">
                  <c:v>44347</c:v>
                </c:pt>
                <c:pt idx="10">
                  <c:v>44344</c:v>
                </c:pt>
                <c:pt idx="11">
                  <c:v>44343</c:v>
                </c:pt>
                <c:pt idx="12">
                  <c:v>44342</c:v>
                </c:pt>
                <c:pt idx="13">
                  <c:v>44341</c:v>
                </c:pt>
                <c:pt idx="14">
                  <c:v>44340</c:v>
                </c:pt>
                <c:pt idx="15">
                  <c:v>44337</c:v>
                </c:pt>
                <c:pt idx="16">
                  <c:v>44336</c:v>
                </c:pt>
                <c:pt idx="17">
                  <c:v>44335</c:v>
                </c:pt>
                <c:pt idx="18">
                  <c:v>44334</c:v>
                </c:pt>
                <c:pt idx="19">
                  <c:v>44333</c:v>
                </c:pt>
                <c:pt idx="20">
                  <c:v>44330</c:v>
                </c:pt>
                <c:pt idx="21">
                  <c:v>44329</c:v>
                </c:pt>
                <c:pt idx="22">
                  <c:v>44328</c:v>
                </c:pt>
                <c:pt idx="23">
                  <c:v>44327</c:v>
                </c:pt>
                <c:pt idx="24">
                  <c:v>44326</c:v>
                </c:pt>
                <c:pt idx="25">
                  <c:v>44324</c:v>
                </c:pt>
                <c:pt idx="26">
                  <c:v>44323</c:v>
                </c:pt>
                <c:pt idx="27">
                  <c:v>44322</c:v>
                </c:pt>
                <c:pt idx="28">
                  <c:v>44316</c:v>
                </c:pt>
                <c:pt idx="29">
                  <c:v>44315</c:v>
                </c:pt>
                <c:pt idx="30">
                  <c:v>44314</c:v>
                </c:pt>
                <c:pt idx="31">
                  <c:v>44313</c:v>
                </c:pt>
                <c:pt idx="32">
                  <c:v>44312</c:v>
                </c:pt>
                <c:pt idx="33">
                  <c:v>44311</c:v>
                </c:pt>
                <c:pt idx="34">
                  <c:v>44309</c:v>
                </c:pt>
                <c:pt idx="35">
                  <c:v>44308</c:v>
                </c:pt>
                <c:pt idx="36">
                  <c:v>44307</c:v>
                </c:pt>
                <c:pt idx="37">
                  <c:v>44306</c:v>
                </c:pt>
                <c:pt idx="38">
                  <c:v>44305</c:v>
                </c:pt>
                <c:pt idx="39">
                  <c:v>44302</c:v>
                </c:pt>
                <c:pt idx="40">
                  <c:v>44301</c:v>
                </c:pt>
                <c:pt idx="41">
                  <c:v>44300</c:v>
                </c:pt>
                <c:pt idx="42">
                  <c:v>44299</c:v>
                </c:pt>
                <c:pt idx="43">
                  <c:v>44298</c:v>
                </c:pt>
                <c:pt idx="44">
                  <c:v>44295</c:v>
                </c:pt>
                <c:pt idx="45">
                  <c:v>44294</c:v>
                </c:pt>
                <c:pt idx="46">
                  <c:v>44293</c:v>
                </c:pt>
                <c:pt idx="47">
                  <c:v>44292</c:v>
                </c:pt>
                <c:pt idx="48">
                  <c:v>44288</c:v>
                </c:pt>
                <c:pt idx="49">
                  <c:v>44287</c:v>
                </c:pt>
                <c:pt idx="50">
                  <c:v>44286</c:v>
                </c:pt>
                <c:pt idx="51">
                  <c:v>44285</c:v>
                </c:pt>
                <c:pt idx="52">
                  <c:v>44284</c:v>
                </c:pt>
                <c:pt idx="53">
                  <c:v>44281</c:v>
                </c:pt>
                <c:pt idx="54">
                  <c:v>44280</c:v>
                </c:pt>
                <c:pt idx="55">
                  <c:v>44279</c:v>
                </c:pt>
                <c:pt idx="56">
                  <c:v>44278</c:v>
                </c:pt>
                <c:pt idx="57">
                  <c:v>44277</c:v>
                </c:pt>
                <c:pt idx="58">
                  <c:v>44274</c:v>
                </c:pt>
              </c:numCache>
            </c:numRef>
          </c:cat>
          <c:val>
            <c:numRef>
              <c:f>资金!$C$3:$C$61</c:f>
              <c:numCache>
                <c:formatCode>###,###,###,###,##0.0000</c:formatCode>
                <c:ptCount val="59"/>
                <c:pt idx="0">
                  <c:v>2.1131000000000002</c:v>
                </c:pt>
                <c:pt idx="1">
                  <c:v>2.1677</c:v>
                </c:pt>
                <c:pt idx="2">
                  <c:v>2.2887</c:v>
                </c:pt>
                <c:pt idx="3">
                  <c:v>2.3472</c:v>
                </c:pt>
                <c:pt idx="4">
                  <c:v>2.3174000000000001</c:v>
                </c:pt>
                <c:pt idx="5">
                  <c:v>2.1429</c:v>
                </c:pt>
                <c:pt idx="6">
                  <c:v>2.1086999999999998</c:v>
                </c:pt>
                <c:pt idx="7">
                  <c:v>2.2256</c:v>
                </c:pt>
                <c:pt idx="8">
                  <c:v>2.29</c:v>
                </c:pt>
                <c:pt idx="9">
                  <c:v>2.7025999999999999</c:v>
                </c:pt>
                <c:pt idx="10">
                  <c:v>2.4354</c:v>
                </c:pt>
                <c:pt idx="11">
                  <c:v>2.3687999999999998</c:v>
                </c:pt>
                <c:pt idx="12">
                  <c:v>2.3936999999999999</c:v>
                </c:pt>
                <c:pt idx="13">
                  <c:v>2.4274</c:v>
                </c:pt>
                <c:pt idx="14">
                  <c:v>2.1537999999999999</c:v>
                </c:pt>
                <c:pt idx="15">
                  <c:v>2.1427</c:v>
                </c:pt>
                <c:pt idx="16">
                  <c:v>2.2088000000000001</c:v>
                </c:pt>
                <c:pt idx="17">
                  <c:v>2.1913</c:v>
                </c:pt>
                <c:pt idx="18">
                  <c:v>2.2437</c:v>
                </c:pt>
                <c:pt idx="19">
                  <c:v>2.1873999999999998</c:v>
                </c:pt>
                <c:pt idx="20">
                  <c:v>2.0255000000000001</c:v>
                </c:pt>
                <c:pt idx="21">
                  <c:v>2.0687000000000002</c:v>
                </c:pt>
                <c:pt idx="22">
                  <c:v>1.9994000000000001</c:v>
                </c:pt>
                <c:pt idx="23">
                  <c:v>1.9733000000000001</c:v>
                </c:pt>
                <c:pt idx="24">
                  <c:v>1.9528000000000001</c:v>
                </c:pt>
                <c:pt idx="25">
                  <c:v>1.821</c:v>
                </c:pt>
                <c:pt idx="26">
                  <c:v>1.9728000000000001</c:v>
                </c:pt>
                <c:pt idx="27">
                  <c:v>2.1395</c:v>
                </c:pt>
                <c:pt idx="28">
                  <c:v>2.3769</c:v>
                </c:pt>
                <c:pt idx="29">
                  <c:v>2.3264999999999998</c:v>
                </c:pt>
                <c:pt idx="30">
                  <c:v>2.2690000000000001</c:v>
                </c:pt>
                <c:pt idx="31">
                  <c:v>2.2949999999999999</c:v>
                </c:pt>
                <c:pt idx="32">
                  <c:v>2.3549000000000002</c:v>
                </c:pt>
                <c:pt idx="33">
                  <c:v>2.2372000000000001</c:v>
                </c:pt>
                <c:pt idx="34">
                  <c:v>2.1141000000000001</c:v>
                </c:pt>
                <c:pt idx="35">
                  <c:v>2.1456</c:v>
                </c:pt>
                <c:pt idx="36">
                  <c:v>2.0910000000000002</c:v>
                </c:pt>
                <c:pt idx="37">
                  <c:v>2.2360000000000002</c:v>
                </c:pt>
                <c:pt idx="38">
                  <c:v>2.3254000000000001</c:v>
                </c:pt>
                <c:pt idx="39">
                  <c:v>2.1677</c:v>
                </c:pt>
                <c:pt idx="40">
                  <c:v>2.0480999999999998</c:v>
                </c:pt>
                <c:pt idx="41">
                  <c:v>1.9805999999999999</c:v>
                </c:pt>
                <c:pt idx="42">
                  <c:v>1.9778</c:v>
                </c:pt>
                <c:pt idx="43">
                  <c:v>1.982</c:v>
                </c:pt>
                <c:pt idx="44">
                  <c:v>1.9272</c:v>
                </c:pt>
                <c:pt idx="45">
                  <c:v>1.9629000000000001</c:v>
                </c:pt>
                <c:pt idx="46">
                  <c:v>1.9476</c:v>
                </c:pt>
                <c:pt idx="47">
                  <c:v>1.9693000000000001</c:v>
                </c:pt>
                <c:pt idx="48">
                  <c:v>2.0823999999999998</c:v>
                </c:pt>
                <c:pt idx="49">
                  <c:v>2.2355999999999998</c:v>
                </c:pt>
                <c:pt idx="50">
                  <c:v>2.6713</c:v>
                </c:pt>
                <c:pt idx="51">
                  <c:v>2.4952000000000001</c:v>
                </c:pt>
                <c:pt idx="52">
                  <c:v>2.4664000000000001</c:v>
                </c:pt>
                <c:pt idx="53">
                  <c:v>2.4746000000000001</c:v>
                </c:pt>
                <c:pt idx="54">
                  <c:v>2.4559000000000002</c:v>
                </c:pt>
                <c:pt idx="55">
                  <c:v>1.9964</c:v>
                </c:pt>
                <c:pt idx="56">
                  <c:v>2.1162000000000001</c:v>
                </c:pt>
                <c:pt idx="57">
                  <c:v>2.1791</c:v>
                </c:pt>
                <c:pt idx="58">
                  <c:v>2.1913999999999998</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520047232"/>
        <c:axId val="520061312"/>
      </c:lineChart>
      <c:dateAx>
        <c:axId val="520047232"/>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700"/>
            </a:pPr>
            <a:endParaRPr lang="zh-CN"/>
          </a:p>
        </c:txPr>
        <c:crossAx val="520061312"/>
        <c:crosses val="autoZero"/>
        <c:auto val="0"/>
        <c:lblOffset val="0"/>
        <c:baseTimeUnit val="days"/>
        <c:majorUnit val="14"/>
        <c:majorTimeUnit val="days"/>
        <c:minorUnit val="7"/>
        <c:minorTimeUnit val="days"/>
      </c:dateAx>
      <c:valAx>
        <c:axId val="520061312"/>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520047232"/>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-3.6399999999999988</c:v>
                </c:pt>
                <c:pt idx="1">
                  <c:v>6.4200000000000035</c:v>
                </c:pt>
                <c:pt idx="2">
                  <c:v>5.2499999999999769</c:v>
                </c:pt>
                <c:pt idx="3">
                  <c:v>3.9800000000000058</c:v>
                </c:pt>
                <c:pt idx="4">
                  <c:v>3.3900000000000041</c:v>
                </c:pt>
                <c:pt idx="5">
                  <c:v>4.2199999999999793</c:v>
                </c:pt>
                <c:pt idx="6">
                  <c:v>3.5100000000000353</c:v>
                </c:pt>
              </c:numCache>
            </c:numRef>
          </c:val>
          <c:extLst xmlns:c16r2="http://schemas.microsoft.com/office/drawing/2015/06/char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gapWidth val="150"/>
        <c:axId val="503507968"/>
        <c:axId val="506303616"/>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6="http://schemas.microsoft.com/office/drawing/2014/chart" uri="{C3380CC4-5D6E-409C-BE32-E72D297353CC}">
                  <c16:uniqueId val="{0000000B-F10F-4D2D-834C-E6E69D663A7D}"/>
                </c:ext>
                <c:ext xmlns:c15="http://schemas.microsoft.com/office/drawing/2012/chart" uri="{CE6537A1-D6FC-4f65-9D91-7224C49458BB}"/>
              </c:extLst>
            </c:dLbl>
            <c:dLbl>
              <c:idx val="1"/>
              <c:delete val="1"/>
              <c:extLst xmlns:c16r2="http://schemas.microsoft.com/office/drawing/2015/06/chart">
                <c:ext xmlns:c16="http://schemas.microsoft.com/office/drawing/2014/chart" uri="{C3380CC4-5D6E-409C-BE32-E72D297353CC}">
                  <c16:uniqueId val="{0000000A-F10F-4D2D-834C-E6E69D663A7D}"/>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9-F10F-4D2D-834C-E6E69D663A7D}"/>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8-F10F-4D2D-834C-E6E69D663A7D}"/>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7-F10F-4D2D-834C-E6E69D663A7D}"/>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6-F10F-4D2D-834C-E6E69D663A7D}"/>
                </c:ext>
                <c:ext xmlns:c15="http://schemas.microsoft.com/office/drawing/2012/chart" uri="{CE6537A1-D6FC-4f65-9D91-7224C49458BB}"/>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1.7819</c:v>
                </c:pt>
                <c:pt idx="1">
                  <c:v>1.9118999999999999</c:v>
                </c:pt>
                <c:pt idx="2">
                  <c:v>2.4459</c:v>
                </c:pt>
                <c:pt idx="3">
                  <c:v>2.8485</c:v>
                </c:pt>
                <c:pt idx="4">
                  <c:v>3.0085000000000002</c:v>
                </c:pt>
                <c:pt idx="5">
                  <c:v>3.1229</c:v>
                </c:pt>
                <c:pt idx="6">
                  <c:v>3.1276000000000002</c:v>
                </c:pt>
              </c:numCache>
            </c:numRef>
          </c:val>
          <c:smooth val="0"/>
          <c:extLst xmlns:c16r2="http://schemas.microsoft.com/office/drawing/2015/06/chart">
            <c:ext xmlns:c16="http://schemas.microsoft.com/office/drawing/2014/chart" uri="{C3380CC4-5D6E-409C-BE32-E72D297353CC}">
              <c16:uniqueId val="{00000004-FB26-4560-BF82-E44BC96AA276}"/>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1.8183</c:v>
                </c:pt>
                <c:pt idx="1">
                  <c:v>1.8476999999999999</c:v>
                </c:pt>
                <c:pt idx="2">
                  <c:v>2.3934000000000002</c:v>
                </c:pt>
                <c:pt idx="3">
                  <c:v>2.8087</c:v>
                </c:pt>
                <c:pt idx="4">
                  <c:v>2.9746000000000001</c:v>
                </c:pt>
                <c:pt idx="5">
                  <c:v>3.0807000000000002</c:v>
                </c:pt>
                <c:pt idx="6">
                  <c:v>3.0924999999999998</c:v>
                </c:pt>
              </c:numCache>
            </c:numRef>
          </c:val>
          <c:smooth val="0"/>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520036736"/>
        <c:axId val="506305152"/>
      </c:lineChart>
      <c:dateAx>
        <c:axId val="503507968"/>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506303616"/>
        <c:crosses val="autoZero"/>
        <c:auto val="0"/>
        <c:lblOffset val="0"/>
        <c:baseTimeUnit val="days"/>
      </c:dateAx>
      <c:valAx>
        <c:axId val="506303616"/>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503507968"/>
        <c:crosses val="autoZero"/>
        <c:crossBetween val="between"/>
      </c:valAx>
      <c:valAx>
        <c:axId val="506305152"/>
        <c:scaling>
          <c:orientation val="minMax"/>
        </c:scaling>
        <c:delete val="0"/>
        <c:axPos val="r"/>
        <c:numFmt formatCode="#,##0.0_);[Red]\(#,##0.0\)" sourceLinked="0"/>
        <c:majorTickMark val="out"/>
        <c:minorTickMark val="none"/>
        <c:tickLblPos val="nextTo"/>
        <c:spPr>
          <a:ln w="3175">
            <a:solidFill>
              <a:sysClr val="windowText" lastClr="000000"/>
            </a:solidFill>
          </a:ln>
        </c:spPr>
        <c:crossAx val="520036736"/>
        <c:crosses val="max"/>
        <c:crossBetween val="between"/>
      </c:valAx>
      <c:dateAx>
        <c:axId val="520036736"/>
        <c:scaling>
          <c:orientation val="minMax"/>
        </c:scaling>
        <c:delete val="1"/>
        <c:axPos val="b"/>
        <c:numFmt formatCode="General" sourceLinked="1"/>
        <c:majorTickMark val="out"/>
        <c:minorTickMark val="none"/>
        <c:tickLblPos val="nextTo"/>
        <c:crossAx val="506305152"/>
        <c:crosses val="autoZero"/>
        <c:auto val="0"/>
        <c:lblOffset val="100"/>
        <c:baseTimeUnit val="years"/>
      </c:dateAx>
    </c:plotArea>
    <c:legend>
      <c:legendPos val="r"/>
      <c:layout>
        <c:manualLayout>
          <c:xMode val="edge"/>
          <c:yMode val="edge"/>
          <c:x val="0.11413871805088516"/>
          <c:y val="2.3339302391336015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0.42999999999999705</c:v>
                </c:pt>
                <c:pt idx="1">
                  <c:v>2.7600000000000069</c:v>
                </c:pt>
                <c:pt idx="2">
                  <c:v>2.7400000000000091</c:v>
                </c:pt>
                <c:pt idx="3">
                  <c:v>4.3200000000000127</c:v>
                </c:pt>
                <c:pt idx="4">
                  <c:v>4.7199999999999687</c:v>
                </c:pt>
                <c:pt idx="5">
                  <c:v>2.5499999999999634</c:v>
                </c:pt>
                <c:pt idx="6">
                  <c:v>-1.880000000000015</c:v>
                </c:pt>
              </c:numCache>
            </c:numRef>
          </c:val>
          <c:extLst xmlns:c16r2="http://schemas.microsoft.com/office/drawing/2015/06/chart">
            <c:ext xmlns:c16="http://schemas.microsoft.com/office/drawing/2014/chart" uri="{C3380CC4-5D6E-409C-BE32-E72D297353CC}">
              <c16:uniqueId val="{00000000-0319-4AA3-8886-0F871A1F4B20}"/>
            </c:ext>
          </c:extLst>
        </c:ser>
        <c:dLbls>
          <c:showLegendKey val="0"/>
          <c:showVal val="0"/>
          <c:showCatName val="0"/>
          <c:showSerName val="0"/>
          <c:showPercent val="0"/>
          <c:showBubbleSize val="0"/>
        </c:dLbls>
        <c:gapWidth val="150"/>
        <c:axId val="425673088"/>
        <c:axId val="425675008"/>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6="http://schemas.microsoft.com/office/drawing/2014/chart" uri="{C3380CC4-5D6E-409C-BE32-E72D297353CC}">
                  <c16:uniqueId val="{00000001-0319-4AA3-8886-0F871A1F4B20}"/>
                </c:ext>
                <c:ext xmlns:c15="http://schemas.microsoft.com/office/drawing/2012/chart" uri="{CE6537A1-D6FC-4f65-9D91-7224C49458BB}"/>
              </c:extLst>
            </c:dLbl>
            <c:dLbl>
              <c:idx val="1"/>
              <c:delete val="1"/>
              <c:extLst xmlns:c16r2="http://schemas.microsoft.com/office/drawing/2015/06/chart">
                <c:ext xmlns:c16="http://schemas.microsoft.com/office/drawing/2014/chart" uri="{C3380CC4-5D6E-409C-BE32-E72D297353CC}">
                  <c16:uniqueId val="{00000002-0319-4AA3-8886-0F871A1F4B20}"/>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3-0319-4AA3-8886-0F871A1F4B20}"/>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4-0319-4AA3-8886-0F871A1F4B20}"/>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5-0319-4AA3-8886-0F871A1F4B20}"/>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6-0319-4AA3-8886-0F871A1F4B20}"/>
                </c:ext>
                <c:ext xmlns:c15="http://schemas.microsoft.com/office/drawing/2012/chart" uri="{CE6537A1-D6FC-4f65-9D91-7224C49458BB}"/>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1.8394999999999999</c:v>
                </c:pt>
                <c:pt idx="1">
                  <c:v>1.9128000000000001</c:v>
                </c:pt>
                <c:pt idx="2">
                  <c:v>2.5649000000000002</c:v>
                </c:pt>
                <c:pt idx="3">
                  <c:v>3.1379000000000001</c:v>
                </c:pt>
                <c:pt idx="4">
                  <c:v>3.3092999999999999</c:v>
                </c:pt>
                <c:pt idx="5">
                  <c:v>3.4533999999999998</c:v>
                </c:pt>
                <c:pt idx="6">
                  <c:v>3.51</c:v>
                </c:pt>
              </c:numCache>
            </c:numRef>
          </c:val>
          <c:smooth val="0"/>
          <c:extLst xmlns:c16r2="http://schemas.microsoft.com/office/drawing/2015/06/chart">
            <c:ext xmlns:c16="http://schemas.microsoft.com/office/drawing/2014/chart" uri="{C3380CC4-5D6E-409C-BE32-E72D297353CC}">
              <c16:uniqueId val="{00000007-0319-4AA3-8886-0F871A1F4B20}"/>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1.8351999999999999</c:v>
                </c:pt>
                <c:pt idx="1">
                  <c:v>1.8852</c:v>
                </c:pt>
                <c:pt idx="2">
                  <c:v>2.5375000000000001</c:v>
                </c:pt>
                <c:pt idx="3">
                  <c:v>3.0947</c:v>
                </c:pt>
                <c:pt idx="4">
                  <c:v>3.2621000000000002</c:v>
                </c:pt>
                <c:pt idx="5">
                  <c:v>3.4279000000000002</c:v>
                </c:pt>
                <c:pt idx="6">
                  <c:v>3.5287999999999999</c:v>
                </c:pt>
              </c:numCache>
            </c:numRef>
          </c:val>
          <c:smooth val="0"/>
          <c:extLst xmlns:c16r2="http://schemas.microsoft.com/office/drawing/2015/06/chart">
            <c:ext xmlns:c16="http://schemas.microsoft.com/office/drawing/2014/chart" uri="{C3380CC4-5D6E-409C-BE32-E72D297353CC}">
              <c16:uniqueId val="{00000008-0319-4AA3-8886-0F871A1F4B20}"/>
            </c:ext>
          </c:extLst>
        </c:ser>
        <c:dLbls>
          <c:showLegendKey val="0"/>
          <c:showVal val="0"/>
          <c:showCatName val="0"/>
          <c:showSerName val="0"/>
          <c:showPercent val="0"/>
          <c:showBubbleSize val="0"/>
        </c:dLbls>
        <c:marker val="1"/>
        <c:smooth val="0"/>
        <c:axId val="425682432"/>
        <c:axId val="425680896"/>
      </c:lineChart>
      <c:dateAx>
        <c:axId val="425673088"/>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25675008"/>
        <c:crosses val="autoZero"/>
        <c:auto val="0"/>
        <c:lblOffset val="0"/>
        <c:baseTimeUnit val="days"/>
      </c:dateAx>
      <c:valAx>
        <c:axId val="425675008"/>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25673088"/>
        <c:crosses val="autoZero"/>
        <c:crossBetween val="between"/>
      </c:valAx>
      <c:valAx>
        <c:axId val="425680896"/>
        <c:scaling>
          <c:orientation val="minMax"/>
        </c:scaling>
        <c:delete val="0"/>
        <c:axPos val="r"/>
        <c:numFmt formatCode="#,##0.0_);[Red]\(#,##0.0\)" sourceLinked="0"/>
        <c:majorTickMark val="out"/>
        <c:minorTickMark val="none"/>
        <c:tickLblPos val="nextTo"/>
        <c:spPr>
          <a:ln w="3175">
            <a:solidFill>
              <a:sysClr val="windowText" lastClr="000000"/>
            </a:solidFill>
          </a:ln>
        </c:spPr>
        <c:crossAx val="425682432"/>
        <c:crosses val="max"/>
        <c:crossBetween val="between"/>
      </c:valAx>
      <c:dateAx>
        <c:axId val="425682432"/>
        <c:scaling>
          <c:orientation val="minMax"/>
        </c:scaling>
        <c:delete val="1"/>
        <c:axPos val="b"/>
        <c:numFmt formatCode="General" sourceLinked="1"/>
        <c:majorTickMark val="out"/>
        <c:minorTickMark val="none"/>
        <c:tickLblPos val="nextTo"/>
        <c:crossAx val="425680896"/>
        <c:crosses val="autoZero"/>
        <c:auto val="0"/>
        <c:lblOffset val="100"/>
        <c:baseTimeUnit val="years"/>
      </c:dateAx>
    </c:plotArea>
    <c:legend>
      <c:legendPos val="r"/>
      <c:layout>
        <c:manualLayout>
          <c:xMode val="edge"/>
          <c:yMode val="edge"/>
          <c:x val="0.10565955303871639"/>
          <c:y val="2.3335771974518612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44358</c:v>
                </c:pt>
                <c:pt idx="1">
                  <c:v>44351</c:v>
                </c:pt>
                <c:pt idx="2">
                  <c:v>44344</c:v>
                </c:pt>
                <c:pt idx="3">
                  <c:v>44337</c:v>
                </c:pt>
                <c:pt idx="4">
                  <c:v>44330</c:v>
                </c:pt>
                <c:pt idx="5">
                  <c:v>44323</c:v>
                </c:pt>
                <c:pt idx="6">
                  <c:v>44316</c:v>
                </c:pt>
                <c:pt idx="7">
                  <c:v>44309</c:v>
                </c:pt>
                <c:pt idx="8">
                  <c:v>44302</c:v>
                </c:pt>
                <c:pt idx="9">
                  <c:v>44295</c:v>
                </c:pt>
                <c:pt idx="10">
                  <c:v>44288</c:v>
                </c:pt>
                <c:pt idx="11">
                  <c:v>44281</c:v>
                </c:pt>
                <c:pt idx="12">
                  <c:v>44274</c:v>
                </c:pt>
                <c:pt idx="13">
                  <c:v>44267</c:v>
                </c:pt>
                <c:pt idx="14">
                  <c:v>44260</c:v>
                </c:pt>
                <c:pt idx="15">
                  <c:v>44253</c:v>
                </c:pt>
                <c:pt idx="16">
                  <c:v>44246</c:v>
                </c:pt>
                <c:pt idx="17">
                  <c:v>44237</c:v>
                </c:pt>
                <c:pt idx="18">
                  <c:v>44232</c:v>
                </c:pt>
                <c:pt idx="19">
                  <c:v>44225</c:v>
                </c:pt>
                <c:pt idx="20">
                  <c:v>44218</c:v>
                </c:pt>
                <c:pt idx="21">
                  <c:v>44211</c:v>
                </c:pt>
                <c:pt idx="22">
                  <c:v>44204</c:v>
                </c:pt>
                <c:pt idx="23">
                  <c:v>44196</c:v>
                </c:pt>
              </c:numCache>
            </c:numRef>
          </c:cat>
          <c:val>
            <c:numRef>
              <c:f>转债!$H$5:$H$28</c:f>
              <c:numCache>
                <c:formatCode>General</c:formatCode>
                <c:ptCount val="24"/>
                <c:pt idx="0">
                  <c:v>3.8514901917341637</c:v>
                </c:pt>
                <c:pt idx="1">
                  <c:v>4.0228443210672982</c:v>
                </c:pt>
                <c:pt idx="2">
                  <c:v>3.9414979462484068</c:v>
                </c:pt>
                <c:pt idx="3">
                  <c:v>2.2539679436635707</c:v>
                </c:pt>
                <c:pt idx="4">
                  <c:v>2.026491332103908</c:v>
                </c:pt>
                <c:pt idx="5">
                  <c:v>1.1331202471018376</c:v>
                </c:pt>
                <c:pt idx="6">
                  <c:v>0.84767484040253471</c:v>
                </c:pt>
                <c:pt idx="7">
                  <c:v>0.84957545663664202</c:v>
                </c:pt>
                <c:pt idx="8">
                  <c:v>0.12739559100476416</c:v>
                </c:pt>
                <c:pt idx="9">
                  <c:v>0.41167347630310935</c:v>
                </c:pt>
                <c:pt idx="10">
                  <c:v>3.7496443132467583E-2</c:v>
                </c:pt>
                <c:pt idx="11">
                  <c:v>-0.54528679755939669</c:v>
                </c:pt>
                <c:pt idx="12">
                  <c:v>2.5549712518202483E-2</c:v>
                </c:pt>
                <c:pt idx="13">
                  <c:v>1.0181872682601956E-2</c:v>
                </c:pt>
                <c:pt idx="14">
                  <c:v>-0.30732964505177929</c:v>
                </c:pt>
                <c:pt idx="15">
                  <c:v>-0.7761573666799193</c:v>
                </c:pt>
                <c:pt idx="16">
                  <c:v>0.73271470990079468</c:v>
                </c:pt>
                <c:pt idx="17">
                  <c:v>-0.92046844216805423</c:v>
                </c:pt>
                <c:pt idx="18">
                  <c:v>-3.6772036830684418</c:v>
                </c:pt>
                <c:pt idx="19">
                  <c:v>-1.4464232574607383</c:v>
                </c:pt>
                <c:pt idx="20">
                  <c:v>2.4470977047072351</c:v>
                </c:pt>
                <c:pt idx="21">
                  <c:v>1.5149268968692953</c:v>
                </c:pt>
                <c:pt idx="22">
                  <c:v>1.557880823759672</c:v>
                </c:pt>
                <c:pt idx="23">
                  <c:v>0</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44358</c:v>
                </c:pt>
                <c:pt idx="1">
                  <c:v>44351</c:v>
                </c:pt>
                <c:pt idx="2">
                  <c:v>44344</c:v>
                </c:pt>
                <c:pt idx="3">
                  <c:v>44337</c:v>
                </c:pt>
                <c:pt idx="4">
                  <c:v>44330</c:v>
                </c:pt>
                <c:pt idx="5">
                  <c:v>44323</c:v>
                </c:pt>
                <c:pt idx="6">
                  <c:v>44316</c:v>
                </c:pt>
                <c:pt idx="7">
                  <c:v>44309</c:v>
                </c:pt>
                <c:pt idx="8">
                  <c:v>44302</c:v>
                </c:pt>
                <c:pt idx="9">
                  <c:v>44295</c:v>
                </c:pt>
                <c:pt idx="10">
                  <c:v>44288</c:v>
                </c:pt>
                <c:pt idx="11">
                  <c:v>44281</c:v>
                </c:pt>
                <c:pt idx="12">
                  <c:v>44274</c:v>
                </c:pt>
                <c:pt idx="13">
                  <c:v>44267</c:v>
                </c:pt>
                <c:pt idx="14">
                  <c:v>44260</c:v>
                </c:pt>
                <c:pt idx="15">
                  <c:v>44253</c:v>
                </c:pt>
                <c:pt idx="16">
                  <c:v>44246</c:v>
                </c:pt>
                <c:pt idx="17">
                  <c:v>44237</c:v>
                </c:pt>
                <c:pt idx="18">
                  <c:v>44232</c:v>
                </c:pt>
                <c:pt idx="19">
                  <c:v>44225</c:v>
                </c:pt>
                <c:pt idx="20">
                  <c:v>44218</c:v>
                </c:pt>
                <c:pt idx="21">
                  <c:v>44211</c:v>
                </c:pt>
                <c:pt idx="22">
                  <c:v>44204</c:v>
                </c:pt>
                <c:pt idx="23">
                  <c:v>44196</c:v>
                </c:pt>
              </c:numCache>
            </c:numRef>
          </c:cat>
          <c:val>
            <c:numRef>
              <c:f>转债!$I$5:$I$28</c:f>
              <c:numCache>
                <c:formatCode>General</c:formatCode>
                <c:ptCount val="24"/>
                <c:pt idx="0">
                  <c:v>0.23205913009232138</c:v>
                </c:pt>
                <c:pt idx="1">
                  <c:v>0.44722734325399749</c:v>
                </c:pt>
                <c:pt idx="2">
                  <c:v>0.54449865381938078</c:v>
                </c:pt>
                <c:pt idx="3">
                  <c:v>0.60858228338036557</c:v>
                </c:pt>
                <c:pt idx="4">
                  <c:v>0.34002519208113924</c:v>
                </c:pt>
                <c:pt idx="5">
                  <c:v>0.25030811069577386</c:v>
                </c:pt>
                <c:pt idx="6">
                  <c:v>0.19301479949886957</c:v>
                </c:pt>
                <c:pt idx="7">
                  <c:v>0.23248352499005698</c:v>
                </c:pt>
                <c:pt idx="8">
                  <c:v>0.10516505566362522</c:v>
                </c:pt>
                <c:pt idx="9">
                  <c:v>-0.1886010925622239</c:v>
                </c:pt>
                <c:pt idx="10">
                  <c:v>-0.16067590828996448</c:v>
                </c:pt>
                <c:pt idx="11">
                  <c:v>-0.18758254480761849</c:v>
                </c:pt>
                <c:pt idx="12">
                  <c:v>-0.35564292431851108</c:v>
                </c:pt>
                <c:pt idx="13">
                  <c:v>-0.4412858146854326</c:v>
                </c:pt>
                <c:pt idx="14">
                  <c:v>-0.45138641325198625</c:v>
                </c:pt>
                <c:pt idx="15">
                  <c:v>-0.60000950644570894</c:v>
                </c:pt>
                <c:pt idx="16">
                  <c:v>-0.57327262788716693</c:v>
                </c:pt>
                <c:pt idx="17">
                  <c:v>-0.49874888384142668</c:v>
                </c:pt>
                <c:pt idx="18">
                  <c:v>-0.48296139364494284</c:v>
                </c:pt>
                <c:pt idx="19">
                  <c:v>-0.28977683618697236</c:v>
                </c:pt>
                <c:pt idx="20">
                  <c:v>8.8953170569405771E-2</c:v>
                </c:pt>
                <c:pt idx="21">
                  <c:v>1.4259668564542416E-2</c:v>
                </c:pt>
                <c:pt idx="22">
                  <c:v>2.4869541008420981E-2</c:v>
                </c:pt>
                <c:pt idx="23">
                  <c:v>0</c:v>
                </c:pt>
              </c:numCache>
            </c:numRef>
          </c:val>
          <c:smooth val="1"/>
          <c:extLst xmlns:c16r2="http://schemas.microsoft.com/office/drawing/2015/06/chart">
            <c:ext xmlns:c16="http://schemas.microsoft.com/office/drawing/2014/chart" uri="{C3380CC4-5D6E-409C-BE32-E72D297353CC}">
              <c16:uniqueId val="{00000004-FB26-4560-BF82-E44BC96AA276}"/>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44358</c:v>
                </c:pt>
                <c:pt idx="1">
                  <c:v>44351</c:v>
                </c:pt>
                <c:pt idx="2">
                  <c:v>44344</c:v>
                </c:pt>
                <c:pt idx="3">
                  <c:v>44337</c:v>
                </c:pt>
                <c:pt idx="4">
                  <c:v>44330</c:v>
                </c:pt>
                <c:pt idx="5">
                  <c:v>44323</c:v>
                </c:pt>
                <c:pt idx="6">
                  <c:v>44316</c:v>
                </c:pt>
                <c:pt idx="7">
                  <c:v>44309</c:v>
                </c:pt>
                <c:pt idx="8">
                  <c:v>44302</c:v>
                </c:pt>
                <c:pt idx="9">
                  <c:v>44295</c:v>
                </c:pt>
                <c:pt idx="10">
                  <c:v>44288</c:v>
                </c:pt>
                <c:pt idx="11">
                  <c:v>44281</c:v>
                </c:pt>
                <c:pt idx="12">
                  <c:v>44274</c:v>
                </c:pt>
                <c:pt idx="13">
                  <c:v>44267</c:v>
                </c:pt>
                <c:pt idx="14">
                  <c:v>44260</c:v>
                </c:pt>
                <c:pt idx="15">
                  <c:v>44253</c:v>
                </c:pt>
                <c:pt idx="16">
                  <c:v>44246</c:v>
                </c:pt>
                <c:pt idx="17">
                  <c:v>44237</c:v>
                </c:pt>
                <c:pt idx="18">
                  <c:v>44232</c:v>
                </c:pt>
                <c:pt idx="19">
                  <c:v>44225</c:v>
                </c:pt>
                <c:pt idx="20">
                  <c:v>44218</c:v>
                </c:pt>
                <c:pt idx="21">
                  <c:v>44211</c:v>
                </c:pt>
                <c:pt idx="22">
                  <c:v>44204</c:v>
                </c:pt>
                <c:pt idx="23">
                  <c:v>44196</c:v>
                </c:pt>
              </c:numCache>
            </c:numRef>
          </c:cat>
          <c:val>
            <c:numRef>
              <c:f>转债!$J$5:$J$28</c:f>
              <c:numCache>
                <c:formatCode>General</c:formatCode>
                <c:ptCount val="24"/>
                <c:pt idx="0">
                  <c:v>0.25741234629401699</c:v>
                </c:pt>
                <c:pt idx="1">
                  <c:v>1.3622101328683023</c:v>
                </c:pt>
                <c:pt idx="2">
                  <c:v>2.1069664440953595</c:v>
                </c:pt>
                <c:pt idx="3">
                  <c:v>-1.480251956881673</c:v>
                </c:pt>
                <c:pt idx="4">
                  <c:v>-1.9323129011183937</c:v>
                </c:pt>
                <c:pt idx="5">
                  <c:v>-4.1301839266814628</c:v>
                </c:pt>
                <c:pt idx="6">
                  <c:v>-1.6847944611011245</c:v>
                </c:pt>
                <c:pt idx="7">
                  <c:v>-1.4552082464825977</c:v>
                </c:pt>
                <c:pt idx="8">
                  <c:v>-4.7033934122050596</c:v>
                </c:pt>
                <c:pt idx="9">
                  <c:v>-3.3763454086258915</c:v>
                </c:pt>
                <c:pt idx="10">
                  <c:v>-0.95430525483285455</c:v>
                </c:pt>
                <c:pt idx="11">
                  <c:v>-3.325446288379541</c:v>
                </c:pt>
                <c:pt idx="12">
                  <c:v>-3.9183745056524888</c:v>
                </c:pt>
                <c:pt idx="13">
                  <c:v>-1.24556335731556</c:v>
                </c:pt>
                <c:pt idx="14">
                  <c:v>0.98837936145734773</c:v>
                </c:pt>
                <c:pt idx="15">
                  <c:v>2.4077039680301837</c:v>
                </c:pt>
                <c:pt idx="16">
                  <c:v>10.890847820073679</c:v>
                </c:pt>
                <c:pt idx="17">
                  <c:v>11.444973733463426</c:v>
                </c:pt>
                <c:pt idx="18">
                  <c:v>5.2218467659197909</c:v>
                </c:pt>
                <c:pt idx="19">
                  <c:v>2.6994494739640773</c:v>
                </c:pt>
                <c:pt idx="20">
                  <c:v>6.8790568781597949</c:v>
                </c:pt>
                <c:pt idx="21">
                  <c:v>4.7357328230820395</c:v>
                </c:pt>
                <c:pt idx="22">
                  <c:v>5.452434652197824</c:v>
                </c:pt>
                <c:pt idx="23">
                  <c:v>0</c:v>
                </c:pt>
              </c:numCache>
            </c:numRef>
          </c:val>
          <c:smooth val="1"/>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524188672"/>
        <c:axId val="524911360"/>
      </c:lineChart>
      <c:dateAx>
        <c:axId val="524188672"/>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600"/>
            </a:pPr>
            <a:endParaRPr lang="zh-CN"/>
          </a:p>
        </c:txPr>
        <c:crossAx val="524911360"/>
        <c:crosses val="autoZero"/>
        <c:auto val="0"/>
        <c:lblOffset val="0"/>
        <c:baseTimeUnit val="days"/>
        <c:majorUnit val="14"/>
        <c:majorTimeUnit val="days"/>
      </c:dateAx>
      <c:valAx>
        <c:axId val="524911360"/>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524188672"/>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2019</c:v>
                </c:pt>
              </c:strCache>
            </c:strRef>
          </c:tx>
          <c:spPr>
            <a:ln w="28575">
              <a:solidFill>
                <a:srgbClr val="E7E6E6">
                  <a:lumMod val="75000"/>
                </a:srgbClr>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南华!$H$2:$H$366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263E-4541-8F4F-0EB9B7B9BD50}"/>
            </c:ext>
          </c:extLst>
        </c:ser>
        <c:ser>
          <c:idx val="2"/>
          <c:order val="1"/>
          <c:tx>
            <c:strRef>
              <c:f>南华!$I$1</c:f>
              <c:strCache>
                <c:ptCount val="1"/>
                <c:pt idx="0">
                  <c:v>2020</c:v>
                </c:pt>
              </c:strCache>
            </c:strRef>
          </c:tx>
          <c:spPr>
            <a:ln w="28575">
              <a:solidFill>
                <a:srgbClr val="F8CBAD"/>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南华!$I$2:$I$366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2229.89</c:v>
                </c:pt>
                <c:pt idx="298">
                  <c:v>#N/A</c:v>
                </c:pt>
                <c:pt idx="299">
                  <c:v>#N/A</c:v>
                </c:pt>
                <c:pt idx="300">
                  <c:v>#N/A</c:v>
                </c:pt>
                <c:pt idx="301">
                  <c:v>#N/A</c:v>
                </c:pt>
                <c:pt idx="302">
                  <c:v>#N/A</c:v>
                </c:pt>
                <c:pt idx="303">
                  <c:v>#N/A</c:v>
                </c:pt>
                <c:pt idx="304">
                  <c:v>2160.9499999999998</c:v>
                </c:pt>
                <c:pt idx="305">
                  <c:v>#N/A</c:v>
                </c:pt>
                <c:pt idx="306">
                  <c:v>#N/A</c:v>
                </c:pt>
                <c:pt idx="307">
                  <c:v>#N/A</c:v>
                </c:pt>
                <c:pt idx="308">
                  <c:v>#N/A</c:v>
                </c:pt>
                <c:pt idx="309">
                  <c:v>#N/A</c:v>
                </c:pt>
                <c:pt idx="310">
                  <c:v>#N/A</c:v>
                </c:pt>
                <c:pt idx="311">
                  <c:v>2188.46</c:v>
                </c:pt>
                <c:pt idx="312">
                  <c:v>#N/A</c:v>
                </c:pt>
                <c:pt idx="313">
                  <c:v>#N/A</c:v>
                </c:pt>
                <c:pt idx="314">
                  <c:v>#N/A</c:v>
                </c:pt>
                <c:pt idx="315">
                  <c:v>#N/A</c:v>
                </c:pt>
                <c:pt idx="316">
                  <c:v>#N/A</c:v>
                </c:pt>
                <c:pt idx="317">
                  <c:v>#N/A</c:v>
                </c:pt>
                <c:pt idx="318">
                  <c:v>2263.16</c:v>
                </c:pt>
                <c:pt idx="319">
                  <c:v>#N/A</c:v>
                </c:pt>
                <c:pt idx="320">
                  <c:v>#N/A</c:v>
                </c:pt>
                <c:pt idx="321">
                  <c:v>#N/A</c:v>
                </c:pt>
                <c:pt idx="322">
                  <c:v>#N/A</c:v>
                </c:pt>
                <c:pt idx="323">
                  <c:v>#N/A</c:v>
                </c:pt>
                <c:pt idx="324">
                  <c:v>#N/A</c:v>
                </c:pt>
                <c:pt idx="325">
                  <c:v>2317.21</c:v>
                </c:pt>
                <c:pt idx="326">
                  <c:v>#N/A</c:v>
                </c:pt>
                <c:pt idx="327">
                  <c:v>#N/A</c:v>
                </c:pt>
                <c:pt idx="328">
                  <c:v>#N/A</c:v>
                </c:pt>
                <c:pt idx="329">
                  <c:v>#N/A</c:v>
                </c:pt>
                <c:pt idx="330">
                  <c:v>#N/A</c:v>
                </c:pt>
                <c:pt idx="331">
                  <c:v>#N/A</c:v>
                </c:pt>
                <c:pt idx="332">
                  <c:v>2406.48</c:v>
                </c:pt>
                <c:pt idx="333">
                  <c:v>#N/A</c:v>
                </c:pt>
                <c:pt idx="334">
                  <c:v>#N/A</c:v>
                </c:pt>
                <c:pt idx="335">
                  <c:v>#N/A</c:v>
                </c:pt>
                <c:pt idx="336">
                  <c:v>#N/A</c:v>
                </c:pt>
                <c:pt idx="337">
                  <c:v>#N/A</c:v>
                </c:pt>
                <c:pt idx="338">
                  <c:v>#N/A</c:v>
                </c:pt>
                <c:pt idx="339">
                  <c:v>2446.02</c:v>
                </c:pt>
                <c:pt idx="340">
                  <c:v>#N/A</c:v>
                </c:pt>
                <c:pt idx="341">
                  <c:v>#N/A</c:v>
                </c:pt>
                <c:pt idx="342">
                  <c:v>#N/A</c:v>
                </c:pt>
                <c:pt idx="343">
                  <c:v>#N/A</c:v>
                </c:pt>
                <c:pt idx="344">
                  <c:v>#N/A</c:v>
                </c:pt>
                <c:pt idx="345">
                  <c:v>#N/A</c:v>
                </c:pt>
                <c:pt idx="346">
                  <c:v>2513.1</c:v>
                </c:pt>
                <c:pt idx="347">
                  <c:v>#N/A</c:v>
                </c:pt>
                <c:pt idx="348">
                  <c:v>#N/A</c:v>
                </c:pt>
                <c:pt idx="349">
                  <c:v>#N/A</c:v>
                </c:pt>
                <c:pt idx="350">
                  <c:v>#N/A</c:v>
                </c:pt>
                <c:pt idx="351">
                  <c:v>#N/A</c:v>
                </c:pt>
                <c:pt idx="352">
                  <c:v>#N/A</c:v>
                </c:pt>
                <c:pt idx="353">
                  <c:v>2623.4</c:v>
                </c:pt>
                <c:pt idx="354">
                  <c:v>#N/A</c:v>
                </c:pt>
                <c:pt idx="355">
                  <c:v>#N/A</c:v>
                </c:pt>
                <c:pt idx="356">
                  <c:v>#N/A</c:v>
                </c:pt>
                <c:pt idx="357">
                  <c:v>#N/A</c:v>
                </c:pt>
                <c:pt idx="358">
                  <c:v>#N/A</c:v>
                </c:pt>
                <c:pt idx="359">
                  <c:v>#N/A</c:v>
                </c:pt>
                <c:pt idx="360">
                  <c:v>2604.1</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263E-4541-8F4F-0EB9B7B9BD50}"/>
            </c:ext>
          </c:extLst>
        </c:ser>
        <c:ser>
          <c:idx val="1"/>
          <c:order val="2"/>
          <c:tx>
            <c:strRef>
              <c:f>南华!$J$1</c:f>
              <c:strCache>
                <c:ptCount val="1"/>
                <c:pt idx="0">
                  <c:v>2021</c:v>
                </c:pt>
              </c:strCache>
            </c:strRef>
          </c:tx>
          <c:spPr>
            <a:ln w="28575">
              <a:solidFill>
                <a:srgbClr val="BF5711"/>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南华!$J$2:$J$366</c:f>
              <c:numCache>
                <c:formatCode>General</c:formatCode>
                <c:ptCount val="365"/>
                <c:pt idx="0">
                  <c:v>#N/A</c:v>
                </c:pt>
                <c:pt idx="1">
                  <c:v>2550.4899999999998</c:v>
                </c:pt>
                <c:pt idx="2">
                  <c:v>#N/A</c:v>
                </c:pt>
                <c:pt idx="3">
                  <c:v>#N/A</c:v>
                </c:pt>
                <c:pt idx="4">
                  <c:v>#N/A</c:v>
                </c:pt>
                <c:pt idx="5">
                  <c:v>#N/A</c:v>
                </c:pt>
                <c:pt idx="6">
                  <c:v>#N/A</c:v>
                </c:pt>
                <c:pt idx="7">
                  <c:v>#N/A</c:v>
                </c:pt>
                <c:pt idx="8">
                  <c:v>2690.36</c:v>
                </c:pt>
                <c:pt idx="9">
                  <c:v>#N/A</c:v>
                </c:pt>
                <c:pt idx="10">
                  <c:v>#N/A</c:v>
                </c:pt>
                <c:pt idx="11">
                  <c:v>#N/A</c:v>
                </c:pt>
                <c:pt idx="12">
                  <c:v>#N/A</c:v>
                </c:pt>
                <c:pt idx="13">
                  <c:v>#N/A</c:v>
                </c:pt>
                <c:pt idx="14">
                  <c:v>#N/A</c:v>
                </c:pt>
                <c:pt idx="15">
                  <c:v>2641.58</c:v>
                </c:pt>
                <c:pt idx="16">
                  <c:v>#N/A</c:v>
                </c:pt>
                <c:pt idx="17">
                  <c:v>#N/A</c:v>
                </c:pt>
                <c:pt idx="18">
                  <c:v>#N/A</c:v>
                </c:pt>
                <c:pt idx="19">
                  <c:v>#N/A</c:v>
                </c:pt>
                <c:pt idx="20">
                  <c:v>#N/A</c:v>
                </c:pt>
                <c:pt idx="21">
                  <c:v>#N/A</c:v>
                </c:pt>
                <c:pt idx="22">
                  <c:v>2613.9</c:v>
                </c:pt>
                <c:pt idx="23">
                  <c:v>#N/A</c:v>
                </c:pt>
                <c:pt idx="24">
                  <c:v>#N/A</c:v>
                </c:pt>
                <c:pt idx="25">
                  <c:v>#N/A</c:v>
                </c:pt>
                <c:pt idx="26">
                  <c:v>#N/A</c:v>
                </c:pt>
                <c:pt idx="27">
                  <c:v>#N/A</c:v>
                </c:pt>
                <c:pt idx="28">
                  <c:v>#N/A</c:v>
                </c:pt>
                <c:pt idx="29">
                  <c:v>2578.96</c:v>
                </c:pt>
                <c:pt idx="30">
                  <c:v>#N/A</c:v>
                </c:pt>
                <c:pt idx="31">
                  <c:v>#N/A</c:v>
                </c:pt>
                <c:pt idx="32">
                  <c:v>#N/A</c:v>
                </c:pt>
                <c:pt idx="33">
                  <c:v>#N/A</c:v>
                </c:pt>
                <c:pt idx="34">
                  <c:v>#N/A</c:v>
                </c:pt>
                <c:pt idx="35">
                  <c:v>#N/A</c:v>
                </c:pt>
                <c:pt idx="36">
                  <c:v>2643.67</c:v>
                </c:pt>
                <c:pt idx="37">
                  <c:v>#N/A</c:v>
                </c:pt>
                <c:pt idx="38">
                  <c:v>#N/A</c:v>
                </c:pt>
                <c:pt idx="39">
                  <c:v>#N/A</c:v>
                </c:pt>
                <c:pt idx="40">
                  <c:v>#N/A</c:v>
                </c:pt>
                <c:pt idx="41">
                  <c:v>#N/A</c:v>
                </c:pt>
                <c:pt idx="42">
                  <c:v>#N/A</c:v>
                </c:pt>
                <c:pt idx="43">
                  <c:v>2694.97</c:v>
                </c:pt>
                <c:pt idx="44">
                  <c:v>#N/A</c:v>
                </c:pt>
                <c:pt idx="45">
                  <c:v>#N/A</c:v>
                </c:pt>
                <c:pt idx="46">
                  <c:v>#N/A</c:v>
                </c:pt>
                <c:pt idx="47">
                  <c:v>#N/A</c:v>
                </c:pt>
                <c:pt idx="48">
                  <c:v>#N/A</c:v>
                </c:pt>
                <c:pt idx="49">
                  <c:v>#N/A</c:v>
                </c:pt>
                <c:pt idx="50">
                  <c:v>2833.05</c:v>
                </c:pt>
                <c:pt idx="51">
                  <c:v>#N/A</c:v>
                </c:pt>
                <c:pt idx="52">
                  <c:v>#N/A</c:v>
                </c:pt>
                <c:pt idx="53">
                  <c:v>#N/A</c:v>
                </c:pt>
                <c:pt idx="54">
                  <c:v>#N/A</c:v>
                </c:pt>
                <c:pt idx="55">
                  <c:v>#N/A</c:v>
                </c:pt>
                <c:pt idx="56">
                  <c:v>#N/A</c:v>
                </c:pt>
                <c:pt idx="57">
                  <c:v>2914.95</c:v>
                </c:pt>
                <c:pt idx="58">
                  <c:v>#N/A</c:v>
                </c:pt>
                <c:pt idx="59">
                  <c:v>#N/A</c:v>
                </c:pt>
                <c:pt idx="60">
                  <c:v>#N/A</c:v>
                </c:pt>
                <c:pt idx="61">
                  <c:v>#N/A</c:v>
                </c:pt>
                <c:pt idx="62">
                  <c:v>#N/A</c:v>
                </c:pt>
                <c:pt idx="63">
                  <c:v>#N/A</c:v>
                </c:pt>
                <c:pt idx="64">
                  <c:v>2879.6</c:v>
                </c:pt>
                <c:pt idx="65">
                  <c:v>#N/A</c:v>
                </c:pt>
                <c:pt idx="66">
                  <c:v>#N/A</c:v>
                </c:pt>
                <c:pt idx="67">
                  <c:v>#N/A</c:v>
                </c:pt>
                <c:pt idx="68">
                  <c:v>#N/A</c:v>
                </c:pt>
                <c:pt idx="69">
                  <c:v>#N/A</c:v>
                </c:pt>
                <c:pt idx="70">
                  <c:v>#N/A</c:v>
                </c:pt>
                <c:pt idx="71">
                  <c:v>2846.88</c:v>
                </c:pt>
                <c:pt idx="72">
                  <c:v>#N/A</c:v>
                </c:pt>
                <c:pt idx="73">
                  <c:v>#N/A</c:v>
                </c:pt>
                <c:pt idx="74">
                  <c:v>#N/A</c:v>
                </c:pt>
                <c:pt idx="75">
                  <c:v>#N/A</c:v>
                </c:pt>
                <c:pt idx="76">
                  <c:v>#N/A</c:v>
                </c:pt>
                <c:pt idx="77">
                  <c:v>#N/A</c:v>
                </c:pt>
                <c:pt idx="78">
                  <c:v>2748.48</c:v>
                </c:pt>
                <c:pt idx="79">
                  <c:v>#N/A</c:v>
                </c:pt>
                <c:pt idx="80">
                  <c:v>#N/A</c:v>
                </c:pt>
                <c:pt idx="81">
                  <c:v>#N/A</c:v>
                </c:pt>
                <c:pt idx="82">
                  <c:v>#N/A</c:v>
                </c:pt>
                <c:pt idx="83">
                  <c:v>#N/A</c:v>
                </c:pt>
                <c:pt idx="84">
                  <c:v>#N/A</c:v>
                </c:pt>
                <c:pt idx="85">
                  <c:v>2784.75</c:v>
                </c:pt>
                <c:pt idx="86">
                  <c:v>#N/A</c:v>
                </c:pt>
                <c:pt idx="87">
                  <c:v>#N/A</c:v>
                </c:pt>
                <c:pt idx="88">
                  <c:v>#N/A</c:v>
                </c:pt>
                <c:pt idx="89">
                  <c:v>#N/A</c:v>
                </c:pt>
                <c:pt idx="90">
                  <c:v>#N/A</c:v>
                </c:pt>
                <c:pt idx="91">
                  <c:v>#N/A</c:v>
                </c:pt>
                <c:pt idx="92">
                  <c:v>2871.89</c:v>
                </c:pt>
                <c:pt idx="93">
                  <c:v>#N/A</c:v>
                </c:pt>
                <c:pt idx="94">
                  <c:v>#N/A</c:v>
                </c:pt>
                <c:pt idx="95">
                  <c:v>#N/A</c:v>
                </c:pt>
                <c:pt idx="96">
                  <c:v>#N/A</c:v>
                </c:pt>
                <c:pt idx="97">
                  <c:v>#N/A</c:v>
                </c:pt>
                <c:pt idx="98">
                  <c:v>#N/A</c:v>
                </c:pt>
                <c:pt idx="99">
                  <c:v>2818</c:v>
                </c:pt>
                <c:pt idx="100">
                  <c:v>#N/A</c:v>
                </c:pt>
                <c:pt idx="101">
                  <c:v>#N/A</c:v>
                </c:pt>
                <c:pt idx="102">
                  <c:v>#N/A</c:v>
                </c:pt>
                <c:pt idx="103">
                  <c:v>#N/A</c:v>
                </c:pt>
                <c:pt idx="104">
                  <c:v>#N/A</c:v>
                </c:pt>
                <c:pt idx="105">
                  <c:v>#N/A</c:v>
                </c:pt>
                <c:pt idx="106">
                  <c:v>2926.49</c:v>
                </c:pt>
                <c:pt idx="107">
                  <c:v>#N/A</c:v>
                </c:pt>
                <c:pt idx="108">
                  <c:v>#N/A</c:v>
                </c:pt>
                <c:pt idx="109">
                  <c:v>#N/A</c:v>
                </c:pt>
                <c:pt idx="110">
                  <c:v>#N/A</c:v>
                </c:pt>
                <c:pt idx="111">
                  <c:v>#N/A</c:v>
                </c:pt>
                <c:pt idx="112">
                  <c:v>#N/A</c:v>
                </c:pt>
                <c:pt idx="113">
                  <c:v>2921.81</c:v>
                </c:pt>
                <c:pt idx="114">
                  <c:v>#N/A</c:v>
                </c:pt>
                <c:pt idx="115">
                  <c:v>#N/A</c:v>
                </c:pt>
                <c:pt idx="116">
                  <c:v>#N/A</c:v>
                </c:pt>
                <c:pt idx="117">
                  <c:v>#N/A</c:v>
                </c:pt>
                <c:pt idx="118">
                  <c:v>#N/A</c:v>
                </c:pt>
                <c:pt idx="119">
                  <c:v>#N/A</c:v>
                </c:pt>
                <c:pt idx="120">
                  <c:v>2997.89</c:v>
                </c:pt>
                <c:pt idx="121">
                  <c:v>#N/A</c:v>
                </c:pt>
                <c:pt idx="122">
                  <c:v>#N/A</c:v>
                </c:pt>
                <c:pt idx="123">
                  <c:v>#N/A</c:v>
                </c:pt>
                <c:pt idx="124">
                  <c:v>#N/A</c:v>
                </c:pt>
                <c:pt idx="125">
                  <c:v>#N/A</c:v>
                </c:pt>
                <c:pt idx="126">
                  <c:v>#N/A</c:v>
                </c:pt>
                <c:pt idx="127">
                  <c:v>3144.5</c:v>
                </c:pt>
                <c:pt idx="128">
                  <c:v>#N/A</c:v>
                </c:pt>
                <c:pt idx="129">
                  <c:v>#N/A</c:v>
                </c:pt>
                <c:pt idx="130">
                  <c:v>#N/A</c:v>
                </c:pt>
                <c:pt idx="131">
                  <c:v>#N/A</c:v>
                </c:pt>
                <c:pt idx="132">
                  <c:v>#N/A</c:v>
                </c:pt>
                <c:pt idx="133">
                  <c:v>#N/A</c:v>
                </c:pt>
                <c:pt idx="134">
                  <c:v>3052.2</c:v>
                </c:pt>
                <c:pt idx="135">
                  <c:v>#N/A</c:v>
                </c:pt>
                <c:pt idx="136">
                  <c:v>#N/A</c:v>
                </c:pt>
                <c:pt idx="137">
                  <c:v>#N/A</c:v>
                </c:pt>
                <c:pt idx="138">
                  <c:v>#N/A</c:v>
                </c:pt>
                <c:pt idx="139">
                  <c:v>#N/A</c:v>
                </c:pt>
                <c:pt idx="140">
                  <c:v>#N/A</c:v>
                </c:pt>
                <c:pt idx="141">
                  <c:v>2914.64</c:v>
                </c:pt>
                <c:pt idx="142">
                  <c:v>#N/A</c:v>
                </c:pt>
                <c:pt idx="143">
                  <c:v>#N/A</c:v>
                </c:pt>
                <c:pt idx="144">
                  <c:v>#N/A</c:v>
                </c:pt>
                <c:pt idx="145">
                  <c:v>#N/A</c:v>
                </c:pt>
                <c:pt idx="146">
                  <c:v>#N/A</c:v>
                </c:pt>
                <c:pt idx="147">
                  <c:v>#N/A</c:v>
                </c:pt>
                <c:pt idx="148">
                  <c:v>2972.27</c:v>
                </c:pt>
                <c:pt idx="149">
                  <c:v>#N/A</c:v>
                </c:pt>
                <c:pt idx="150">
                  <c:v>#N/A</c:v>
                </c:pt>
                <c:pt idx="151">
                  <c:v>#N/A</c:v>
                </c:pt>
                <c:pt idx="152">
                  <c:v>#N/A</c:v>
                </c:pt>
                <c:pt idx="153">
                  <c:v>#N/A</c:v>
                </c:pt>
                <c:pt idx="154">
                  <c:v>#N/A</c:v>
                </c:pt>
                <c:pt idx="155">
                  <c:v>3038.36</c:v>
                </c:pt>
                <c:pt idx="156">
                  <c:v>#N/A</c:v>
                </c:pt>
                <c:pt idx="157">
                  <c:v>#N/A</c:v>
                </c:pt>
                <c:pt idx="158">
                  <c:v>#N/A</c:v>
                </c:pt>
                <c:pt idx="159">
                  <c:v>#N/A</c:v>
                </c:pt>
                <c:pt idx="160">
                  <c:v>#N/A</c:v>
                </c:pt>
                <c:pt idx="161">
                  <c:v>#N/A</c:v>
                </c:pt>
                <c:pt idx="162">
                  <c:v>3115.05</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263E-4541-8F4F-0EB9B7B9BD50}"/>
            </c:ext>
          </c:extLst>
        </c:ser>
        <c:dLbls>
          <c:showLegendKey val="0"/>
          <c:showVal val="0"/>
          <c:showCatName val="0"/>
          <c:showSerName val="0"/>
          <c:showPercent val="0"/>
          <c:showBubbleSize val="0"/>
        </c:dLbls>
        <c:marker val="1"/>
        <c:smooth val="0"/>
        <c:axId val="425280640"/>
        <c:axId val="425282176"/>
      </c:lineChart>
      <c:dateAx>
        <c:axId val="425280640"/>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25282176"/>
        <c:crosses val="autoZero"/>
        <c:auto val="0"/>
        <c:lblOffset val="0"/>
        <c:baseTimeUnit val="days"/>
        <c:majorUnit val="1"/>
        <c:majorTimeUnit val="months"/>
      </c:dateAx>
      <c:valAx>
        <c:axId val="425282176"/>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25280640"/>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2019</c:v>
                </c:pt>
              </c:strCache>
            </c:strRef>
          </c:tx>
          <c:spPr>
            <a:ln w="28575">
              <a:solidFill>
                <a:srgbClr val="E7E6E6">
                  <a:lumMod val="75000"/>
                </a:srgbClr>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水泥!$H$2:$H$366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0-DE56-486F-81AB-A95D34284161}"/>
            </c:ext>
          </c:extLst>
        </c:ser>
        <c:ser>
          <c:idx val="2"/>
          <c:order val="1"/>
          <c:tx>
            <c:strRef>
              <c:f>水泥!$I$1</c:f>
              <c:strCache>
                <c:ptCount val="1"/>
                <c:pt idx="0">
                  <c:v>2020</c:v>
                </c:pt>
              </c:strCache>
            </c:strRef>
          </c:tx>
          <c:spPr>
            <a:ln w="28575">
              <a:solidFill>
                <a:srgbClr val="F8CBAD"/>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水泥!$I$2:$I$366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150.55000000000001</c:v>
                </c:pt>
                <c:pt idx="293">
                  <c:v>150.56</c:v>
                </c:pt>
                <c:pt idx="294">
                  <c:v>150.51</c:v>
                </c:pt>
                <c:pt idx="295">
                  <c:v>150.4</c:v>
                </c:pt>
                <c:pt idx="296">
                  <c:v>150.41</c:v>
                </c:pt>
                <c:pt idx="297">
                  <c:v>#N/A</c:v>
                </c:pt>
                <c:pt idx="298">
                  <c:v>#N/A</c:v>
                </c:pt>
                <c:pt idx="299">
                  <c:v>150.63999999999999</c:v>
                </c:pt>
                <c:pt idx="300">
                  <c:v>150.51</c:v>
                </c:pt>
                <c:pt idx="301">
                  <c:v>150.52000000000001</c:v>
                </c:pt>
                <c:pt idx="302">
                  <c:v>150.71</c:v>
                </c:pt>
                <c:pt idx="303">
                  <c:v>150.88</c:v>
                </c:pt>
                <c:pt idx="304">
                  <c:v>#N/A</c:v>
                </c:pt>
                <c:pt idx="305">
                  <c:v>#N/A</c:v>
                </c:pt>
                <c:pt idx="306">
                  <c:v>151.57</c:v>
                </c:pt>
                <c:pt idx="307">
                  <c:v>151.69</c:v>
                </c:pt>
                <c:pt idx="308">
                  <c:v>151.85</c:v>
                </c:pt>
                <c:pt idx="309">
                  <c:v>151.9</c:v>
                </c:pt>
                <c:pt idx="310">
                  <c:v>152.11000000000001</c:v>
                </c:pt>
                <c:pt idx="311">
                  <c:v>#N/A</c:v>
                </c:pt>
                <c:pt idx="312">
                  <c:v>#N/A</c:v>
                </c:pt>
                <c:pt idx="313">
                  <c:v>152.5</c:v>
                </c:pt>
                <c:pt idx="314">
                  <c:v>152.56</c:v>
                </c:pt>
                <c:pt idx="315">
                  <c:v>152.85</c:v>
                </c:pt>
                <c:pt idx="316">
                  <c:v>153.11000000000001</c:v>
                </c:pt>
                <c:pt idx="317">
                  <c:v>153.12</c:v>
                </c:pt>
                <c:pt idx="318">
                  <c:v>#N/A</c:v>
                </c:pt>
                <c:pt idx="319">
                  <c:v>#N/A</c:v>
                </c:pt>
                <c:pt idx="320">
                  <c:v>153.74</c:v>
                </c:pt>
                <c:pt idx="321">
                  <c:v>153.93</c:v>
                </c:pt>
                <c:pt idx="322">
                  <c:v>153.88</c:v>
                </c:pt>
                <c:pt idx="323">
                  <c:v>154.21</c:v>
                </c:pt>
                <c:pt idx="324">
                  <c:v>154.66999999999999</c:v>
                </c:pt>
                <c:pt idx="325">
                  <c:v>#N/A</c:v>
                </c:pt>
                <c:pt idx="326">
                  <c:v>#N/A</c:v>
                </c:pt>
                <c:pt idx="327">
                  <c:v>154.83000000000001</c:v>
                </c:pt>
                <c:pt idx="328">
                  <c:v>154.82</c:v>
                </c:pt>
                <c:pt idx="329">
                  <c:v>154.83000000000001</c:v>
                </c:pt>
                <c:pt idx="330">
                  <c:v>154.88</c:v>
                </c:pt>
                <c:pt idx="331">
                  <c:v>154.79</c:v>
                </c:pt>
                <c:pt idx="332">
                  <c:v>#N/A</c:v>
                </c:pt>
                <c:pt idx="333">
                  <c:v>#N/A</c:v>
                </c:pt>
                <c:pt idx="334">
                  <c:v>154.80000000000001</c:v>
                </c:pt>
                <c:pt idx="335">
                  <c:v>154.94999999999999</c:v>
                </c:pt>
                <c:pt idx="336">
                  <c:v>154.9</c:v>
                </c:pt>
                <c:pt idx="337">
                  <c:v>154.88</c:v>
                </c:pt>
                <c:pt idx="338">
                  <c:v>154.99</c:v>
                </c:pt>
                <c:pt idx="339">
                  <c:v>#N/A</c:v>
                </c:pt>
                <c:pt idx="340">
                  <c:v>#N/A</c:v>
                </c:pt>
                <c:pt idx="341">
                  <c:v>154.96</c:v>
                </c:pt>
                <c:pt idx="342">
                  <c:v>155.04</c:v>
                </c:pt>
                <c:pt idx="343">
                  <c:v>155.04</c:v>
                </c:pt>
                <c:pt idx="344">
                  <c:v>155.02000000000001</c:v>
                </c:pt>
                <c:pt idx="345">
                  <c:v>155.02000000000001</c:v>
                </c:pt>
                <c:pt idx="346">
                  <c:v>#N/A</c:v>
                </c:pt>
                <c:pt idx="347">
                  <c:v>#N/A</c:v>
                </c:pt>
                <c:pt idx="348">
                  <c:v>155.05000000000001</c:v>
                </c:pt>
                <c:pt idx="349">
                  <c:v>155.11000000000001</c:v>
                </c:pt>
                <c:pt idx="350">
                  <c:v>155.31</c:v>
                </c:pt>
                <c:pt idx="351">
                  <c:v>155.26</c:v>
                </c:pt>
                <c:pt idx="352">
                  <c:v>155.27000000000001</c:v>
                </c:pt>
                <c:pt idx="353">
                  <c:v>#N/A</c:v>
                </c:pt>
                <c:pt idx="354">
                  <c:v>#N/A</c:v>
                </c:pt>
                <c:pt idx="355">
                  <c:v>155.19</c:v>
                </c:pt>
                <c:pt idx="356">
                  <c:v>155.05000000000001</c:v>
                </c:pt>
                <c:pt idx="357">
                  <c:v>155.07</c:v>
                </c:pt>
                <c:pt idx="358">
                  <c:v>154.99</c:v>
                </c:pt>
                <c:pt idx="359">
                  <c:v>154.9</c:v>
                </c:pt>
                <c:pt idx="360">
                  <c:v>#N/A</c:v>
                </c:pt>
                <c:pt idx="361">
                  <c:v>#N/A</c:v>
                </c:pt>
                <c:pt idx="362">
                  <c:v>154.72</c:v>
                </c:pt>
                <c:pt idx="363">
                  <c:v>154.65</c:v>
                </c:pt>
                <c:pt idx="364">
                  <c:v>154.6</c:v>
                </c:pt>
              </c:numCache>
            </c:numRef>
          </c:val>
          <c:smooth val="1"/>
          <c:extLst xmlns:c16r2="http://schemas.microsoft.com/office/drawing/2015/06/chart">
            <c:ext xmlns:c16="http://schemas.microsoft.com/office/drawing/2014/chart" uri="{C3380CC4-5D6E-409C-BE32-E72D297353CC}">
              <c16:uniqueId val="{00000001-DE56-486F-81AB-A95D34284161}"/>
            </c:ext>
          </c:extLst>
        </c:ser>
        <c:ser>
          <c:idx val="1"/>
          <c:order val="2"/>
          <c:tx>
            <c:strRef>
              <c:f>水泥!$J$1</c:f>
              <c:strCache>
                <c:ptCount val="1"/>
                <c:pt idx="0">
                  <c:v>2021</c:v>
                </c:pt>
              </c:strCache>
            </c:strRef>
          </c:tx>
          <c:spPr>
            <a:ln w="28575">
              <a:solidFill>
                <a:srgbClr val="BF5711"/>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水泥!$J$2:$J$366</c:f>
              <c:numCache>
                <c:formatCode>General</c:formatCode>
                <c:ptCount val="365"/>
                <c:pt idx="0">
                  <c:v>#N/A</c:v>
                </c:pt>
                <c:pt idx="1">
                  <c:v>#N/A</c:v>
                </c:pt>
                <c:pt idx="2">
                  <c:v>#N/A</c:v>
                </c:pt>
                <c:pt idx="3">
                  <c:v>154.13999999999999</c:v>
                </c:pt>
                <c:pt idx="4">
                  <c:v>153.87</c:v>
                </c:pt>
                <c:pt idx="5">
                  <c:v>153.79</c:v>
                </c:pt>
                <c:pt idx="6">
                  <c:v>153.74</c:v>
                </c:pt>
                <c:pt idx="7">
                  <c:v>153.63</c:v>
                </c:pt>
                <c:pt idx="8">
                  <c:v>#N/A</c:v>
                </c:pt>
                <c:pt idx="9">
                  <c:v>#N/A</c:v>
                </c:pt>
                <c:pt idx="10">
                  <c:v>153.41999999999999</c:v>
                </c:pt>
                <c:pt idx="11">
                  <c:v>153.36000000000001</c:v>
                </c:pt>
                <c:pt idx="12">
                  <c:v>153.22999999999999</c:v>
                </c:pt>
                <c:pt idx="13">
                  <c:v>153.03</c:v>
                </c:pt>
                <c:pt idx="14">
                  <c:v>152.94</c:v>
                </c:pt>
                <c:pt idx="15">
                  <c:v>#N/A</c:v>
                </c:pt>
                <c:pt idx="16">
                  <c:v>#N/A</c:v>
                </c:pt>
                <c:pt idx="17">
                  <c:v>152.44</c:v>
                </c:pt>
                <c:pt idx="18">
                  <c:v>152.34</c:v>
                </c:pt>
                <c:pt idx="19">
                  <c:v>152.25</c:v>
                </c:pt>
                <c:pt idx="20">
                  <c:v>152.21</c:v>
                </c:pt>
                <c:pt idx="21">
                  <c:v>152.28</c:v>
                </c:pt>
                <c:pt idx="22">
                  <c:v>#N/A</c:v>
                </c:pt>
                <c:pt idx="23">
                  <c:v>#N/A</c:v>
                </c:pt>
                <c:pt idx="24">
                  <c:v>151.94</c:v>
                </c:pt>
                <c:pt idx="25">
                  <c:v>151.84</c:v>
                </c:pt>
                <c:pt idx="26">
                  <c:v>151.69999999999999</c:v>
                </c:pt>
                <c:pt idx="27">
                  <c:v>151.44999999999999</c:v>
                </c:pt>
                <c:pt idx="28">
                  <c:v>150.91999999999999</c:v>
                </c:pt>
                <c:pt idx="29">
                  <c:v>#N/A</c:v>
                </c:pt>
                <c:pt idx="30">
                  <c:v>#N/A</c:v>
                </c:pt>
                <c:pt idx="31">
                  <c:v>150.91999999999999</c:v>
                </c:pt>
                <c:pt idx="32">
                  <c:v>150.81</c:v>
                </c:pt>
                <c:pt idx="33">
                  <c:v>150.30000000000001</c:v>
                </c:pt>
                <c:pt idx="34">
                  <c:v>150.4</c:v>
                </c:pt>
                <c:pt idx="35">
                  <c:v>150.01</c:v>
                </c:pt>
                <c:pt idx="36">
                  <c:v>#N/A</c:v>
                </c:pt>
                <c:pt idx="37">
                  <c:v>#N/A</c:v>
                </c:pt>
                <c:pt idx="38">
                  <c:v>149.69999999999999</c:v>
                </c:pt>
                <c:pt idx="39">
                  <c:v>#N/A</c:v>
                </c:pt>
                <c:pt idx="40">
                  <c:v>#N/A</c:v>
                </c:pt>
                <c:pt idx="41">
                  <c:v>#N/A</c:v>
                </c:pt>
                <c:pt idx="42">
                  <c:v>#N/A</c:v>
                </c:pt>
                <c:pt idx="43">
                  <c:v>#N/A</c:v>
                </c:pt>
                <c:pt idx="44">
                  <c:v>#N/A</c:v>
                </c:pt>
                <c:pt idx="45">
                  <c:v>#N/A</c:v>
                </c:pt>
                <c:pt idx="46">
                  <c:v>#N/A</c:v>
                </c:pt>
                <c:pt idx="47">
                  <c:v>#N/A</c:v>
                </c:pt>
                <c:pt idx="48">
                  <c:v>#N/A</c:v>
                </c:pt>
                <c:pt idx="49">
                  <c:v>149.66999999999999</c:v>
                </c:pt>
                <c:pt idx="50">
                  <c:v>#N/A</c:v>
                </c:pt>
                <c:pt idx="51">
                  <c:v>#N/A</c:v>
                </c:pt>
                <c:pt idx="52">
                  <c:v>147.22</c:v>
                </c:pt>
                <c:pt idx="53">
                  <c:v>146.5</c:v>
                </c:pt>
                <c:pt idx="54">
                  <c:v>146.12</c:v>
                </c:pt>
                <c:pt idx="55">
                  <c:v>146.02000000000001</c:v>
                </c:pt>
                <c:pt idx="56">
                  <c:v>145.86000000000001</c:v>
                </c:pt>
                <c:pt idx="57">
                  <c:v>#N/A</c:v>
                </c:pt>
                <c:pt idx="58">
                  <c:v>#N/A</c:v>
                </c:pt>
                <c:pt idx="59">
                  <c:v>146.13</c:v>
                </c:pt>
                <c:pt idx="60">
                  <c:v>146.04</c:v>
                </c:pt>
                <c:pt idx="61">
                  <c:v>146.02000000000001</c:v>
                </c:pt>
                <c:pt idx="62">
                  <c:v>146.02000000000001</c:v>
                </c:pt>
                <c:pt idx="63">
                  <c:v>145.46</c:v>
                </c:pt>
                <c:pt idx="64">
                  <c:v>#N/A</c:v>
                </c:pt>
                <c:pt idx="65">
                  <c:v>#N/A</c:v>
                </c:pt>
                <c:pt idx="66">
                  <c:v>145.5</c:v>
                </c:pt>
                <c:pt idx="67">
                  <c:v>145.35</c:v>
                </c:pt>
                <c:pt idx="68">
                  <c:v>145.12</c:v>
                </c:pt>
                <c:pt idx="69">
                  <c:v>145.21</c:v>
                </c:pt>
                <c:pt idx="70">
                  <c:v>144.78</c:v>
                </c:pt>
                <c:pt idx="71">
                  <c:v>#N/A</c:v>
                </c:pt>
                <c:pt idx="72">
                  <c:v>#N/A</c:v>
                </c:pt>
                <c:pt idx="73">
                  <c:v>144.74</c:v>
                </c:pt>
                <c:pt idx="74">
                  <c:v>144.78</c:v>
                </c:pt>
                <c:pt idx="75">
                  <c:v>144.82</c:v>
                </c:pt>
                <c:pt idx="76">
                  <c:v>144.82</c:v>
                </c:pt>
                <c:pt idx="77">
                  <c:v>144.86000000000001</c:v>
                </c:pt>
                <c:pt idx="78">
                  <c:v>#N/A</c:v>
                </c:pt>
                <c:pt idx="79">
                  <c:v>#N/A</c:v>
                </c:pt>
                <c:pt idx="80">
                  <c:v>146.4</c:v>
                </c:pt>
                <c:pt idx="81">
                  <c:v>146.54</c:v>
                </c:pt>
                <c:pt idx="82">
                  <c:v>146.44999999999999</c:v>
                </c:pt>
                <c:pt idx="83">
                  <c:v>147.52000000000001</c:v>
                </c:pt>
                <c:pt idx="84">
                  <c:v>148.02000000000001</c:v>
                </c:pt>
                <c:pt idx="85">
                  <c:v>#N/A</c:v>
                </c:pt>
                <c:pt idx="86">
                  <c:v>#N/A</c:v>
                </c:pt>
                <c:pt idx="87">
                  <c:v>148.41999999999999</c:v>
                </c:pt>
                <c:pt idx="88">
                  <c:v>148.56</c:v>
                </c:pt>
                <c:pt idx="89">
                  <c:v>149.21</c:v>
                </c:pt>
                <c:pt idx="90">
                  <c:v>149.47</c:v>
                </c:pt>
                <c:pt idx="91">
                  <c:v>149.88</c:v>
                </c:pt>
                <c:pt idx="92">
                  <c:v>#N/A</c:v>
                </c:pt>
                <c:pt idx="93">
                  <c:v>#N/A</c:v>
                </c:pt>
                <c:pt idx="94">
                  <c:v>#N/A</c:v>
                </c:pt>
                <c:pt idx="95">
                  <c:v>150.34</c:v>
                </c:pt>
                <c:pt idx="96">
                  <c:v>150.25</c:v>
                </c:pt>
                <c:pt idx="97">
                  <c:v>150.66999999999999</c:v>
                </c:pt>
                <c:pt idx="98">
                  <c:v>150.84</c:v>
                </c:pt>
                <c:pt idx="99">
                  <c:v>#N/A</c:v>
                </c:pt>
                <c:pt idx="100">
                  <c:v>#N/A</c:v>
                </c:pt>
                <c:pt idx="101">
                  <c:v>152.19</c:v>
                </c:pt>
                <c:pt idx="102">
                  <c:v>152.47999999999999</c:v>
                </c:pt>
                <c:pt idx="103">
                  <c:v>153.24</c:v>
                </c:pt>
                <c:pt idx="104">
                  <c:v>153.57</c:v>
                </c:pt>
                <c:pt idx="105">
                  <c:v>153.81</c:v>
                </c:pt>
                <c:pt idx="106">
                  <c:v>#N/A</c:v>
                </c:pt>
                <c:pt idx="107">
                  <c:v>#N/A</c:v>
                </c:pt>
                <c:pt idx="108">
                  <c:v>154.16</c:v>
                </c:pt>
                <c:pt idx="109">
                  <c:v>154.68</c:v>
                </c:pt>
                <c:pt idx="110">
                  <c:v>154.94</c:v>
                </c:pt>
                <c:pt idx="111">
                  <c:v>154.94</c:v>
                </c:pt>
                <c:pt idx="112">
                  <c:v>154.97999999999999</c:v>
                </c:pt>
                <c:pt idx="113">
                  <c:v>#N/A</c:v>
                </c:pt>
                <c:pt idx="114">
                  <c:v>155.56</c:v>
                </c:pt>
                <c:pt idx="115">
                  <c:v>156.24</c:v>
                </c:pt>
                <c:pt idx="116">
                  <c:v>157</c:v>
                </c:pt>
                <c:pt idx="117">
                  <c:v>157.51</c:v>
                </c:pt>
                <c:pt idx="118">
                  <c:v>157.88999999999999</c:v>
                </c:pt>
                <c:pt idx="119">
                  <c:v>157.44</c:v>
                </c:pt>
                <c:pt idx="120">
                  <c:v>#N/A</c:v>
                </c:pt>
                <c:pt idx="121">
                  <c:v>#N/A</c:v>
                </c:pt>
                <c:pt idx="122">
                  <c:v>#N/A</c:v>
                </c:pt>
                <c:pt idx="123">
                  <c:v>#N/A</c:v>
                </c:pt>
                <c:pt idx="124">
                  <c:v>#N/A</c:v>
                </c:pt>
                <c:pt idx="125">
                  <c:v>157.91999999999999</c:v>
                </c:pt>
                <c:pt idx="126">
                  <c:v>158.16</c:v>
                </c:pt>
                <c:pt idx="127">
                  <c:v>158.22</c:v>
                </c:pt>
                <c:pt idx="128">
                  <c:v>#N/A</c:v>
                </c:pt>
                <c:pt idx="129">
                  <c:v>158.97</c:v>
                </c:pt>
                <c:pt idx="130">
                  <c:v>159.03</c:v>
                </c:pt>
                <c:pt idx="131">
                  <c:v>159.01</c:v>
                </c:pt>
                <c:pt idx="132">
                  <c:v>158.81</c:v>
                </c:pt>
                <c:pt idx="133">
                  <c:v>158.79</c:v>
                </c:pt>
                <c:pt idx="134">
                  <c:v>#N/A</c:v>
                </c:pt>
                <c:pt idx="135">
                  <c:v>#N/A</c:v>
                </c:pt>
                <c:pt idx="136">
                  <c:v>159.13</c:v>
                </c:pt>
                <c:pt idx="137">
                  <c:v>159.12</c:v>
                </c:pt>
                <c:pt idx="138">
                  <c:v>159.13</c:v>
                </c:pt>
                <c:pt idx="139">
                  <c:v>159.34</c:v>
                </c:pt>
                <c:pt idx="140">
                  <c:v>159.29</c:v>
                </c:pt>
                <c:pt idx="141">
                  <c:v>#N/A</c:v>
                </c:pt>
                <c:pt idx="142">
                  <c:v>#N/A</c:v>
                </c:pt>
                <c:pt idx="143">
                  <c:v>159.02000000000001</c:v>
                </c:pt>
                <c:pt idx="144">
                  <c:v>158.94999999999999</c:v>
                </c:pt>
                <c:pt idx="145">
                  <c:v>158.96</c:v>
                </c:pt>
                <c:pt idx="146">
                  <c:v>158.75</c:v>
                </c:pt>
                <c:pt idx="147">
                  <c:v>158.43</c:v>
                </c:pt>
                <c:pt idx="148">
                  <c:v>#N/A</c:v>
                </c:pt>
                <c:pt idx="149">
                  <c:v>#N/A</c:v>
                </c:pt>
                <c:pt idx="150">
                  <c:v>157.58000000000001</c:v>
                </c:pt>
                <c:pt idx="151">
                  <c:v>156.63</c:v>
                </c:pt>
                <c:pt idx="152">
                  <c:v>156.71</c:v>
                </c:pt>
                <c:pt idx="153">
                  <c:v>156.83000000000001</c:v>
                </c:pt>
                <c:pt idx="154">
                  <c:v>155.80000000000001</c:v>
                </c:pt>
                <c:pt idx="155">
                  <c:v>#N/A</c:v>
                </c:pt>
                <c:pt idx="156">
                  <c:v>#N/A</c:v>
                </c:pt>
                <c:pt idx="157">
                  <c:v>155.07</c:v>
                </c:pt>
                <c:pt idx="158">
                  <c:v>154.6</c:v>
                </c:pt>
                <c:pt idx="159">
                  <c:v>154.07</c:v>
                </c:pt>
                <c:pt idx="160">
                  <c:v>153.33000000000001</c:v>
                </c:pt>
                <c:pt idx="161">
                  <c:v>153.19999999999999</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DE56-486F-81AB-A95D34284161}"/>
            </c:ext>
          </c:extLst>
        </c:ser>
        <c:dLbls>
          <c:showLegendKey val="0"/>
          <c:showVal val="0"/>
          <c:showCatName val="0"/>
          <c:showSerName val="0"/>
          <c:showPercent val="0"/>
          <c:showBubbleSize val="0"/>
        </c:dLbls>
        <c:marker val="1"/>
        <c:smooth val="0"/>
        <c:axId val="522007680"/>
        <c:axId val="522009216"/>
      </c:lineChart>
      <c:dateAx>
        <c:axId val="522007680"/>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522009216"/>
        <c:crosses val="autoZero"/>
        <c:auto val="0"/>
        <c:lblOffset val="0"/>
        <c:baseTimeUnit val="days"/>
        <c:majorUnit val="1"/>
        <c:majorTimeUnit val="months"/>
      </c:dateAx>
      <c:valAx>
        <c:axId val="522009216"/>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522007680"/>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汇率!$B$2</c:f>
              <c:strCache>
                <c:ptCount val="1"/>
                <c:pt idx="0">
                  <c:v>美元兑人民币</c:v>
                </c:pt>
              </c:strCache>
            </c:strRef>
          </c:tx>
          <c:spPr>
            <a:ln w="25400">
              <a:solidFill>
                <a:srgbClr val="ED7D31">
                  <a:lumMod val="75000"/>
                </a:srgbClr>
              </a:solidFill>
            </a:ln>
          </c:spPr>
          <c:marker>
            <c:symbol val="none"/>
          </c:marker>
          <c:cat>
            <c:numRef>
              <c:f>汇率!$A$3:$A$28</c:f>
              <c:numCache>
                <c:formatCode>yyyy\-mm\-dd;@</c:formatCode>
                <c:ptCount val="26"/>
                <c:pt idx="0">
                  <c:v>44359</c:v>
                </c:pt>
                <c:pt idx="1">
                  <c:v>44352</c:v>
                </c:pt>
                <c:pt idx="2">
                  <c:v>44345</c:v>
                </c:pt>
                <c:pt idx="3">
                  <c:v>44338</c:v>
                </c:pt>
                <c:pt idx="4">
                  <c:v>44331</c:v>
                </c:pt>
                <c:pt idx="5">
                  <c:v>44324</c:v>
                </c:pt>
                <c:pt idx="6">
                  <c:v>44317</c:v>
                </c:pt>
                <c:pt idx="7">
                  <c:v>44310</c:v>
                </c:pt>
                <c:pt idx="8">
                  <c:v>44303</c:v>
                </c:pt>
                <c:pt idx="9">
                  <c:v>44296</c:v>
                </c:pt>
                <c:pt idx="10">
                  <c:v>44289</c:v>
                </c:pt>
                <c:pt idx="11">
                  <c:v>44282</c:v>
                </c:pt>
                <c:pt idx="12">
                  <c:v>44275</c:v>
                </c:pt>
                <c:pt idx="13">
                  <c:v>44268</c:v>
                </c:pt>
                <c:pt idx="14">
                  <c:v>44261</c:v>
                </c:pt>
                <c:pt idx="15">
                  <c:v>44254</c:v>
                </c:pt>
                <c:pt idx="16">
                  <c:v>44247</c:v>
                </c:pt>
                <c:pt idx="17">
                  <c:v>44240</c:v>
                </c:pt>
                <c:pt idx="18">
                  <c:v>44233</c:v>
                </c:pt>
                <c:pt idx="19">
                  <c:v>44226</c:v>
                </c:pt>
                <c:pt idx="20">
                  <c:v>44219</c:v>
                </c:pt>
                <c:pt idx="21">
                  <c:v>44212</c:v>
                </c:pt>
                <c:pt idx="22">
                  <c:v>44205</c:v>
                </c:pt>
                <c:pt idx="23">
                  <c:v>44198</c:v>
                </c:pt>
                <c:pt idx="24">
                  <c:v>44191</c:v>
                </c:pt>
                <c:pt idx="25">
                  <c:v>44184</c:v>
                </c:pt>
              </c:numCache>
            </c:numRef>
          </c:cat>
          <c:val>
            <c:numRef>
              <c:f>汇率!$B$3:$B$28</c:f>
              <c:numCache>
                <c:formatCode>###,###,###,###,##0.00</c:formatCode>
                <c:ptCount val="26"/>
                <c:pt idx="0">
                  <c:v>6.3914</c:v>
                </c:pt>
                <c:pt idx="1">
                  <c:v>6.4092000000000002</c:v>
                </c:pt>
                <c:pt idx="2">
                  <c:v>6.3654000000000002</c:v>
                </c:pt>
                <c:pt idx="3">
                  <c:v>6.4337</c:v>
                </c:pt>
                <c:pt idx="4">
                  <c:v>6.4347000000000003</c:v>
                </c:pt>
                <c:pt idx="5">
                  <c:v>6.4588999999999999</c:v>
                </c:pt>
                <c:pt idx="6">
                  <c:v>6.4715999999999996</c:v>
                </c:pt>
                <c:pt idx="7">
                  <c:v>6.4935999999999998</c:v>
                </c:pt>
                <c:pt idx="8">
                  <c:v>6.5228000000000002</c:v>
                </c:pt>
                <c:pt idx="9">
                  <c:v>6.5589000000000004</c:v>
                </c:pt>
                <c:pt idx="10">
                  <c:v>6.5612000000000004</c:v>
                </c:pt>
                <c:pt idx="11">
                  <c:v>6.5407000000000002</c:v>
                </c:pt>
                <c:pt idx="12">
                  <c:v>6.5045000000000002</c:v>
                </c:pt>
                <c:pt idx="13">
                  <c:v>6.5035999999999996</c:v>
                </c:pt>
                <c:pt idx="14">
                  <c:v>6.4767999999999999</c:v>
                </c:pt>
                <c:pt idx="15">
                  <c:v>6.4589999999999996</c:v>
                </c:pt>
                <c:pt idx="16">
                  <c:v>6.4574999999999996</c:v>
                </c:pt>
                <c:pt idx="17">
                  <c:v>6.4379999999999997</c:v>
                </c:pt>
                <c:pt idx="18">
                  <c:v>6.4809999999999999</c:v>
                </c:pt>
                <c:pt idx="19">
                  <c:v>6.4611999999999998</c:v>
                </c:pt>
                <c:pt idx="20">
                  <c:v>6.4776999999999996</c:v>
                </c:pt>
                <c:pt idx="21">
                  <c:v>6.4752000000000001</c:v>
                </c:pt>
                <c:pt idx="22">
                  <c:v>6.4718999999999998</c:v>
                </c:pt>
                <c:pt idx="23">
                  <c:v>6.5397999999999996</c:v>
                </c:pt>
                <c:pt idx="24">
                  <c:v>6.5240999999999998</c:v>
                </c:pt>
                <c:pt idx="25">
                  <c:v>6.5415000000000001</c:v>
                </c:pt>
              </c:numCache>
            </c:numRef>
          </c:val>
          <c:smooth val="1"/>
          <c:extLst xmlns:c16r2="http://schemas.microsoft.com/office/drawing/2015/06/char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marker val="1"/>
        <c:smooth val="0"/>
        <c:axId val="503661696"/>
        <c:axId val="503663232"/>
      </c:lineChart>
      <c:lineChart>
        <c:grouping val="standard"/>
        <c:varyColors val="0"/>
        <c:ser>
          <c:idx val="2"/>
          <c:order val="1"/>
          <c:tx>
            <c:strRef>
              <c:f>汇率!$C$2</c:f>
              <c:strCache>
                <c:ptCount val="1"/>
                <c:pt idx="0">
                  <c:v>中美利差</c:v>
                </c:pt>
              </c:strCache>
            </c:strRef>
          </c:tx>
          <c:spPr>
            <a:ln w="25400">
              <a:solidFill>
                <a:srgbClr val="ED7D31"/>
              </a:solidFill>
              <a:prstDash val="sysDash"/>
            </a:ln>
          </c:spPr>
          <c:marker>
            <c:symbol val="none"/>
          </c:marker>
          <c:cat>
            <c:numRef>
              <c:f>汇率!$A$3:$A$28</c:f>
              <c:numCache>
                <c:formatCode>yyyy\-mm\-dd;@</c:formatCode>
                <c:ptCount val="26"/>
                <c:pt idx="0">
                  <c:v>44359</c:v>
                </c:pt>
                <c:pt idx="1">
                  <c:v>44352</c:v>
                </c:pt>
                <c:pt idx="2">
                  <c:v>44345</c:v>
                </c:pt>
                <c:pt idx="3">
                  <c:v>44338</c:v>
                </c:pt>
                <c:pt idx="4">
                  <c:v>44331</c:v>
                </c:pt>
                <c:pt idx="5">
                  <c:v>44324</c:v>
                </c:pt>
                <c:pt idx="6">
                  <c:v>44317</c:v>
                </c:pt>
                <c:pt idx="7">
                  <c:v>44310</c:v>
                </c:pt>
                <c:pt idx="8">
                  <c:v>44303</c:v>
                </c:pt>
                <c:pt idx="9">
                  <c:v>44296</c:v>
                </c:pt>
                <c:pt idx="10">
                  <c:v>44289</c:v>
                </c:pt>
                <c:pt idx="11">
                  <c:v>44282</c:v>
                </c:pt>
                <c:pt idx="12">
                  <c:v>44275</c:v>
                </c:pt>
                <c:pt idx="13">
                  <c:v>44268</c:v>
                </c:pt>
                <c:pt idx="14">
                  <c:v>44261</c:v>
                </c:pt>
                <c:pt idx="15">
                  <c:v>44254</c:v>
                </c:pt>
                <c:pt idx="16">
                  <c:v>44247</c:v>
                </c:pt>
                <c:pt idx="17">
                  <c:v>44240</c:v>
                </c:pt>
                <c:pt idx="18">
                  <c:v>44233</c:v>
                </c:pt>
                <c:pt idx="19">
                  <c:v>44226</c:v>
                </c:pt>
                <c:pt idx="20">
                  <c:v>44219</c:v>
                </c:pt>
                <c:pt idx="21">
                  <c:v>44212</c:v>
                </c:pt>
                <c:pt idx="22">
                  <c:v>44205</c:v>
                </c:pt>
                <c:pt idx="23">
                  <c:v>44198</c:v>
                </c:pt>
                <c:pt idx="24">
                  <c:v>44191</c:v>
                </c:pt>
                <c:pt idx="25">
                  <c:v>44184</c:v>
                </c:pt>
              </c:numCache>
            </c:numRef>
          </c:cat>
          <c:val>
            <c:numRef>
              <c:f>汇率!$C$3:$C$28</c:f>
              <c:numCache>
                <c:formatCode>###,###,###,###,##0.00</c:formatCode>
                <c:ptCount val="26"/>
                <c:pt idx="0">
                  <c:v>165.76000000000002</c:v>
                </c:pt>
                <c:pt idx="1">
                  <c:v>153.24999999999997</c:v>
                </c:pt>
                <c:pt idx="2">
                  <c:v>150.25</c:v>
                </c:pt>
                <c:pt idx="3">
                  <c:v>145.76000000000002</c:v>
                </c:pt>
                <c:pt idx="4">
                  <c:v>151.22</c:v>
                </c:pt>
                <c:pt idx="5">
                  <c:v>155.88999999999999</c:v>
                </c:pt>
                <c:pt idx="6">
                  <c:v>151.40000000000003</c:v>
                </c:pt>
                <c:pt idx="7">
                  <c:v>159.19</c:v>
                </c:pt>
                <c:pt idx="8">
                  <c:v>157.31</c:v>
                </c:pt>
                <c:pt idx="9">
                  <c:v>154.21</c:v>
                </c:pt>
                <c:pt idx="10">
                  <c:v>148.13</c:v>
                </c:pt>
                <c:pt idx="11">
                  <c:v>152.85000000000002</c:v>
                </c:pt>
                <c:pt idx="12">
                  <c:v>149.64000000000001</c:v>
                </c:pt>
                <c:pt idx="13">
                  <c:v>162.13</c:v>
                </c:pt>
                <c:pt idx="14">
                  <c:v>168.56999999999996</c:v>
                </c:pt>
                <c:pt idx="15">
                  <c:v>183.98</c:v>
                </c:pt>
                <c:pt idx="16">
                  <c:v>191.78</c:v>
                </c:pt>
                <c:pt idx="17">
                  <c:v>209.49</c:v>
                </c:pt>
                <c:pt idx="18">
                  <c:v>202.64000000000001</c:v>
                </c:pt>
                <c:pt idx="19">
                  <c:v>206.86</c:v>
                </c:pt>
                <c:pt idx="20">
                  <c:v>201.85</c:v>
                </c:pt>
                <c:pt idx="21">
                  <c:v>204.07999999999998</c:v>
                </c:pt>
                <c:pt idx="22">
                  <c:v>201.56</c:v>
                </c:pt>
                <c:pt idx="23">
                  <c:v>221.29</c:v>
                </c:pt>
                <c:pt idx="24">
                  <c:v>229.03000000000003</c:v>
                </c:pt>
                <c:pt idx="25">
                  <c:v>234.02000000000004</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503678848"/>
        <c:axId val="503677312"/>
      </c:lineChart>
      <c:dateAx>
        <c:axId val="50366169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503663232"/>
        <c:crosses val="autoZero"/>
        <c:auto val="0"/>
        <c:lblOffset val="0"/>
        <c:baseTimeUnit val="days"/>
      </c:dateAx>
      <c:valAx>
        <c:axId val="503663232"/>
        <c:scaling>
          <c:orientation val="minMax"/>
        </c:scaling>
        <c:delete val="0"/>
        <c:axPos val="l"/>
        <c:numFmt formatCode="#,##0.00_);[Red]\(#,##0.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503661696"/>
        <c:crosses val="autoZero"/>
        <c:crossBetween val="between"/>
      </c:valAx>
      <c:valAx>
        <c:axId val="503677312"/>
        <c:scaling>
          <c:orientation val="minMax"/>
        </c:scaling>
        <c:delete val="0"/>
        <c:axPos val="r"/>
        <c:numFmt formatCode="#,##0_);[Red]\(#,##0\)" sourceLinked="0"/>
        <c:majorTickMark val="out"/>
        <c:minorTickMark val="none"/>
        <c:tickLblPos val="nextTo"/>
        <c:spPr>
          <a:ln w="3175">
            <a:solidFill>
              <a:sysClr val="windowText" lastClr="000000"/>
            </a:solidFill>
          </a:ln>
        </c:spPr>
        <c:crossAx val="503678848"/>
        <c:crosses val="max"/>
        <c:crossBetween val="between"/>
      </c:valAx>
      <c:dateAx>
        <c:axId val="503678848"/>
        <c:scaling>
          <c:orientation val="minMax"/>
        </c:scaling>
        <c:delete val="1"/>
        <c:axPos val="b"/>
        <c:numFmt formatCode="yyyy\-mm\-dd;@" sourceLinked="1"/>
        <c:majorTickMark val="out"/>
        <c:minorTickMark val="none"/>
        <c:tickLblPos val="nextTo"/>
        <c:crossAx val="503677312"/>
        <c:crosses val="autoZero"/>
        <c:auto val="0"/>
        <c:lblOffset val="100"/>
        <c:baseTimeUnit val="years"/>
      </c:dateAx>
    </c:plotArea>
    <c:legend>
      <c:legendPos val="r"/>
      <c:layout>
        <c:manualLayout>
          <c:xMode val="edge"/>
          <c:yMode val="edge"/>
          <c:x val="0.15225"/>
          <c:y val="2.3337707786526686E-3"/>
          <c:w val="0.690571084864392"/>
          <c:h val="8.584900845727618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猪价!$H$1</c:f>
              <c:strCache>
                <c:ptCount val="1"/>
                <c:pt idx="0">
                  <c:v>2019</c:v>
                </c:pt>
              </c:strCache>
            </c:strRef>
          </c:tx>
          <c:spPr>
            <a:ln w="19050" cap="rnd" cmpd="sng" algn="ctr">
              <a:solidFill>
                <a:schemeClr val="accent2">
                  <a:shade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猪价!$H$2:$H$366</c:f>
              <c:numCache>
                <c:formatCode>General</c:formatCode>
                <c:ptCount val="365"/>
                <c:pt idx="0">
                  <c:v>#N/A</c:v>
                </c:pt>
                <c:pt idx="1">
                  <c:v>#N/A</c:v>
                </c:pt>
                <c:pt idx="2">
                  <c:v>#N/A</c:v>
                </c:pt>
                <c:pt idx="3">
                  <c:v>#N/A</c:v>
                </c:pt>
                <c:pt idx="4">
                  <c:v>19.260000000000002</c:v>
                </c:pt>
                <c:pt idx="5">
                  <c:v>#N/A</c:v>
                </c:pt>
                <c:pt idx="6">
                  <c:v>#N/A</c:v>
                </c:pt>
                <c:pt idx="7">
                  <c:v>#N/A</c:v>
                </c:pt>
                <c:pt idx="8">
                  <c:v>#N/A</c:v>
                </c:pt>
                <c:pt idx="9">
                  <c:v>#N/A</c:v>
                </c:pt>
                <c:pt idx="10">
                  <c:v>#N/A</c:v>
                </c:pt>
                <c:pt idx="11">
                  <c:v>19.13</c:v>
                </c:pt>
                <c:pt idx="12">
                  <c:v>#N/A</c:v>
                </c:pt>
                <c:pt idx="13">
                  <c:v>#N/A</c:v>
                </c:pt>
                <c:pt idx="14">
                  <c:v>#N/A</c:v>
                </c:pt>
                <c:pt idx="15">
                  <c:v>#N/A</c:v>
                </c:pt>
                <c:pt idx="16">
                  <c:v>#N/A</c:v>
                </c:pt>
                <c:pt idx="17">
                  <c:v>#N/A</c:v>
                </c:pt>
                <c:pt idx="18">
                  <c:v>19.13</c:v>
                </c:pt>
                <c:pt idx="19">
                  <c:v>#N/A</c:v>
                </c:pt>
                <c:pt idx="20">
                  <c:v>#N/A</c:v>
                </c:pt>
                <c:pt idx="21">
                  <c:v>#N/A</c:v>
                </c:pt>
                <c:pt idx="22">
                  <c:v>#N/A</c:v>
                </c:pt>
                <c:pt idx="23">
                  <c:v>#N/A</c:v>
                </c:pt>
                <c:pt idx="24">
                  <c:v>#N/A</c:v>
                </c:pt>
                <c:pt idx="25">
                  <c:v>19.12</c:v>
                </c:pt>
                <c:pt idx="26">
                  <c:v>#N/A</c:v>
                </c:pt>
                <c:pt idx="27">
                  <c:v>#N/A</c:v>
                </c:pt>
                <c:pt idx="28">
                  <c:v>#N/A</c:v>
                </c:pt>
                <c:pt idx="29">
                  <c:v>#N/A</c:v>
                </c:pt>
                <c:pt idx="30">
                  <c:v>#N/A</c:v>
                </c:pt>
                <c:pt idx="31">
                  <c:v>#N/A</c:v>
                </c:pt>
                <c:pt idx="32">
                  <c:v>18.2</c:v>
                </c:pt>
                <c:pt idx="33">
                  <c:v>#N/A</c:v>
                </c:pt>
                <c:pt idx="34">
                  <c:v>#N/A</c:v>
                </c:pt>
                <c:pt idx="35">
                  <c:v>#N/A</c:v>
                </c:pt>
                <c:pt idx="36">
                  <c:v>#N/A</c:v>
                </c:pt>
                <c:pt idx="37">
                  <c:v>#N/A</c:v>
                </c:pt>
                <c:pt idx="38">
                  <c:v>#N/A</c:v>
                </c:pt>
                <c:pt idx="39">
                  <c:v>18.73</c:v>
                </c:pt>
                <c:pt idx="40">
                  <c:v>#N/A</c:v>
                </c:pt>
                <c:pt idx="41">
                  <c:v>#N/A</c:v>
                </c:pt>
                <c:pt idx="42">
                  <c:v>#N/A</c:v>
                </c:pt>
                <c:pt idx="43">
                  <c:v>#N/A</c:v>
                </c:pt>
                <c:pt idx="44">
                  <c:v>#N/A</c:v>
                </c:pt>
                <c:pt idx="45">
                  <c:v>#N/A</c:v>
                </c:pt>
                <c:pt idx="46">
                  <c:v>18.52</c:v>
                </c:pt>
                <c:pt idx="47">
                  <c:v>#N/A</c:v>
                </c:pt>
                <c:pt idx="48">
                  <c:v>#N/A</c:v>
                </c:pt>
                <c:pt idx="49">
                  <c:v>#N/A</c:v>
                </c:pt>
                <c:pt idx="50">
                  <c:v>#N/A</c:v>
                </c:pt>
                <c:pt idx="51">
                  <c:v>#N/A</c:v>
                </c:pt>
                <c:pt idx="52">
                  <c:v>#N/A</c:v>
                </c:pt>
                <c:pt idx="53">
                  <c:v>18.260000000000002</c:v>
                </c:pt>
                <c:pt idx="54">
                  <c:v>#N/A</c:v>
                </c:pt>
                <c:pt idx="55">
                  <c:v>#N/A</c:v>
                </c:pt>
                <c:pt idx="56">
                  <c:v>#N/A</c:v>
                </c:pt>
                <c:pt idx="57">
                  <c:v>#N/A</c:v>
                </c:pt>
                <c:pt idx="58">
                  <c:v>#N/A</c:v>
                </c:pt>
                <c:pt idx="59">
                  <c:v>#N/A</c:v>
                </c:pt>
                <c:pt idx="60">
                  <c:v>18.2</c:v>
                </c:pt>
                <c:pt idx="61">
                  <c:v>#N/A</c:v>
                </c:pt>
                <c:pt idx="62">
                  <c:v>#N/A</c:v>
                </c:pt>
                <c:pt idx="63">
                  <c:v>#N/A</c:v>
                </c:pt>
                <c:pt idx="64">
                  <c:v>#N/A</c:v>
                </c:pt>
                <c:pt idx="65">
                  <c:v>#N/A</c:v>
                </c:pt>
                <c:pt idx="66">
                  <c:v>#N/A</c:v>
                </c:pt>
                <c:pt idx="67">
                  <c:v>18.02</c:v>
                </c:pt>
                <c:pt idx="68">
                  <c:v>#N/A</c:v>
                </c:pt>
                <c:pt idx="69">
                  <c:v>#N/A</c:v>
                </c:pt>
                <c:pt idx="70">
                  <c:v>#N/A</c:v>
                </c:pt>
                <c:pt idx="71">
                  <c:v>#N/A</c:v>
                </c:pt>
                <c:pt idx="72">
                  <c:v>#N/A</c:v>
                </c:pt>
                <c:pt idx="73">
                  <c:v>#N/A</c:v>
                </c:pt>
                <c:pt idx="74">
                  <c:v>19.77</c:v>
                </c:pt>
                <c:pt idx="75">
                  <c:v>#N/A</c:v>
                </c:pt>
                <c:pt idx="76">
                  <c:v>#N/A</c:v>
                </c:pt>
                <c:pt idx="77">
                  <c:v>#N/A</c:v>
                </c:pt>
                <c:pt idx="78">
                  <c:v>#N/A</c:v>
                </c:pt>
                <c:pt idx="79">
                  <c:v>#N/A</c:v>
                </c:pt>
                <c:pt idx="80">
                  <c:v>#N/A</c:v>
                </c:pt>
                <c:pt idx="81">
                  <c:v>20.43</c:v>
                </c:pt>
                <c:pt idx="82">
                  <c:v>#N/A</c:v>
                </c:pt>
                <c:pt idx="83">
                  <c:v>#N/A</c:v>
                </c:pt>
                <c:pt idx="84">
                  <c:v>#N/A</c:v>
                </c:pt>
                <c:pt idx="85">
                  <c:v>#N/A</c:v>
                </c:pt>
                <c:pt idx="86">
                  <c:v>#N/A</c:v>
                </c:pt>
                <c:pt idx="87">
                  <c:v>#N/A</c:v>
                </c:pt>
                <c:pt idx="88">
                  <c:v>20.25</c:v>
                </c:pt>
                <c:pt idx="89">
                  <c:v>#N/A</c:v>
                </c:pt>
                <c:pt idx="90">
                  <c:v>#N/A</c:v>
                </c:pt>
                <c:pt idx="91">
                  <c:v>#N/A</c:v>
                </c:pt>
                <c:pt idx="92">
                  <c:v>#N/A</c:v>
                </c:pt>
                <c:pt idx="93">
                  <c:v>#N/A</c:v>
                </c:pt>
                <c:pt idx="94">
                  <c:v>#N/A</c:v>
                </c:pt>
                <c:pt idx="95">
                  <c:v>20.39</c:v>
                </c:pt>
                <c:pt idx="96">
                  <c:v>#N/A</c:v>
                </c:pt>
                <c:pt idx="97">
                  <c:v>#N/A</c:v>
                </c:pt>
                <c:pt idx="98">
                  <c:v>#N/A</c:v>
                </c:pt>
                <c:pt idx="99">
                  <c:v>#N/A</c:v>
                </c:pt>
                <c:pt idx="100">
                  <c:v>#N/A</c:v>
                </c:pt>
                <c:pt idx="101">
                  <c:v>#N/A</c:v>
                </c:pt>
                <c:pt idx="102">
                  <c:v>20.21</c:v>
                </c:pt>
                <c:pt idx="103">
                  <c:v>#N/A</c:v>
                </c:pt>
                <c:pt idx="104">
                  <c:v>#N/A</c:v>
                </c:pt>
                <c:pt idx="105">
                  <c:v>#N/A</c:v>
                </c:pt>
                <c:pt idx="106">
                  <c:v>#N/A</c:v>
                </c:pt>
                <c:pt idx="107">
                  <c:v>#N/A</c:v>
                </c:pt>
                <c:pt idx="108">
                  <c:v>#N/A</c:v>
                </c:pt>
                <c:pt idx="109">
                  <c:v>20.12</c:v>
                </c:pt>
                <c:pt idx="110">
                  <c:v>#N/A</c:v>
                </c:pt>
                <c:pt idx="111">
                  <c:v>#N/A</c:v>
                </c:pt>
                <c:pt idx="112">
                  <c:v>#N/A</c:v>
                </c:pt>
                <c:pt idx="113">
                  <c:v>#N/A</c:v>
                </c:pt>
                <c:pt idx="114">
                  <c:v>#N/A</c:v>
                </c:pt>
                <c:pt idx="115">
                  <c:v>#N/A</c:v>
                </c:pt>
                <c:pt idx="116">
                  <c:v>20.399999999999999</c:v>
                </c:pt>
                <c:pt idx="117">
                  <c:v>#N/A</c:v>
                </c:pt>
                <c:pt idx="118">
                  <c:v>#N/A</c:v>
                </c:pt>
                <c:pt idx="119">
                  <c:v>#N/A</c:v>
                </c:pt>
                <c:pt idx="120">
                  <c:v>#N/A</c:v>
                </c:pt>
                <c:pt idx="121">
                  <c:v>#N/A</c:v>
                </c:pt>
                <c:pt idx="122">
                  <c:v>#N/A</c:v>
                </c:pt>
                <c:pt idx="123">
                  <c:v>20.5</c:v>
                </c:pt>
                <c:pt idx="124">
                  <c:v>#N/A</c:v>
                </c:pt>
                <c:pt idx="125">
                  <c:v>#N/A</c:v>
                </c:pt>
                <c:pt idx="126">
                  <c:v>#N/A</c:v>
                </c:pt>
                <c:pt idx="127">
                  <c:v>#N/A</c:v>
                </c:pt>
                <c:pt idx="128">
                  <c:v>#N/A</c:v>
                </c:pt>
                <c:pt idx="129">
                  <c:v>#N/A</c:v>
                </c:pt>
                <c:pt idx="130">
                  <c:v>20.59</c:v>
                </c:pt>
                <c:pt idx="131">
                  <c:v>#N/A</c:v>
                </c:pt>
                <c:pt idx="132">
                  <c:v>#N/A</c:v>
                </c:pt>
                <c:pt idx="133">
                  <c:v>#N/A</c:v>
                </c:pt>
                <c:pt idx="134">
                  <c:v>#N/A</c:v>
                </c:pt>
                <c:pt idx="135">
                  <c:v>#N/A</c:v>
                </c:pt>
                <c:pt idx="136">
                  <c:v>#N/A</c:v>
                </c:pt>
                <c:pt idx="137">
                  <c:v>20.75</c:v>
                </c:pt>
                <c:pt idx="138">
                  <c:v>#N/A</c:v>
                </c:pt>
                <c:pt idx="139">
                  <c:v>#N/A</c:v>
                </c:pt>
                <c:pt idx="140">
                  <c:v>#N/A</c:v>
                </c:pt>
                <c:pt idx="141">
                  <c:v>#N/A</c:v>
                </c:pt>
                <c:pt idx="142">
                  <c:v>#N/A</c:v>
                </c:pt>
                <c:pt idx="143">
                  <c:v>#N/A</c:v>
                </c:pt>
                <c:pt idx="144">
                  <c:v>20.65</c:v>
                </c:pt>
                <c:pt idx="145">
                  <c:v>#N/A</c:v>
                </c:pt>
                <c:pt idx="146">
                  <c:v>#N/A</c:v>
                </c:pt>
                <c:pt idx="147">
                  <c:v>#N/A</c:v>
                </c:pt>
                <c:pt idx="148">
                  <c:v>#N/A</c:v>
                </c:pt>
                <c:pt idx="149">
                  <c:v>#N/A</c:v>
                </c:pt>
                <c:pt idx="150">
                  <c:v>#N/A</c:v>
                </c:pt>
                <c:pt idx="151">
                  <c:v>20.45</c:v>
                </c:pt>
                <c:pt idx="152">
                  <c:v>#N/A</c:v>
                </c:pt>
                <c:pt idx="153">
                  <c:v>#N/A</c:v>
                </c:pt>
                <c:pt idx="154">
                  <c:v>#N/A</c:v>
                </c:pt>
                <c:pt idx="155">
                  <c:v>#N/A</c:v>
                </c:pt>
                <c:pt idx="156">
                  <c:v>#N/A</c:v>
                </c:pt>
                <c:pt idx="157">
                  <c:v>#N/A</c:v>
                </c:pt>
                <c:pt idx="158">
                  <c:v>21.02</c:v>
                </c:pt>
                <c:pt idx="159">
                  <c:v>#N/A</c:v>
                </c:pt>
                <c:pt idx="160">
                  <c:v>#N/A</c:v>
                </c:pt>
                <c:pt idx="161">
                  <c:v>#N/A</c:v>
                </c:pt>
                <c:pt idx="162">
                  <c:v>#N/A</c:v>
                </c:pt>
                <c:pt idx="163">
                  <c:v>#N/A</c:v>
                </c:pt>
                <c:pt idx="164">
                  <c:v>#N/A</c:v>
                </c:pt>
                <c:pt idx="165">
                  <c:v>21.06</c:v>
                </c:pt>
                <c:pt idx="166">
                  <c:v>#N/A</c:v>
                </c:pt>
                <c:pt idx="167">
                  <c:v>#N/A</c:v>
                </c:pt>
                <c:pt idx="168">
                  <c:v>#N/A</c:v>
                </c:pt>
                <c:pt idx="169">
                  <c:v>#N/A</c:v>
                </c:pt>
                <c:pt idx="170">
                  <c:v>#N/A</c:v>
                </c:pt>
                <c:pt idx="171">
                  <c:v>#N/A</c:v>
                </c:pt>
                <c:pt idx="172">
                  <c:v>21.92</c:v>
                </c:pt>
                <c:pt idx="173">
                  <c:v>#N/A</c:v>
                </c:pt>
                <c:pt idx="174">
                  <c:v>#N/A</c:v>
                </c:pt>
                <c:pt idx="175">
                  <c:v>#N/A</c:v>
                </c:pt>
                <c:pt idx="176">
                  <c:v>#N/A</c:v>
                </c:pt>
                <c:pt idx="177">
                  <c:v>#N/A</c:v>
                </c:pt>
                <c:pt idx="178">
                  <c:v>#N/A</c:v>
                </c:pt>
                <c:pt idx="179">
                  <c:v>22.93</c:v>
                </c:pt>
                <c:pt idx="180">
                  <c:v>#N/A</c:v>
                </c:pt>
                <c:pt idx="181">
                  <c:v>#N/A</c:v>
                </c:pt>
                <c:pt idx="182">
                  <c:v>#N/A</c:v>
                </c:pt>
                <c:pt idx="183">
                  <c:v>#N/A</c:v>
                </c:pt>
                <c:pt idx="184">
                  <c:v>#N/A</c:v>
                </c:pt>
                <c:pt idx="185">
                  <c:v>#N/A</c:v>
                </c:pt>
                <c:pt idx="186">
                  <c:v>23.05</c:v>
                </c:pt>
                <c:pt idx="187">
                  <c:v>#N/A</c:v>
                </c:pt>
                <c:pt idx="188">
                  <c:v>#N/A</c:v>
                </c:pt>
                <c:pt idx="189">
                  <c:v>#N/A</c:v>
                </c:pt>
                <c:pt idx="190">
                  <c:v>#N/A</c:v>
                </c:pt>
                <c:pt idx="191">
                  <c:v>#N/A</c:v>
                </c:pt>
                <c:pt idx="192">
                  <c:v>#N/A</c:v>
                </c:pt>
                <c:pt idx="193">
                  <c:v>23.27</c:v>
                </c:pt>
                <c:pt idx="194">
                  <c:v>#N/A</c:v>
                </c:pt>
                <c:pt idx="195">
                  <c:v>#N/A</c:v>
                </c:pt>
                <c:pt idx="196">
                  <c:v>#N/A</c:v>
                </c:pt>
                <c:pt idx="197">
                  <c:v>#N/A</c:v>
                </c:pt>
                <c:pt idx="198">
                  <c:v>#N/A</c:v>
                </c:pt>
                <c:pt idx="199">
                  <c:v>#N/A</c:v>
                </c:pt>
                <c:pt idx="200">
                  <c:v>23.89</c:v>
                </c:pt>
                <c:pt idx="201">
                  <c:v>#N/A</c:v>
                </c:pt>
                <c:pt idx="202">
                  <c:v>#N/A</c:v>
                </c:pt>
                <c:pt idx="203">
                  <c:v>#N/A</c:v>
                </c:pt>
                <c:pt idx="204">
                  <c:v>#N/A</c:v>
                </c:pt>
                <c:pt idx="205">
                  <c:v>#N/A</c:v>
                </c:pt>
                <c:pt idx="206">
                  <c:v>#N/A</c:v>
                </c:pt>
                <c:pt idx="207">
                  <c:v>24.05</c:v>
                </c:pt>
                <c:pt idx="208">
                  <c:v>#N/A</c:v>
                </c:pt>
                <c:pt idx="209">
                  <c:v>#N/A</c:v>
                </c:pt>
                <c:pt idx="210">
                  <c:v>#N/A</c:v>
                </c:pt>
                <c:pt idx="211">
                  <c:v>#N/A</c:v>
                </c:pt>
                <c:pt idx="212">
                  <c:v>#N/A</c:v>
                </c:pt>
                <c:pt idx="213">
                  <c:v>#N/A</c:v>
                </c:pt>
                <c:pt idx="214">
                  <c:v>24.48</c:v>
                </c:pt>
                <c:pt idx="215">
                  <c:v>#N/A</c:v>
                </c:pt>
                <c:pt idx="216">
                  <c:v>#N/A</c:v>
                </c:pt>
                <c:pt idx="217">
                  <c:v>#N/A</c:v>
                </c:pt>
                <c:pt idx="218">
                  <c:v>#N/A</c:v>
                </c:pt>
                <c:pt idx="219">
                  <c:v>#N/A</c:v>
                </c:pt>
                <c:pt idx="220">
                  <c:v>#N/A</c:v>
                </c:pt>
                <c:pt idx="221">
                  <c:v>25.78</c:v>
                </c:pt>
                <c:pt idx="222">
                  <c:v>#N/A</c:v>
                </c:pt>
                <c:pt idx="223">
                  <c:v>#N/A</c:v>
                </c:pt>
                <c:pt idx="224">
                  <c:v>#N/A</c:v>
                </c:pt>
                <c:pt idx="225">
                  <c:v>#N/A</c:v>
                </c:pt>
                <c:pt idx="226">
                  <c:v>#N/A</c:v>
                </c:pt>
                <c:pt idx="227">
                  <c:v>#N/A</c:v>
                </c:pt>
                <c:pt idx="228">
                  <c:v>28.27</c:v>
                </c:pt>
                <c:pt idx="229">
                  <c:v>#N/A</c:v>
                </c:pt>
                <c:pt idx="230">
                  <c:v>#N/A</c:v>
                </c:pt>
                <c:pt idx="231">
                  <c:v>#N/A</c:v>
                </c:pt>
                <c:pt idx="232">
                  <c:v>#N/A</c:v>
                </c:pt>
                <c:pt idx="233">
                  <c:v>#N/A</c:v>
                </c:pt>
                <c:pt idx="234">
                  <c:v>#N/A</c:v>
                </c:pt>
                <c:pt idx="235">
                  <c:v>31.09</c:v>
                </c:pt>
                <c:pt idx="236">
                  <c:v>#N/A</c:v>
                </c:pt>
                <c:pt idx="237">
                  <c:v>#N/A</c:v>
                </c:pt>
                <c:pt idx="238">
                  <c:v>#N/A</c:v>
                </c:pt>
                <c:pt idx="239">
                  <c:v>#N/A</c:v>
                </c:pt>
                <c:pt idx="240">
                  <c:v>#N/A</c:v>
                </c:pt>
                <c:pt idx="241">
                  <c:v>#N/A</c:v>
                </c:pt>
                <c:pt idx="242">
                  <c:v>33.619999999999997</c:v>
                </c:pt>
                <c:pt idx="243">
                  <c:v>#N/A</c:v>
                </c:pt>
                <c:pt idx="244">
                  <c:v>#N/A</c:v>
                </c:pt>
                <c:pt idx="245">
                  <c:v>#N/A</c:v>
                </c:pt>
                <c:pt idx="246">
                  <c:v>#N/A</c:v>
                </c:pt>
                <c:pt idx="247">
                  <c:v>#N/A</c:v>
                </c:pt>
                <c:pt idx="248">
                  <c:v>#N/A</c:v>
                </c:pt>
                <c:pt idx="249">
                  <c:v>35.119999999999997</c:v>
                </c:pt>
                <c:pt idx="250">
                  <c:v>#N/A</c:v>
                </c:pt>
                <c:pt idx="251">
                  <c:v>#N/A</c:v>
                </c:pt>
                <c:pt idx="252">
                  <c:v>#N/A</c:v>
                </c:pt>
                <c:pt idx="253">
                  <c:v>#N/A</c:v>
                </c:pt>
                <c:pt idx="254">
                  <c:v>#N/A</c:v>
                </c:pt>
                <c:pt idx="255">
                  <c:v>#N/A</c:v>
                </c:pt>
                <c:pt idx="256">
                  <c:v>35.72</c:v>
                </c:pt>
                <c:pt idx="257">
                  <c:v>#N/A</c:v>
                </c:pt>
                <c:pt idx="258">
                  <c:v>#N/A</c:v>
                </c:pt>
                <c:pt idx="259">
                  <c:v>#N/A</c:v>
                </c:pt>
                <c:pt idx="260">
                  <c:v>#N/A</c:v>
                </c:pt>
                <c:pt idx="261">
                  <c:v>#N/A</c:v>
                </c:pt>
                <c:pt idx="262">
                  <c:v>#N/A</c:v>
                </c:pt>
                <c:pt idx="263">
                  <c:v>36.14</c:v>
                </c:pt>
                <c:pt idx="264">
                  <c:v>#N/A</c:v>
                </c:pt>
                <c:pt idx="265">
                  <c:v>#N/A</c:v>
                </c:pt>
                <c:pt idx="266">
                  <c:v>#N/A</c:v>
                </c:pt>
                <c:pt idx="267">
                  <c:v>#N/A</c:v>
                </c:pt>
                <c:pt idx="268">
                  <c:v>#N/A</c:v>
                </c:pt>
                <c:pt idx="269">
                  <c:v>#N/A</c:v>
                </c:pt>
                <c:pt idx="270">
                  <c:v>36.340000000000003</c:v>
                </c:pt>
                <c:pt idx="271">
                  <c:v>#N/A</c:v>
                </c:pt>
                <c:pt idx="272">
                  <c:v>#N/A</c:v>
                </c:pt>
                <c:pt idx="273">
                  <c:v>#N/A</c:v>
                </c:pt>
                <c:pt idx="274">
                  <c:v>#N/A</c:v>
                </c:pt>
                <c:pt idx="275">
                  <c:v>#N/A</c:v>
                </c:pt>
                <c:pt idx="276">
                  <c:v>#N/A</c:v>
                </c:pt>
                <c:pt idx="277">
                  <c:v>36.79</c:v>
                </c:pt>
                <c:pt idx="278">
                  <c:v>#N/A</c:v>
                </c:pt>
                <c:pt idx="279">
                  <c:v>#N/A</c:v>
                </c:pt>
                <c:pt idx="280">
                  <c:v>#N/A</c:v>
                </c:pt>
                <c:pt idx="281">
                  <c:v>#N/A</c:v>
                </c:pt>
                <c:pt idx="282">
                  <c:v>#N/A</c:v>
                </c:pt>
                <c:pt idx="283">
                  <c:v>#N/A</c:v>
                </c:pt>
                <c:pt idx="284">
                  <c:v>42.29</c:v>
                </c:pt>
                <c:pt idx="285">
                  <c:v>#N/A</c:v>
                </c:pt>
                <c:pt idx="286">
                  <c:v>#N/A</c:v>
                </c:pt>
                <c:pt idx="287">
                  <c:v>#N/A</c:v>
                </c:pt>
                <c:pt idx="288">
                  <c:v>#N/A</c:v>
                </c:pt>
                <c:pt idx="289">
                  <c:v>#N/A</c:v>
                </c:pt>
                <c:pt idx="290">
                  <c:v>#N/A</c:v>
                </c:pt>
                <c:pt idx="291">
                  <c:v>45.57</c:v>
                </c:pt>
                <c:pt idx="292">
                  <c:v>#N/A</c:v>
                </c:pt>
                <c:pt idx="293">
                  <c:v>#N/A</c:v>
                </c:pt>
                <c:pt idx="294">
                  <c:v>#N/A</c:v>
                </c:pt>
                <c:pt idx="295">
                  <c:v>#N/A</c:v>
                </c:pt>
                <c:pt idx="296">
                  <c:v>#N/A</c:v>
                </c:pt>
                <c:pt idx="297">
                  <c:v>#N/A</c:v>
                </c:pt>
                <c:pt idx="298">
                  <c:v>51.01</c:v>
                </c:pt>
                <c:pt idx="299">
                  <c:v>#N/A</c:v>
                </c:pt>
                <c:pt idx="300">
                  <c:v>#N/A</c:v>
                </c:pt>
                <c:pt idx="301">
                  <c:v>#N/A</c:v>
                </c:pt>
                <c:pt idx="302">
                  <c:v>#N/A</c:v>
                </c:pt>
                <c:pt idx="303">
                  <c:v>#N/A</c:v>
                </c:pt>
                <c:pt idx="304">
                  <c:v>#N/A</c:v>
                </c:pt>
                <c:pt idx="305">
                  <c:v>52.4</c:v>
                </c:pt>
                <c:pt idx="306">
                  <c:v>#N/A</c:v>
                </c:pt>
                <c:pt idx="307">
                  <c:v>#N/A</c:v>
                </c:pt>
                <c:pt idx="308">
                  <c:v>#N/A</c:v>
                </c:pt>
                <c:pt idx="309">
                  <c:v>#N/A</c:v>
                </c:pt>
                <c:pt idx="310">
                  <c:v>#N/A</c:v>
                </c:pt>
                <c:pt idx="311">
                  <c:v>#N/A</c:v>
                </c:pt>
                <c:pt idx="312">
                  <c:v>51.18</c:v>
                </c:pt>
                <c:pt idx="313">
                  <c:v>#N/A</c:v>
                </c:pt>
                <c:pt idx="314">
                  <c:v>#N/A</c:v>
                </c:pt>
                <c:pt idx="315">
                  <c:v>#N/A</c:v>
                </c:pt>
                <c:pt idx="316">
                  <c:v>#N/A</c:v>
                </c:pt>
                <c:pt idx="317">
                  <c:v>#N/A</c:v>
                </c:pt>
                <c:pt idx="318">
                  <c:v>#N/A</c:v>
                </c:pt>
                <c:pt idx="319">
                  <c:v>48.13</c:v>
                </c:pt>
                <c:pt idx="320">
                  <c:v>#N/A</c:v>
                </c:pt>
                <c:pt idx="321">
                  <c:v>#N/A</c:v>
                </c:pt>
                <c:pt idx="322">
                  <c:v>#N/A</c:v>
                </c:pt>
                <c:pt idx="323">
                  <c:v>#N/A</c:v>
                </c:pt>
                <c:pt idx="324">
                  <c:v>#N/A</c:v>
                </c:pt>
                <c:pt idx="325">
                  <c:v>#N/A</c:v>
                </c:pt>
                <c:pt idx="326">
                  <c:v>43.78</c:v>
                </c:pt>
                <c:pt idx="327">
                  <c:v>#N/A</c:v>
                </c:pt>
                <c:pt idx="328">
                  <c:v>#N/A</c:v>
                </c:pt>
                <c:pt idx="329">
                  <c:v>#N/A</c:v>
                </c:pt>
                <c:pt idx="330">
                  <c:v>#N/A</c:v>
                </c:pt>
                <c:pt idx="331">
                  <c:v>#N/A</c:v>
                </c:pt>
                <c:pt idx="332">
                  <c:v>#N/A</c:v>
                </c:pt>
                <c:pt idx="333">
                  <c:v>42.06</c:v>
                </c:pt>
                <c:pt idx="334">
                  <c:v>#N/A</c:v>
                </c:pt>
                <c:pt idx="335">
                  <c:v>#N/A</c:v>
                </c:pt>
                <c:pt idx="336">
                  <c:v>#N/A</c:v>
                </c:pt>
                <c:pt idx="337">
                  <c:v>#N/A</c:v>
                </c:pt>
                <c:pt idx="338">
                  <c:v>#N/A</c:v>
                </c:pt>
                <c:pt idx="339">
                  <c:v>#N/A</c:v>
                </c:pt>
                <c:pt idx="340">
                  <c:v>43.74</c:v>
                </c:pt>
                <c:pt idx="341">
                  <c:v>#N/A</c:v>
                </c:pt>
                <c:pt idx="342">
                  <c:v>#N/A</c:v>
                </c:pt>
                <c:pt idx="343">
                  <c:v>#N/A</c:v>
                </c:pt>
                <c:pt idx="344">
                  <c:v>#N/A</c:v>
                </c:pt>
                <c:pt idx="345">
                  <c:v>#N/A</c:v>
                </c:pt>
                <c:pt idx="346">
                  <c:v>#N/A</c:v>
                </c:pt>
                <c:pt idx="347">
                  <c:v>43.7</c:v>
                </c:pt>
                <c:pt idx="348">
                  <c:v>#N/A</c:v>
                </c:pt>
                <c:pt idx="349">
                  <c:v>#N/A</c:v>
                </c:pt>
                <c:pt idx="350">
                  <c:v>#N/A</c:v>
                </c:pt>
                <c:pt idx="351">
                  <c:v>#N/A</c:v>
                </c:pt>
                <c:pt idx="352">
                  <c:v>#N/A</c:v>
                </c:pt>
                <c:pt idx="353">
                  <c:v>#N/A</c:v>
                </c:pt>
                <c:pt idx="354">
                  <c:v>43.34</c:v>
                </c:pt>
                <c:pt idx="355">
                  <c:v>#N/A</c:v>
                </c:pt>
                <c:pt idx="356">
                  <c:v>#N/A</c:v>
                </c:pt>
                <c:pt idx="357">
                  <c:v>#N/A</c:v>
                </c:pt>
                <c:pt idx="358">
                  <c:v>#N/A</c:v>
                </c:pt>
                <c:pt idx="359">
                  <c:v>#N/A</c:v>
                </c:pt>
                <c:pt idx="360">
                  <c:v>#N/A</c:v>
                </c:pt>
                <c:pt idx="361">
                  <c:v>42.89</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1B69-41E2-9965-8575E7F426CB}"/>
            </c:ext>
          </c:extLst>
        </c:ser>
        <c:ser>
          <c:idx val="2"/>
          <c:order val="1"/>
          <c:tx>
            <c:strRef>
              <c:f>猪价!$I$1</c:f>
              <c:strCache>
                <c:ptCount val="1"/>
                <c:pt idx="0">
                  <c:v>2020</c:v>
                </c:pt>
              </c:strCache>
            </c:strRef>
          </c:tx>
          <c:spPr>
            <a:ln w="19050" cap="rnd" cmpd="sng" algn="ctr">
              <a:solidFill>
                <a:schemeClr val="accent2">
                  <a:tint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猪价!$I$2:$I$366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40.44</c:v>
                </c:pt>
                <c:pt idx="298">
                  <c:v>#N/A</c:v>
                </c:pt>
                <c:pt idx="299">
                  <c:v>#N/A</c:v>
                </c:pt>
                <c:pt idx="300">
                  <c:v>#N/A</c:v>
                </c:pt>
                <c:pt idx="301">
                  <c:v>#N/A</c:v>
                </c:pt>
                <c:pt idx="302">
                  <c:v>#N/A</c:v>
                </c:pt>
                <c:pt idx="303">
                  <c:v>#N/A</c:v>
                </c:pt>
                <c:pt idx="304">
                  <c:v>38.85</c:v>
                </c:pt>
                <c:pt idx="305">
                  <c:v>#N/A</c:v>
                </c:pt>
                <c:pt idx="306">
                  <c:v>#N/A</c:v>
                </c:pt>
                <c:pt idx="307">
                  <c:v>#N/A</c:v>
                </c:pt>
                <c:pt idx="308">
                  <c:v>#N/A</c:v>
                </c:pt>
                <c:pt idx="309">
                  <c:v>#N/A</c:v>
                </c:pt>
                <c:pt idx="310">
                  <c:v>#N/A</c:v>
                </c:pt>
                <c:pt idx="311">
                  <c:v>39.369999999999997</c:v>
                </c:pt>
                <c:pt idx="312">
                  <c:v>#N/A</c:v>
                </c:pt>
                <c:pt idx="313">
                  <c:v>#N/A</c:v>
                </c:pt>
                <c:pt idx="314">
                  <c:v>#N/A</c:v>
                </c:pt>
                <c:pt idx="315">
                  <c:v>#N/A</c:v>
                </c:pt>
                <c:pt idx="316">
                  <c:v>#N/A</c:v>
                </c:pt>
                <c:pt idx="317">
                  <c:v>#N/A</c:v>
                </c:pt>
                <c:pt idx="318">
                  <c:v>39.26</c:v>
                </c:pt>
                <c:pt idx="319">
                  <c:v>#N/A</c:v>
                </c:pt>
                <c:pt idx="320">
                  <c:v>#N/A</c:v>
                </c:pt>
                <c:pt idx="321">
                  <c:v>#N/A</c:v>
                </c:pt>
                <c:pt idx="322">
                  <c:v>#N/A</c:v>
                </c:pt>
                <c:pt idx="323">
                  <c:v>#N/A</c:v>
                </c:pt>
                <c:pt idx="324">
                  <c:v>#N/A</c:v>
                </c:pt>
                <c:pt idx="325">
                  <c:v>39.36</c:v>
                </c:pt>
                <c:pt idx="326">
                  <c:v>#N/A</c:v>
                </c:pt>
                <c:pt idx="327">
                  <c:v>#N/A</c:v>
                </c:pt>
                <c:pt idx="328">
                  <c:v>#N/A</c:v>
                </c:pt>
                <c:pt idx="329">
                  <c:v>#N/A</c:v>
                </c:pt>
                <c:pt idx="330">
                  <c:v>#N/A</c:v>
                </c:pt>
                <c:pt idx="331">
                  <c:v>#N/A</c:v>
                </c:pt>
                <c:pt idx="332">
                  <c:v>39.1</c:v>
                </c:pt>
                <c:pt idx="333">
                  <c:v>#N/A</c:v>
                </c:pt>
                <c:pt idx="334">
                  <c:v>#N/A</c:v>
                </c:pt>
                <c:pt idx="335">
                  <c:v>#N/A</c:v>
                </c:pt>
                <c:pt idx="336">
                  <c:v>#N/A</c:v>
                </c:pt>
                <c:pt idx="337">
                  <c:v>#N/A</c:v>
                </c:pt>
                <c:pt idx="338">
                  <c:v>#N/A</c:v>
                </c:pt>
                <c:pt idx="339">
                  <c:v>41.79</c:v>
                </c:pt>
                <c:pt idx="340">
                  <c:v>#N/A</c:v>
                </c:pt>
                <c:pt idx="341">
                  <c:v>#N/A</c:v>
                </c:pt>
                <c:pt idx="342">
                  <c:v>#N/A</c:v>
                </c:pt>
                <c:pt idx="343">
                  <c:v>#N/A</c:v>
                </c:pt>
                <c:pt idx="344">
                  <c:v>#N/A</c:v>
                </c:pt>
                <c:pt idx="345">
                  <c:v>#N/A</c:v>
                </c:pt>
                <c:pt idx="346">
                  <c:v>42.84</c:v>
                </c:pt>
                <c:pt idx="347">
                  <c:v>#N/A</c:v>
                </c:pt>
                <c:pt idx="348">
                  <c:v>#N/A</c:v>
                </c:pt>
                <c:pt idx="349">
                  <c:v>#N/A</c:v>
                </c:pt>
                <c:pt idx="350">
                  <c:v>#N/A</c:v>
                </c:pt>
                <c:pt idx="351">
                  <c:v>#N/A</c:v>
                </c:pt>
                <c:pt idx="352">
                  <c:v>#N/A</c:v>
                </c:pt>
                <c:pt idx="353">
                  <c:v>43.83</c:v>
                </c:pt>
                <c:pt idx="354">
                  <c:v>#N/A</c:v>
                </c:pt>
                <c:pt idx="355">
                  <c:v>#N/A</c:v>
                </c:pt>
                <c:pt idx="356">
                  <c:v>#N/A</c:v>
                </c:pt>
                <c:pt idx="357">
                  <c:v>#N/A</c:v>
                </c:pt>
                <c:pt idx="358">
                  <c:v>#N/A</c:v>
                </c:pt>
                <c:pt idx="359">
                  <c:v>#N/A</c:v>
                </c:pt>
                <c:pt idx="360">
                  <c:v>44.12</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1B69-41E2-9965-8575E7F426CB}"/>
            </c:ext>
          </c:extLst>
        </c:ser>
        <c:ser>
          <c:idx val="1"/>
          <c:order val="2"/>
          <c:tx>
            <c:strRef>
              <c:f>猪价!$J$1</c:f>
              <c:strCache>
                <c:ptCount val="1"/>
                <c:pt idx="0">
                  <c:v>2021</c:v>
                </c:pt>
              </c:strCache>
            </c:strRef>
          </c:tx>
          <c:spPr>
            <a:ln w="19050" cap="rnd" cmpd="sng" algn="ctr">
              <a:solidFill>
                <a:schemeClr val="accent2"/>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猪价!$J$2:$J$366</c:f>
              <c:numCache>
                <c:formatCode>General</c:formatCode>
                <c:ptCount val="365"/>
                <c:pt idx="0">
                  <c:v>#N/A</c:v>
                </c:pt>
                <c:pt idx="1">
                  <c:v>45.4</c:v>
                </c:pt>
                <c:pt idx="2">
                  <c:v>#N/A</c:v>
                </c:pt>
                <c:pt idx="3">
                  <c:v>#N/A</c:v>
                </c:pt>
                <c:pt idx="4">
                  <c:v>#N/A</c:v>
                </c:pt>
                <c:pt idx="5">
                  <c:v>#N/A</c:v>
                </c:pt>
                <c:pt idx="6">
                  <c:v>#N/A</c:v>
                </c:pt>
                <c:pt idx="7">
                  <c:v>#N/A</c:v>
                </c:pt>
                <c:pt idx="8">
                  <c:v>46.26</c:v>
                </c:pt>
                <c:pt idx="9">
                  <c:v>#N/A</c:v>
                </c:pt>
                <c:pt idx="10">
                  <c:v>#N/A</c:v>
                </c:pt>
                <c:pt idx="11">
                  <c:v>#N/A</c:v>
                </c:pt>
                <c:pt idx="12">
                  <c:v>#N/A</c:v>
                </c:pt>
                <c:pt idx="13">
                  <c:v>#N/A</c:v>
                </c:pt>
                <c:pt idx="14">
                  <c:v>#N/A</c:v>
                </c:pt>
                <c:pt idx="15">
                  <c:v>47.58</c:v>
                </c:pt>
                <c:pt idx="16">
                  <c:v>#N/A</c:v>
                </c:pt>
                <c:pt idx="17">
                  <c:v>#N/A</c:v>
                </c:pt>
                <c:pt idx="18">
                  <c:v>#N/A</c:v>
                </c:pt>
                <c:pt idx="19">
                  <c:v>#N/A</c:v>
                </c:pt>
                <c:pt idx="20">
                  <c:v>#N/A</c:v>
                </c:pt>
                <c:pt idx="21">
                  <c:v>#N/A</c:v>
                </c:pt>
                <c:pt idx="22">
                  <c:v>47</c:v>
                </c:pt>
                <c:pt idx="23">
                  <c:v>#N/A</c:v>
                </c:pt>
                <c:pt idx="24">
                  <c:v>#N/A</c:v>
                </c:pt>
                <c:pt idx="25">
                  <c:v>#N/A</c:v>
                </c:pt>
                <c:pt idx="26">
                  <c:v>#N/A</c:v>
                </c:pt>
                <c:pt idx="27">
                  <c:v>#N/A</c:v>
                </c:pt>
                <c:pt idx="28">
                  <c:v>#N/A</c:v>
                </c:pt>
                <c:pt idx="29">
                  <c:v>46.37</c:v>
                </c:pt>
                <c:pt idx="30">
                  <c:v>#N/A</c:v>
                </c:pt>
                <c:pt idx="31">
                  <c:v>#N/A</c:v>
                </c:pt>
                <c:pt idx="32">
                  <c:v>#N/A</c:v>
                </c:pt>
                <c:pt idx="33">
                  <c:v>#N/A</c:v>
                </c:pt>
                <c:pt idx="34">
                  <c:v>#N/A</c:v>
                </c:pt>
                <c:pt idx="35">
                  <c:v>#N/A</c:v>
                </c:pt>
                <c:pt idx="36">
                  <c:v>45.23</c:v>
                </c:pt>
                <c:pt idx="37">
                  <c:v>#N/A</c:v>
                </c:pt>
                <c:pt idx="38">
                  <c:v>#N/A</c:v>
                </c:pt>
                <c:pt idx="39">
                  <c:v>#N/A</c:v>
                </c:pt>
                <c:pt idx="40">
                  <c:v>#N/A</c:v>
                </c:pt>
                <c:pt idx="41">
                  <c:v>#N/A</c:v>
                </c:pt>
                <c:pt idx="42">
                  <c:v>#N/A</c:v>
                </c:pt>
                <c:pt idx="43">
                  <c:v>45.39</c:v>
                </c:pt>
                <c:pt idx="44">
                  <c:v>#N/A</c:v>
                </c:pt>
                <c:pt idx="45">
                  <c:v>#N/A</c:v>
                </c:pt>
                <c:pt idx="46">
                  <c:v>#N/A</c:v>
                </c:pt>
                <c:pt idx="47">
                  <c:v>#N/A</c:v>
                </c:pt>
                <c:pt idx="48">
                  <c:v>#N/A</c:v>
                </c:pt>
                <c:pt idx="49">
                  <c:v>#N/A</c:v>
                </c:pt>
                <c:pt idx="50">
                  <c:v>42.18</c:v>
                </c:pt>
                <c:pt idx="51">
                  <c:v>#N/A</c:v>
                </c:pt>
                <c:pt idx="52">
                  <c:v>#N/A</c:v>
                </c:pt>
                <c:pt idx="53">
                  <c:v>#N/A</c:v>
                </c:pt>
                <c:pt idx="54">
                  <c:v>#N/A</c:v>
                </c:pt>
                <c:pt idx="55">
                  <c:v>#N/A</c:v>
                </c:pt>
                <c:pt idx="56">
                  <c:v>#N/A</c:v>
                </c:pt>
                <c:pt idx="57">
                  <c:v>39.049999999999997</c:v>
                </c:pt>
                <c:pt idx="58">
                  <c:v>#N/A</c:v>
                </c:pt>
                <c:pt idx="59">
                  <c:v>#N/A</c:v>
                </c:pt>
                <c:pt idx="60">
                  <c:v>#N/A</c:v>
                </c:pt>
                <c:pt idx="61">
                  <c:v>#N/A</c:v>
                </c:pt>
                <c:pt idx="62">
                  <c:v>#N/A</c:v>
                </c:pt>
                <c:pt idx="63">
                  <c:v>#N/A</c:v>
                </c:pt>
                <c:pt idx="64">
                  <c:v>38.57</c:v>
                </c:pt>
                <c:pt idx="65">
                  <c:v>#N/A</c:v>
                </c:pt>
                <c:pt idx="66">
                  <c:v>#N/A</c:v>
                </c:pt>
                <c:pt idx="67">
                  <c:v>#N/A</c:v>
                </c:pt>
                <c:pt idx="68">
                  <c:v>#N/A</c:v>
                </c:pt>
                <c:pt idx="69">
                  <c:v>#N/A</c:v>
                </c:pt>
                <c:pt idx="70">
                  <c:v>#N/A</c:v>
                </c:pt>
                <c:pt idx="71">
                  <c:v>38</c:v>
                </c:pt>
                <c:pt idx="72">
                  <c:v>#N/A</c:v>
                </c:pt>
                <c:pt idx="73">
                  <c:v>#N/A</c:v>
                </c:pt>
                <c:pt idx="74">
                  <c:v>#N/A</c:v>
                </c:pt>
                <c:pt idx="75">
                  <c:v>#N/A</c:v>
                </c:pt>
                <c:pt idx="76">
                  <c:v>#N/A</c:v>
                </c:pt>
                <c:pt idx="77">
                  <c:v>#N/A</c:v>
                </c:pt>
                <c:pt idx="78">
                  <c:v>37.299999999999997</c:v>
                </c:pt>
                <c:pt idx="79">
                  <c:v>#N/A</c:v>
                </c:pt>
                <c:pt idx="80">
                  <c:v>#N/A</c:v>
                </c:pt>
                <c:pt idx="81">
                  <c:v>#N/A</c:v>
                </c:pt>
                <c:pt idx="82">
                  <c:v>#N/A</c:v>
                </c:pt>
                <c:pt idx="83">
                  <c:v>#N/A</c:v>
                </c:pt>
                <c:pt idx="84">
                  <c:v>#N/A</c:v>
                </c:pt>
                <c:pt idx="85">
                  <c:v>36.33</c:v>
                </c:pt>
                <c:pt idx="86">
                  <c:v>#N/A</c:v>
                </c:pt>
                <c:pt idx="87">
                  <c:v>#N/A</c:v>
                </c:pt>
                <c:pt idx="88">
                  <c:v>#N/A</c:v>
                </c:pt>
                <c:pt idx="89">
                  <c:v>#N/A</c:v>
                </c:pt>
                <c:pt idx="90">
                  <c:v>#N/A</c:v>
                </c:pt>
                <c:pt idx="91">
                  <c:v>#N/A</c:v>
                </c:pt>
                <c:pt idx="92">
                  <c:v>35</c:v>
                </c:pt>
                <c:pt idx="93">
                  <c:v>#N/A</c:v>
                </c:pt>
                <c:pt idx="94">
                  <c:v>#N/A</c:v>
                </c:pt>
                <c:pt idx="95">
                  <c:v>#N/A</c:v>
                </c:pt>
                <c:pt idx="96">
                  <c:v>#N/A</c:v>
                </c:pt>
                <c:pt idx="97">
                  <c:v>#N/A</c:v>
                </c:pt>
                <c:pt idx="98">
                  <c:v>#N/A</c:v>
                </c:pt>
                <c:pt idx="99">
                  <c:v>32.4</c:v>
                </c:pt>
                <c:pt idx="100">
                  <c:v>#N/A</c:v>
                </c:pt>
                <c:pt idx="101">
                  <c:v>#N/A</c:v>
                </c:pt>
                <c:pt idx="102">
                  <c:v>#N/A</c:v>
                </c:pt>
                <c:pt idx="103">
                  <c:v>#N/A</c:v>
                </c:pt>
                <c:pt idx="104">
                  <c:v>#N/A</c:v>
                </c:pt>
                <c:pt idx="105">
                  <c:v>#N/A</c:v>
                </c:pt>
                <c:pt idx="106">
                  <c:v>31.77</c:v>
                </c:pt>
                <c:pt idx="107">
                  <c:v>#N/A</c:v>
                </c:pt>
                <c:pt idx="108">
                  <c:v>#N/A</c:v>
                </c:pt>
                <c:pt idx="109">
                  <c:v>#N/A</c:v>
                </c:pt>
                <c:pt idx="110">
                  <c:v>#N/A</c:v>
                </c:pt>
                <c:pt idx="111">
                  <c:v>#N/A</c:v>
                </c:pt>
                <c:pt idx="112">
                  <c:v>#N/A</c:v>
                </c:pt>
                <c:pt idx="113">
                  <c:v>31.5</c:v>
                </c:pt>
                <c:pt idx="114">
                  <c:v>#N/A</c:v>
                </c:pt>
                <c:pt idx="115">
                  <c:v>#N/A</c:v>
                </c:pt>
                <c:pt idx="116">
                  <c:v>#N/A</c:v>
                </c:pt>
                <c:pt idx="117">
                  <c:v>#N/A</c:v>
                </c:pt>
                <c:pt idx="118">
                  <c:v>#N/A</c:v>
                </c:pt>
                <c:pt idx="119">
                  <c:v>#N/A</c:v>
                </c:pt>
                <c:pt idx="120">
                  <c:v>30.62</c:v>
                </c:pt>
                <c:pt idx="121">
                  <c:v>#N/A</c:v>
                </c:pt>
                <c:pt idx="122">
                  <c:v>#N/A</c:v>
                </c:pt>
                <c:pt idx="123">
                  <c:v>#N/A</c:v>
                </c:pt>
                <c:pt idx="124">
                  <c:v>#N/A</c:v>
                </c:pt>
                <c:pt idx="125">
                  <c:v>#N/A</c:v>
                </c:pt>
                <c:pt idx="126">
                  <c:v>#N/A</c:v>
                </c:pt>
                <c:pt idx="127">
                  <c:v>30.04</c:v>
                </c:pt>
                <c:pt idx="128">
                  <c:v>#N/A</c:v>
                </c:pt>
                <c:pt idx="129">
                  <c:v>#N/A</c:v>
                </c:pt>
                <c:pt idx="130">
                  <c:v>#N/A</c:v>
                </c:pt>
                <c:pt idx="131">
                  <c:v>#N/A</c:v>
                </c:pt>
                <c:pt idx="132">
                  <c:v>#N/A</c:v>
                </c:pt>
                <c:pt idx="133">
                  <c:v>#N/A</c:v>
                </c:pt>
                <c:pt idx="134">
                  <c:v>27.78</c:v>
                </c:pt>
                <c:pt idx="135">
                  <c:v>#N/A</c:v>
                </c:pt>
                <c:pt idx="136">
                  <c:v>#N/A</c:v>
                </c:pt>
                <c:pt idx="137">
                  <c:v>#N/A</c:v>
                </c:pt>
                <c:pt idx="138">
                  <c:v>#N/A</c:v>
                </c:pt>
                <c:pt idx="139">
                  <c:v>#N/A</c:v>
                </c:pt>
                <c:pt idx="140">
                  <c:v>#N/A</c:v>
                </c:pt>
                <c:pt idx="141">
                  <c:v>26.29</c:v>
                </c:pt>
                <c:pt idx="142">
                  <c:v>#N/A</c:v>
                </c:pt>
                <c:pt idx="143">
                  <c:v>#N/A</c:v>
                </c:pt>
                <c:pt idx="144">
                  <c:v>#N/A</c:v>
                </c:pt>
                <c:pt idx="145">
                  <c:v>#N/A</c:v>
                </c:pt>
                <c:pt idx="146">
                  <c:v>#N/A</c:v>
                </c:pt>
                <c:pt idx="147">
                  <c:v>#N/A</c:v>
                </c:pt>
                <c:pt idx="148">
                  <c:v>26.08</c:v>
                </c:pt>
                <c:pt idx="149">
                  <c:v>#N/A</c:v>
                </c:pt>
                <c:pt idx="150">
                  <c:v>#N/A</c:v>
                </c:pt>
                <c:pt idx="151">
                  <c:v>#N/A</c:v>
                </c:pt>
                <c:pt idx="152">
                  <c:v>#N/A</c:v>
                </c:pt>
                <c:pt idx="153">
                  <c:v>#N/A</c:v>
                </c:pt>
                <c:pt idx="154">
                  <c:v>#N/A</c:v>
                </c:pt>
                <c:pt idx="155">
                  <c:v>24.68</c:v>
                </c:pt>
                <c:pt idx="156">
                  <c:v>#N/A</c:v>
                </c:pt>
                <c:pt idx="157">
                  <c:v>#N/A</c:v>
                </c:pt>
                <c:pt idx="158">
                  <c:v>#N/A</c:v>
                </c:pt>
                <c:pt idx="159">
                  <c:v>#N/A</c:v>
                </c:pt>
                <c:pt idx="160">
                  <c:v>#N/A</c:v>
                </c:pt>
                <c:pt idx="161">
                  <c:v>#N/A</c:v>
                </c:pt>
                <c:pt idx="162">
                  <c:v>23.89</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0"/>
        </c:ser>
        <c:dLbls>
          <c:showLegendKey val="0"/>
          <c:showVal val="0"/>
          <c:showCatName val="0"/>
          <c:showSerName val="0"/>
          <c:showPercent val="0"/>
          <c:showBubbleSize val="0"/>
        </c:dLbls>
        <c:marker val="1"/>
        <c:smooth val="0"/>
        <c:axId val="525079296"/>
        <c:axId val="525080832"/>
      </c:lineChart>
      <c:dateAx>
        <c:axId val="525079296"/>
        <c:scaling>
          <c:orientation val="minMax"/>
        </c:scaling>
        <c:delete val="0"/>
        <c:axPos val="b"/>
        <c:numFmt formatCode="m" sourceLinked="0"/>
        <c:majorTickMark val="out"/>
        <c:minorTickMark val="out"/>
        <c:tickLblPos val="low"/>
        <c:spPr>
          <a:noFill/>
          <a:ln w="3175" cap="flat" cmpd="sng" algn="ctr">
            <a:solidFill>
              <a:sysClr val="windowText" lastClr="000000"/>
            </a:solidFill>
            <a:prstDash val="solid"/>
            <a:roun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525080832"/>
        <c:crosses val="autoZero"/>
        <c:auto val="0"/>
        <c:lblOffset val="0"/>
        <c:baseTimeUnit val="days"/>
        <c:majorUnit val="1"/>
        <c:majorTimeUnit val="months"/>
      </c:dateAx>
      <c:valAx>
        <c:axId val="525080832"/>
        <c:scaling>
          <c:orientation val="minMax"/>
          <c:min val="14"/>
        </c:scaling>
        <c:delete val="0"/>
        <c:axPos val="l"/>
        <c:numFmt formatCode="#,##0_);[Red]\(#,##0\)" sourceLinked="0"/>
        <c:majorTickMark val="out"/>
        <c:minorTickMark val="none"/>
        <c:tickLblPos val="nextTo"/>
        <c:spPr>
          <a:noFill/>
          <a:ln w="3175" cap="flat" cmpd="sng" algn="ctr">
            <a:solidFill>
              <a:sysClr val="windowText" lastClr="000000"/>
            </a:solidFill>
            <a:prstDash val="solid"/>
            <a:roun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525079296"/>
        <c:crosses val="autoZero"/>
        <c:crossBetween val="between"/>
      </c:valAx>
      <c:spPr>
        <a:solidFill>
          <a:schemeClr val="bg1"/>
        </a:solidFill>
        <a:ln>
          <a:noFill/>
        </a:ln>
        <a:effectLst/>
      </c:spPr>
    </c:plotArea>
    <c:legend>
      <c:legendPos val="r"/>
      <c:layout>
        <c:manualLayout>
          <c:xMode val="edge"/>
          <c:yMode val="edge"/>
          <c:x val="0.15225"/>
          <c:y val="2.3337707786526686E-3"/>
          <c:w val="0.72173074934883452"/>
          <c:h val="8.4057427786327243E-2"/>
        </c:manualLayout>
      </c:layout>
      <c:overlay val="0"/>
      <c:spPr>
        <a:noFill/>
        <a:ln w="3175">
          <a:noFill/>
          <a:prstDash val="soli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legend>
    <c:plotVisOnly val="1"/>
    <c:dispBlanksAs val="span"/>
    <c:showDLblsOverMax val="0"/>
  </c:chart>
  <c:spPr>
    <a:solidFill>
      <a:schemeClr val="bg1"/>
    </a:solidFill>
    <a:ln w="6350" cap="flat" cmpd="sng" algn="ctr">
      <a:noFill/>
      <a:prstDash val="solid"/>
      <a:round/>
    </a:ln>
    <a:effectLst/>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a16="http://schemas.microsoft.com/office/drawing/2014/main" xmlns=""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10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5.27926E-7</cdr:y>
    </cdr:from>
    <cdr:to>
      <cdr:x>0.12729</cdr:x>
      <cdr:y>0.06716</cdr:y>
    </cdr:to>
    <cdr:sp macro="" textlink="">
      <cdr:nvSpPr>
        <cdr:cNvPr id="5" name="Text Box 1"/>
        <cdr:cNvSpPr txBox="1">
          <a:spLocks xmlns:a="http://schemas.openxmlformats.org/drawingml/2006/main" noChangeArrowheads="1"/>
        </cdr:cNvSpPr>
      </cdr:nvSpPr>
      <cdr:spPr bwMode="auto">
        <a:xfrm xmlns:a="http://schemas.openxmlformats.org/drawingml/2006/main">
          <a:off x="0" y="1"/>
          <a:ext cx="381662" cy="127220"/>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2178EB-ADFB-4932-B794-3C22723833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878</Words>
  <Characters>5006</Characters>
  <Application>Microsoft Office Word</Application>
  <DocSecurity>0</DocSecurity>
  <Lines>41</Lines>
  <Paragraphs>11</Paragraphs>
  <ScaleCrop>false</ScaleCrop>
  <Company>Microsoft</Company>
  <LinksUpToDate>false</LinksUpToDate>
  <CharactersWithSpaces>5873</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Administrator</cp:lastModifiedBy>
  <cp:revision>2</cp:revision>
  <cp:lastPrinted>2019-06-26T06:05:00Z</cp:lastPrinted>
  <dcterms:created xsi:type="dcterms:W3CDTF">2021-06-15T06:13:00Z</dcterms:created>
  <dcterms:modified xsi:type="dcterms:W3CDTF">2021-06-15T06:13:00Z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