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6EE154D2"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9373FB">
        <w:rPr>
          <w:rFonts w:ascii="楷体" w:eastAsia="楷体" w:hAnsi="楷体" w:hint="eastAsia"/>
          <w:sz w:val="28"/>
          <w:szCs w:val="28"/>
        </w:rPr>
        <w:t>市场关注月末资金扰动</w:t>
      </w:r>
      <w:r w:rsidR="00CD02EA">
        <w:rPr>
          <w:rFonts w:ascii="楷体" w:eastAsia="楷体" w:hAnsi="楷体" w:hint="eastAsia"/>
          <w:sz w:val="28"/>
          <w:szCs w:val="28"/>
        </w:rPr>
        <w:t>，</w:t>
      </w:r>
      <w:r w:rsidR="009373FB">
        <w:rPr>
          <w:rFonts w:ascii="楷体" w:eastAsia="楷体" w:hAnsi="楷体" w:hint="eastAsia"/>
          <w:sz w:val="28"/>
          <w:szCs w:val="28"/>
        </w:rPr>
        <w:t>债市整体震荡为主</w:t>
      </w:r>
      <w:r w:rsidR="009F1386" w:rsidRPr="00541553">
        <w:rPr>
          <w:rFonts w:ascii="楷体" w:eastAsia="楷体" w:hAnsi="楷体"/>
          <w:sz w:val="28"/>
          <w:szCs w:val="28"/>
        </w:rPr>
        <w:t xml:space="preserve"> </w:t>
      </w:r>
    </w:p>
    <w:p w14:paraId="1B2C4A22" w14:textId="0BA85F85" w:rsidR="005E5CB1" w:rsidRPr="00711EF1" w:rsidRDefault="005E5CB1" w:rsidP="005E5CB1">
      <w:pPr>
        <w:pStyle w:val="Header1"/>
        <w:spacing w:before="240"/>
        <w:rPr>
          <w:rFonts w:ascii="华文楷体" w:hAnsi="华文楷体"/>
          <w:b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0AF4CA3" w14:textId="5E439E0A" w:rsidR="00695DD9" w:rsidRPr="00DF6DF8" w:rsidRDefault="007F3080" w:rsidP="00695DD9">
      <w:pPr>
        <w:pStyle w:val="Header1"/>
        <w:spacing w:before="240"/>
        <w:ind w:firstLine="480"/>
        <w:rPr>
          <w:rFonts w:ascii="华文楷体" w:hAnsi="华文楷体"/>
          <w:b w:val="0"/>
          <w:color w:val="auto"/>
          <w:sz w:val="24"/>
          <w:szCs w:val="24"/>
        </w:rPr>
      </w:pPr>
      <w:r w:rsidRPr="007F3080">
        <w:rPr>
          <w:rFonts w:ascii="华文楷体" w:hAnsi="华文楷体" w:hint="eastAsia"/>
          <w:b w:val="0"/>
          <w:color w:val="auto"/>
          <w:sz w:val="24"/>
          <w:szCs w:val="24"/>
        </w:rPr>
        <w:t>近期公布</w:t>
      </w:r>
      <w:r w:rsidR="00800C30">
        <w:rPr>
          <w:rFonts w:ascii="华文楷体" w:hAnsi="华文楷体" w:hint="eastAsia"/>
          <w:b w:val="0"/>
          <w:color w:val="auto"/>
          <w:sz w:val="24"/>
          <w:szCs w:val="24"/>
        </w:rPr>
        <w:t>的</w:t>
      </w:r>
      <w:r w:rsidRPr="007F3080">
        <w:rPr>
          <w:rFonts w:ascii="华文楷体" w:hAnsi="华文楷体" w:hint="eastAsia"/>
          <w:b w:val="0"/>
          <w:color w:val="auto"/>
          <w:sz w:val="24"/>
          <w:szCs w:val="24"/>
        </w:rPr>
        <w:t>5月经济数据</w:t>
      </w:r>
      <w:r w:rsidR="00800C30">
        <w:rPr>
          <w:rFonts w:ascii="华文楷体" w:hAnsi="华文楷体" w:hint="eastAsia"/>
          <w:b w:val="0"/>
          <w:color w:val="auto"/>
          <w:sz w:val="24"/>
          <w:szCs w:val="24"/>
        </w:rPr>
        <w:t>显示</w:t>
      </w:r>
      <w:r w:rsidRPr="007F3080">
        <w:rPr>
          <w:rFonts w:ascii="华文楷体" w:hAnsi="华文楷体" w:hint="eastAsia"/>
          <w:b w:val="0"/>
          <w:color w:val="auto"/>
          <w:sz w:val="24"/>
          <w:szCs w:val="24"/>
        </w:rPr>
        <w:t>：</w:t>
      </w:r>
      <w:r w:rsidRPr="007F3080">
        <w:rPr>
          <w:rFonts w:ascii="华文楷体" w:hAnsi="华文楷体"/>
          <w:b w:val="0"/>
          <w:color w:val="auto"/>
          <w:sz w:val="24"/>
          <w:szCs w:val="24"/>
        </w:rPr>
        <w:t>社会消费品零售总额同比增长12.4%，前值17.7%，预期值12.8%；固定资产投资累计同比</w:t>
      </w:r>
      <w:r w:rsidR="00800C30">
        <w:rPr>
          <w:rFonts w:ascii="华文楷体" w:hAnsi="华文楷体" w:hint="eastAsia"/>
          <w:b w:val="0"/>
          <w:color w:val="auto"/>
          <w:sz w:val="24"/>
          <w:szCs w:val="24"/>
        </w:rPr>
        <w:t>增长</w:t>
      </w:r>
      <w:r w:rsidRPr="007F3080">
        <w:rPr>
          <w:rFonts w:ascii="华文楷体" w:hAnsi="华文楷体"/>
          <w:b w:val="0"/>
          <w:color w:val="auto"/>
          <w:sz w:val="24"/>
          <w:szCs w:val="24"/>
        </w:rPr>
        <w:t>15.4%，前值19.9%，预期值16.4%</w:t>
      </w:r>
      <w:r>
        <w:rPr>
          <w:rFonts w:ascii="华文楷体" w:hAnsi="华文楷体" w:hint="eastAsia"/>
          <w:b w:val="0"/>
          <w:color w:val="auto"/>
          <w:sz w:val="24"/>
          <w:szCs w:val="24"/>
        </w:rPr>
        <w:t>；</w:t>
      </w:r>
      <w:r w:rsidRPr="007F3080">
        <w:rPr>
          <w:rFonts w:ascii="华文楷体" w:hAnsi="华文楷体" w:hint="eastAsia"/>
          <w:b w:val="0"/>
          <w:color w:val="auto"/>
          <w:sz w:val="24"/>
          <w:szCs w:val="24"/>
        </w:rPr>
        <w:t>工业增加值同比增长8.8%，前值9.8%，预期值8.6%</w:t>
      </w:r>
      <w:r w:rsidRPr="007F3080">
        <w:rPr>
          <w:rFonts w:ascii="华文楷体" w:hAnsi="华文楷体"/>
          <w:b w:val="0"/>
          <w:color w:val="auto"/>
          <w:sz w:val="24"/>
          <w:szCs w:val="24"/>
        </w:rPr>
        <w:t>。</w:t>
      </w:r>
    </w:p>
    <w:p w14:paraId="2EDFCEBC" w14:textId="60FAB660" w:rsidR="007F3080" w:rsidRPr="007F3080" w:rsidRDefault="007F3080" w:rsidP="007F308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Pr="007F3080">
        <w:rPr>
          <w:rFonts w:ascii="华文楷体" w:hAnsi="华文楷体" w:hint="eastAsia"/>
          <w:b w:val="0"/>
          <w:color w:val="auto"/>
          <w:sz w:val="24"/>
          <w:szCs w:val="24"/>
        </w:rPr>
        <w:t>5月的社零数据延续了此前缓慢回升的态势，两年平均增速从4月的4.3%上行</w:t>
      </w:r>
      <w:r>
        <w:rPr>
          <w:rFonts w:ascii="华文楷体" w:hAnsi="华文楷体" w:hint="eastAsia"/>
          <w:b w:val="0"/>
          <w:color w:val="auto"/>
          <w:sz w:val="24"/>
          <w:szCs w:val="24"/>
        </w:rPr>
        <w:t>至</w:t>
      </w:r>
      <w:r w:rsidRPr="007F3080">
        <w:rPr>
          <w:rFonts w:ascii="华文楷体" w:hAnsi="华文楷体" w:hint="eastAsia"/>
          <w:b w:val="0"/>
          <w:color w:val="auto"/>
          <w:sz w:val="24"/>
          <w:szCs w:val="24"/>
        </w:rPr>
        <w:t>5月的4.5%。5月全国城镇调查失业率为5.0%，失业率继续回落。消费恢复</w:t>
      </w:r>
      <w:r>
        <w:rPr>
          <w:rFonts w:ascii="华文楷体" w:hAnsi="华文楷体" w:hint="eastAsia"/>
          <w:b w:val="0"/>
          <w:color w:val="auto"/>
          <w:sz w:val="24"/>
          <w:szCs w:val="24"/>
        </w:rPr>
        <w:t>部分受到小长</w:t>
      </w:r>
      <w:r w:rsidRPr="007F3080">
        <w:rPr>
          <w:rFonts w:ascii="华文楷体" w:hAnsi="华文楷体" w:hint="eastAsia"/>
          <w:b w:val="0"/>
          <w:color w:val="auto"/>
          <w:sz w:val="24"/>
          <w:szCs w:val="24"/>
        </w:rPr>
        <w:t>假期</w:t>
      </w:r>
      <w:r>
        <w:rPr>
          <w:rFonts w:ascii="华文楷体" w:hAnsi="华文楷体" w:hint="eastAsia"/>
          <w:b w:val="0"/>
          <w:color w:val="auto"/>
          <w:sz w:val="24"/>
          <w:szCs w:val="24"/>
        </w:rPr>
        <w:t>及就业持续修复影响</w:t>
      </w:r>
      <w:r w:rsidRPr="007F3080">
        <w:rPr>
          <w:rFonts w:ascii="华文楷体" w:hAnsi="华文楷体" w:hint="eastAsia"/>
          <w:b w:val="0"/>
          <w:color w:val="auto"/>
          <w:sz w:val="24"/>
          <w:szCs w:val="24"/>
        </w:rPr>
        <w:t>。</w:t>
      </w:r>
    </w:p>
    <w:p w14:paraId="3746AE24" w14:textId="6312DA72" w:rsidR="007F3080" w:rsidRDefault="007F3080" w:rsidP="007F308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Pr="007F3080">
        <w:rPr>
          <w:rFonts w:ascii="华文楷体" w:hAnsi="华文楷体" w:hint="eastAsia"/>
          <w:b w:val="0"/>
          <w:color w:val="auto"/>
          <w:sz w:val="24"/>
          <w:szCs w:val="24"/>
        </w:rPr>
        <w:t>5月制造业投资</w:t>
      </w:r>
      <w:r>
        <w:rPr>
          <w:rFonts w:ascii="华文楷体" w:hAnsi="华文楷体" w:hint="eastAsia"/>
          <w:b w:val="0"/>
          <w:color w:val="auto"/>
          <w:sz w:val="24"/>
          <w:szCs w:val="24"/>
        </w:rPr>
        <w:t>适度</w:t>
      </w:r>
      <w:r w:rsidRPr="007F3080">
        <w:rPr>
          <w:rFonts w:ascii="华文楷体" w:hAnsi="华文楷体" w:hint="eastAsia"/>
          <w:b w:val="0"/>
          <w:color w:val="auto"/>
          <w:sz w:val="24"/>
          <w:szCs w:val="24"/>
        </w:rPr>
        <w:t>改善，当月同比</w:t>
      </w:r>
      <w:r w:rsidR="00800C30">
        <w:rPr>
          <w:rFonts w:ascii="华文楷体" w:hAnsi="华文楷体" w:hint="eastAsia"/>
          <w:b w:val="0"/>
          <w:color w:val="auto"/>
          <w:sz w:val="24"/>
          <w:szCs w:val="24"/>
        </w:rPr>
        <w:t>增长</w:t>
      </w:r>
      <w:r w:rsidRPr="007F3080">
        <w:rPr>
          <w:rFonts w:ascii="华文楷体" w:hAnsi="华文楷体" w:hint="eastAsia"/>
          <w:b w:val="0"/>
          <w:color w:val="auto"/>
          <w:sz w:val="24"/>
          <w:szCs w:val="24"/>
        </w:rPr>
        <w:t>13.5%，两年平均增长3.7%。</w:t>
      </w:r>
      <w:r>
        <w:rPr>
          <w:rFonts w:ascii="华文楷体" w:hAnsi="华文楷体" w:hint="eastAsia"/>
          <w:b w:val="0"/>
          <w:color w:val="auto"/>
          <w:sz w:val="24"/>
          <w:szCs w:val="24"/>
        </w:rPr>
        <w:t>高技术产业对制造业的拉动明显，</w:t>
      </w:r>
      <w:r w:rsidRPr="007F3080">
        <w:rPr>
          <w:rFonts w:ascii="华文楷体" w:hAnsi="华文楷体" w:hint="eastAsia"/>
          <w:b w:val="0"/>
          <w:color w:val="auto"/>
          <w:sz w:val="24"/>
          <w:szCs w:val="24"/>
        </w:rPr>
        <w:t>计算机及办公设备制造业、医疗仪器设备及仪器仪表制造业投资两年平均分别增长28.9%、17.0%。1-5月份汽车制造业的投资同比下滑了3.7%，专用设备、通用设备制造业的累计同比增速相比于1-4月也有所下滑。</w:t>
      </w:r>
      <w:r>
        <w:rPr>
          <w:rFonts w:ascii="华文楷体" w:hAnsi="华文楷体" w:hint="eastAsia"/>
          <w:b w:val="0"/>
          <w:color w:val="auto"/>
          <w:sz w:val="24"/>
          <w:szCs w:val="24"/>
        </w:rPr>
        <w:t>后续需要关注的是，</w:t>
      </w:r>
      <w:r w:rsidRPr="007F3080">
        <w:rPr>
          <w:rFonts w:ascii="华文楷体" w:hAnsi="华文楷体" w:hint="eastAsia"/>
          <w:b w:val="0"/>
          <w:color w:val="auto"/>
          <w:sz w:val="24"/>
          <w:szCs w:val="24"/>
        </w:rPr>
        <w:t>大宗商品价格对中下游制造业企业</w:t>
      </w:r>
      <w:r>
        <w:rPr>
          <w:rFonts w:ascii="华文楷体" w:hAnsi="华文楷体" w:hint="eastAsia"/>
          <w:b w:val="0"/>
          <w:color w:val="auto"/>
          <w:sz w:val="24"/>
          <w:szCs w:val="24"/>
        </w:rPr>
        <w:t>仍</w:t>
      </w:r>
      <w:r w:rsidRPr="007F3080">
        <w:rPr>
          <w:rFonts w:ascii="华文楷体" w:hAnsi="华文楷体" w:hint="eastAsia"/>
          <w:b w:val="0"/>
          <w:color w:val="auto"/>
          <w:sz w:val="24"/>
          <w:szCs w:val="24"/>
        </w:rPr>
        <w:t>造成</w:t>
      </w:r>
      <w:r>
        <w:rPr>
          <w:rFonts w:ascii="华文楷体" w:hAnsi="华文楷体" w:hint="eastAsia"/>
          <w:b w:val="0"/>
          <w:color w:val="auto"/>
          <w:sz w:val="24"/>
          <w:szCs w:val="24"/>
        </w:rPr>
        <w:t>一定</w:t>
      </w:r>
      <w:r w:rsidRPr="007F3080">
        <w:rPr>
          <w:rFonts w:ascii="华文楷体" w:hAnsi="华文楷体" w:hint="eastAsia"/>
          <w:b w:val="0"/>
          <w:color w:val="auto"/>
          <w:sz w:val="24"/>
          <w:szCs w:val="24"/>
        </w:rPr>
        <w:t>压力，面对成本端的压力，企业在补库存和</w:t>
      </w:r>
      <w:r>
        <w:rPr>
          <w:rFonts w:ascii="华文楷体" w:hAnsi="华文楷体" w:hint="eastAsia"/>
          <w:b w:val="0"/>
          <w:color w:val="auto"/>
          <w:sz w:val="24"/>
          <w:szCs w:val="24"/>
        </w:rPr>
        <w:t>扩产意愿上都相对谨慎。</w:t>
      </w:r>
      <w:r w:rsidRPr="007F3080">
        <w:rPr>
          <w:rFonts w:ascii="华文楷体" w:hAnsi="华文楷体" w:hint="eastAsia"/>
          <w:b w:val="0"/>
          <w:color w:val="auto"/>
          <w:sz w:val="24"/>
          <w:szCs w:val="24"/>
        </w:rPr>
        <w:t xml:space="preserve"> </w:t>
      </w:r>
    </w:p>
    <w:p w14:paraId="1FC5CB0A" w14:textId="43ECECBB" w:rsidR="007F3080" w:rsidRPr="007F3080" w:rsidRDefault="007F3080" w:rsidP="007F3080">
      <w:pPr>
        <w:pStyle w:val="Header1"/>
        <w:spacing w:before="240"/>
        <w:ind w:firstLine="540"/>
        <w:rPr>
          <w:rFonts w:ascii="华文楷体" w:hAnsi="华文楷体"/>
          <w:b w:val="0"/>
          <w:color w:val="auto"/>
          <w:sz w:val="24"/>
          <w:szCs w:val="24"/>
        </w:rPr>
      </w:pPr>
      <w:r w:rsidRPr="007F3080">
        <w:rPr>
          <w:rFonts w:ascii="华文楷体" w:hAnsi="华文楷体"/>
          <w:b w:val="0"/>
          <w:color w:val="auto"/>
          <w:sz w:val="24"/>
          <w:szCs w:val="24"/>
        </w:rPr>
        <w:t>5月房地产投资略有下行，当月同比增长9.8%，两年平均增速9%（前值10.3%）</w:t>
      </w:r>
      <w:r w:rsidRPr="007F3080">
        <w:rPr>
          <w:rFonts w:ascii="华文楷体" w:hAnsi="华文楷体" w:hint="eastAsia"/>
          <w:b w:val="0"/>
          <w:color w:val="auto"/>
          <w:sz w:val="24"/>
          <w:szCs w:val="24"/>
        </w:rPr>
        <w:t>。</w:t>
      </w:r>
      <w:r w:rsidRPr="007F3080">
        <w:rPr>
          <w:rFonts w:ascii="华文楷体" w:hAnsi="华文楷体"/>
          <w:b w:val="0"/>
          <w:color w:val="auto"/>
          <w:sz w:val="24"/>
          <w:szCs w:val="24"/>
        </w:rPr>
        <w:t>土地购置</w:t>
      </w:r>
      <w:r w:rsidRPr="007F3080">
        <w:rPr>
          <w:rFonts w:ascii="华文楷体" w:hAnsi="华文楷体" w:hint="eastAsia"/>
          <w:b w:val="0"/>
          <w:color w:val="auto"/>
          <w:sz w:val="24"/>
          <w:szCs w:val="24"/>
        </w:rPr>
        <w:t>方面，</w:t>
      </w:r>
      <w:r w:rsidRPr="007F3080">
        <w:rPr>
          <w:rFonts w:ascii="华文楷体" w:hAnsi="华文楷体"/>
          <w:b w:val="0"/>
          <w:color w:val="auto"/>
          <w:sz w:val="24"/>
          <w:szCs w:val="24"/>
        </w:rPr>
        <w:t>今年</w:t>
      </w:r>
      <w:r w:rsidRPr="007F3080">
        <w:rPr>
          <w:rFonts w:ascii="华文楷体" w:hAnsi="华文楷体" w:hint="eastAsia"/>
          <w:b w:val="0"/>
          <w:color w:val="auto"/>
          <w:sz w:val="24"/>
          <w:szCs w:val="24"/>
        </w:rPr>
        <w:t>在</w:t>
      </w:r>
      <w:r w:rsidRPr="007F3080">
        <w:rPr>
          <w:rFonts w:ascii="华文楷体" w:hAnsi="华文楷体"/>
          <w:b w:val="0"/>
          <w:color w:val="auto"/>
          <w:sz w:val="24"/>
          <w:szCs w:val="24"/>
        </w:rPr>
        <w:t>三道红线的硬</w:t>
      </w:r>
      <w:r w:rsidRPr="007F3080">
        <w:rPr>
          <w:rFonts w:ascii="华文楷体" w:hAnsi="华文楷体" w:hint="eastAsia"/>
          <w:b w:val="0"/>
          <w:color w:val="auto"/>
          <w:sz w:val="24"/>
          <w:szCs w:val="24"/>
        </w:rPr>
        <w:t>要求下</w:t>
      </w:r>
      <w:r w:rsidRPr="007F3080">
        <w:rPr>
          <w:rFonts w:ascii="华文楷体" w:hAnsi="华文楷体"/>
          <w:b w:val="0"/>
          <w:color w:val="auto"/>
          <w:sz w:val="24"/>
          <w:szCs w:val="24"/>
        </w:rPr>
        <w:t>，土地购置面积累积增速、当月增速转为负增长，当月增速同比下滑</w:t>
      </w:r>
      <w:r w:rsidRPr="007F3080">
        <w:rPr>
          <w:rFonts w:ascii="华文楷体" w:hAnsi="华文楷体" w:hint="eastAsia"/>
          <w:b w:val="0"/>
          <w:color w:val="auto"/>
          <w:sz w:val="24"/>
          <w:szCs w:val="24"/>
        </w:rPr>
        <w:t>至</w:t>
      </w:r>
      <w:r w:rsidRPr="007F3080">
        <w:rPr>
          <w:rFonts w:ascii="华文楷体" w:hAnsi="华文楷体"/>
          <w:b w:val="0"/>
          <w:color w:val="auto"/>
          <w:sz w:val="24"/>
          <w:szCs w:val="24"/>
        </w:rPr>
        <w:t>2位数水平。土地购置面积同比2020年下滑7.49%，同比2019年下滑14%</w:t>
      </w:r>
      <w:r>
        <w:rPr>
          <w:rFonts w:ascii="华文楷体" w:hAnsi="华文楷体" w:hint="eastAsia"/>
          <w:b w:val="0"/>
          <w:color w:val="auto"/>
          <w:sz w:val="24"/>
          <w:szCs w:val="24"/>
        </w:rPr>
        <w:t>。</w:t>
      </w:r>
      <w:r w:rsidRPr="007F3080">
        <w:rPr>
          <w:rFonts w:ascii="华文楷体" w:hAnsi="华文楷体"/>
          <w:b w:val="0"/>
          <w:color w:val="auto"/>
          <w:sz w:val="24"/>
          <w:szCs w:val="24"/>
        </w:rPr>
        <w:t>5</w:t>
      </w:r>
      <w:r>
        <w:rPr>
          <w:rFonts w:ascii="华文楷体" w:hAnsi="华文楷体"/>
          <w:b w:val="0"/>
          <w:color w:val="auto"/>
          <w:sz w:val="24"/>
          <w:szCs w:val="24"/>
        </w:rPr>
        <w:t>月</w:t>
      </w:r>
      <w:r>
        <w:rPr>
          <w:rFonts w:ascii="华文楷体" w:hAnsi="华文楷体" w:hint="eastAsia"/>
          <w:b w:val="0"/>
          <w:color w:val="auto"/>
          <w:sz w:val="24"/>
          <w:szCs w:val="24"/>
        </w:rPr>
        <w:t>地产</w:t>
      </w:r>
      <w:r w:rsidRPr="007F3080">
        <w:rPr>
          <w:rFonts w:ascii="华文楷体" w:hAnsi="华文楷体"/>
          <w:b w:val="0"/>
          <w:color w:val="auto"/>
          <w:sz w:val="24"/>
          <w:szCs w:val="24"/>
        </w:rPr>
        <w:t>单月新开工负增长，累计新开工</w:t>
      </w:r>
      <w:r>
        <w:rPr>
          <w:rFonts w:ascii="华文楷体" w:hAnsi="华文楷体" w:hint="eastAsia"/>
          <w:b w:val="0"/>
          <w:color w:val="auto"/>
          <w:sz w:val="24"/>
          <w:szCs w:val="24"/>
        </w:rPr>
        <w:t>增速已经</w:t>
      </w:r>
      <w:r w:rsidRPr="007F3080">
        <w:rPr>
          <w:rFonts w:ascii="华文楷体" w:hAnsi="华文楷体"/>
          <w:b w:val="0"/>
          <w:color w:val="auto"/>
          <w:sz w:val="24"/>
          <w:szCs w:val="24"/>
        </w:rPr>
        <w:t>从12.85%降到6.92%。2021年新开工预计在</w:t>
      </w:r>
      <w:r>
        <w:rPr>
          <w:rFonts w:ascii="华文楷体" w:hAnsi="华文楷体" w:hint="eastAsia"/>
          <w:b w:val="0"/>
          <w:color w:val="auto"/>
          <w:sz w:val="24"/>
          <w:szCs w:val="24"/>
        </w:rPr>
        <w:t>0</w:t>
      </w:r>
      <w:r w:rsidRPr="007F3080">
        <w:rPr>
          <w:rFonts w:ascii="华文楷体" w:hAnsi="华文楷体"/>
          <w:b w:val="0"/>
          <w:color w:val="auto"/>
          <w:sz w:val="24"/>
          <w:szCs w:val="24"/>
        </w:rPr>
        <w:t>-</w:t>
      </w:r>
      <w:r>
        <w:rPr>
          <w:rFonts w:ascii="华文楷体" w:hAnsi="华文楷体" w:hint="eastAsia"/>
          <w:b w:val="0"/>
          <w:color w:val="auto"/>
          <w:sz w:val="24"/>
          <w:szCs w:val="24"/>
        </w:rPr>
        <w:t>5</w:t>
      </w:r>
      <w:r w:rsidRPr="007F3080">
        <w:rPr>
          <w:rFonts w:ascii="华文楷体" w:hAnsi="华文楷体"/>
          <w:b w:val="0"/>
          <w:color w:val="auto"/>
          <w:sz w:val="24"/>
          <w:szCs w:val="24"/>
        </w:rPr>
        <w:t>%左右增幅，目前基本符合预期。</w:t>
      </w:r>
    </w:p>
    <w:p w14:paraId="34B8D4D7" w14:textId="5C171B58" w:rsidR="007F3080" w:rsidRPr="007F3080" w:rsidRDefault="007F3080" w:rsidP="007F308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2D5CAF">
        <w:rPr>
          <w:rFonts w:ascii="华文楷体" w:hAnsi="华文楷体" w:hint="eastAsia"/>
          <w:b w:val="0"/>
          <w:color w:val="auto"/>
          <w:sz w:val="24"/>
          <w:szCs w:val="24"/>
        </w:rPr>
        <w:t xml:space="preserve"> </w:t>
      </w:r>
      <w:r>
        <w:rPr>
          <w:rFonts w:ascii="华文楷体" w:hAnsi="华文楷体" w:hint="eastAsia"/>
          <w:b w:val="0"/>
          <w:color w:val="auto"/>
          <w:sz w:val="24"/>
          <w:szCs w:val="24"/>
        </w:rPr>
        <w:t xml:space="preserve">  5</w:t>
      </w:r>
      <w:r w:rsidRPr="007F3080">
        <w:rPr>
          <w:rFonts w:ascii="华文楷体" w:hAnsi="华文楷体" w:hint="eastAsia"/>
          <w:b w:val="0"/>
          <w:color w:val="auto"/>
          <w:sz w:val="24"/>
          <w:szCs w:val="24"/>
        </w:rPr>
        <w:t>月基础设施投资依旧偏低，当月同比下滑3.64%，两年平均增速3.38%（前值3.81%）。关注后续专项债发行</w:t>
      </w:r>
      <w:r>
        <w:rPr>
          <w:rFonts w:ascii="华文楷体" w:hAnsi="华文楷体" w:hint="eastAsia"/>
          <w:b w:val="0"/>
          <w:color w:val="auto"/>
          <w:sz w:val="24"/>
          <w:szCs w:val="24"/>
        </w:rPr>
        <w:t>和财政支持力度</w:t>
      </w:r>
      <w:r w:rsidR="00800C30">
        <w:rPr>
          <w:rFonts w:ascii="华文楷体" w:hAnsi="华文楷体" w:hint="eastAsia"/>
          <w:b w:val="0"/>
          <w:color w:val="auto"/>
          <w:sz w:val="24"/>
          <w:szCs w:val="24"/>
        </w:rPr>
        <w:t>等</w:t>
      </w:r>
      <w:r>
        <w:rPr>
          <w:rFonts w:ascii="华文楷体" w:hAnsi="华文楷体" w:hint="eastAsia"/>
          <w:b w:val="0"/>
          <w:color w:val="auto"/>
          <w:sz w:val="24"/>
          <w:szCs w:val="24"/>
        </w:rPr>
        <w:t>情况</w:t>
      </w:r>
      <w:r w:rsidRPr="007F3080">
        <w:rPr>
          <w:rFonts w:ascii="华文楷体" w:hAnsi="华文楷体" w:hint="eastAsia"/>
          <w:b w:val="0"/>
          <w:color w:val="auto"/>
          <w:sz w:val="24"/>
          <w:szCs w:val="24"/>
        </w:rPr>
        <w:t>。</w:t>
      </w:r>
    </w:p>
    <w:p w14:paraId="3073B9B1" w14:textId="2AB1E24C" w:rsidR="007F3080" w:rsidRPr="007F3080" w:rsidRDefault="007F3080" w:rsidP="007F3080">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w:t>
      </w:r>
      <w:r w:rsidR="002D5CAF">
        <w:rPr>
          <w:rFonts w:ascii="华文楷体" w:hAnsi="华文楷体" w:hint="eastAsia"/>
          <w:b w:val="0"/>
          <w:color w:val="auto"/>
          <w:sz w:val="24"/>
          <w:szCs w:val="24"/>
        </w:rPr>
        <w:t xml:space="preserve"> </w:t>
      </w:r>
      <w:r>
        <w:rPr>
          <w:rFonts w:ascii="华文楷体" w:hAnsi="华文楷体" w:hint="eastAsia"/>
          <w:b w:val="0"/>
          <w:color w:val="auto"/>
          <w:sz w:val="24"/>
          <w:szCs w:val="24"/>
        </w:rPr>
        <w:t xml:space="preserve"> </w:t>
      </w:r>
      <w:r w:rsidRPr="007F3080">
        <w:rPr>
          <w:rFonts w:ascii="华文楷体" w:hAnsi="华文楷体" w:hint="eastAsia"/>
          <w:b w:val="0"/>
          <w:color w:val="auto"/>
          <w:sz w:val="24"/>
          <w:szCs w:val="24"/>
        </w:rPr>
        <w:t>5月份工业增加值同比增长8.8%，两年平均增速6.6%（前值6.8%），环比增长0.52%，与4月持平。首先是需求端的推动，</w:t>
      </w:r>
      <w:r>
        <w:rPr>
          <w:rFonts w:ascii="华文楷体" w:hAnsi="华文楷体" w:hint="eastAsia"/>
          <w:b w:val="0"/>
          <w:color w:val="auto"/>
          <w:sz w:val="24"/>
          <w:szCs w:val="24"/>
        </w:rPr>
        <w:t>进出口的强韧表现</w:t>
      </w:r>
      <w:r w:rsidRPr="007F3080">
        <w:rPr>
          <w:rFonts w:ascii="华文楷体" w:hAnsi="华文楷体" w:hint="eastAsia"/>
          <w:b w:val="0"/>
          <w:color w:val="auto"/>
          <w:sz w:val="24"/>
          <w:szCs w:val="24"/>
        </w:rPr>
        <w:t>对企业的生产</w:t>
      </w:r>
      <w:r>
        <w:rPr>
          <w:rFonts w:ascii="华文楷体" w:hAnsi="华文楷体" w:hint="eastAsia"/>
          <w:b w:val="0"/>
          <w:color w:val="auto"/>
          <w:sz w:val="24"/>
          <w:szCs w:val="24"/>
        </w:rPr>
        <w:t>仍</w:t>
      </w:r>
      <w:r w:rsidRPr="007F3080">
        <w:rPr>
          <w:rFonts w:ascii="华文楷体" w:hAnsi="华文楷体" w:hint="eastAsia"/>
          <w:b w:val="0"/>
          <w:color w:val="auto"/>
          <w:sz w:val="24"/>
          <w:szCs w:val="24"/>
        </w:rPr>
        <w:t>形成</w:t>
      </w:r>
      <w:r>
        <w:rPr>
          <w:rFonts w:ascii="华文楷体" w:hAnsi="华文楷体" w:hint="eastAsia"/>
          <w:b w:val="0"/>
          <w:color w:val="auto"/>
          <w:sz w:val="24"/>
          <w:szCs w:val="24"/>
        </w:rPr>
        <w:t>一定</w:t>
      </w:r>
      <w:r w:rsidRPr="007F3080">
        <w:rPr>
          <w:rFonts w:ascii="华文楷体" w:hAnsi="华文楷体" w:hint="eastAsia"/>
          <w:b w:val="0"/>
          <w:color w:val="auto"/>
          <w:sz w:val="24"/>
          <w:szCs w:val="24"/>
        </w:rPr>
        <w:t>支撑，5月工业企业出口交货值同比增长16.9%；环保限产政策有所缓和、企业担心后续原材料价格上涨，也会加快完成前期的订单。</w:t>
      </w:r>
    </w:p>
    <w:p w14:paraId="5D530856" w14:textId="54633F5A" w:rsidR="00DD187B" w:rsidRDefault="002D5CAF" w:rsidP="006C3FA8">
      <w:pPr>
        <w:pStyle w:val="Header1"/>
        <w:spacing w:before="240"/>
        <w:rPr>
          <w:rFonts w:ascii="华文楷体" w:hAnsi="华文楷体"/>
          <w:b w:val="0"/>
          <w:color w:val="auto"/>
          <w:sz w:val="24"/>
          <w:szCs w:val="24"/>
        </w:rPr>
      </w:pPr>
      <w:r>
        <w:rPr>
          <w:rFonts w:ascii="华文楷体" w:hAnsi="华文楷体" w:hint="eastAsia"/>
          <w:b w:val="0"/>
          <w:color w:val="auto"/>
          <w:sz w:val="24"/>
          <w:szCs w:val="24"/>
        </w:rPr>
        <w:t xml:space="preserve">     整体看，5月经济数据基本平稳，但是经济动力边际稍显疲弱。临近季末，尽管数据不够强劲，但市场反应钝化，整体仍</w:t>
      </w:r>
      <w:r w:rsidR="00800C30">
        <w:rPr>
          <w:rFonts w:ascii="华文楷体" w:hAnsi="华文楷体" w:hint="eastAsia"/>
          <w:b w:val="0"/>
          <w:color w:val="auto"/>
          <w:sz w:val="24"/>
          <w:szCs w:val="24"/>
        </w:rPr>
        <w:t>以</w:t>
      </w:r>
      <w:r>
        <w:rPr>
          <w:rFonts w:ascii="华文楷体" w:hAnsi="华文楷体" w:hint="eastAsia"/>
          <w:b w:val="0"/>
          <w:color w:val="auto"/>
          <w:sz w:val="24"/>
          <w:szCs w:val="24"/>
        </w:rPr>
        <w:t>震荡为主，</w:t>
      </w:r>
      <w:r w:rsidR="00800C30">
        <w:rPr>
          <w:rFonts w:ascii="华文楷体" w:hAnsi="华文楷体" w:hint="eastAsia"/>
          <w:b w:val="0"/>
          <w:color w:val="auto"/>
          <w:sz w:val="24"/>
          <w:szCs w:val="24"/>
        </w:rPr>
        <w:t>在</w:t>
      </w:r>
      <w:r>
        <w:rPr>
          <w:rFonts w:ascii="华文楷体" w:hAnsi="华文楷体" w:hint="eastAsia"/>
          <w:b w:val="0"/>
          <w:color w:val="auto"/>
          <w:sz w:val="24"/>
          <w:szCs w:val="24"/>
        </w:rPr>
        <w:t>资金扰动情况下，利率债曲线适度走平，短端上行相对明显，长端震荡为主，中长端一级情绪较前期边际走弱。部分机构在当前位置适度获利了结，更多关注信用债票面配置机会。</w:t>
      </w:r>
    </w:p>
    <w:p w14:paraId="6FCB91BB" w14:textId="77777777" w:rsidR="002D5CAF" w:rsidRPr="00551C03" w:rsidRDefault="002D5CAF" w:rsidP="006C3FA8">
      <w:pPr>
        <w:pStyle w:val="Header1"/>
        <w:spacing w:before="240"/>
        <w:rPr>
          <w:rFonts w:ascii="华文楷体" w:hAnsi="华文楷体"/>
          <w:b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lastRenderedPageBreak/>
        <w:t>1</w:t>
      </w:r>
      <w:r>
        <w:rPr>
          <w:rFonts w:hint="eastAsia"/>
          <w:sz w:val="28"/>
          <w:szCs w:val="21"/>
          <w:lang w:eastAsia="zh-CN"/>
        </w:rPr>
        <w:t>、</w:t>
      </w:r>
      <w:r>
        <w:rPr>
          <w:rFonts w:hint="eastAsia"/>
          <w:sz w:val="28"/>
          <w:szCs w:val="21"/>
        </w:rPr>
        <w:t>资金面</w:t>
      </w:r>
    </w:p>
    <w:p w14:paraId="5B44DCF6" w14:textId="1E3B78F9"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A5662C">
        <w:rPr>
          <w:rFonts w:ascii="华文楷体" w:hAnsi="华文楷体" w:hint="eastAsia"/>
          <w:sz w:val="24"/>
          <w:szCs w:val="24"/>
          <w:lang w:eastAsia="zh-CN"/>
        </w:rPr>
        <w:t>净</w:t>
      </w:r>
      <w:r w:rsidR="00026E14">
        <w:rPr>
          <w:rFonts w:ascii="华文楷体" w:hAnsi="华文楷体" w:hint="eastAsia"/>
          <w:sz w:val="24"/>
          <w:szCs w:val="24"/>
          <w:lang w:eastAsia="zh-CN"/>
        </w:rPr>
        <w:t>回笼</w:t>
      </w:r>
      <w:r w:rsidR="0090039B">
        <w:rPr>
          <w:rFonts w:ascii="华文楷体" w:hAnsi="华文楷体" w:hint="eastAsia"/>
          <w:sz w:val="24"/>
          <w:szCs w:val="24"/>
          <w:lang w:eastAsia="zh-CN"/>
        </w:rPr>
        <w:t>10</w:t>
      </w:r>
      <w:r w:rsidR="00C15F3D">
        <w:rPr>
          <w:rFonts w:ascii="华文楷体" w:hAnsi="华文楷体"/>
          <w:sz w:val="24"/>
          <w:szCs w:val="24"/>
          <w:lang w:eastAsia="zh-CN"/>
        </w:rPr>
        <w:t>0</w:t>
      </w:r>
      <w:r w:rsidR="00C15F3D">
        <w:rPr>
          <w:rFonts w:ascii="华文楷体" w:hAnsi="华文楷体" w:hint="eastAsia"/>
          <w:sz w:val="24"/>
          <w:szCs w:val="24"/>
          <w:lang w:eastAsia="zh-CN"/>
        </w:rPr>
        <w:t>亿</w:t>
      </w:r>
      <w:r w:rsidR="006E4B59">
        <w:rPr>
          <w:rFonts w:ascii="华文楷体" w:hAnsi="华文楷体" w:hint="eastAsia"/>
          <w:sz w:val="24"/>
          <w:szCs w:val="24"/>
          <w:lang w:eastAsia="zh-CN"/>
        </w:rPr>
        <w:t>，</w:t>
      </w:r>
      <w:r w:rsidR="0090039B">
        <w:rPr>
          <w:rFonts w:ascii="华文楷体" w:hAnsi="华文楷体" w:hint="eastAsia"/>
          <w:sz w:val="24"/>
          <w:szCs w:val="24"/>
          <w:lang w:eastAsia="zh-CN"/>
        </w:rPr>
        <w:t>利率中枢小幅上行</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90039B">
        <w:rPr>
          <w:rFonts w:ascii="华文楷体" w:hAnsi="华文楷体" w:hint="eastAsia"/>
          <w:sz w:val="24"/>
          <w:szCs w:val="24"/>
          <w:lang w:eastAsia="zh-CN"/>
        </w:rPr>
        <w:t>上行2</w:t>
      </w:r>
      <w:r w:rsidR="002D361C">
        <w:rPr>
          <w:rFonts w:ascii="华文楷体" w:hAnsi="华文楷体" w:hint="eastAsia"/>
          <w:sz w:val="24"/>
          <w:szCs w:val="24"/>
          <w:lang w:eastAsia="zh-CN"/>
        </w:rPr>
        <w:t>BP至</w:t>
      </w:r>
      <w:r w:rsidR="00026E14">
        <w:rPr>
          <w:rFonts w:ascii="华文楷体" w:hAnsi="华文楷体" w:hint="eastAsia"/>
          <w:sz w:val="24"/>
          <w:szCs w:val="24"/>
          <w:lang w:eastAsia="zh-CN"/>
        </w:rPr>
        <w:t>2.</w:t>
      </w:r>
      <w:r w:rsidR="002A111A">
        <w:rPr>
          <w:rFonts w:ascii="华文楷体" w:hAnsi="华文楷体" w:hint="eastAsia"/>
          <w:sz w:val="24"/>
          <w:szCs w:val="24"/>
          <w:lang w:eastAsia="zh-CN"/>
        </w:rPr>
        <w:t>0</w:t>
      </w:r>
      <w:r w:rsidR="0090039B">
        <w:rPr>
          <w:rFonts w:ascii="华文楷体" w:hAnsi="华文楷体" w:hint="eastAsia"/>
          <w:sz w:val="24"/>
          <w:szCs w:val="24"/>
          <w:lang w:eastAsia="zh-CN"/>
        </w:rPr>
        <w:t>5</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90039B">
        <w:rPr>
          <w:rFonts w:ascii="华文楷体" w:hAnsi="华文楷体" w:hint="eastAsia"/>
          <w:sz w:val="24"/>
          <w:szCs w:val="24"/>
          <w:lang w:eastAsia="zh-CN"/>
        </w:rPr>
        <w:t>上行10</w:t>
      </w:r>
      <w:r w:rsidR="00D9413F">
        <w:rPr>
          <w:rFonts w:ascii="华文楷体" w:hAnsi="华文楷体" w:hint="eastAsia"/>
          <w:sz w:val="24"/>
          <w:szCs w:val="24"/>
          <w:lang w:eastAsia="zh-CN"/>
        </w:rPr>
        <w:t>BP至</w:t>
      </w:r>
      <w:r w:rsidR="00C15F3D">
        <w:rPr>
          <w:rFonts w:ascii="华文楷体" w:hAnsi="华文楷体"/>
          <w:sz w:val="24"/>
          <w:szCs w:val="24"/>
          <w:lang w:eastAsia="zh-CN"/>
        </w:rPr>
        <w:t>2</w:t>
      </w:r>
      <w:r w:rsidR="00515400">
        <w:rPr>
          <w:rFonts w:ascii="华文楷体" w:hAnsi="华文楷体" w:hint="eastAsia"/>
          <w:sz w:val="24"/>
          <w:szCs w:val="24"/>
          <w:lang w:eastAsia="zh-CN"/>
        </w:rPr>
        <w:t>.</w:t>
      </w:r>
      <w:r w:rsidR="0090039B">
        <w:rPr>
          <w:rFonts w:ascii="华文楷体" w:hAnsi="华文楷体" w:hint="eastAsia"/>
          <w:sz w:val="24"/>
          <w:szCs w:val="24"/>
          <w:lang w:eastAsia="zh-CN"/>
        </w:rPr>
        <w:t>2</w:t>
      </w:r>
      <w:r w:rsidR="002A111A">
        <w:rPr>
          <w:rFonts w:ascii="华文楷体" w:hAnsi="华文楷体" w:hint="eastAsia"/>
          <w:sz w:val="24"/>
          <w:szCs w:val="24"/>
          <w:lang w:eastAsia="zh-CN"/>
        </w:rPr>
        <w:t>1</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w:t>
      </w:r>
      <w:r w:rsidR="00ED7CCC">
        <w:rPr>
          <w:rFonts w:ascii="华文楷体" w:hAnsi="华文楷体" w:hint="eastAsia"/>
          <w:sz w:val="24"/>
          <w:szCs w:val="24"/>
          <w:lang w:eastAsia="zh-CN"/>
        </w:rPr>
        <w:t>隔夜利率和</w:t>
      </w:r>
      <w:r w:rsidR="00B92F0A">
        <w:rPr>
          <w:rFonts w:ascii="华文楷体" w:hAnsi="华文楷体" w:hint="eastAsia"/>
          <w:sz w:val="24"/>
          <w:szCs w:val="24"/>
          <w:lang w:eastAsia="zh-CN"/>
        </w:rPr>
        <w:t>7</w:t>
      </w:r>
      <w:r w:rsidR="00ED7CCC">
        <w:rPr>
          <w:rFonts w:ascii="华文楷体" w:hAnsi="华文楷体" w:hint="eastAsia"/>
          <w:sz w:val="24"/>
          <w:szCs w:val="24"/>
          <w:lang w:eastAsia="zh-CN"/>
        </w:rPr>
        <w:t>天利率</w:t>
      </w:r>
      <w:r w:rsidR="00C15F3D">
        <w:rPr>
          <w:rFonts w:ascii="华文楷体" w:hAnsi="华文楷体" w:hint="eastAsia"/>
          <w:sz w:val="24"/>
          <w:szCs w:val="24"/>
          <w:lang w:eastAsia="zh-CN"/>
        </w:rPr>
        <w:t>利差</w:t>
      </w:r>
      <w:r w:rsidR="002A111A">
        <w:rPr>
          <w:rFonts w:ascii="华文楷体" w:hAnsi="华文楷体" w:hint="eastAsia"/>
          <w:sz w:val="24"/>
          <w:szCs w:val="24"/>
          <w:lang w:eastAsia="zh-CN"/>
        </w:rPr>
        <w:t>保持</w:t>
      </w:r>
      <w:r w:rsidR="00026E14">
        <w:rPr>
          <w:rFonts w:ascii="华文楷体" w:hAnsi="华文楷体" w:hint="eastAsia"/>
          <w:sz w:val="24"/>
          <w:szCs w:val="24"/>
          <w:lang w:eastAsia="zh-CN"/>
        </w:rPr>
        <w:t>窄幅震荡</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90039B">
        <w:tblPrEx>
          <w:tblCellMar>
            <w:left w:w="108" w:type="dxa"/>
            <w:right w:w="108" w:type="dxa"/>
          </w:tblCellMar>
        </w:tblPrEx>
        <w:trPr>
          <w:jc w:val="center"/>
        </w:trPr>
        <w:tc>
          <w:tcPr>
            <w:tcW w:w="4939" w:type="dxa"/>
            <w:vAlign w:val="center"/>
          </w:tcPr>
          <w:p w14:paraId="60AEAEDC" w14:textId="013AB344" w:rsidR="00E0626C" w:rsidRPr="003C6AC1" w:rsidRDefault="0090039B" w:rsidP="009A2BA0">
            <w:pPr>
              <w:jc w:val="center"/>
              <w:rPr>
                <w:noProof/>
                <w:sz w:val="20"/>
              </w:rPr>
            </w:pPr>
            <w:r>
              <w:rPr>
                <w:noProof/>
              </w:rPr>
              <w:drawing>
                <wp:inline distT="0" distB="0" distL="0" distR="0" wp14:anchorId="43FBE0C4" wp14:editId="0E8698BB">
                  <wp:extent cx="2999105" cy="1702892"/>
                  <wp:effectExtent l="0" t="0" r="0" b="0"/>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78592873" w:rsidR="00E0626C" w:rsidRPr="002A111A" w:rsidRDefault="0090039B" w:rsidP="009A2BA0">
            <w:pPr>
              <w:jc w:val="center"/>
              <w:rPr>
                <w:noProof/>
                <w:sz w:val="14"/>
                <w:szCs w:val="14"/>
              </w:rPr>
            </w:pPr>
            <w:r>
              <w:rPr>
                <w:noProof/>
              </w:rPr>
              <w:drawing>
                <wp:inline distT="0" distB="0" distL="0" distR="0" wp14:anchorId="0F71BB97" wp14:editId="53CBB88F">
                  <wp:extent cx="3057754" cy="1709420"/>
                  <wp:effectExtent l="0" t="0" r="0" b="5080"/>
                  <wp:docPr id="15" name="图表 15">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310D6C5B" w:rsidR="00A917BC" w:rsidRPr="00A917BC" w:rsidRDefault="0093645F"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利率债</w:t>
      </w:r>
      <w:r w:rsidR="0064451B">
        <w:rPr>
          <w:rFonts w:ascii="华文楷体" w:hAnsi="华文楷体" w:hint="eastAsia"/>
          <w:sz w:val="24"/>
          <w:szCs w:val="24"/>
          <w:lang w:eastAsia="zh-CN"/>
        </w:rPr>
        <w:t>方面，</w:t>
      </w:r>
      <w:r w:rsidR="0090039B">
        <w:rPr>
          <w:rFonts w:ascii="华文楷体" w:hAnsi="华文楷体" w:hint="eastAsia"/>
          <w:sz w:val="24"/>
          <w:szCs w:val="24"/>
          <w:lang w:eastAsia="zh-CN"/>
        </w:rPr>
        <w:t>中长</w:t>
      </w:r>
      <w:proofErr w:type="gramStart"/>
      <w:r w:rsidR="0090039B">
        <w:rPr>
          <w:rFonts w:ascii="华文楷体" w:hAnsi="华文楷体" w:hint="eastAsia"/>
          <w:sz w:val="24"/>
          <w:szCs w:val="24"/>
          <w:lang w:eastAsia="zh-CN"/>
        </w:rPr>
        <w:t>端品种</w:t>
      </w:r>
      <w:proofErr w:type="gramEnd"/>
      <w:r w:rsidR="0090039B">
        <w:rPr>
          <w:rFonts w:ascii="华文楷体" w:hAnsi="华文楷体" w:hint="eastAsia"/>
          <w:sz w:val="24"/>
          <w:szCs w:val="24"/>
          <w:lang w:eastAsia="zh-CN"/>
        </w:rPr>
        <w:t>震荡为主，短期品种受资金扰动快速上行，</w:t>
      </w:r>
      <w:r w:rsidR="008D0A2E">
        <w:rPr>
          <w:rFonts w:ascii="华文楷体" w:hAnsi="华文楷体" w:hint="eastAsia"/>
          <w:sz w:val="24"/>
          <w:szCs w:val="24"/>
          <w:lang w:eastAsia="zh-CN"/>
        </w:rPr>
        <w:t>叠加临近半年末市场情绪</w:t>
      </w:r>
      <w:r w:rsidR="0090039B">
        <w:rPr>
          <w:rFonts w:ascii="华文楷体" w:hAnsi="华文楷体" w:hint="eastAsia"/>
          <w:sz w:val="24"/>
          <w:szCs w:val="24"/>
          <w:lang w:eastAsia="zh-CN"/>
        </w:rPr>
        <w:t>持续</w:t>
      </w:r>
      <w:r w:rsidR="008D0A2E">
        <w:rPr>
          <w:rFonts w:ascii="华文楷体" w:hAnsi="华文楷体" w:hint="eastAsia"/>
          <w:sz w:val="24"/>
          <w:szCs w:val="24"/>
          <w:lang w:eastAsia="zh-CN"/>
        </w:rPr>
        <w:t>相对谨慎</w:t>
      </w:r>
      <w:r w:rsidR="006629A0">
        <w:rPr>
          <w:rFonts w:ascii="华文楷体" w:hAnsi="华文楷体" w:hint="eastAsia"/>
          <w:sz w:val="24"/>
          <w:szCs w:val="24"/>
          <w:lang w:eastAsia="zh-CN"/>
        </w:rPr>
        <w:t>。</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90039B">
        <w:rPr>
          <w:rFonts w:ascii="华文楷体" w:hAnsi="华文楷体" w:hint="eastAsia"/>
          <w:sz w:val="24"/>
          <w:szCs w:val="24"/>
          <w:lang w:eastAsia="zh-CN"/>
        </w:rPr>
        <w:t>59</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17B47">
        <w:rPr>
          <w:rFonts w:ascii="华文楷体" w:hAnsi="华文楷体" w:hint="eastAsia"/>
          <w:sz w:val="24"/>
          <w:szCs w:val="24"/>
          <w:lang w:eastAsia="zh-CN"/>
        </w:rPr>
        <w:t>9</w:t>
      </w:r>
      <w:r w:rsidR="0090039B">
        <w:rPr>
          <w:rFonts w:ascii="华文楷体" w:hAnsi="华文楷体" w:hint="eastAsia"/>
          <w:sz w:val="24"/>
          <w:szCs w:val="24"/>
          <w:lang w:eastAsia="zh-CN"/>
        </w:rPr>
        <w:t>6</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90039B">
        <w:rPr>
          <w:rFonts w:ascii="华文楷体" w:hAnsi="华文楷体" w:hint="eastAsia"/>
          <w:sz w:val="24"/>
          <w:szCs w:val="24"/>
          <w:lang w:eastAsia="zh-CN"/>
        </w:rPr>
        <w:t>下行0.7</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90039B">
        <w:rPr>
          <w:rFonts w:ascii="华文楷体" w:hAnsi="华文楷体" w:hint="eastAsia"/>
          <w:sz w:val="24"/>
          <w:szCs w:val="24"/>
          <w:lang w:eastAsia="zh-CN"/>
        </w:rPr>
        <w:t>上行</w:t>
      </w:r>
      <w:proofErr w:type="gramEnd"/>
      <w:r w:rsidR="0090039B">
        <w:rPr>
          <w:rFonts w:ascii="华文楷体" w:hAnsi="华文楷体" w:hint="eastAsia"/>
          <w:sz w:val="24"/>
          <w:szCs w:val="24"/>
          <w:lang w:eastAsia="zh-CN"/>
        </w:rPr>
        <w:t>0.5</w:t>
      </w:r>
      <w:r w:rsidR="00DD03B3">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90039B">
        <w:rPr>
          <w:rFonts w:ascii="华文楷体" w:hAnsi="华文楷体" w:hint="eastAsia"/>
          <w:sz w:val="24"/>
          <w:szCs w:val="24"/>
          <w:lang w:eastAsia="zh-CN"/>
        </w:rPr>
        <w:t>39</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90039B">
        <w:tblPrEx>
          <w:tblCellMar>
            <w:left w:w="108" w:type="dxa"/>
            <w:right w:w="108" w:type="dxa"/>
          </w:tblCellMar>
        </w:tblPrEx>
        <w:trPr>
          <w:jc w:val="center"/>
        </w:trPr>
        <w:tc>
          <w:tcPr>
            <w:tcW w:w="4939" w:type="dxa"/>
            <w:vAlign w:val="center"/>
          </w:tcPr>
          <w:p w14:paraId="678C97B0" w14:textId="250061CF" w:rsidR="00E0626C" w:rsidRPr="007E0340" w:rsidRDefault="0090039B" w:rsidP="002104B2">
            <w:pPr>
              <w:rPr>
                <w:noProof/>
              </w:rPr>
            </w:pPr>
            <w:r>
              <w:rPr>
                <w:noProof/>
              </w:rPr>
              <w:drawing>
                <wp:inline distT="0" distB="0" distL="0" distR="0" wp14:anchorId="1AB50EB4" wp14:editId="6986AC1F">
                  <wp:extent cx="2999105" cy="1728750"/>
                  <wp:effectExtent l="0" t="0" r="0" b="5080"/>
                  <wp:docPr id="17" name="图表 1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6C4ED250" w:rsidR="00E0626C" w:rsidRPr="007E0340" w:rsidRDefault="0090039B" w:rsidP="009A2BA0">
            <w:pPr>
              <w:jc w:val="center"/>
              <w:rPr>
                <w:noProof/>
                <w:szCs w:val="18"/>
              </w:rPr>
            </w:pPr>
            <w:r>
              <w:rPr>
                <w:noProof/>
              </w:rPr>
              <w:drawing>
                <wp:inline distT="0" distB="0" distL="0" distR="0" wp14:anchorId="26E7337C" wp14:editId="5E0DF027">
                  <wp:extent cx="2998470" cy="1750593"/>
                  <wp:effectExtent l="0" t="0" r="0" b="2540"/>
                  <wp:docPr id="18" name="图表 1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07C6034E"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8011F8" w:rsidRPr="008011F8">
        <w:rPr>
          <w:rFonts w:ascii="华文楷体" w:hAnsi="华文楷体" w:hint="eastAsia"/>
          <w:sz w:val="24"/>
          <w:szCs w:val="24"/>
          <w:lang w:eastAsia="zh-CN"/>
        </w:rPr>
        <w:t>受资金波动加大影响信用债品种多数</w:t>
      </w:r>
      <w:r w:rsidR="00657F44">
        <w:rPr>
          <w:rFonts w:ascii="华文楷体" w:hAnsi="华文楷体" w:hint="eastAsia"/>
          <w:sz w:val="24"/>
          <w:szCs w:val="24"/>
          <w:lang w:eastAsia="zh-CN"/>
        </w:rPr>
        <w:t>调整上行</w:t>
      </w:r>
      <w:r w:rsidR="008011F8" w:rsidRPr="008011F8">
        <w:rPr>
          <w:rFonts w:ascii="华文楷体" w:hAnsi="华文楷体" w:hint="eastAsia"/>
          <w:sz w:val="24"/>
          <w:szCs w:val="24"/>
          <w:lang w:eastAsia="zh-CN"/>
        </w:rPr>
        <w:t>。1Y</w:t>
      </w:r>
      <w:proofErr w:type="gramStart"/>
      <w:r w:rsidR="008011F8" w:rsidRPr="008011F8">
        <w:rPr>
          <w:rFonts w:ascii="华文楷体" w:hAnsi="华文楷体" w:hint="eastAsia"/>
          <w:sz w:val="24"/>
          <w:szCs w:val="24"/>
          <w:lang w:eastAsia="zh-CN"/>
        </w:rPr>
        <w:t>期限短融上行</w:t>
      </w:r>
      <w:proofErr w:type="gramEnd"/>
      <w:r w:rsidR="00657F44">
        <w:rPr>
          <w:rFonts w:ascii="华文楷体" w:hAnsi="华文楷体" w:hint="eastAsia"/>
          <w:sz w:val="24"/>
          <w:szCs w:val="24"/>
          <w:lang w:eastAsia="zh-CN"/>
        </w:rPr>
        <w:t>3-5</w:t>
      </w:r>
      <w:r w:rsidR="008011F8" w:rsidRPr="008011F8">
        <w:rPr>
          <w:rFonts w:ascii="华文楷体" w:hAnsi="华文楷体" w:hint="eastAsia"/>
          <w:sz w:val="24"/>
          <w:szCs w:val="24"/>
          <w:lang w:eastAsia="zh-CN"/>
        </w:rPr>
        <w:t>BP，3年AAA企业债上行</w:t>
      </w:r>
      <w:r w:rsidR="00657F44">
        <w:rPr>
          <w:rFonts w:ascii="华文楷体" w:hAnsi="华文楷体" w:hint="eastAsia"/>
          <w:sz w:val="24"/>
          <w:szCs w:val="24"/>
          <w:lang w:eastAsia="zh-CN"/>
        </w:rPr>
        <w:t>1-2</w:t>
      </w:r>
      <w:r w:rsidR="008011F8" w:rsidRPr="008011F8">
        <w:rPr>
          <w:rFonts w:ascii="华文楷体" w:hAnsi="华文楷体" w:hint="eastAsia"/>
          <w:sz w:val="24"/>
          <w:szCs w:val="24"/>
          <w:lang w:eastAsia="zh-CN"/>
        </w:rPr>
        <w:t>BP，5Y企业债</w:t>
      </w:r>
      <w:r w:rsidR="00657F44">
        <w:rPr>
          <w:rFonts w:ascii="华文楷体" w:hAnsi="华文楷体" w:hint="eastAsia"/>
          <w:sz w:val="24"/>
          <w:szCs w:val="24"/>
          <w:lang w:eastAsia="zh-CN"/>
        </w:rPr>
        <w:t>下行1</w:t>
      </w:r>
      <w:r w:rsidR="008011F8" w:rsidRPr="008011F8">
        <w:rPr>
          <w:rFonts w:ascii="华文楷体" w:hAnsi="华文楷体" w:hint="eastAsia"/>
          <w:sz w:val="24"/>
          <w:szCs w:val="24"/>
          <w:lang w:eastAsia="zh-CN"/>
        </w:rPr>
        <w:t>BP</w:t>
      </w:r>
      <w:r w:rsidR="00657F44">
        <w:rPr>
          <w:rFonts w:ascii="华文楷体" w:hAnsi="华文楷体" w:hint="eastAsia"/>
          <w:sz w:val="24"/>
          <w:szCs w:val="24"/>
          <w:lang w:eastAsia="zh-CN"/>
        </w:rPr>
        <w:t>左右</w:t>
      </w:r>
      <w:r w:rsidR="008011F8" w:rsidRPr="008011F8">
        <w:rPr>
          <w:rFonts w:ascii="华文楷体" w:hAnsi="华文楷体" w:hint="eastAsia"/>
          <w:sz w:val="24"/>
          <w:szCs w:val="24"/>
          <w:lang w:eastAsia="zh-CN"/>
        </w:rPr>
        <w:t>，</w:t>
      </w:r>
      <w:proofErr w:type="gramStart"/>
      <w:r w:rsidR="008011F8" w:rsidRPr="008011F8">
        <w:rPr>
          <w:rFonts w:ascii="华文楷体" w:hAnsi="华文楷体" w:hint="eastAsia"/>
          <w:sz w:val="24"/>
          <w:szCs w:val="24"/>
          <w:lang w:eastAsia="zh-CN"/>
        </w:rPr>
        <w:t>城投债</w:t>
      </w:r>
      <w:proofErr w:type="gramEnd"/>
      <w:r w:rsidR="008011F8" w:rsidRPr="008011F8">
        <w:rPr>
          <w:rFonts w:ascii="华文楷体" w:hAnsi="华文楷体" w:hint="eastAsia"/>
          <w:sz w:val="24"/>
          <w:szCs w:val="24"/>
          <w:lang w:eastAsia="zh-CN"/>
        </w:rPr>
        <w:t>3Y期限品种</w:t>
      </w:r>
      <w:r w:rsidR="00657F44">
        <w:rPr>
          <w:rFonts w:ascii="华文楷体" w:hAnsi="华文楷体" w:hint="eastAsia"/>
          <w:sz w:val="24"/>
          <w:szCs w:val="24"/>
          <w:lang w:eastAsia="zh-CN"/>
        </w:rPr>
        <w:t>上行4-5</w:t>
      </w:r>
      <w:r w:rsidR="008011F8" w:rsidRPr="008011F8">
        <w:rPr>
          <w:rFonts w:ascii="华文楷体" w:hAnsi="华文楷体" w:hint="eastAsia"/>
          <w:sz w:val="24"/>
          <w:szCs w:val="24"/>
          <w:lang w:eastAsia="zh-CN"/>
        </w:rPr>
        <w:t>BP，5Y品种上行</w:t>
      </w:r>
      <w:r w:rsidR="00657F44">
        <w:rPr>
          <w:rFonts w:ascii="华文楷体" w:hAnsi="华文楷体" w:hint="eastAsia"/>
          <w:sz w:val="24"/>
          <w:szCs w:val="24"/>
          <w:lang w:eastAsia="zh-CN"/>
        </w:rPr>
        <w:t>2-5</w:t>
      </w:r>
      <w:r w:rsidR="008011F8" w:rsidRPr="008011F8">
        <w:rPr>
          <w:rFonts w:ascii="华文楷体" w:hAnsi="华文楷体" w:hint="eastAsia"/>
          <w:sz w:val="24"/>
          <w:szCs w:val="24"/>
          <w:lang w:eastAsia="zh-CN"/>
        </w:rPr>
        <w:t>BP，7Y品种上行</w:t>
      </w:r>
      <w:r w:rsidR="00657F44">
        <w:rPr>
          <w:rFonts w:ascii="华文楷体" w:hAnsi="华文楷体" w:hint="eastAsia"/>
          <w:sz w:val="24"/>
          <w:szCs w:val="24"/>
          <w:lang w:eastAsia="zh-CN"/>
        </w:rPr>
        <w:t>1</w:t>
      </w:r>
      <w:r w:rsidR="008011F8" w:rsidRPr="008011F8">
        <w:rPr>
          <w:rFonts w:ascii="华文楷体" w:hAnsi="华文楷体" w:hint="eastAsia"/>
          <w:sz w:val="24"/>
          <w:szCs w:val="24"/>
          <w:lang w:eastAsia="zh-CN"/>
        </w:rPr>
        <w:t>BP左右。</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8011F8">
        <w:rPr>
          <w:rFonts w:ascii="华文楷体" w:hAnsi="华文楷体" w:hint="eastAsia"/>
          <w:sz w:val="24"/>
          <w:szCs w:val="24"/>
          <w:lang w:eastAsia="zh-CN"/>
        </w:rPr>
        <w:t>2</w:t>
      </w:r>
      <w:r w:rsidR="00657F44">
        <w:rPr>
          <w:rFonts w:ascii="华文楷体" w:hAnsi="华文楷体" w:hint="eastAsia"/>
          <w:sz w:val="24"/>
          <w:szCs w:val="24"/>
          <w:lang w:eastAsia="zh-CN"/>
        </w:rPr>
        <w:t>2</w:t>
      </w:r>
      <w:r w:rsidR="00DD03B3">
        <w:rPr>
          <w:rFonts w:ascii="华文楷体" w:hAnsi="华文楷体" w:hint="eastAsia"/>
          <w:sz w:val="24"/>
          <w:szCs w:val="24"/>
          <w:lang w:eastAsia="zh-CN"/>
        </w:rPr>
        <w:t>-</w:t>
      </w:r>
      <w:r w:rsidR="00F31B87">
        <w:rPr>
          <w:rFonts w:ascii="华文楷体" w:hAnsi="华文楷体" w:hint="eastAsia"/>
          <w:sz w:val="24"/>
          <w:szCs w:val="24"/>
          <w:lang w:eastAsia="zh-CN"/>
        </w:rPr>
        <w:t>2</w:t>
      </w:r>
      <w:r w:rsidR="00657F44">
        <w:rPr>
          <w:rFonts w:ascii="华文楷体" w:hAnsi="华文楷体" w:hint="eastAsia"/>
          <w:sz w:val="24"/>
          <w:szCs w:val="24"/>
          <w:lang w:eastAsia="zh-CN"/>
        </w:rPr>
        <w:t>7</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93645F">
        <w:rPr>
          <w:rFonts w:ascii="华文楷体" w:hAnsi="华文楷体" w:hint="eastAsia"/>
          <w:sz w:val="24"/>
          <w:szCs w:val="24"/>
          <w:lang w:eastAsia="zh-CN"/>
        </w:rPr>
        <w:t>1</w:t>
      </w:r>
      <w:r w:rsidR="00657F44">
        <w:rPr>
          <w:rFonts w:ascii="华文楷体" w:hAnsi="华文楷体" w:hint="eastAsia"/>
          <w:sz w:val="24"/>
          <w:szCs w:val="24"/>
          <w:lang w:eastAsia="zh-CN"/>
        </w:rPr>
        <w:t>7</w:t>
      </w:r>
      <w:r w:rsidR="00254AC8">
        <w:rPr>
          <w:rFonts w:ascii="华文楷体" w:hAnsi="华文楷体" w:hint="eastAsia"/>
          <w:sz w:val="24"/>
          <w:szCs w:val="24"/>
          <w:lang w:eastAsia="zh-CN"/>
        </w:rPr>
        <w:t>-</w:t>
      </w:r>
      <w:r w:rsidR="008011F8">
        <w:rPr>
          <w:rFonts w:ascii="华文楷体" w:hAnsi="华文楷体" w:hint="eastAsia"/>
          <w:sz w:val="24"/>
          <w:szCs w:val="24"/>
          <w:lang w:eastAsia="zh-CN"/>
        </w:rPr>
        <w:t>2</w:t>
      </w:r>
      <w:r w:rsidR="00657F44">
        <w:rPr>
          <w:rFonts w:ascii="华文楷体" w:hAnsi="华文楷体" w:hint="eastAsia"/>
          <w:sz w:val="24"/>
          <w:szCs w:val="24"/>
          <w:lang w:eastAsia="zh-CN"/>
        </w:rPr>
        <w:t>5</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657F44">
        <w:rPr>
          <w:rFonts w:ascii="华文楷体" w:hAnsi="华文楷体" w:hint="eastAsia"/>
          <w:sz w:val="24"/>
          <w:szCs w:val="24"/>
          <w:lang w:eastAsia="zh-CN"/>
        </w:rPr>
        <w:t>6</w:t>
      </w:r>
      <w:r w:rsidR="001F098C">
        <w:rPr>
          <w:rFonts w:ascii="华文楷体" w:hAnsi="华文楷体" w:hint="eastAsia"/>
          <w:sz w:val="24"/>
          <w:szCs w:val="24"/>
          <w:lang w:eastAsia="zh-CN"/>
        </w:rPr>
        <w:t>-1</w:t>
      </w:r>
      <w:r w:rsidR="00657F44">
        <w:rPr>
          <w:rFonts w:ascii="华文楷体" w:hAnsi="华文楷体" w:hint="eastAsia"/>
          <w:sz w:val="24"/>
          <w:szCs w:val="24"/>
          <w:lang w:eastAsia="zh-CN"/>
        </w:rPr>
        <w:t>4</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121"/>
              <w:gridCol w:w="920"/>
              <w:gridCol w:w="921"/>
              <w:gridCol w:w="921"/>
              <w:gridCol w:w="921"/>
              <w:gridCol w:w="1150"/>
              <w:gridCol w:w="921"/>
              <w:gridCol w:w="921"/>
              <w:gridCol w:w="921"/>
              <w:gridCol w:w="921"/>
            </w:tblGrid>
            <w:tr w:rsidR="00657F44" w:rsidRPr="00657F44" w14:paraId="59E6831C" w14:textId="77777777" w:rsidTr="00657F44">
              <w:trPr>
                <w:trHeight w:val="285"/>
              </w:trPr>
              <w:tc>
                <w:tcPr>
                  <w:tcW w:w="1151" w:type="dxa"/>
                  <w:tcBorders>
                    <w:top w:val="nil"/>
                    <w:left w:val="nil"/>
                    <w:bottom w:val="single" w:sz="12" w:space="0" w:color="FFFFFF"/>
                    <w:right w:val="single" w:sz="8" w:space="0" w:color="FFFFFF"/>
                  </w:tcBorders>
                  <w:shd w:val="clear" w:color="000000" w:fill="F79646"/>
                  <w:noWrap/>
                  <w:vAlign w:val="center"/>
                  <w:hideMark/>
                </w:tcPr>
                <w:p w14:paraId="2E2213A3"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收益率(%)</w:t>
                  </w:r>
                </w:p>
              </w:tc>
              <w:tc>
                <w:tcPr>
                  <w:tcW w:w="943" w:type="dxa"/>
                  <w:tcBorders>
                    <w:top w:val="nil"/>
                    <w:left w:val="nil"/>
                    <w:bottom w:val="single" w:sz="12" w:space="0" w:color="FFFFFF"/>
                    <w:right w:val="single" w:sz="8" w:space="0" w:color="FFFFFF"/>
                  </w:tcBorders>
                  <w:shd w:val="clear" w:color="000000" w:fill="F79646"/>
                  <w:noWrap/>
                  <w:vAlign w:val="center"/>
                  <w:hideMark/>
                </w:tcPr>
                <w:p w14:paraId="6C5819F9"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AE9436C"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31CC3152"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18CDB47"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13C4E705"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03DF7573"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EA97876"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367F0120"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15AF7F0"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r>
            <w:tr w:rsidR="00657F44" w:rsidRPr="00657F44" w14:paraId="291A1121" w14:textId="77777777" w:rsidTr="00657F44">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7B40A99A"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7AB7706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3.03 </w:t>
                  </w:r>
                </w:p>
              </w:tc>
              <w:tc>
                <w:tcPr>
                  <w:tcW w:w="943" w:type="dxa"/>
                  <w:tcBorders>
                    <w:top w:val="nil"/>
                    <w:left w:val="nil"/>
                    <w:bottom w:val="single" w:sz="8" w:space="0" w:color="FFFFFF"/>
                    <w:right w:val="single" w:sz="8" w:space="0" w:color="FFFFFF"/>
                  </w:tcBorders>
                  <w:shd w:val="clear" w:color="000000" w:fill="FCD5B4"/>
                  <w:noWrap/>
                  <w:vAlign w:val="center"/>
                  <w:hideMark/>
                </w:tcPr>
                <w:p w14:paraId="6A5F27C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3.14 </w:t>
                  </w:r>
                </w:p>
              </w:tc>
              <w:tc>
                <w:tcPr>
                  <w:tcW w:w="943" w:type="dxa"/>
                  <w:tcBorders>
                    <w:top w:val="nil"/>
                    <w:left w:val="nil"/>
                    <w:bottom w:val="single" w:sz="8" w:space="0" w:color="FFFFFF"/>
                    <w:right w:val="single" w:sz="8" w:space="0" w:color="FFFFFF"/>
                  </w:tcBorders>
                  <w:shd w:val="clear" w:color="000000" w:fill="FCD5B4"/>
                  <w:noWrap/>
                  <w:vAlign w:val="center"/>
                  <w:hideMark/>
                </w:tcPr>
                <w:p w14:paraId="5F85145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3.35 </w:t>
                  </w:r>
                </w:p>
              </w:tc>
              <w:tc>
                <w:tcPr>
                  <w:tcW w:w="943" w:type="dxa"/>
                  <w:tcBorders>
                    <w:top w:val="nil"/>
                    <w:left w:val="nil"/>
                    <w:bottom w:val="single" w:sz="8" w:space="0" w:color="FFFFFF"/>
                    <w:right w:val="single" w:sz="8" w:space="0" w:color="FFFFFF"/>
                  </w:tcBorders>
                  <w:shd w:val="clear" w:color="000000" w:fill="FCD5B4"/>
                  <w:noWrap/>
                  <w:vAlign w:val="center"/>
                  <w:hideMark/>
                </w:tcPr>
                <w:p w14:paraId="0F69554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5.54 </w:t>
                  </w:r>
                </w:p>
              </w:tc>
              <w:tc>
                <w:tcPr>
                  <w:tcW w:w="1179" w:type="dxa"/>
                  <w:tcBorders>
                    <w:top w:val="nil"/>
                    <w:left w:val="nil"/>
                    <w:bottom w:val="single" w:sz="8" w:space="0" w:color="FFFFFF"/>
                    <w:right w:val="single" w:sz="8" w:space="0" w:color="FFFFFF"/>
                  </w:tcBorders>
                  <w:shd w:val="clear" w:color="000000" w:fill="FCD5B4"/>
                  <w:noWrap/>
                  <w:vAlign w:val="center"/>
                  <w:hideMark/>
                </w:tcPr>
                <w:p w14:paraId="56F91CD8"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2DD4701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0.50 </w:t>
                  </w:r>
                </w:p>
              </w:tc>
              <w:tc>
                <w:tcPr>
                  <w:tcW w:w="943" w:type="dxa"/>
                  <w:tcBorders>
                    <w:top w:val="nil"/>
                    <w:left w:val="nil"/>
                    <w:bottom w:val="single" w:sz="8" w:space="0" w:color="FFFFFF"/>
                    <w:right w:val="single" w:sz="8" w:space="0" w:color="FFFFFF"/>
                  </w:tcBorders>
                  <w:shd w:val="clear" w:color="000000" w:fill="FCD5B4"/>
                  <w:noWrap/>
                  <w:vAlign w:val="center"/>
                  <w:hideMark/>
                </w:tcPr>
                <w:p w14:paraId="49DC481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0.61 </w:t>
                  </w:r>
                </w:p>
              </w:tc>
              <w:tc>
                <w:tcPr>
                  <w:tcW w:w="943" w:type="dxa"/>
                  <w:tcBorders>
                    <w:top w:val="nil"/>
                    <w:left w:val="nil"/>
                    <w:bottom w:val="single" w:sz="8" w:space="0" w:color="FFFFFF"/>
                    <w:right w:val="single" w:sz="8" w:space="0" w:color="FFFFFF"/>
                  </w:tcBorders>
                  <w:shd w:val="clear" w:color="000000" w:fill="FCD5B4"/>
                  <w:noWrap/>
                  <w:vAlign w:val="center"/>
                  <w:hideMark/>
                </w:tcPr>
                <w:p w14:paraId="22C592B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0.82 </w:t>
                  </w:r>
                </w:p>
              </w:tc>
              <w:tc>
                <w:tcPr>
                  <w:tcW w:w="943" w:type="dxa"/>
                  <w:tcBorders>
                    <w:top w:val="nil"/>
                    <w:left w:val="nil"/>
                    <w:bottom w:val="single" w:sz="8" w:space="0" w:color="FFFFFF"/>
                    <w:right w:val="single" w:sz="8" w:space="0" w:color="FFFFFF"/>
                  </w:tcBorders>
                  <w:shd w:val="clear" w:color="000000" w:fill="FCD5B4"/>
                  <w:noWrap/>
                  <w:vAlign w:val="center"/>
                  <w:hideMark/>
                </w:tcPr>
                <w:p w14:paraId="109B18F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3.01 </w:t>
                  </w:r>
                </w:p>
              </w:tc>
            </w:tr>
            <w:tr w:rsidR="00657F44" w:rsidRPr="00657F44" w14:paraId="17AA1380"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80FDE73"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43D5DC3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3.50 </w:t>
                  </w:r>
                </w:p>
              </w:tc>
              <w:tc>
                <w:tcPr>
                  <w:tcW w:w="943" w:type="dxa"/>
                  <w:tcBorders>
                    <w:top w:val="nil"/>
                    <w:left w:val="nil"/>
                    <w:bottom w:val="single" w:sz="8" w:space="0" w:color="FFFFFF"/>
                    <w:right w:val="single" w:sz="8" w:space="0" w:color="FFFFFF"/>
                  </w:tcBorders>
                  <w:shd w:val="clear" w:color="000000" w:fill="FDE9D9"/>
                  <w:noWrap/>
                  <w:vAlign w:val="center"/>
                  <w:hideMark/>
                </w:tcPr>
                <w:p w14:paraId="7E6DD5C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3.67 </w:t>
                  </w:r>
                </w:p>
              </w:tc>
              <w:tc>
                <w:tcPr>
                  <w:tcW w:w="943" w:type="dxa"/>
                  <w:tcBorders>
                    <w:top w:val="nil"/>
                    <w:left w:val="nil"/>
                    <w:bottom w:val="single" w:sz="8" w:space="0" w:color="FFFFFF"/>
                    <w:right w:val="single" w:sz="8" w:space="0" w:color="FFFFFF"/>
                  </w:tcBorders>
                  <w:shd w:val="clear" w:color="000000" w:fill="FDE9D9"/>
                  <w:noWrap/>
                  <w:vAlign w:val="center"/>
                  <w:hideMark/>
                </w:tcPr>
                <w:p w14:paraId="56B0705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4.03 </w:t>
                  </w:r>
                </w:p>
              </w:tc>
              <w:tc>
                <w:tcPr>
                  <w:tcW w:w="943" w:type="dxa"/>
                  <w:tcBorders>
                    <w:top w:val="nil"/>
                    <w:left w:val="nil"/>
                    <w:bottom w:val="single" w:sz="8" w:space="0" w:color="FFFFFF"/>
                    <w:right w:val="single" w:sz="8" w:space="0" w:color="FFFFFF"/>
                  </w:tcBorders>
                  <w:shd w:val="clear" w:color="000000" w:fill="FDE9D9"/>
                  <w:noWrap/>
                  <w:vAlign w:val="center"/>
                  <w:hideMark/>
                </w:tcPr>
                <w:p w14:paraId="49D39DE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6.22 </w:t>
                  </w:r>
                </w:p>
              </w:tc>
              <w:tc>
                <w:tcPr>
                  <w:tcW w:w="1179" w:type="dxa"/>
                  <w:tcBorders>
                    <w:top w:val="nil"/>
                    <w:left w:val="nil"/>
                    <w:bottom w:val="single" w:sz="8" w:space="0" w:color="FFFFFF"/>
                    <w:right w:val="single" w:sz="8" w:space="0" w:color="FFFFFF"/>
                  </w:tcBorders>
                  <w:shd w:val="clear" w:color="000000" w:fill="FDE9D9"/>
                  <w:noWrap/>
                  <w:vAlign w:val="center"/>
                  <w:hideMark/>
                </w:tcPr>
                <w:p w14:paraId="565D0234"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492A5E9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0.66 </w:t>
                  </w:r>
                </w:p>
              </w:tc>
              <w:tc>
                <w:tcPr>
                  <w:tcW w:w="943" w:type="dxa"/>
                  <w:tcBorders>
                    <w:top w:val="nil"/>
                    <w:left w:val="nil"/>
                    <w:bottom w:val="single" w:sz="8" w:space="0" w:color="FFFFFF"/>
                    <w:right w:val="single" w:sz="8" w:space="0" w:color="FFFFFF"/>
                  </w:tcBorders>
                  <w:shd w:val="clear" w:color="000000" w:fill="FDE9D9"/>
                  <w:noWrap/>
                  <w:vAlign w:val="center"/>
                  <w:hideMark/>
                </w:tcPr>
                <w:p w14:paraId="797B3DD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0.83 </w:t>
                  </w:r>
                </w:p>
              </w:tc>
              <w:tc>
                <w:tcPr>
                  <w:tcW w:w="943" w:type="dxa"/>
                  <w:tcBorders>
                    <w:top w:val="nil"/>
                    <w:left w:val="nil"/>
                    <w:bottom w:val="single" w:sz="8" w:space="0" w:color="FFFFFF"/>
                    <w:right w:val="single" w:sz="8" w:space="0" w:color="FFFFFF"/>
                  </w:tcBorders>
                  <w:shd w:val="clear" w:color="000000" w:fill="FDE9D9"/>
                  <w:noWrap/>
                  <w:vAlign w:val="center"/>
                  <w:hideMark/>
                </w:tcPr>
                <w:p w14:paraId="080128E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1.19 </w:t>
                  </w:r>
                </w:p>
              </w:tc>
              <w:tc>
                <w:tcPr>
                  <w:tcW w:w="943" w:type="dxa"/>
                  <w:tcBorders>
                    <w:top w:val="nil"/>
                    <w:left w:val="nil"/>
                    <w:bottom w:val="single" w:sz="8" w:space="0" w:color="FFFFFF"/>
                    <w:right w:val="single" w:sz="8" w:space="0" w:color="FFFFFF"/>
                  </w:tcBorders>
                  <w:shd w:val="clear" w:color="000000" w:fill="FDE9D9"/>
                  <w:noWrap/>
                  <w:vAlign w:val="center"/>
                  <w:hideMark/>
                </w:tcPr>
                <w:p w14:paraId="2F8B8CE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3.38 </w:t>
                  </w:r>
                </w:p>
              </w:tc>
            </w:tr>
            <w:tr w:rsidR="00657F44" w:rsidRPr="00657F44" w14:paraId="3DEF1F7C"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2BAE033"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0638086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3.78 </w:t>
                  </w:r>
                </w:p>
              </w:tc>
              <w:tc>
                <w:tcPr>
                  <w:tcW w:w="943" w:type="dxa"/>
                  <w:tcBorders>
                    <w:top w:val="nil"/>
                    <w:left w:val="nil"/>
                    <w:bottom w:val="single" w:sz="8" w:space="0" w:color="FFFFFF"/>
                    <w:right w:val="single" w:sz="8" w:space="0" w:color="FFFFFF"/>
                  </w:tcBorders>
                  <w:shd w:val="clear" w:color="000000" w:fill="FCD5B4"/>
                  <w:noWrap/>
                  <w:vAlign w:val="center"/>
                  <w:hideMark/>
                </w:tcPr>
                <w:p w14:paraId="2EA7254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3.97 </w:t>
                  </w:r>
                </w:p>
              </w:tc>
              <w:tc>
                <w:tcPr>
                  <w:tcW w:w="943" w:type="dxa"/>
                  <w:tcBorders>
                    <w:top w:val="nil"/>
                    <w:left w:val="nil"/>
                    <w:bottom w:val="single" w:sz="8" w:space="0" w:color="FFFFFF"/>
                    <w:right w:val="single" w:sz="8" w:space="0" w:color="FFFFFF"/>
                  </w:tcBorders>
                  <w:shd w:val="clear" w:color="000000" w:fill="FCD5B4"/>
                  <w:noWrap/>
                  <w:vAlign w:val="center"/>
                  <w:hideMark/>
                </w:tcPr>
                <w:p w14:paraId="5D4D975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4.51 </w:t>
                  </w:r>
                </w:p>
              </w:tc>
              <w:tc>
                <w:tcPr>
                  <w:tcW w:w="943" w:type="dxa"/>
                  <w:tcBorders>
                    <w:top w:val="nil"/>
                    <w:left w:val="nil"/>
                    <w:bottom w:val="single" w:sz="8" w:space="0" w:color="FFFFFF"/>
                    <w:right w:val="single" w:sz="8" w:space="0" w:color="FFFFFF"/>
                  </w:tcBorders>
                  <w:shd w:val="clear" w:color="000000" w:fill="FCD5B4"/>
                  <w:noWrap/>
                  <w:vAlign w:val="center"/>
                  <w:hideMark/>
                </w:tcPr>
                <w:p w14:paraId="04B3C53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6.70 </w:t>
                  </w:r>
                </w:p>
              </w:tc>
              <w:tc>
                <w:tcPr>
                  <w:tcW w:w="1179" w:type="dxa"/>
                  <w:tcBorders>
                    <w:top w:val="nil"/>
                    <w:left w:val="nil"/>
                    <w:bottom w:val="single" w:sz="8" w:space="0" w:color="FFFFFF"/>
                    <w:right w:val="single" w:sz="8" w:space="0" w:color="FFFFFF"/>
                  </w:tcBorders>
                  <w:shd w:val="clear" w:color="000000" w:fill="FCD5B4"/>
                  <w:noWrap/>
                  <w:vAlign w:val="center"/>
                  <w:hideMark/>
                </w:tcPr>
                <w:p w14:paraId="7FA0A171"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505E788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0.80 </w:t>
                  </w:r>
                </w:p>
              </w:tc>
              <w:tc>
                <w:tcPr>
                  <w:tcW w:w="943" w:type="dxa"/>
                  <w:tcBorders>
                    <w:top w:val="nil"/>
                    <w:left w:val="nil"/>
                    <w:bottom w:val="single" w:sz="8" w:space="0" w:color="FFFFFF"/>
                    <w:right w:val="single" w:sz="8" w:space="0" w:color="FFFFFF"/>
                  </w:tcBorders>
                  <w:shd w:val="clear" w:color="000000" w:fill="FCD5B4"/>
                  <w:noWrap/>
                  <w:vAlign w:val="center"/>
                  <w:hideMark/>
                </w:tcPr>
                <w:p w14:paraId="5343362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0.99 </w:t>
                  </w:r>
                </w:p>
              </w:tc>
              <w:tc>
                <w:tcPr>
                  <w:tcW w:w="943" w:type="dxa"/>
                  <w:tcBorders>
                    <w:top w:val="nil"/>
                    <w:left w:val="nil"/>
                    <w:bottom w:val="single" w:sz="8" w:space="0" w:color="FFFFFF"/>
                    <w:right w:val="single" w:sz="8" w:space="0" w:color="FFFFFF"/>
                  </w:tcBorders>
                  <w:shd w:val="clear" w:color="000000" w:fill="FCD5B4"/>
                  <w:noWrap/>
                  <w:vAlign w:val="center"/>
                  <w:hideMark/>
                </w:tcPr>
                <w:p w14:paraId="54813ED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1.53 </w:t>
                  </w:r>
                </w:p>
              </w:tc>
              <w:tc>
                <w:tcPr>
                  <w:tcW w:w="943" w:type="dxa"/>
                  <w:tcBorders>
                    <w:top w:val="nil"/>
                    <w:left w:val="nil"/>
                    <w:bottom w:val="single" w:sz="8" w:space="0" w:color="FFFFFF"/>
                    <w:right w:val="single" w:sz="8" w:space="0" w:color="FFFFFF"/>
                  </w:tcBorders>
                  <w:shd w:val="clear" w:color="000000" w:fill="FCD5B4"/>
                  <w:noWrap/>
                  <w:vAlign w:val="center"/>
                  <w:hideMark/>
                </w:tcPr>
                <w:p w14:paraId="7D54EC0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3.72 </w:t>
                  </w:r>
                </w:p>
              </w:tc>
            </w:tr>
            <w:tr w:rsidR="00657F44" w:rsidRPr="00657F44" w14:paraId="7D6E1472"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19979D35"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6876C6D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3.44 </w:t>
                  </w:r>
                </w:p>
              </w:tc>
              <w:tc>
                <w:tcPr>
                  <w:tcW w:w="943" w:type="dxa"/>
                  <w:tcBorders>
                    <w:top w:val="nil"/>
                    <w:left w:val="nil"/>
                    <w:bottom w:val="single" w:sz="8" w:space="0" w:color="FFFFFF"/>
                    <w:right w:val="single" w:sz="8" w:space="0" w:color="FFFFFF"/>
                  </w:tcBorders>
                  <w:shd w:val="clear" w:color="000000" w:fill="FDE9D9"/>
                  <w:noWrap/>
                  <w:vAlign w:val="center"/>
                  <w:hideMark/>
                </w:tcPr>
                <w:p w14:paraId="2FB6A54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3.68 </w:t>
                  </w:r>
                </w:p>
              </w:tc>
              <w:tc>
                <w:tcPr>
                  <w:tcW w:w="943" w:type="dxa"/>
                  <w:tcBorders>
                    <w:top w:val="nil"/>
                    <w:left w:val="nil"/>
                    <w:bottom w:val="single" w:sz="8" w:space="0" w:color="FFFFFF"/>
                    <w:right w:val="single" w:sz="8" w:space="0" w:color="FFFFFF"/>
                  </w:tcBorders>
                  <w:shd w:val="clear" w:color="000000" w:fill="FDE9D9"/>
                  <w:noWrap/>
                  <w:vAlign w:val="center"/>
                  <w:hideMark/>
                </w:tcPr>
                <w:p w14:paraId="0CEF951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4.04 </w:t>
                  </w:r>
                </w:p>
              </w:tc>
              <w:tc>
                <w:tcPr>
                  <w:tcW w:w="943" w:type="dxa"/>
                  <w:tcBorders>
                    <w:top w:val="nil"/>
                    <w:left w:val="nil"/>
                    <w:bottom w:val="single" w:sz="8" w:space="0" w:color="FFFFFF"/>
                    <w:right w:val="single" w:sz="8" w:space="0" w:color="FFFFFF"/>
                  </w:tcBorders>
                  <w:shd w:val="clear" w:color="000000" w:fill="FDE9D9"/>
                  <w:noWrap/>
                  <w:vAlign w:val="center"/>
                  <w:hideMark/>
                </w:tcPr>
                <w:p w14:paraId="5E36AC2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6.24 </w:t>
                  </w:r>
                </w:p>
              </w:tc>
              <w:tc>
                <w:tcPr>
                  <w:tcW w:w="1179" w:type="dxa"/>
                  <w:tcBorders>
                    <w:top w:val="nil"/>
                    <w:left w:val="nil"/>
                    <w:bottom w:val="single" w:sz="8" w:space="0" w:color="FFFFFF"/>
                    <w:right w:val="single" w:sz="8" w:space="0" w:color="FFFFFF"/>
                  </w:tcBorders>
                  <w:shd w:val="clear" w:color="000000" w:fill="FDE9D9"/>
                  <w:noWrap/>
                  <w:vAlign w:val="center"/>
                  <w:hideMark/>
                </w:tcPr>
                <w:p w14:paraId="727835FA"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08BBACC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0.60 </w:t>
                  </w:r>
                </w:p>
              </w:tc>
              <w:tc>
                <w:tcPr>
                  <w:tcW w:w="943" w:type="dxa"/>
                  <w:tcBorders>
                    <w:top w:val="nil"/>
                    <w:left w:val="nil"/>
                    <w:bottom w:val="single" w:sz="8" w:space="0" w:color="FFFFFF"/>
                    <w:right w:val="single" w:sz="8" w:space="0" w:color="FFFFFF"/>
                  </w:tcBorders>
                  <w:shd w:val="clear" w:color="000000" w:fill="FDE9D9"/>
                  <w:noWrap/>
                  <w:vAlign w:val="center"/>
                  <w:hideMark/>
                </w:tcPr>
                <w:p w14:paraId="22E0635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0.83 </w:t>
                  </w:r>
                </w:p>
              </w:tc>
              <w:tc>
                <w:tcPr>
                  <w:tcW w:w="943" w:type="dxa"/>
                  <w:tcBorders>
                    <w:top w:val="nil"/>
                    <w:left w:val="nil"/>
                    <w:bottom w:val="single" w:sz="8" w:space="0" w:color="FFFFFF"/>
                    <w:right w:val="single" w:sz="8" w:space="0" w:color="FFFFFF"/>
                  </w:tcBorders>
                  <w:shd w:val="clear" w:color="000000" w:fill="FDE9D9"/>
                  <w:noWrap/>
                  <w:vAlign w:val="center"/>
                  <w:hideMark/>
                </w:tcPr>
                <w:p w14:paraId="154F4BD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1.19 </w:t>
                  </w:r>
                </w:p>
              </w:tc>
              <w:tc>
                <w:tcPr>
                  <w:tcW w:w="943" w:type="dxa"/>
                  <w:tcBorders>
                    <w:top w:val="nil"/>
                    <w:left w:val="nil"/>
                    <w:bottom w:val="single" w:sz="8" w:space="0" w:color="FFFFFF"/>
                    <w:right w:val="single" w:sz="8" w:space="0" w:color="FFFFFF"/>
                  </w:tcBorders>
                  <w:shd w:val="clear" w:color="000000" w:fill="FDE9D9"/>
                  <w:noWrap/>
                  <w:vAlign w:val="center"/>
                  <w:hideMark/>
                </w:tcPr>
                <w:p w14:paraId="1E1DEF3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3.39 </w:t>
                  </w:r>
                </w:p>
              </w:tc>
            </w:tr>
            <w:tr w:rsidR="00657F44" w:rsidRPr="00657F44" w14:paraId="6D4E2014"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03135DF7"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19088CA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3.65 </w:t>
                  </w:r>
                </w:p>
              </w:tc>
              <w:tc>
                <w:tcPr>
                  <w:tcW w:w="943" w:type="dxa"/>
                  <w:tcBorders>
                    <w:top w:val="nil"/>
                    <w:left w:val="nil"/>
                    <w:bottom w:val="single" w:sz="8" w:space="0" w:color="FFFFFF"/>
                    <w:right w:val="single" w:sz="8" w:space="0" w:color="FFFFFF"/>
                  </w:tcBorders>
                  <w:shd w:val="clear" w:color="000000" w:fill="FCD5B4"/>
                  <w:noWrap/>
                  <w:vAlign w:val="center"/>
                  <w:hideMark/>
                </w:tcPr>
                <w:p w14:paraId="78086D7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3.90 </w:t>
                  </w:r>
                </w:p>
              </w:tc>
              <w:tc>
                <w:tcPr>
                  <w:tcW w:w="943" w:type="dxa"/>
                  <w:tcBorders>
                    <w:top w:val="nil"/>
                    <w:left w:val="nil"/>
                    <w:bottom w:val="single" w:sz="8" w:space="0" w:color="FFFFFF"/>
                    <w:right w:val="single" w:sz="8" w:space="0" w:color="FFFFFF"/>
                  </w:tcBorders>
                  <w:shd w:val="clear" w:color="000000" w:fill="FCD5B4"/>
                  <w:noWrap/>
                  <w:vAlign w:val="center"/>
                  <w:hideMark/>
                </w:tcPr>
                <w:p w14:paraId="765C185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4.45 </w:t>
                  </w:r>
                </w:p>
              </w:tc>
              <w:tc>
                <w:tcPr>
                  <w:tcW w:w="943" w:type="dxa"/>
                  <w:tcBorders>
                    <w:top w:val="nil"/>
                    <w:left w:val="nil"/>
                    <w:bottom w:val="single" w:sz="8" w:space="0" w:color="FFFFFF"/>
                    <w:right w:val="single" w:sz="8" w:space="0" w:color="FFFFFF"/>
                  </w:tcBorders>
                  <w:shd w:val="clear" w:color="000000" w:fill="FCD5B4"/>
                  <w:noWrap/>
                  <w:vAlign w:val="center"/>
                  <w:hideMark/>
                </w:tcPr>
                <w:p w14:paraId="461E9EB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6.65 </w:t>
                  </w:r>
                </w:p>
              </w:tc>
              <w:tc>
                <w:tcPr>
                  <w:tcW w:w="1179" w:type="dxa"/>
                  <w:tcBorders>
                    <w:top w:val="nil"/>
                    <w:left w:val="nil"/>
                    <w:bottom w:val="single" w:sz="8" w:space="0" w:color="FFFFFF"/>
                    <w:right w:val="single" w:sz="8" w:space="0" w:color="FFFFFF"/>
                  </w:tcBorders>
                  <w:shd w:val="clear" w:color="000000" w:fill="FCD5B4"/>
                  <w:noWrap/>
                  <w:vAlign w:val="center"/>
                  <w:hideMark/>
                </w:tcPr>
                <w:p w14:paraId="1FBCB079"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24CAD67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0.67 </w:t>
                  </w:r>
                </w:p>
              </w:tc>
              <w:tc>
                <w:tcPr>
                  <w:tcW w:w="943" w:type="dxa"/>
                  <w:tcBorders>
                    <w:top w:val="nil"/>
                    <w:left w:val="nil"/>
                    <w:bottom w:val="single" w:sz="8" w:space="0" w:color="FFFFFF"/>
                    <w:right w:val="single" w:sz="8" w:space="0" w:color="FFFFFF"/>
                  </w:tcBorders>
                  <w:shd w:val="clear" w:color="000000" w:fill="FCD5B4"/>
                  <w:noWrap/>
                  <w:vAlign w:val="center"/>
                  <w:hideMark/>
                </w:tcPr>
                <w:p w14:paraId="149187A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0.92 </w:t>
                  </w:r>
                </w:p>
              </w:tc>
              <w:tc>
                <w:tcPr>
                  <w:tcW w:w="943" w:type="dxa"/>
                  <w:tcBorders>
                    <w:top w:val="nil"/>
                    <w:left w:val="nil"/>
                    <w:bottom w:val="single" w:sz="8" w:space="0" w:color="FFFFFF"/>
                    <w:right w:val="single" w:sz="8" w:space="0" w:color="FFFFFF"/>
                  </w:tcBorders>
                  <w:shd w:val="clear" w:color="000000" w:fill="FCD5B4"/>
                  <w:noWrap/>
                  <w:vAlign w:val="center"/>
                  <w:hideMark/>
                </w:tcPr>
                <w:p w14:paraId="2E0D693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1.47 </w:t>
                  </w:r>
                </w:p>
              </w:tc>
              <w:tc>
                <w:tcPr>
                  <w:tcW w:w="943" w:type="dxa"/>
                  <w:tcBorders>
                    <w:top w:val="nil"/>
                    <w:left w:val="nil"/>
                    <w:bottom w:val="single" w:sz="8" w:space="0" w:color="FFFFFF"/>
                    <w:right w:val="single" w:sz="8" w:space="0" w:color="FFFFFF"/>
                  </w:tcBorders>
                  <w:shd w:val="clear" w:color="000000" w:fill="FCD5B4"/>
                  <w:noWrap/>
                  <w:vAlign w:val="center"/>
                  <w:hideMark/>
                </w:tcPr>
                <w:p w14:paraId="5389ECC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3.67 </w:t>
                  </w:r>
                </w:p>
              </w:tc>
            </w:tr>
            <w:tr w:rsidR="00657F44" w:rsidRPr="00657F44" w14:paraId="574744A8"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9319487"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2E1BE33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3.90 </w:t>
                  </w:r>
                </w:p>
              </w:tc>
              <w:tc>
                <w:tcPr>
                  <w:tcW w:w="943" w:type="dxa"/>
                  <w:tcBorders>
                    <w:top w:val="nil"/>
                    <w:left w:val="nil"/>
                    <w:bottom w:val="single" w:sz="8" w:space="0" w:color="FFFFFF"/>
                    <w:right w:val="single" w:sz="8" w:space="0" w:color="FFFFFF"/>
                  </w:tcBorders>
                  <w:shd w:val="clear" w:color="000000" w:fill="FDE9D9"/>
                  <w:noWrap/>
                  <w:vAlign w:val="center"/>
                  <w:hideMark/>
                </w:tcPr>
                <w:p w14:paraId="7EE8D5E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4.15 </w:t>
                  </w:r>
                </w:p>
              </w:tc>
              <w:tc>
                <w:tcPr>
                  <w:tcW w:w="943" w:type="dxa"/>
                  <w:tcBorders>
                    <w:top w:val="nil"/>
                    <w:left w:val="nil"/>
                    <w:bottom w:val="single" w:sz="8" w:space="0" w:color="FFFFFF"/>
                    <w:right w:val="single" w:sz="8" w:space="0" w:color="FFFFFF"/>
                  </w:tcBorders>
                  <w:shd w:val="clear" w:color="000000" w:fill="FDE9D9"/>
                  <w:noWrap/>
                  <w:vAlign w:val="center"/>
                  <w:hideMark/>
                </w:tcPr>
                <w:p w14:paraId="4563C53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4.70 </w:t>
                  </w:r>
                </w:p>
              </w:tc>
              <w:tc>
                <w:tcPr>
                  <w:tcW w:w="943" w:type="dxa"/>
                  <w:tcBorders>
                    <w:top w:val="nil"/>
                    <w:left w:val="nil"/>
                    <w:bottom w:val="single" w:sz="8" w:space="0" w:color="FFFFFF"/>
                    <w:right w:val="single" w:sz="8" w:space="0" w:color="FFFFFF"/>
                  </w:tcBorders>
                  <w:shd w:val="clear" w:color="000000" w:fill="FDE9D9"/>
                  <w:noWrap/>
                  <w:vAlign w:val="center"/>
                  <w:hideMark/>
                </w:tcPr>
                <w:p w14:paraId="1F92441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6.90 </w:t>
                  </w:r>
                </w:p>
              </w:tc>
              <w:tc>
                <w:tcPr>
                  <w:tcW w:w="1179" w:type="dxa"/>
                  <w:tcBorders>
                    <w:top w:val="nil"/>
                    <w:left w:val="nil"/>
                    <w:bottom w:val="single" w:sz="8" w:space="0" w:color="FFFFFF"/>
                    <w:right w:val="single" w:sz="8" w:space="0" w:color="FFFFFF"/>
                  </w:tcBorders>
                  <w:shd w:val="clear" w:color="000000" w:fill="FDE9D9"/>
                  <w:noWrap/>
                  <w:vAlign w:val="center"/>
                  <w:hideMark/>
                </w:tcPr>
                <w:p w14:paraId="494A45FF"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416C313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0.78 </w:t>
                  </w:r>
                </w:p>
              </w:tc>
              <w:tc>
                <w:tcPr>
                  <w:tcW w:w="943" w:type="dxa"/>
                  <w:tcBorders>
                    <w:top w:val="nil"/>
                    <w:left w:val="nil"/>
                    <w:bottom w:val="single" w:sz="8" w:space="0" w:color="FFFFFF"/>
                    <w:right w:val="single" w:sz="8" w:space="0" w:color="FFFFFF"/>
                  </w:tcBorders>
                  <w:shd w:val="clear" w:color="000000" w:fill="FDE9D9"/>
                  <w:noWrap/>
                  <w:vAlign w:val="center"/>
                  <w:hideMark/>
                </w:tcPr>
                <w:p w14:paraId="6EA8BBD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1.03 </w:t>
                  </w:r>
                </w:p>
              </w:tc>
              <w:tc>
                <w:tcPr>
                  <w:tcW w:w="943" w:type="dxa"/>
                  <w:tcBorders>
                    <w:top w:val="nil"/>
                    <w:left w:val="nil"/>
                    <w:bottom w:val="single" w:sz="8" w:space="0" w:color="FFFFFF"/>
                    <w:right w:val="single" w:sz="8" w:space="0" w:color="FFFFFF"/>
                  </w:tcBorders>
                  <w:shd w:val="clear" w:color="000000" w:fill="FDE9D9"/>
                  <w:noWrap/>
                  <w:vAlign w:val="center"/>
                  <w:hideMark/>
                </w:tcPr>
                <w:p w14:paraId="5A3AC4B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1.58 </w:t>
                  </w:r>
                </w:p>
              </w:tc>
              <w:tc>
                <w:tcPr>
                  <w:tcW w:w="943" w:type="dxa"/>
                  <w:tcBorders>
                    <w:top w:val="nil"/>
                    <w:left w:val="nil"/>
                    <w:bottom w:val="single" w:sz="8" w:space="0" w:color="FFFFFF"/>
                    <w:right w:val="single" w:sz="8" w:space="0" w:color="FFFFFF"/>
                  </w:tcBorders>
                  <w:shd w:val="clear" w:color="000000" w:fill="FDE9D9"/>
                  <w:noWrap/>
                  <w:vAlign w:val="center"/>
                  <w:hideMark/>
                </w:tcPr>
                <w:p w14:paraId="1B98FDA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3.78 </w:t>
                  </w:r>
                </w:p>
              </w:tc>
            </w:tr>
            <w:tr w:rsidR="00657F44" w:rsidRPr="00657F44" w14:paraId="0B96BBB0"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6421D731"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01495DC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3.52 </w:t>
                  </w:r>
                </w:p>
              </w:tc>
              <w:tc>
                <w:tcPr>
                  <w:tcW w:w="943" w:type="dxa"/>
                  <w:tcBorders>
                    <w:top w:val="nil"/>
                    <w:left w:val="nil"/>
                    <w:bottom w:val="single" w:sz="8" w:space="0" w:color="FFFFFF"/>
                    <w:right w:val="single" w:sz="8" w:space="0" w:color="FFFFFF"/>
                  </w:tcBorders>
                  <w:shd w:val="clear" w:color="000000" w:fill="FCD5B4"/>
                  <w:noWrap/>
                  <w:vAlign w:val="center"/>
                  <w:hideMark/>
                </w:tcPr>
                <w:p w14:paraId="76A043A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3.66 </w:t>
                  </w:r>
                </w:p>
              </w:tc>
              <w:tc>
                <w:tcPr>
                  <w:tcW w:w="943" w:type="dxa"/>
                  <w:tcBorders>
                    <w:top w:val="nil"/>
                    <w:left w:val="nil"/>
                    <w:bottom w:val="single" w:sz="8" w:space="0" w:color="FFFFFF"/>
                    <w:right w:val="single" w:sz="8" w:space="0" w:color="FFFFFF"/>
                  </w:tcBorders>
                  <w:shd w:val="clear" w:color="000000" w:fill="FCD5B4"/>
                  <w:noWrap/>
                  <w:vAlign w:val="center"/>
                  <w:hideMark/>
                </w:tcPr>
                <w:p w14:paraId="7D4F869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3.78 </w:t>
                  </w:r>
                </w:p>
              </w:tc>
              <w:tc>
                <w:tcPr>
                  <w:tcW w:w="943" w:type="dxa"/>
                  <w:tcBorders>
                    <w:top w:val="nil"/>
                    <w:left w:val="nil"/>
                    <w:bottom w:val="single" w:sz="8" w:space="0" w:color="FFFFFF"/>
                    <w:right w:val="single" w:sz="8" w:space="0" w:color="FFFFFF"/>
                  </w:tcBorders>
                  <w:shd w:val="clear" w:color="000000" w:fill="FCD5B4"/>
                  <w:noWrap/>
                  <w:vAlign w:val="center"/>
                  <w:hideMark/>
                </w:tcPr>
                <w:p w14:paraId="6EEBA4C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6.37 </w:t>
                  </w:r>
                </w:p>
              </w:tc>
              <w:tc>
                <w:tcPr>
                  <w:tcW w:w="1179" w:type="dxa"/>
                  <w:tcBorders>
                    <w:top w:val="nil"/>
                    <w:left w:val="nil"/>
                    <w:bottom w:val="single" w:sz="8" w:space="0" w:color="FFFFFF"/>
                    <w:right w:val="single" w:sz="8" w:space="0" w:color="FFFFFF"/>
                  </w:tcBorders>
                  <w:shd w:val="clear" w:color="000000" w:fill="FCD5B4"/>
                  <w:noWrap/>
                  <w:vAlign w:val="center"/>
                  <w:hideMark/>
                </w:tcPr>
                <w:p w14:paraId="611D303F"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37D0C58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0.68 </w:t>
                  </w:r>
                </w:p>
              </w:tc>
              <w:tc>
                <w:tcPr>
                  <w:tcW w:w="943" w:type="dxa"/>
                  <w:tcBorders>
                    <w:top w:val="nil"/>
                    <w:left w:val="nil"/>
                    <w:bottom w:val="single" w:sz="8" w:space="0" w:color="FFFFFF"/>
                    <w:right w:val="single" w:sz="8" w:space="0" w:color="FFFFFF"/>
                  </w:tcBorders>
                  <w:shd w:val="clear" w:color="000000" w:fill="FCD5B4"/>
                  <w:noWrap/>
                  <w:vAlign w:val="center"/>
                  <w:hideMark/>
                </w:tcPr>
                <w:p w14:paraId="5F36309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0.82 </w:t>
                  </w:r>
                </w:p>
              </w:tc>
              <w:tc>
                <w:tcPr>
                  <w:tcW w:w="943" w:type="dxa"/>
                  <w:tcBorders>
                    <w:top w:val="nil"/>
                    <w:left w:val="nil"/>
                    <w:bottom w:val="single" w:sz="8" w:space="0" w:color="FFFFFF"/>
                    <w:right w:val="single" w:sz="8" w:space="0" w:color="FFFFFF"/>
                  </w:tcBorders>
                  <w:shd w:val="clear" w:color="000000" w:fill="FCD5B4"/>
                  <w:noWrap/>
                  <w:vAlign w:val="center"/>
                  <w:hideMark/>
                </w:tcPr>
                <w:p w14:paraId="3CF40B2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0.94 </w:t>
                  </w:r>
                </w:p>
              </w:tc>
              <w:tc>
                <w:tcPr>
                  <w:tcW w:w="943" w:type="dxa"/>
                  <w:tcBorders>
                    <w:top w:val="nil"/>
                    <w:left w:val="nil"/>
                    <w:bottom w:val="single" w:sz="8" w:space="0" w:color="FFFFFF"/>
                    <w:right w:val="single" w:sz="8" w:space="0" w:color="FFFFFF"/>
                  </w:tcBorders>
                  <w:shd w:val="clear" w:color="000000" w:fill="FCD5B4"/>
                  <w:noWrap/>
                  <w:vAlign w:val="center"/>
                  <w:hideMark/>
                </w:tcPr>
                <w:p w14:paraId="795D4E6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3.53 </w:t>
                  </w:r>
                </w:p>
              </w:tc>
            </w:tr>
            <w:tr w:rsidR="00657F44" w:rsidRPr="00657F44" w14:paraId="217EBF66"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0AB0DCE"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2D3D5A8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3.79 </w:t>
                  </w:r>
                </w:p>
              </w:tc>
              <w:tc>
                <w:tcPr>
                  <w:tcW w:w="943" w:type="dxa"/>
                  <w:tcBorders>
                    <w:top w:val="nil"/>
                    <w:left w:val="nil"/>
                    <w:bottom w:val="single" w:sz="8" w:space="0" w:color="FFFFFF"/>
                    <w:right w:val="single" w:sz="8" w:space="0" w:color="FFFFFF"/>
                  </w:tcBorders>
                  <w:shd w:val="clear" w:color="000000" w:fill="FDE9D9"/>
                  <w:noWrap/>
                  <w:vAlign w:val="center"/>
                  <w:hideMark/>
                </w:tcPr>
                <w:p w14:paraId="25C6937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3.97 </w:t>
                  </w:r>
                </w:p>
              </w:tc>
              <w:tc>
                <w:tcPr>
                  <w:tcW w:w="943" w:type="dxa"/>
                  <w:tcBorders>
                    <w:top w:val="nil"/>
                    <w:left w:val="nil"/>
                    <w:bottom w:val="single" w:sz="8" w:space="0" w:color="FFFFFF"/>
                    <w:right w:val="single" w:sz="8" w:space="0" w:color="FFFFFF"/>
                  </w:tcBorders>
                  <w:shd w:val="clear" w:color="000000" w:fill="FDE9D9"/>
                  <w:noWrap/>
                  <w:vAlign w:val="center"/>
                  <w:hideMark/>
                </w:tcPr>
                <w:p w14:paraId="4E14B67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4.34 </w:t>
                  </w:r>
                </w:p>
              </w:tc>
              <w:tc>
                <w:tcPr>
                  <w:tcW w:w="943" w:type="dxa"/>
                  <w:tcBorders>
                    <w:top w:val="nil"/>
                    <w:left w:val="nil"/>
                    <w:bottom w:val="single" w:sz="8" w:space="0" w:color="FFFFFF"/>
                    <w:right w:val="single" w:sz="8" w:space="0" w:color="FFFFFF"/>
                  </w:tcBorders>
                  <w:shd w:val="clear" w:color="000000" w:fill="FDE9D9"/>
                  <w:noWrap/>
                  <w:vAlign w:val="center"/>
                  <w:hideMark/>
                </w:tcPr>
                <w:p w14:paraId="0BA9CD5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7.28 </w:t>
                  </w:r>
                </w:p>
              </w:tc>
              <w:tc>
                <w:tcPr>
                  <w:tcW w:w="1179" w:type="dxa"/>
                  <w:tcBorders>
                    <w:top w:val="nil"/>
                    <w:left w:val="nil"/>
                    <w:bottom w:val="single" w:sz="8" w:space="0" w:color="FFFFFF"/>
                    <w:right w:val="single" w:sz="8" w:space="0" w:color="FFFFFF"/>
                  </w:tcBorders>
                  <w:shd w:val="clear" w:color="000000" w:fill="FDE9D9"/>
                  <w:noWrap/>
                  <w:vAlign w:val="center"/>
                  <w:hideMark/>
                </w:tcPr>
                <w:p w14:paraId="0C36C2EC"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2BE07C1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0.80 </w:t>
                  </w:r>
                </w:p>
              </w:tc>
              <w:tc>
                <w:tcPr>
                  <w:tcW w:w="943" w:type="dxa"/>
                  <w:tcBorders>
                    <w:top w:val="nil"/>
                    <w:left w:val="nil"/>
                    <w:bottom w:val="single" w:sz="8" w:space="0" w:color="FFFFFF"/>
                    <w:right w:val="single" w:sz="8" w:space="0" w:color="FFFFFF"/>
                  </w:tcBorders>
                  <w:shd w:val="clear" w:color="000000" w:fill="FDE9D9"/>
                  <w:noWrap/>
                  <w:vAlign w:val="center"/>
                  <w:hideMark/>
                </w:tcPr>
                <w:p w14:paraId="5E04C26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0.98 </w:t>
                  </w:r>
                </w:p>
              </w:tc>
              <w:tc>
                <w:tcPr>
                  <w:tcW w:w="943" w:type="dxa"/>
                  <w:tcBorders>
                    <w:top w:val="nil"/>
                    <w:left w:val="nil"/>
                    <w:bottom w:val="single" w:sz="8" w:space="0" w:color="FFFFFF"/>
                    <w:right w:val="single" w:sz="8" w:space="0" w:color="FFFFFF"/>
                  </w:tcBorders>
                  <w:shd w:val="clear" w:color="000000" w:fill="FDE9D9"/>
                  <w:noWrap/>
                  <w:vAlign w:val="center"/>
                  <w:hideMark/>
                </w:tcPr>
                <w:p w14:paraId="77A32A5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1.36 </w:t>
                  </w:r>
                </w:p>
              </w:tc>
              <w:tc>
                <w:tcPr>
                  <w:tcW w:w="943" w:type="dxa"/>
                  <w:tcBorders>
                    <w:top w:val="nil"/>
                    <w:left w:val="nil"/>
                    <w:bottom w:val="single" w:sz="8" w:space="0" w:color="FFFFFF"/>
                    <w:right w:val="single" w:sz="8" w:space="0" w:color="FFFFFF"/>
                  </w:tcBorders>
                  <w:shd w:val="clear" w:color="000000" w:fill="FDE9D9"/>
                  <w:noWrap/>
                  <w:vAlign w:val="center"/>
                  <w:hideMark/>
                </w:tcPr>
                <w:p w14:paraId="499CDAB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4.30 </w:t>
                  </w:r>
                </w:p>
              </w:tc>
            </w:tr>
            <w:tr w:rsidR="00657F44" w:rsidRPr="00657F44" w14:paraId="624CF9EC" w14:textId="77777777" w:rsidTr="00657F44">
              <w:trPr>
                <w:trHeight w:val="300"/>
              </w:trPr>
              <w:tc>
                <w:tcPr>
                  <w:tcW w:w="1151" w:type="dxa"/>
                  <w:tcBorders>
                    <w:top w:val="nil"/>
                    <w:left w:val="nil"/>
                    <w:bottom w:val="nil"/>
                    <w:right w:val="nil"/>
                  </w:tcBorders>
                  <w:shd w:val="clear" w:color="000000" w:fill="FCD5B4"/>
                  <w:noWrap/>
                  <w:vAlign w:val="center"/>
                  <w:hideMark/>
                </w:tcPr>
                <w:p w14:paraId="168172A4"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7F17B51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3.96 </w:t>
                  </w:r>
                </w:p>
              </w:tc>
              <w:tc>
                <w:tcPr>
                  <w:tcW w:w="943" w:type="dxa"/>
                  <w:tcBorders>
                    <w:top w:val="nil"/>
                    <w:left w:val="nil"/>
                    <w:bottom w:val="single" w:sz="8" w:space="0" w:color="FFFFFF"/>
                    <w:right w:val="single" w:sz="8" w:space="0" w:color="FFFFFF"/>
                  </w:tcBorders>
                  <w:shd w:val="clear" w:color="000000" w:fill="FCD5B4"/>
                  <w:noWrap/>
                  <w:vAlign w:val="center"/>
                  <w:hideMark/>
                </w:tcPr>
                <w:p w14:paraId="4B8B70C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4.16 </w:t>
                  </w:r>
                </w:p>
              </w:tc>
              <w:tc>
                <w:tcPr>
                  <w:tcW w:w="943" w:type="dxa"/>
                  <w:tcBorders>
                    <w:top w:val="nil"/>
                    <w:left w:val="nil"/>
                    <w:bottom w:val="single" w:sz="8" w:space="0" w:color="FFFFFF"/>
                    <w:right w:val="single" w:sz="8" w:space="0" w:color="FFFFFF"/>
                  </w:tcBorders>
                  <w:shd w:val="clear" w:color="000000" w:fill="FCD5B4"/>
                  <w:noWrap/>
                  <w:vAlign w:val="center"/>
                  <w:hideMark/>
                </w:tcPr>
                <w:p w14:paraId="3F723CF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4.64 </w:t>
                  </w:r>
                </w:p>
              </w:tc>
              <w:tc>
                <w:tcPr>
                  <w:tcW w:w="943" w:type="dxa"/>
                  <w:tcBorders>
                    <w:top w:val="nil"/>
                    <w:left w:val="nil"/>
                    <w:bottom w:val="single" w:sz="8" w:space="0" w:color="FFFFFF"/>
                    <w:right w:val="single" w:sz="8" w:space="0" w:color="FFFFFF"/>
                  </w:tcBorders>
                  <w:shd w:val="clear" w:color="000000" w:fill="FCD5B4"/>
                  <w:noWrap/>
                  <w:vAlign w:val="center"/>
                  <w:hideMark/>
                </w:tcPr>
                <w:p w14:paraId="1C998BD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7.57 </w:t>
                  </w:r>
                </w:p>
              </w:tc>
              <w:tc>
                <w:tcPr>
                  <w:tcW w:w="1179" w:type="dxa"/>
                  <w:tcBorders>
                    <w:top w:val="nil"/>
                    <w:left w:val="nil"/>
                    <w:bottom w:val="nil"/>
                    <w:right w:val="nil"/>
                  </w:tcBorders>
                  <w:shd w:val="clear" w:color="000000" w:fill="FCD5B4"/>
                  <w:noWrap/>
                  <w:vAlign w:val="center"/>
                  <w:hideMark/>
                </w:tcPr>
                <w:p w14:paraId="4995EB0E"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176743E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0.85 </w:t>
                  </w:r>
                </w:p>
              </w:tc>
              <w:tc>
                <w:tcPr>
                  <w:tcW w:w="943" w:type="dxa"/>
                  <w:tcBorders>
                    <w:top w:val="nil"/>
                    <w:left w:val="nil"/>
                    <w:bottom w:val="single" w:sz="8" w:space="0" w:color="FFFFFF"/>
                    <w:right w:val="single" w:sz="8" w:space="0" w:color="FFFFFF"/>
                  </w:tcBorders>
                  <w:shd w:val="clear" w:color="000000" w:fill="FCD5B4"/>
                  <w:noWrap/>
                  <w:vAlign w:val="center"/>
                  <w:hideMark/>
                </w:tcPr>
                <w:p w14:paraId="6FA53AF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1.05 </w:t>
                  </w:r>
                </w:p>
              </w:tc>
              <w:tc>
                <w:tcPr>
                  <w:tcW w:w="943" w:type="dxa"/>
                  <w:tcBorders>
                    <w:top w:val="nil"/>
                    <w:left w:val="nil"/>
                    <w:bottom w:val="single" w:sz="8" w:space="0" w:color="FFFFFF"/>
                    <w:right w:val="single" w:sz="8" w:space="0" w:color="FFFFFF"/>
                  </w:tcBorders>
                  <w:shd w:val="clear" w:color="000000" w:fill="FCD5B4"/>
                  <w:noWrap/>
                  <w:vAlign w:val="center"/>
                  <w:hideMark/>
                </w:tcPr>
                <w:p w14:paraId="30D37F6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1.53 </w:t>
                  </w:r>
                </w:p>
              </w:tc>
              <w:tc>
                <w:tcPr>
                  <w:tcW w:w="943" w:type="dxa"/>
                  <w:tcBorders>
                    <w:top w:val="nil"/>
                    <w:left w:val="nil"/>
                    <w:bottom w:val="single" w:sz="8" w:space="0" w:color="FFFFFF"/>
                    <w:right w:val="single" w:sz="8" w:space="0" w:color="FFFFFF"/>
                  </w:tcBorders>
                  <w:shd w:val="clear" w:color="000000" w:fill="FCD5B4"/>
                  <w:noWrap/>
                  <w:vAlign w:val="center"/>
                  <w:hideMark/>
                </w:tcPr>
                <w:p w14:paraId="3CCB677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4.46 </w:t>
                  </w:r>
                </w:p>
              </w:tc>
            </w:tr>
            <w:tr w:rsidR="00657F44" w:rsidRPr="00657F44" w14:paraId="1E221D57" w14:textId="77777777" w:rsidTr="00657F44">
              <w:trPr>
                <w:trHeight w:val="150"/>
              </w:trPr>
              <w:tc>
                <w:tcPr>
                  <w:tcW w:w="1151" w:type="dxa"/>
                  <w:tcBorders>
                    <w:top w:val="nil"/>
                    <w:left w:val="nil"/>
                    <w:bottom w:val="nil"/>
                    <w:right w:val="nil"/>
                  </w:tcBorders>
                  <w:shd w:val="clear" w:color="auto" w:fill="auto"/>
                  <w:noWrap/>
                  <w:vAlign w:val="center"/>
                  <w:hideMark/>
                </w:tcPr>
                <w:p w14:paraId="3E1CCDB1" w14:textId="77777777" w:rsidR="00657F44" w:rsidRPr="00657F44" w:rsidRDefault="00657F44" w:rsidP="00657F44">
                  <w:pPr>
                    <w:widowControl/>
                    <w:jc w:val="center"/>
                    <w:rPr>
                      <w:rFonts w:eastAsia="等线" w:cs="Calibri"/>
                      <w:color w:val="000000"/>
                      <w:kern w:val="0"/>
                      <w:szCs w:val="21"/>
                    </w:rPr>
                  </w:pPr>
                </w:p>
              </w:tc>
              <w:tc>
                <w:tcPr>
                  <w:tcW w:w="943" w:type="dxa"/>
                  <w:tcBorders>
                    <w:top w:val="nil"/>
                    <w:left w:val="nil"/>
                    <w:bottom w:val="nil"/>
                    <w:right w:val="nil"/>
                  </w:tcBorders>
                  <w:shd w:val="clear" w:color="auto" w:fill="auto"/>
                  <w:noWrap/>
                  <w:vAlign w:val="center"/>
                  <w:hideMark/>
                </w:tcPr>
                <w:p w14:paraId="720BDBE9"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C0066F7"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67AEC2B"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74C310AC" w14:textId="77777777" w:rsidR="00657F44" w:rsidRPr="00657F44" w:rsidRDefault="00657F44" w:rsidP="00657F44">
                  <w:pPr>
                    <w:widowControl/>
                    <w:jc w:val="center"/>
                    <w:rPr>
                      <w:rFonts w:ascii="Times New Roman" w:eastAsia="Times New Roman" w:hAnsi="Times New Roman"/>
                      <w:kern w:val="0"/>
                      <w:sz w:val="20"/>
                      <w:szCs w:val="20"/>
                    </w:rPr>
                  </w:pPr>
                </w:p>
              </w:tc>
              <w:tc>
                <w:tcPr>
                  <w:tcW w:w="1179" w:type="dxa"/>
                  <w:tcBorders>
                    <w:top w:val="nil"/>
                    <w:left w:val="nil"/>
                    <w:bottom w:val="nil"/>
                    <w:right w:val="nil"/>
                  </w:tcBorders>
                  <w:shd w:val="clear" w:color="auto" w:fill="auto"/>
                  <w:noWrap/>
                  <w:vAlign w:val="center"/>
                  <w:hideMark/>
                </w:tcPr>
                <w:p w14:paraId="7A639BA1"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5A566726"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FBFF9CB"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2DEA42F"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724D64D4" w14:textId="77777777" w:rsidR="00657F44" w:rsidRPr="00657F44" w:rsidRDefault="00657F44" w:rsidP="00657F44">
                  <w:pPr>
                    <w:widowControl/>
                    <w:jc w:val="center"/>
                    <w:rPr>
                      <w:rFonts w:ascii="Times New Roman" w:eastAsia="Times New Roman" w:hAnsi="Times New Roman"/>
                      <w:kern w:val="0"/>
                      <w:sz w:val="20"/>
                      <w:szCs w:val="20"/>
                    </w:rPr>
                  </w:pPr>
                </w:p>
              </w:tc>
            </w:tr>
            <w:tr w:rsidR="00657F44" w:rsidRPr="00657F44" w14:paraId="5F172738" w14:textId="77777777" w:rsidTr="00657F44">
              <w:trPr>
                <w:trHeight w:val="300"/>
              </w:trPr>
              <w:tc>
                <w:tcPr>
                  <w:tcW w:w="1151" w:type="dxa"/>
                  <w:tcBorders>
                    <w:top w:val="nil"/>
                    <w:left w:val="nil"/>
                    <w:bottom w:val="single" w:sz="12" w:space="0" w:color="FFFFFF"/>
                    <w:right w:val="single" w:sz="8" w:space="0" w:color="FFFFFF"/>
                  </w:tcBorders>
                  <w:shd w:val="clear" w:color="000000" w:fill="F79646"/>
                  <w:noWrap/>
                  <w:vAlign w:val="center"/>
                  <w:hideMark/>
                </w:tcPr>
                <w:p w14:paraId="1DCC640E" w14:textId="77777777" w:rsidR="00657F44" w:rsidRPr="00657F44" w:rsidRDefault="00657F44" w:rsidP="00657F44">
                  <w:pPr>
                    <w:widowControl/>
                    <w:jc w:val="center"/>
                    <w:rPr>
                      <w:rFonts w:ascii="楷体" w:eastAsia="楷体" w:hAnsi="楷体" w:cs="宋体"/>
                      <w:b/>
                      <w:bCs/>
                      <w:color w:val="FFFFFF"/>
                      <w:kern w:val="0"/>
                      <w:sz w:val="20"/>
                      <w:szCs w:val="20"/>
                    </w:rPr>
                  </w:pPr>
                  <w:proofErr w:type="gramStart"/>
                  <w:r w:rsidRPr="00657F44">
                    <w:rPr>
                      <w:rFonts w:ascii="楷体" w:eastAsia="楷体" w:hAnsi="楷体" w:cs="宋体" w:hint="eastAsia"/>
                      <w:b/>
                      <w:bCs/>
                      <w:color w:val="FFFFFF"/>
                      <w:kern w:val="0"/>
                      <w:sz w:val="20"/>
                      <w:szCs w:val="20"/>
                    </w:rPr>
                    <w:t>周变化</w:t>
                  </w:r>
                  <w:proofErr w:type="gramEnd"/>
                  <w:r w:rsidRPr="00657F44">
                    <w:rPr>
                      <w:rFonts w:ascii="楷体" w:eastAsia="楷体" w:hAnsi="楷体" w:cs="宋体" w:hint="eastAsia"/>
                      <w:b/>
                      <w:bCs/>
                      <w:color w:val="FFFFFF"/>
                      <w:kern w:val="0"/>
                      <w:sz w:val="20"/>
                      <w:szCs w:val="20"/>
                    </w:rPr>
                    <w:t>(BP)</w:t>
                  </w:r>
                </w:p>
              </w:tc>
              <w:tc>
                <w:tcPr>
                  <w:tcW w:w="943" w:type="dxa"/>
                  <w:tcBorders>
                    <w:top w:val="nil"/>
                    <w:left w:val="nil"/>
                    <w:bottom w:val="single" w:sz="12" w:space="0" w:color="FFFFFF"/>
                    <w:right w:val="single" w:sz="8" w:space="0" w:color="FFFFFF"/>
                  </w:tcBorders>
                  <w:shd w:val="clear" w:color="000000" w:fill="F79646"/>
                  <w:noWrap/>
                  <w:vAlign w:val="center"/>
                  <w:hideMark/>
                </w:tcPr>
                <w:p w14:paraId="45273192"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BA588A2"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6877531D"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4BC7C71"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0DFECD07"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030C2E15"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5509960"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00189EC5"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4B8F9A16"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r>
            <w:tr w:rsidR="00657F44" w:rsidRPr="00657F44" w14:paraId="3CFA44C3" w14:textId="77777777" w:rsidTr="00657F44">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16487F24"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76423BD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4.8 </w:t>
                  </w:r>
                </w:p>
              </w:tc>
              <w:tc>
                <w:tcPr>
                  <w:tcW w:w="943" w:type="dxa"/>
                  <w:tcBorders>
                    <w:top w:val="nil"/>
                    <w:left w:val="nil"/>
                    <w:bottom w:val="single" w:sz="8" w:space="0" w:color="FFFFFF"/>
                    <w:right w:val="single" w:sz="8" w:space="0" w:color="FFFFFF"/>
                  </w:tcBorders>
                  <w:shd w:val="clear" w:color="000000" w:fill="FCD5B4"/>
                  <w:noWrap/>
                  <w:vAlign w:val="center"/>
                  <w:hideMark/>
                </w:tcPr>
                <w:p w14:paraId="65FF07B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3.8 </w:t>
                  </w:r>
                </w:p>
              </w:tc>
              <w:tc>
                <w:tcPr>
                  <w:tcW w:w="943" w:type="dxa"/>
                  <w:tcBorders>
                    <w:top w:val="nil"/>
                    <w:left w:val="nil"/>
                    <w:bottom w:val="single" w:sz="8" w:space="0" w:color="FFFFFF"/>
                    <w:right w:val="single" w:sz="8" w:space="0" w:color="FFFFFF"/>
                  </w:tcBorders>
                  <w:shd w:val="clear" w:color="000000" w:fill="FCD5B4"/>
                  <w:noWrap/>
                  <w:vAlign w:val="center"/>
                  <w:hideMark/>
                </w:tcPr>
                <w:p w14:paraId="03D8CD1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4.8 </w:t>
                  </w:r>
                </w:p>
              </w:tc>
              <w:tc>
                <w:tcPr>
                  <w:tcW w:w="943" w:type="dxa"/>
                  <w:tcBorders>
                    <w:top w:val="nil"/>
                    <w:left w:val="nil"/>
                    <w:bottom w:val="single" w:sz="8" w:space="0" w:color="FFFFFF"/>
                    <w:right w:val="single" w:sz="8" w:space="0" w:color="FFFFFF"/>
                  </w:tcBorders>
                  <w:shd w:val="clear" w:color="000000" w:fill="FCD5B4"/>
                  <w:noWrap/>
                  <w:vAlign w:val="center"/>
                  <w:hideMark/>
                </w:tcPr>
                <w:p w14:paraId="2F4055E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4.8 </w:t>
                  </w:r>
                </w:p>
              </w:tc>
              <w:tc>
                <w:tcPr>
                  <w:tcW w:w="1179" w:type="dxa"/>
                  <w:tcBorders>
                    <w:top w:val="nil"/>
                    <w:left w:val="nil"/>
                    <w:bottom w:val="single" w:sz="8" w:space="0" w:color="FFFFFF"/>
                    <w:right w:val="single" w:sz="8" w:space="0" w:color="FFFFFF"/>
                  </w:tcBorders>
                  <w:shd w:val="clear" w:color="000000" w:fill="FCD5B4"/>
                  <w:noWrap/>
                  <w:vAlign w:val="center"/>
                  <w:hideMark/>
                </w:tcPr>
                <w:p w14:paraId="522D40E2"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2D1F0B8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-3.3 </w:t>
                  </w:r>
                </w:p>
              </w:tc>
              <w:tc>
                <w:tcPr>
                  <w:tcW w:w="943" w:type="dxa"/>
                  <w:tcBorders>
                    <w:top w:val="nil"/>
                    <w:left w:val="nil"/>
                    <w:bottom w:val="single" w:sz="8" w:space="0" w:color="FFFFFF"/>
                    <w:right w:val="single" w:sz="8" w:space="0" w:color="FFFFFF"/>
                  </w:tcBorders>
                  <w:shd w:val="clear" w:color="000000" w:fill="FCD5B4"/>
                  <w:noWrap/>
                  <w:vAlign w:val="center"/>
                  <w:hideMark/>
                </w:tcPr>
                <w:p w14:paraId="1B08E87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-4.3 </w:t>
                  </w:r>
                </w:p>
              </w:tc>
              <w:tc>
                <w:tcPr>
                  <w:tcW w:w="943" w:type="dxa"/>
                  <w:tcBorders>
                    <w:top w:val="nil"/>
                    <w:left w:val="nil"/>
                    <w:bottom w:val="single" w:sz="8" w:space="0" w:color="FFFFFF"/>
                    <w:right w:val="single" w:sz="8" w:space="0" w:color="FFFFFF"/>
                  </w:tcBorders>
                  <w:shd w:val="clear" w:color="000000" w:fill="FCD5B4"/>
                  <w:noWrap/>
                  <w:vAlign w:val="center"/>
                  <w:hideMark/>
                </w:tcPr>
                <w:p w14:paraId="3FCB1B8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-3.3 </w:t>
                  </w:r>
                </w:p>
              </w:tc>
              <w:tc>
                <w:tcPr>
                  <w:tcW w:w="943" w:type="dxa"/>
                  <w:tcBorders>
                    <w:top w:val="nil"/>
                    <w:left w:val="nil"/>
                    <w:bottom w:val="single" w:sz="8" w:space="0" w:color="FFFFFF"/>
                    <w:right w:val="single" w:sz="8" w:space="0" w:color="FFFFFF"/>
                  </w:tcBorders>
                  <w:shd w:val="clear" w:color="000000" w:fill="FCD5B4"/>
                  <w:noWrap/>
                  <w:vAlign w:val="center"/>
                  <w:hideMark/>
                </w:tcPr>
                <w:p w14:paraId="6DED203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-3.3 </w:t>
                  </w:r>
                </w:p>
              </w:tc>
            </w:tr>
            <w:tr w:rsidR="00657F44" w:rsidRPr="00657F44" w14:paraId="7A8D1B00"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682CB1B2"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15A9F71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7.8 </w:t>
                  </w:r>
                </w:p>
              </w:tc>
              <w:tc>
                <w:tcPr>
                  <w:tcW w:w="943" w:type="dxa"/>
                  <w:tcBorders>
                    <w:top w:val="nil"/>
                    <w:left w:val="nil"/>
                    <w:bottom w:val="single" w:sz="8" w:space="0" w:color="FFFFFF"/>
                    <w:right w:val="single" w:sz="8" w:space="0" w:color="FFFFFF"/>
                  </w:tcBorders>
                  <w:shd w:val="clear" w:color="000000" w:fill="FDE9D9"/>
                  <w:noWrap/>
                  <w:vAlign w:val="center"/>
                  <w:hideMark/>
                </w:tcPr>
                <w:p w14:paraId="3479301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8.8 </w:t>
                  </w:r>
                </w:p>
              </w:tc>
              <w:tc>
                <w:tcPr>
                  <w:tcW w:w="943" w:type="dxa"/>
                  <w:tcBorders>
                    <w:top w:val="nil"/>
                    <w:left w:val="nil"/>
                    <w:bottom w:val="single" w:sz="8" w:space="0" w:color="FFFFFF"/>
                    <w:right w:val="single" w:sz="8" w:space="0" w:color="FFFFFF"/>
                  </w:tcBorders>
                  <w:shd w:val="clear" w:color="000000" w:fill="FDE9D9"/>
                  <w:noWrap/>
                  <w:vAlign w:val="center"/>
                  <w:hideMark/>
                </w:tcPr>
                <w:p w14:paraId="2837543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1.8 </w:t>
                  </w:r>
                </w:p>
              </w:tc>
              <w:tc>
                <w:tcPr>
                  <w:tcW w:w="943" w:type="dxa"/>
                  <w:tcBorders>
                    <w:top w:val="nil"/>
                    <w:left w:val="nil"/>
                    <w:bottom w:val="single" w:sz="8" w:space="0" w:color="FFFFFF"/>
                    <w:right w:val="single" w:sz="8" w:space="0" w:color="FFFFFF"/>
                  </w:tcBorders>
                  <w:shd w:val="clear" w:color="000000" w:fill="FDE9D9"/>
                  <w:noWrap/>
                  <w:vAlign w:val="center"/>
                  <w:hideMark/>
                </w:tcPr>
                <w:p w14:paraId="6DA6F56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1.8 </w:t>
                  </w:r>
                </w:p>
              </w:tc>
              <w:tc>
                <w:tcPr>
                  <w:tcW w:w="1179" w:type="dxa"/>
                  <w:tcBorders>
                    <w:top w:val="nil"/>
                    <w:left w:val="nil"/>
                    <w:bottom w:val="single" w:sz="8" w:space="0" w:color="FFFFFF"/>
                    <w:right w:val="single" w:sz="8" w:space="0" w:color="FFFFFF"/>
                  </w:tcBorders>
                  <w:shd w:val="clear" w:color="000000" w:fill="FDE9D9"/>
                  <w:noWrap/>
                  <w:vAlign w:val="center"/>
                  <w:hideMark/>
                </w:tcPr>
                <w:p w14:paraId="39227E4A"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7B53A42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8.6 </w:t>
                  </w:r>
                </w:p>
              </w:tc>
              <w:tc>
                <w:tcPr>
                  <w:tcW w:w="943" w:type="dxa"/>
                  <w:tcBorders>
                    <w:top w:val="nil"/>
                    <w:left w:val="nil"/>
                    <w:bottom w:val="single" w:sz="8" w:space="0" w:color="FFFFFF"/>
                    <w:right w:val="single" w:sz="8" w:space="0" w:color="FFFFFF"/>
                  </w:tcBorders>
                  <w:shd w:val="clear" w:color="000000" w:fill="FDE9D9"/>
                  <w:noWrap/>
                  <w:vAlign w:val="center"/>
                  <w:hideMark/>
                </w:tcPr>
                <w:p w14:paraId="52CCC8F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9.6 </w:t>
                  </w:r>
                </w:p>
              </w:tc>
              <w:tc>
                <w:tcPr>
                  <w:tcW w:w="943" w:type="dxa"/>
                  <w:tcBorders>
                    <w:top w:val="nil"/>
                    <w:left w:val="nil"/>
                    <w:bottom w:val="single" w:sz="8" w:space="0" w:color="FFFFFF"/>
                    <w:right w:val="single" w:sz="8" w:space="0" w:color="FFFFFF"/>
                  </w:tcBorders>
                  <w:shd w:val="clear" w:color="000000" w:fill="FDE9D9"/>
                  <w:noWrap/>
                  <w:vAlign w:val="center"/>
                  <w:hideMark/>
                </w:tcPr>
                <w:p w14:paraId="1546046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2.6 </w:t>
                  </w:r>
                </w:p>
              </w:tc>
              <w:tc>
                <w:tcPr>
                  <w:tcW w:w="943" w:type="dxa"/>
                  <w:tcBorders>
                    <w:top w:val="nil"/>
                    <w:left w:val="nil"/>
                    <w:bottom w:val="single" w:sz="8" w:space="0" w:color="FFFFFF"/>
                    <w:right w:val="single" w:sz="8" w:space="0" w:color="FFFFFF"/>
                  </w:tcBorders>
                  <w:shd w:val="clear" w:color="000000" w:fill="FDE9D9"/>
                  <w:noWrap/>
                  <w:vAlign w:val="center"/>
                  <w:hideMark/>
                </w:tcPr>
                <w:p w14:paraId="3A2362A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2.6 </w:t>
                  </w:r>
                </w:p>
              </w:tc>
            </w:tr>
            <w:tr w:rsidR="00657F44" w:rsidRPr="00657F44" w14:paraId="5B81F3BA"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1251C9E3"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66BAB8B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4.3 </w:t>
                  </w:r>
                </w:p>
              </w:tc>
              <w:tc>
                <w:tcPr>
                  <w:tcW w:w="943" w:type="dxa"/>
                  <w:tcBorders>
                    <w:top w:val="nil"/>
                    <w:left w:val="nil"/>
                    <w:bottom w:val="single" w:sz="8" w:space="0" w:color="FFFFFF"/>
                    <w:right w:val="single" w:sz="8" w:space="0" w:color="FFFFFF"/>
                  </w:tcBorders>
                  <w:shd w:val="clear" w:color="000000" w:fill="FCD5B4"/>
                  <w:noWrap/>
                  <w:vAlign w:val="center"/>
                  <w:hideMark/>
                </w:tcPr>
                <w:p w14:paraId="244E427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1.3 </w:t>
                  </w:r>
                </w:p>
              </w:tc>
              <w:tc>
                <w:tcPr>
                  <w:tcW w:w="943" w:type="dxa"/>
                  <w:tcBorders>
                    <w:top w:val="nil"/>
                    <w:left w:val="nil"/>
                    <w:bottom w:val="single" w:sz="8" w:space="0" w:color="FFFFFF"/>
                    <w:right w:val="single" w:sz="8" w:space="0" w:color="FFFFFF"/>
                  </w:tcBorders>
                  <w:shd w:val="clear" w:color="000000" w:fill="FCD5B4"/>
                  <w:noWrap/>
                  <w:vAlign w:val="center"/>
                  <w:hideMark/>
                </w:tcPr>
                <w:p w14:paraId="6958A93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0.3 </w:t>
                  </w:r>
                </w:p>
              </w:tc>
              <w:tc>
                <w:tcPr>
                  <w:tcW w:w="943" w:type="dxa"/>
                  <w:tcBorders>
                    <w:top w:val="nil"/>
                    <w:left w:val="nil"/>
                    <w:bottom w:val="single" w:sz="8" w:space="0" w:color="FFFFFF"/>
                    <w:right w:val="single" w:sz="8" w:space="0" w:color="FFFFFF"/>
                  </w:tcBorders>
                  <w:shd w:val="clear" w:color="000000" w:fill="FCD5B4"/>
                  <w:noWrap/>
                  <w:vAlign w:val="center"/>
                  <w:hideMark/>
                </w:tcPr>
                <w:p w14:paraId="0960A8F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0.3 </w:t>
                  </w:r>
                </w:p>
              </w:tc>
              <w:tc>
                <w:tcPr>
                  <w:tcW w:w="1179" w:type="dxa"/>
                  <w:tcBorders>
                    <w:top w:val="nil"/>
                    <w:left w:val="nil"/>
                    <w:bottom w:val="single" w:sz="8" w:space="0" w:color="FFFFFF"/>
                    <w:right w:val="single" w:sz="8" w:space="0" w:color="FFFFFF"/>
                  </w:tcBorders>
                  <w:shd w:val="clear" w:color="000000" w:fill="FCD5B4"/>
                  <w:noWrap/>
                  <w:vAlign w:val="center"/>
                  <w:hideMark/>
                </w:tcPr>
                <w:p w14:paraId="5C3E69C9"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616D395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6.5 </w:t>
                  </w:r>
                </w:p>
              </w:tc>
              <w:tc>
                <w:tcPr>
                  <w:tcW w:w="943" w:type="dxa"/>
                  <w:tcBorders>
                    <w:top w:val="nil"/>
                    <w:left w:val="nil"/>
                    <w:bottom w:val="single" w:sz="8" w:space="0" w:color="FFFFFF"/>
                    <w:right w:val="single" w:sz="8" w:space="0" w:color="FFFFFF"/>
                  </w:tcBorders>
                  <w:shd w:val="clear" w:color="000000" w:fill="FCD5B4"/>
                  <w:noWrap/>
                  <w:vAlign w:val="center"/>
                  <w:hideMark/>
                </w:tcPr>
                <w:p w14:paraId="363E432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3.5 </w:t>
                  </w:r>
                </w:p>
              </w:tc>
              <w:tc>
                <w:tcPr>
                  <w:tcW w:w="943" w:type="dxa"/>
                  <w:tcBorders>
                    <w:top w:val="nil"/>
                    <w:left w:val="nil"/>
                    <w:bottom w:val="single" w:sz="8" w:space="0" w:color="FFFFFF"/>
                    <w:right w:val="single" w:sz="8" w:space="0" w:color="FFFFFF"/>
                  </w:tcBorders>
                  <w:shd w:val="clear" w:color="000000" w:fill="FCD5B4"/>
                  <w:noWrap/>
                  <w:vAlign w:val="center"/>
                  <w:hideMark/>
                </w:tcPr>
                <w:p w14:paraId="0DA2387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2.5 </w:t>
                  </w:r>
                </w:p>
              </w:tc>
              <w:tc>
                <w:tcPr>
                  <w:tcW w:w="943" w:type="dxa"/>
                  <w:tcBorders>
                    <w:top w:val="nil"/>
                    <w:left w:val="nil"/>
                    <w:bottom w:val="single" w:sz="8" w:space="0" w:color="FFFFFF"/>
                    <w:right w:val="single" w:sz="8" w:space="0" w:color="FFFFFF"/>
                  </w:tcBorders>
                  <w:shd w:val="clear" w:color="000000" w:fill="FCD5B4"/>
                  <w:noWrap/>
                  <w:vAlign w:val="center"/>
                  <w:hideMark/>
                </w:tcPr>
                <w:p w14:paraId="235DAB5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2.5 </w:t>
                  </w:r>
                </w:p>
              </w:tc>
            </w:tr>
            <w:tr w:rsidR="00657F44" w:rsidRPr="00657F44" w14:paraId="3EA99C89"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23701458"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1DC92B6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DE9D9"/>
                  <w:noWrap/>
                  <w:vAlign w:val="center"/>
                  <w:hideMark/>
                </w:tcPr>
                <w:p w14:paraId="49936B3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2.0 </w:t>
                  </w:r>
                </w:p>
              </w:tc>
              <w:tc>
                <w:tcPr>
                  <w:tcW w:w="943" w:type="dxa"/>
                  <w:tcBorders>
                    <w:top w:val="nil"/>
                    <w:left w:val="nil"/>
                    <w:bottom w:val="single" w:sz="8" w:space="0" w:color="FFFFFF"/>
                    <w:right w:val="single" w:sz="8" w:space="0" w:color="FFFFFF"/>
                  </w:tcBorders>
                  <w:shd w:val="clear" w:color="000000" w:fill="FDE9D9"/>
                  <w:noWrap/>
                  <w:vAlign w:val="center"/>
                  <w:hideMark/>
                </w:tcPr>
                <w:p w14:paraId="37859B9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-1.0 </w:t>
                  </w:r>
                </w:p>
              </w:tc>
              <w:tc>
                <w:tcPr>
                  <w:tcW w:w="943" w:type="dxa"/>
                  <w:tcBorders>
                    <w:top w:val="nil"/>
                    <w:left w:val="nil"/>
                    <w:bottom w:val="single" w:sz="8" w:space="0" w:color="FFFFFF"/>
                    <w:right w:val="single" w:sz="8" w:space="0" w:color="FFFFFF"/>
                  </w:tcBorders>
                  <w:shd w:val="clear" w:color="000000" w:fill="FDE9D9"/>
                  <w:noWrap/>
                  <w:vAlign w:val="center"/>
                  <w:hideMark/>
                </w:tcPr>
                <w:p w14:paraId="1BAEAB9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-1.0 </w:t>
                  </w:r>
                </w:p>
              </w:tc>
              <w:tc>
                <w:tcPr>
                  <w:tcW w:w="1179" w:type="dxa"/>
                  <w:tcBorders>
                    <w:top w:val="nil"/>
                    <w:left w:val="nil"/>
                    <w:bottom w:val="single" w:sz="8" w:space="0" w:color="FFFFFF"/>
                    <w:right w:val="single" w:sz="8" w:space="0" w:color="FFFFFF"/>
                  </w:tcBorders>
                  <w:shd w:val="clear" w:color="000000" w:fill="FDE9D9"/>
                  <w:noWrap/>
                  <w:vAlign w:val="center"/>
                  <w:hideMark/>
                </w:tcPr>
                <w:p w14:paraId="16F8F754"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68350B9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1.8 </w:t>
                  </w:r>
                </w:p>
              </w:tc>
              <w:tc>
                <w:tcPr>
                  <w:tcW w:w="943" w:type="dxa"/>
                  <w:tcBorders>
                    <w:top w:val="nil"/>
                    <w:left w:val="nil"/>
                    <w:bottom w:val="single" w:sz="8" w:space="0" w:color="FFFFFF"/>
                    <w:right w:val="single" w:sz="8" w:space="0" w:color="FFFFFF"/>
                  </w:tcBorders>
                  <w:shd w:val="clear" w:color="000000" w:fill="FDE9D9"/>
                  <w:noWrap/>
                  <w:vAlign w:val="center"/>
                  <w:hideMark/>
                </w:tcPr>
                <w:p w14:paraId="560A4A9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2.8 </w:t>
                  </w:r>
                </w:p>
              </w:tc>
              <w:tc>
                <w:tcPr>
                  <w:tcW w:w="943" w:type="dxa"/>
                  <w:tcBorders>
                    <w:top w:val="nil"/>
                    <w:left w:val="nil"/>
                    <w:bottom w:val="single" w:sz="8" w:space="0" w:color="FFFFFF"/>
                    <w:right w:val="single" w:sz="8" w:space="0" w:color="FFFFFF"/>
                  </w:tcBorders>
                  <w:shd w:val="clear" w:color="000000" w:fill="FDE9D9"/>
                  <w:noWrap/>
                  <w:vAlign w:val="center"/>
                  <w:hideMark/>
                </w:tcPr>
                <w:p w14:paraId="63DB64A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-0.2 </w:t>
                  </w:r>
                </w:p>
              </w:tc>
              <w:tc>
                <w:tcPr>
                  <w:tcW w:w="943" w:type="dxa"/>
                  <w:tcBorders>
                    <w:top w:val="nil"/>
                    <w:left w:val="nil"/>
                    <w:bottom w:val="single" w:sz="8" w:space="0" w:color="FFFFFF"/>
                    <w:right w:val="single" w:sz="8" w:space="0" w:color="FFFFFF"/>
                  </w:tcBorders>
                  <w:shd w:val="clear" w:color="000000" w:fill="FDE9D9"/>
                  <w:noWrap/>
                  <w:vAlign w:val="center"/>
                  <w:hideMark/>
                </w:tcPr>
                <w:p w14:paraId="72B2566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-0.2 </w:t>
                  </w:r>
                </w:p>
              </w:tc>
            </w:tr>
            <w:tr w:rsidR="00657F44" w:rsidRPr="00657F44" w14:paraId="0F75B501"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0BE71C00"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3C29D28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-1.0 </w:t>
                  </w:r>
                </w:p>
              </w:tc>
              <w:tc>
                <w:tcPr>
                  <w:tcW w:w="943" w:type="dxa"/>
                  <w:tcBorders>
                    <w:top w:val="nil"/>
                    <w:left w:val="nil"/>
                    <w:bottom w:val="single" w:sz="8" w:space="0" w:color="FFFFFF"/>
                    <w:right w:val="single" w:sz="8" w:space="0" w:color="FFFFFF"/>
                  </w:tcBorders>
                  <w:shd w:val="clear" w:color="000000" w:fill="FCD5B4"/>
                  <w:noWrap/>
                  <w:vAlign w:val="center"/>
                  <w:hideMark/>
                </w:tcPr>
                <w:p w14:paraId="2B7DD35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-1.0 </w:t>
                  </w:r>
                </w:p>
              </w:tc>
              <w:tc>
                <w:tcPr>
                  <w:tcW w:w="943" w:type="dxa"/>
                  <w:tcBorders>
                    <w:top w:val="nil"/>
                    <w:left w:val="nil"/>
                    <w:bottom w:val="single" w:sz="8" w:space="0" w:color="FFFFFF"/>
                    <w:right w:val="single" w:sz="8" w:space="0" w:color="FFFFFF"/>
                  </w:tcBorders>
                  <w:shd w:val="clear" w:color="000000" w:fill="FCD5B4"/>
                  <w:noWrap/>
                  <w:vAlign w:val="center"/>
                  <w:hideMark/>
                </w:tcPr>
                <w:p w14:paraId="1522869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-2.0 </w:t>
                  </w:r>
                </w:p>
              </w:tc>
              <w:tc>
                <w:tcPr>
                  <w:tcW w:w="943" w:type="dxa"/>
                  <w:tcBorders>
                    <w:top w:val="nil"/>
                    <w:left w:val="nil"/>
                    <w:bottom w:val="single" w:sz="8" w:space="0" w:color="FFFFFF"/>
                    <w:right w:val="single" w:sz="8" w:space="0" w:color="FFFFFF"/>
                  </w:tcBorders>
                  <w:shd w:val="clear" w:color="000000" w:fill="FCD5B4"/>
                  <w:noWrap/>
                  <w:vAlign w:val="center"/>
                  <w:hideMark/>
                </w:tcPr>
                <w:p w14:paraId="6891B5E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-2.0 </w:t>
                  </w:r>
                </w:p>
              </w:tc>
              <w:tc>
                <w:tcPr>
                  <w:tcW w:w="1179" w:type="dxa"/>
                  <w:tcBorders>
                    <w:top w:val="nil"/>
                    <w:left w:val="nil"/>
                    <w:bottom w:val="single" w:sz="8" w:space="0" w:color="FFFFFF"/>
                    <w:right w:val="single" w:sz="8" w:space="0" w:color="FFFFFF"/>
                  </w:tcBorders>
                  <w:shd w:val="clear" w:color="000000" w:fill="FCD5B4"/>
                  <w:noWrap/>
                  <w:vAlign w:val="center"/>
                  <w:hideMark/>
                </w:tcPr>
                <w:p w14:paraId="38FC4C77"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420E3A2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1.2 </w:t>
                  </w:r>
                </w:p>
              </w:tc>
              <w:tc>
                <w:tcPr>
                  <w:tcW w:w="943" w:type="dxa"/>
                  <w:tcBorders>
                    <w:top w:val="nil"/>
                    <w:left w:val="nil"/>
                    <w:bottom w:val="single" w:sz="8" w:space="0" w:color="FFFFFF"/>
                    <w:right w:val="single" w:sz="8" w:space="0" w:color="FFFFFF"/>
                  </w:tcBorders>
                  <w:shd w:val="clear" w:color="000000" w:fill="FCD5B4"/>
                  <w:noWrap/>
                  <w:vAlign w:val="center"/>
                  <w:hideMark/>
                </w:tcPr>
                <w:p w14:paraId="36D9207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1.2 </w:t>
                  </w:r>
                </w:p>
              </w:tc>
              <w:tc>
                <w:tcPr>
                  <w:tcW w:w="943" w:type="dxa"/>
                  <w:tcBorders>
                    <w:top w:val="nil"/>
                    <w:left w:val="nil"/>
                    <w:bottom w:val="single" w:sz="8" w:space="0" w:color="FFFFFF"/>
                    <w:right w:val="single" w:sz="8" w:space="0" w:color="FFFFFF"/>
                  </w:tcBorders>
                  <w:shd w:val="clear" w:color="000000" w:fill="FCD5B4"/>
                  <w:noWrap/>
                  <w:vAlign w:val="center"/>
                  <w:hideMark/>
                </w:tcPr>
                <w:p w14:paraId="42BE4CB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0.2 </w:t>
                  </w:r>
                </w:p>
              </w:tc>
              <w:tc>
                <w:tcPr>
                  <w:tcW w:w="943" w:type="dxa"/>
                  <w:tcBorders>
                    <w:top w:val="nil"/>
                    <w:left w:val="nil"/>
                    <w:bottom w:val="single" w:sz="8" w:space="0" w:color="FFFFFF"/>
                    <w:right w:val="single" w:sz="8" w:space="0" w:color="FFFFFF"/>
                  </w:tcBorders>
                  <w:shd w:val="clear" w:color="000000" w:fill="FCD5B4"/>
                  <w:noWrap/>
                  <w:vAlign w:val="center"/>
                  <w:hideMark/>
                </w:tcPr>
                <w:p w14:paraId="1991F52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0.2 </w:t>
                  </w:r>
                </w:p>
              </w:tc>
            </w:tr>
            <w:tr w:rsidR="00657F44" w:rsidRPr="00657F44" w14:paraId="3B34C0F2"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1AD9BD0"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6C3F5A1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-1.9 </w:t>
                  </w:r>
                </w:p>
              </w:tc>
              <w:tc>
                <w:tcPr>
                  <w:tcW w:w="943" w:type="dxa"/>
                  <w:tcBorders>
                    <w:top w:val="nil"/>
                    <w:left w:val="nil"/>
                    <w:bottom w:val="single" w:sz="8" w:space="0" w:color="FFFFFF"/>
                    <w:right w:val="single" w:sz="8" w:space="0" w:color="FFFFFF"/>
                  </w:tcBorders>
                  <w:shd w:val="clear" w:color="000000" w:fill="FDE9D9"/>
                  <w:noWrap/>
                  <w:vAlign w:val="center"/>
                  <w:hideMark/>
                </w:tcPr>
                <w:p w14:paraId="55703B4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-1.9 </w:t>
                  </w:r>
                </w:p>
              </w:tc>
              <w:tc>
                <w:tcPr>
                  <w:tcW w:w="943" w:type="dxa"/>
                  <w:tcBorders>
                    <w:top w:val="nil"/>
                    <w:left w:val="nil"/>
                    <w:bottom w:val="single" w:sz="8" w:space="0" w:color="FFFFFF"/>
                    <w:right w:val="single" w:sz="8" w:space="0" w:color="FFFFFF"/>
                  </w:tcBorders>
                  <w:shd w:val="clear" w:color="000000" w:fill="FDE9D9"/>
                  <w:noWrap/>
                  <w:vAlign w:val="center"/>
                  <w:hideMark/>
                </w:tcPr>
                <w:p w14:paraId="4D9E4C9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-2.9 </w:t>
                  </w:r>
                </w:p>
              </w:tc>
              <w:tc>
                <w:tcPr>
                  <w:tcW w:w="943" w:type="dxa"/>
                  <w:tcBorders>
                    <w:top w:val="nil"/>
                    <w:left w:val="nil"/>
                    <w:bottom w:val="single" w:sz="8" w:space="0" w:color="FFFFFF"/>
                    <w:right w:val="single" w:sz="8" w:space="0" w:color="FFFFFF"/>
                  </w:tcBorders>
                  <w:shd w:val="clear" w:color="000000" w:fill="FDE9D9"/>
                  <w:noWrap/>
                  <w:vAlign w:val="center"/>
                  <w:hideMark/>
                </w:tcPr>
                <w:p w14:paraId="4CECE8C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-2.9 </w:t>
                  </w:r>
                </w:p>
              </w:tc>
              <w:tc>
                <w:tcPr>
                  <w:tcW w:w="1179" w:type="dxa"/>
                  <w:tcBorders>
                    <w:top w:val="nil"/>
                    <w:left w:val="nil"/>
                    <w:bottom w:val="single" w:sz="8" w:space="0" w:color="FFFFFF"/>
                    <w:right w:val="single" w:sz="8" w:space="0" w:color="FFFFFF"/>
                  </w:tcBorders>
                  <w:shd w:val="clear" w:color="000000" w:fill="FDE9D9"/>
                  <w:noWrap/>
                  <w:vAlign w:val="center"/>
                  <w:hideMark/>
                </w:tcPr>
                <w:p w14:paraId="37AA6B9D"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1FEF39A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-0.7 </w:t>
                  </w:r>
                </w:p>
              </w:tc>
              <w:tc>
                <w:tcPr>
                  <w:tcW w:w="943" w:type="dxa"/>
                  <w:tcBorders>
                    <w:top w:val="nil"/>
                    <w:left w:val="nil"/>
                    <w:bottom w:val="single" w:sz="8" w:space="0" w:color="FFFFFF"/>
                    <w:right w:val="single" w:sz="8" w:space="0" w:color="FFFFFF"/>
                  </w:tcBorders>
                  <w:shd w:val="clear" w:color="000000" w:fill="FDE9D9"/>
                  <w:noWrap/>
                  <w:vAlign w:val="center"/>
                  <w:hideMark/>
                </w:tcPr>
                <w:p w14:paraId="3783B0C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-0.7 </w:t>
                  </w:r>
                </w:p>
              </w:tc>
              <w:tc>
                <w:tcPr>
                  <w:tcW w:w="943" w:type="dxa"/>
                  <w:tcBorders>
                    <w:top w:val="nil"/>
                    <w:left w:val="nil"/>
                    <w:bottom w:val="single" w:sz="8" w:space="0" w:color="FFFFFF"/>
                    <w:right w:val="single" w:sz="8" w:space="0" w:color="FFFFFF"/>
                  </w:tcBorders>
                  <w:shd w:val="clear" w:color="000000" w:fill="FDE9D9"/>
                  <w:noWrap/>
                  <w:vAlign w:val="center"/>
                  <w:hideMark/>
                </w:tcPr>
                <w:p w14:paraId="5221BED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-1.7 </w:t>
                  </w:r>
                </w:p>
              </w:tc>
              <w:tc>
                <w:tcPr>
                  <w:tcW w:w="943" w:type="dxa"/>
                  <w:tcBorders>
                    <w:top w:val="nil"/>
                    <w:left w:val="nil"/>
                    <w:bottom w:val="single" w:sz="8" w:space="0" w:color="FFFFFF"/>
                    <w:right w:val="single" w:sz="8" w:space="0" w:color="FFFFFF"/>
                  </w:tcBorders>
                  <w:shd w:val="clear" w:color="000000" w:fill="FDE9D9"/>
                  <w:noWrap/>
                  <w:vAlign w:val="center"/>
                  <w:hideMark/>
                </w:tcPr>
                <w:p w14:paraId="73A27A2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-1.7 </w:t>
                  </w:r>
                </w:p>
              </w:tc>
            </w:tr>
            <w:tr w:rsidR="00657F44" w:rsidRPr="00657F44" w14:paraId="13C49AF3"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71DAE624"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75BBF84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4.4 </w:t>
                  </w:r>
                </w:p>
              </w:tc>
              <w:tc>
                <w:tcPr>
                  <w:tcW w:w="943" w:type="dxa"/>
                  <w:tcBorders>
                    <w:top w:val="nil"/>
                    <w:left w:val="nil"/>
                    <w:bottom w:val="single" w:sz="8" w:space="0" w:color="FFFFFF"/>
                    <w:right w:val="single" w:sz="8" w:space="0" w:color="FFFFFF"/>
                  </w:tcBorders>
                  <w:shd w:val="clear" w:color="000000" w:fill="FCD5B4"/>
                  <w:noWrap/>
                  <w:vAlign w:val="center"/>
                  <w:hideMark/>
                </w:tcPr>
                <w:p w14:paraId="47317A5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4.4 </w:t>
                  </w:r>
                </w:p>
              </w:tc>
              <w:tc>
                <w:tcPr>
                  <w:tcW w:w="943" w:type="dxa"/>
                  <w:tcBorders>
                    <w:top w:val="nil"/>
                    <w:left w:val="nil"/>
                    <w:bottom w:val="single" w:sz="8" w:space="0" w:color="FFFFFF"/>
                    <w:right w:val="single" w:sz="8" w:space="0" w:color="FFFFFF"/>
                  </w:tcBorders>
                  <w:shd w:val="clear" w:color="000000" w:fill="FCD5B4"/>
                  <w:noWrap/>
                  <w:vAlign w:val="center"/>
                  <w:hideMark/>
                </w:tcPr>
                <w:p w14:paraId="502E2EE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2.4 </w:t>
                  </w:r>
                </w:p>
              </w:tc>
              <w:tc>
                <w:tcPr>
                  <w:tcW w:w="943" w:type="dxa"/>
                  <w:tcBorders>
                    <w:top w:val="nil"/>
                    <w:left w:val="nil"/>
                    <w:bottom w:val="single" w:sz="8" w:space="0" w:color="FFFFFF"/>
                    <w:right w:val="single" w:sz="8" w:space="0" w:color="FFFFFF"/>
                  </w:tcBorders>
                  <w:shd w:val="clear" w:color="000000" w:fill="FCD5B4"/>
                  <w:noWrap/>
                  <w:vAlign w:val="center"/>
                  <w:hideMark/>
                </w:tcPr>
                <w:p w14:paraId="16C9ED3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1.4 </w:t>
                  </w:r>
                </w:p>
              </w:tc>
              <w:tc>
                <w:tcPr>
                  <w:tcW w:w="1179" w:type="dxa"/>
                  <w:tcBorders>
                    <w:top w:val="nil"/>
                    <w:left w:val="nil"/>
                    <w:bottom w:val="single" w:sz="8" w:space="0" w:color="FFFFFF"/>
                    <w:right w:val="single" w:sz="8" w:space="0" w:color="FFFFFF"/>
                  </w:tcBorders>
                  <w:shd w:val="clear" w:color="000000" w:fill="FCD5B4"/>
                  <w:noWrap/>
                  <w:vAlign w:val="center"/>
                  <w:hideMark/>
                </w:tcPr>
                <w:p w14:paraId="5B9F4C7F"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0946905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5.2 </w:t>
                  </w:r>
                </w:p>
              </w:tc>
              <w:tc>
                <w:tcPr>
                  <w:tcW w:w="943" w:type="dxa"/>
                  <w:tcBorders>
                    <w:top w:val="nil"/>
                    <w:left w:val="nil"/>
                    <w:bottom w:val="single" w:sz="8" w:space="0" w:color="FFFFFF"/>
                    <w:right w:val="single" w:sz="8" w:space="0" w:color="FFFFFF"/>
                  </w:tcBorders>
                  <w:shd w:val="clear" w:color="000000" w:fill="FCD5B4"/>
                  <w:noWrap/>
                  <w:vAlign w:val="center"/>
                  <w:hideMark/>
                </w:tcPr>
                <w:p w14:paraId="731BF1C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5.2 </w:t>
                  </w:r>
                </w:p>
              </w:tc>
              <w:tc>
                <w:tcPr>
                  <w:tcW w:w="943" w:type="dxa"/>
                  <w:tcBorders>
                    <w:top w:val="nil"/>
                    <w:left w:val="nil"/>
                    <w:bottom w:val="single" w:sz="8" w:space="0" w:color="FFFFFF"/>
                    <w:right w:val="single" w:sz="8" w:space="0" w:color="FFFFFF"/>
                  </w:tcBorders>
                  <w:shd w:val="clear" w:color="000000" w:fill="FCD5B4"/>
                  <w:noWrap/>
                  <w:vAlign w:val="center"/>
                  <w:hideMark/>
                </w:tcPr>
                <w:p w14:paraId="12185F6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3.2 </w:t>
                  </w:r>
                </w:p>
              </w:tc>
              <w:tc>
                <w:tcPr>
                  <w:tcW w:w="943" w:type="dxa"/>
                  <w:tcBorders>
                    <w:top w:val="nil"/>
                    <w:left w:val="nil"/>
                    <w:bottom w:val="single" w:sz="8" w:space="0" w:color="FFFFFF"/>
                    <w:right w:val="single" w:sz="8" w:space="0" w:color="FFFFFF"/>
                  </w:tcBorders>
                  <w:shd w:val="clear" w:color="000000" w:fill="FCD5B4"/>
                  <w:noWrap/>
                  <w:vAlign w:val="center"/>
                  <w:hideMark/>
                </w:tcPr>
                <w:p w14:paraId="4C0FC34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2.2 </w:t>
                  </w:r>
                </w:p>
              </w:tc>
            </w:tr>
            <w:tr w:rsidR="00657F44" w:rsidRPr="00657F44" w14:paraId="3323E141"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7879094E"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5666FBE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4.5 </w:t>
                  </w:r>
                </w:p>
              </w:tc>
              <w:tc>
                <w:tcPr>
                  <w:tcW w:w="943" w:type="dxa"/>
                  <w:tcBorders>
                    <w:top w:val="nil"/>
                    <w:left w:val="nil"/>
                    <w:bottom w:val="single" w:sz="8" w:space="0" w:color="FFFFFF"/>
                    <w:right w:val="single" w:sz="8" w:space="0" w:color="FFFFFF"/>
                  </w:tcBorders>
                  <w:shd w:val="clear" w:color="000000" w:fill="FDE9D9"/>
                  <w:noWrap/>
                  <w:vAlign w:val="center"/>
                  <w:hideMark/>
                </w:tcPr>
                <w:p w14:paraId="47DAD5D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2.5 </w:t>
                  </w:r>
                </w:p>
              </w:tc>
              <w:tc>
                <w:tcPr>
                  <w:tcW w:w="943" w:type="dxa"/>
                  <w:tcBorders>
                    <w:top w:val="nil"/>
                    <w:left w:val="nil"/>
                    <w:bottom w:val="single" w:sz="8" w:space="0" w:color="FFFFFF"/>
                    <w:right w:val="single" w:sz="8" w:space="0" w:color="FFFFFF"/>
                  </w:tcBorders>
                  <w:shd w:val="clear" w:color="000000" w:fill="FDE9D9"/>
                  <w:noWrap/>
                  <w:vAlign w:val="center"/>
                  <w:hideMark/>
                </w:tcPr>
                <w:p w14:paraId="314960E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FF0000"/>
                      <w:kern w:val="0"/>
                      <w:szCs w:val="21"/>
                    </w:rPr>
                    <w:t xml:space="preserve">-0.5 </w:t>
                  </w:r>
                </w:p>
              </w:tc>
              <w:tc>
                <w:tcPr>
                  <w:tcW w:w="943" w:type="dxa"/>
                  <w:tcBorders>
                    <w:top w:val="nil"/>
                    <w:left w:val="nil"/>
                    <w:bottom w:val="single" w:sz="8" w:space="0" w:color="FFFFFF"/>
                    <w:right w:val="single" w:sz="8" w:space="0" w:color="FFFFFF"/>
                  </w:tcBorders>
                  <w:shd w:val="clear" w:color="000000" w:fill="FDE9D9"/>
                  <w:noWrap/>
                  <w:vAlign w:val="center"/>
                  <w:hideMark/>
                </w:tcPr>
                <w:p w14:paraId="6718788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1.5 </w:t>
                  </w:r>
                </w:p>
              </w:tc>
              <w:tc>
                <w:tcPr>
                  <w:tcW w:w="1179" w:type="dxa"/>
                  <w:tcBorders>
                    <w:top w:val="nil"/>
                    <w:left w:val="nil"/>
                    <w:bottom w:val="single" w:sz="8" w:space="0" w:color="FFFFFF"/>
                    <w:right w:val="single" w:sz="8" w:space="0" w:color="FFFFFF"/>
                  </w:tcBorders>
                  <w:shd w:val="clear" w:color="000000" w:fill="FDE9D9"/>
                  <w:noWrap/>
                  <w:vAlign w:val="center"/>
                  <w:hideMark/>
                </w:tcPr>
                <w:p w14:paraId="30D4CCBA"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6EBED4C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6.7 </w:t>
                  </w:r>
                </w:p>
              </w:tc>
              <w:tc>
                <w:tcPr>
                  <w:tcW w:w="943" w:type="dxa"/>
                  <w:tcBorders>
                    <w:top w:val="nil"/>
                    <w:left w:val="nil"/>
                    <w:bottom w:val="single" w:sz="8" w:space="0" w:color="FFFFFF"/>
                    <w:right w:val="single" w:sz="8" w:space="0" w:color="FFFFFF"/>
                  </w:tcBorders>
                  <w:shd w:val="clear" w:color="000000" w:fill="FDE9D9"/>
                  <w:noWrap/>
                  <w:vAlign w:val="center"/>
                  <w:hideMark/>
                </w:tcPr>
                <w:p w14:paraId="29F6EFD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4.7 </w:t>
                  </w:r>
                </w:p>
              </w:tc>
              <w:tc>
                <w:tcPr>
                  <w:tcW w:w="943" w:type="dxa"/>
                  <w:tcBorders>
                    <w:top w:val="nil"/>
                    <w:left w:val="nil"/>
                    <w:bottom w:val="single" w:sz="8" w:space="0" w:color="FFFFFF"/>
                    <w:right w:val="single" w:sz="8" w:space="0" w:color="FFFFFF"/>
                  </w:tcBorders>
                  <w:shd w:val="clear" w:color="000000" w:fill="FDE9D9"/>
                  <w:noWrap/>
                  <w:vAlign w:val="center"/>
                  <w:hideMark/>
                </w:tcPr>
                <w:p w14:paraId="015C525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1.7 </w:t>
                  </w:r>
                </w:p>
              </w:tc>
              <w:tc>
                <w:tcPr>
                  <w:tcW w:w="943" w:type="dxa"/>
                  <w:tcBorders>
                    <w:top w:val="nil"/>
                    <w:left w:val="nil"/>
                    <w:bottom w:val="single" w:sz="8" w:space="0" w:color="FFFFFF"/>
                    <w:right w:val="single" w:sz="8" w:space="0" w:color="FFFFFF"/>
                  </w:tcBorders>
                  <w:shd w:val="clear" w:color="000000" w:fill="FDE9D9"/>
                  <w:noWrap/>
                  <w:vAlign w:val="center"/>
                  <w:hideMark/>
                </w:tcPr>
                <w:p w14:paraId="4DCFACC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3.7 </w:t>
                  </w:r>
                </w:p>
              </w:tc>
            </w:tr>
            <w:tr w:rsidR="00657F44" w:rsidRPr="00657F44" w14:paraId="05A2397E" w14:textId="77777777" w:rsidTr="00657F44">
              <w:trPr>
                <w:trHeight w:val="300"/>
              </w:trPr>
              <w:tc>
                <w:tcPr>
                  <w:tcW w:w="1151" w:type="dxa"/>
                  <w:tcBorders>
                    <w:top w:val="nil"/>
                    <w:left w:val="nil"/>
                    <w:bottom w:val="nil"/>
                    <w:right w:val="nil"/>
                  </w:tcBorders>
                  <w:shd w:val="clear" w:color="000000" w:fill="FCD5B4"/>
                  <w:noWrap/>
                  <w:vAlign w:val="center"/>
                  <w:hideMark/>
                </w:tcPr>
                <w:p w14:paraId="028537D5"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4BBBA93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CD5B4"/>
                  <w:noWrap/>
                  <w:vAlign w:val="center"/>
                  <w:hideMark/>
                </w:tcPr>
                <w:p w14:paraId="79577DB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CD5B4"/>
                  <w:noWrap/>
                  <w:vAlign w:val="center"/>
                  <w:hideMark/>
                </w:tcPr>
                <w:p w14:paraId="2C7EEB6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 </w:t>
                  </w:r>
                </w:p>
              </w:tc>
              <w:tc>
                <w:tcPr>
                  <w:tcW w:w="943" w:type="dxa"/>
                  <w:tcBorders>
                    <w:top w:val="nil"/>
                    <w:left w:val="nil"/>
                    <w:bottom w:val="single" w:sz="8" w:space="0" w:color="FFFFFF"/>
                    <w:right w:val="single" w:sz="8" w:space="0" w:color="FFFFFF"/>
                  </w:tcBorders>
                  <w:shd w:val="clear" w:color="000000" w:fill="FCD5B4"/>
                  <w:noWrap/>
                  <w:vAlign w:val="center"/>
                  <w:hideMark/>
                </w:tcPr>
                <w:p w14:paraId="1C1A06D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1.0 </w:t>
                  </w:r>
                </w:p>
              </w:tc>
              <w:tc>
                <w:tcPr>
                  <w:tcW w:w="1179" w:type="dxa"/>
                  <w:tcBorders>
                    <w:top w:val="nil"/>
                    <w:left w:val="nil"/>
                    <w:bottom w:val="nil"/>
                    <w:right w:val="nil"/>
                  </w:tcBorders>
                  <w:shd w:val="clear" w:color="000000" w:fill="FCD5B4"/>
                  <w:noWrap/>
                  <w:vAlign w:val="center"/>
                  <w:hideMark/>
                </w:tcPr>
                <w:p w14:paraId="2D845A71"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498E64B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2.2 </w:t>
                  </w:r>
                </w:p>
              </w:tc>
              <w:tc>
                <w:tcPr>
                  <w:tcW w:w="943" w:type="dxa"/>
                  <w:tcBorders>
                    <w:top w:val="nil"/>
                    <w:left w:val="nil"/>
                    <w:bottom w:val="single" w:sz="8" w:space="0" w:color="FFFFFF"/>
                    <w:right w:val="single" w:sz="8" w:space="0" w:color="FFFFFF"/>
                  </w:tcBorders>
                  <w:shd w:val="clear" w:color="000000" w:fill="FCD5B4"/>
                  <w:noWrap/>
                  <w:vAlign w:val="center"/>
                  <w:hideMark/>
                </w:tcPr>
                <w:p w14:paraId="76BA74C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2.2 </w:t>
                  </w:r>
                </w:p>
              </w:tc>
              <w:tc>
                <w:tcPr>
                  <w:tcW w:w="943" w:type="dxa"/>
                  <w:tcBorders>
                    <w:top w:val="nil"/>
                    <w:left w:val="nil"/>
                    <w:bottom w:val="single" w:sz="8" w:space="0" w:color="FFFFFF"/>
                    <w:right w:val="single" w:sz="8" w:space="0" w:color="FFFFFF"/>
                  </w:tcBorders>
                  <w:shd w:val="clear" w:color="000000" w:fill="FCD5B4"/>
                  <w:noWrap/>
                  <w:vAlign w:val="center"/>
                  <w:hideMark/>
                </w:tcPr>
                <w:p w14:paraId="6A1EEE4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2.2 </w:t>
                  </w:r>
                </w:p>
              </w:tc>
              <w:tc>
                <w:tcPr>
                  <w:tcW w:w="943" w:type="dxa"/>
                  <w:tcBorders>
                    <w:top w:val="nil"/>
                    <w:left w:val="nil"/>
                    <w:bottom w:val="single" w:sz="8" w:space="0" w:color="FFFFFF"/>
                    <w:right w:val="single" w:sz="8" w:space="0" w:color="FFFFFF"/>
                  </w:tcBorders>
                  <w:shd w:val="clear" w:color="000000" w:fill="FCD5B4"/>
                  <w:noWrap/>
                  <w:vAlign w:val="center"/>
                  <w:hideMark/>
                </w:tcPr>
                <w:p w14:paraId="3FA7061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 xml:space="preserve">2.2 </w:t>
                  </w:r>
                </w:p>
              </w:tc>
            </w:tr>
            <w:tr w:rsidR="00657F44" w:rsidRPr="00657F44" w14:paraId="41E3F44D" w14:textId="77777777" w:rsidTr="00657F44">
              <w:trPr>
                <w:trHeight w:val="150"/>
              </w:trPr>
              <w:tc>
                <w:tcPr>
                  <w:tcW w:w="1151" w:type="dxa"/>
                  <w:tcBorders>
                    <w:top w:val="nil"/>
                    <w:left w:val="nil"/>
                    <w:bottom w:val="nil"/>
                    <w:right w:val="nil"/>
                  </w:tcBorders>
                  <w:shd w:val="clear" w:color="auto" w:fill="auto"/>
                  <w:noWrap/>
                  <w:vAlign w:val="center"/>
                  <w:hideMark/>
                </w:tcPr>
                <w:p w14:paraId="3B8437AB" w14:textId="77777777" w:rsidR="00657F44" w:rsidRPr="00657F44" w:rsidRDefault="00657F44" w:rsidP="00657F44">
                  <w:pPr>
                    <w:widowControl/>
                    <w:jc w:val="center"/>
                    <w:rPr>
                      <w:rFonts w:eastAsia="等线" w:cs="Calibri"/>
                      <w:color w:val="000000"/>
                      <w:kern w:val="0"/>
                      <w:szCs w:val="21"/>
                    </w:rPr>
                  </w:pPr>
                </w:p>
              </w:tc>
              <w:tc>
                <w:tcPr>
                  <w:tcW w:w="943" w:type="dxa"/>
                  <w:tcBorders>
                    <w:top w:val="nil"/>
                    <w:left w:val="nil"/>
                    <w:bottom w:val="nil"/>
                    <w:right w:val="nil"/>
                  </w:tcBorders>
                  <w:shd w:val="clear" w:color="auto" w:fill="auto"/>
                  <w:noWrap/>
                  <w:vAlign w:val="center"/>
                  <w:hideMark/>
                </w:tcPr>
                <w:p w14:paraId="5A586AFE"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0D0D843E"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5A96FC90"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6D64096F" w14:textId="77777777" w:rsidR="00657F44" w:rsidRPr="00657F44" w:rsidRDefault="00657F44" w:rsidP="00657F44">
                  <w:pPr>
                    <w:widowControl/>
                    <w:jc w:val="center"/>
                    <w:rPr>
                      <w:rFonts w:ascii="Times New Roman" w:eastAsia="Times New Roman" w:hAnsi="Times New Roman"/>
                      <w:kern w:val="0"/>
                      <w:sz w:val="20"/>
                      <w:szCs w:val="20"/>
                    </w:rPr>
                  </w:pPr>
                </w:p>
              </w:tc>
              <w:tc>
                <w:tcPr>
                  <w:tcW w:w="1179" w:type="dxa"/>
                  <w:tcBorders>
                    <w:top w:val="nil"/>
                    <w:left w:val="nil"/>
                    <w:bottom w:val="nil"/>
                    <w:right w:val="nil"/>
                  </w:tcBorders>
                  <w:shd w:val="clear" w:color="auto" w:fill="auto"/>
                  <w:noWrap/>
                  <w:vAlign w:val="center"/>
                  <w:hideMark/>
                </w:tcPr>
                <w:p w14:paraId="31CAE175"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F382257"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78A3F78"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4DB1AC98" w14:textId="77777777" w:rsidR="00657F44" w:rsidRPr="00657F44" w:rsidRDefault="00657F44" w:rsidP="00657F44">
                  <w:pPr>
                    <w:widowControl/>
                    <w:jc w:val="center"/>
                    <w:rPr>
                      <w:rFonts w:ascii="Times New Roman" w:eastAsia="Times New Roman" w:hAnsi="Times New Roman"/>
                      <w:kern w:val="0"/>
                      <w:sz w:val="20"/>
                      <w:szCs w:val="20"/>
                    </w:rPr>
                  </w:pPr>
                </w:p>
              </w:tc>
              <w:tc>
                <w:tcPr>
                  <w:tcW w:w="943" w:type="dxa"/>
                  <w:tcBorders>
                    <w:top w:val="nil"/>
                    <w:left w:val="nil"/>
                    <w:bottom w:val="nil"/>
                    <w:right w:val="nil"/>
                  </w:tcBorders>
                  <w:shd w:val="clear" w:color="auto" w:fill="auto"/>
                  <w:noWrap/>
                  <w:vAlign w:val="center"/>
                  <w:hideMark/>
                </w:tcPr>
                <w:p w14:paraId="3437206E" w14:textId="77777777" w:rsidR="00657F44" w:rsidRPr="00657F44" w:rsidRDefault="00657F44" w:rsidP="00657F44">
                  <w:pPr>
                    <w:widowControl/>
                    <w:jc w:val="center"/>
                    <w:rPr>
                      <w:rFonts w:ascii="Times New Roman" w:eastAsia="Times New Roman" w:hAnsi="Times New Roman"/>
                      <w:kern w:val="0"/>
                      <w:sz w:val="20"/>
                      <w:szCs w:val="20"/>
                    </w:rPr>
                  </w:pPr>
                </w:p>
              </w:tc>
            </w:tr>
            <w:tr w:rsidR="00657F44" w:rsidRPr="00657F44" w14:paraId="059F364A" w14:textId="77777777" w:rsidTr="00657F44">
              <w:trPr>
                <w:trHeight w:val="300"/>
              </w:trPr>
              <w:tc>
                <w:tcPr>
                  <w:tcW w:w="1151" w:type="dxa"/>
                  <w:tcBorders>
                    <w:top w:val="nil"/>
                    <w:left w:val="nil"/>
                    <w:bottom w:val="single" w:sz="12" w:space="0" w:color="FFFFFF"/>
                    <w:right w:val="single" w:sz="8" w:space="0" w:color="FFFFFF"/>
                  </w:tcBorders>
                  <w:shd w:val="clear" w:color="000000" w:fill="F79646"/>
                  <w:noWrap/>
                  <w:vAlign w:val="center"/>
                  <w:hideMark/>
                </w:tcPr>
                <w:p w14:paraId="61200DBB"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收益率分位</w:t>
                  </w:r>
                </w:p>
              </w:tc>
              <w:tc>
                <w:tcPr>
                  <w:tcW w:w="943" w:type="dxa"/>
                  <w:tcBorders>
                    <w:top w:val="nil"/>
                    <w:left w:val="nil"/>
                    <w:bottom w:val="single" w:sz="12" w:space="0" w:color="FFFFFF"/>
                    <w:right w:val="single" w:sz="8" w:space="0" w:color="FFFFFF"/>
                  </w:tcBorders>
                  <w:shd w:val="clear" w:color="000000" w:fill="F79646"/>
                  <w:noWrap/>
                  <w:vAlign w:val="center"/>
                  <w:hideMark/>
                </w:tcPr>
                <w:p w14:paraId="25BB9E05"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29A9EC8D"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6E4A2AE"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3C41D5A9"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1179" w:type="dxa"/>
                  <w:tcBorders>
                    <w:top w:val="nil"/>
                    <w:left w:val="nil"/>
                    <w:bottom w:val="single" w:sz="12" w:space="0" w:color="FFFFFF"/>
                    <w:right w:val="single" w:sz="8" w:space="0" w:color="FFFFFF"/>
                  </w:tcBorders>
                  <w:shd w:val="clear" w:color="000000" w:fill="F79646"/>
                  <w:noWrap/>
                  <w:vAlign w:val="center"/>
                  <w:hideMark/>
                </w:tcPr>
                <w:p w14:paraId="44AE9653"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息差</w:t>
                  </w:r>
                </w:p>
              </w:tc>
              <w:tc>
                <w:tcPr>
                  <w:tcW w:w="943" w:type="dxa"/>
                  <w:tcBorders>
                    <w:top w:val="nil"/>
                    <w:left w:val="nil"/>
                    <w:bottom w:val="single" w:sz="12" w:space="0" w:color="FFFFFF"/>
                    <w:right w:val="single" w:sz="8" w:space="0" w:color="FFFFFF"/>
                  </w:tcBorders>
                  <w:shd w:val="clear" w:color="000000" w:fill="F79646"/>
                  <w:noWrap/>
                  <w:vAlign w:val="center"/>
                  <w:hideMark/>
                </w:tcPr>
                <w:p w14:paraId="78C9D780"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25D322C"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7C5AB8BE"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c>
                <w:tcPr>
                  <w:tcW w:w="943" w:type="dxa"/>
                  <w:tcBorders>
                    <w:top w:val="nil"/>
                    <w:left w:val="nil"/>
                    <w:bottom w:val="single" w:sz="12" w:space="0" w:color="FFFFFF"/>
                    <w:right w:val="single" w:sz="8" w:space="0" w:color="FFFFFF"/>
                  </w:tcBorders>
                  <w:shd w:val="clear" w:color="000000" w:fill="F79646"/>
                  <w:noWrap/>
                  <w:vAlign w:val="center"/>
                  <w:hideMark/>
                </w:tcPr>
                <w:p w14:paraId="3F6E4D7B" w14:textId="77777777" w:rsidR="00657F44" w:rsidRPr="00657F44" w:rsidRDefault="00657F44" w:rsidP="00657F44">
                  <w:pPr>
                    <w:widowControl/>
                    <w:jc w:val="center"/>
                    <w:rPr>
                      <w:rFonts w:ascii="楷体" w:eastAsia="楷体" w:hAnsi="楷体" w:cs="宋体"/>
                      <w:b/>
                      <w:bCs/>
                      <w:color w:val="FFFFFF"/>
                      <w:kern w:val="0"/>
                      <w:sz w:val="20"/>
                      <w:szCs w:val="20"/>
                    </w:rPr>
                  </w:pPr>
                  <w:r w:rsidRPr="00657F44">
                    <w:rPr>
                      <w:rFonts w:ascii="楷体" w:eastAsia="楷体" w:hAnsi="楷体" w:cs="宋体" w:hint="eastAsia"/>
                      <w:b/>
                      <w:bCs/>
                      <w:color w:val="FFFFFF"/>
                      <w:kern w:val="0"/>
                      <w:sz w:val="20"/>
                      <w:szCs w:val="20"/>
                    </w:rPr>
                    <w:t>AA-</w:t>
                  </w:r>
                </w:p>
              </w:tc>
            </w:tr>
            <w:tr w:rsidR="00657F44" w:rsidRPr="00657F44" w14:paraId="369CB821" w14:textId="77777777" w:rsidTr="00657F44">
              <w:trPr>
                <w:trHeight w:val="315"/>
              </w:trPr>
              <w:tc>
                <w:tcPr>
                  <w:tcW w:w="1151" w:type="dxa"/>
                  <w:tcBorders>
                    <w:top w:val="nil"/>
                    <w:left w:val="nil"/>
                    <w:bottom w:val="single" w:sz="8" w:space="0" w:color="FFFFFF"/>
                    <w:right w:val="single" w:sz="8" w:space="0" w:color="FFFFFF"/>
                  </w:tcBorders>
                  <w:shd w:val="clear" w:color="000000" w:fill="FCD5B4"/>
                  <w:noWrap/>
                  <w:vAlign w:val="center"/>
                  <w:hideMark/>
                </w:tcPr>
                <w:p w14:paraId="47F256C0"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36F6E17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27%</w:t>
                  </w:r>
                </w:p>
              </w:tc>
              <w:tc>
                <w:tcPr>
                  <w:tcW w:w="943" w:type="dxa"/>
                  <w:tcBorders>
                    <w:top w:val="nil"/>
                    <w:left w:val="nil"/>
                    <w:bottom w:val="single" w:sz="8" w:space="0" w:color="FFFFFF"/>
                    <w:right w:val="single" w:sz="8" w:space="0" w:color="FFFFFF"/>
                  </w:tcBorders>
                  <w:shd w:val="clear" w:color="000000" w:fill="FCD5B4"/>
                  <w:noWrap/>
                  <w:vAlign w:val="center"/>
                  <w:hideMark/>
                </w:tcPr>
                <w:p w14:paraId="383534C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22%</w:t>
                  </w:r>
                </w:p>
              </w:tc>
              <w:tc>
                <w:tcPr>
                  <w:tcW w:w="943" w:type="dxa"/>
                  <w:tcBorders>
                    <w:top w:val="nil"/>
                    <w:left w:val="nil"/>
                    <w:bottom w:val="single" w:sz="8" w:space="0" w:color="FFFFFF"/>
                    <w:right w:val="single" w:sz="8" w:space="0" w:color="FFFFFF"/>
                  </w:tcBorders>
                  <w:shd w:val="clear" w:color="000000" w:fill="FCD5B4"/>
                  <w:noWrap/>
                  <w:vAlign w:val="center"/>
                  <w:hideMark/>
                </w:tcPr>
                <w:p w14:paraId="6C3785B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21%</w:t>
                  </w:r>
                </w:p>
              </w:tc>
              <w:tc>
                <w:tcPr>
                  <w:tcW w:w="943" w:type="dxa"/>
                  <w:tcBorders>
                    <w:top w:val="nil"/>
                    <w:left w:val="nil"/>
                    <w:bottom w:val="single" w:sz="8" w:space="0" w:color="FFFFFF"/>
                    <w:right w:val="single" w:sz="8" w:space="0" w:color="FFFFFF"/>
                  </w:tcBorders>
                  <w:shd w:val="clear" w:color="000000" w:fill="FCD5B4"/>
                  <w:noWrap/>
                  <w:vAlign w:val="center"/>
                  <w:hideMark/>
                </w:tcPr>
                <w:p w14:paraId="2912D21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54%</w:t>
                  </w:r>
                </w:p>
              </w:tc>
              <w:tc>
                <w:tcPr>
                  <w:tcW w:w="1179" w:type="dxa"/>
                  <w:tcBorders>
                    <w:top w:val="nil"/>
                    <w:left w:val="nil"/>
                    <w:bottom w:val="single" w:sz="8" w:space="0" w:color="FFFFFF"/>
                    <w:right w:val="single" w:sz="8" w:space="0" w:color="FFFFFF"/>
                  </w:tcBorders>
                  <w:shd w:val="clear" w:color="000000" w:fill="FCD5B4"/>
                  <w:noWrap/>
                  <w:vAlign w:val="center"/>
                  <w:hideMark/>
                </w:tcPr>
                <w:p w14:paraId="5212B72A"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CP</w:t>
                  </w:r>
                </w:p>
              </w:tc>
              <w:tc>
                <w:tcPr>
                  <w:tcW w:w="943" w:type="dxa"/>
                  <w:tcBorders>
                    <w:top w:val="nil"/>
                    <w:left w:val="nil"/>
                    <w:bottom w:val="single" w:sz="8" w:space="0" w:color="FFFFFF"/>
                    <w:right w:val="single" w:sz="8" w:space="0" w:color="FFFFFF"/>
                  </w:tcBorders>
                  <w:shd w:val="clear" w:color="000000" w:fill="FCD5B4"/>
                  <w:noWrap/>
                  <w:vAlign w:val="center"/>
                  <w:hideMark/>
                </w:tcPr>
                <w:p w14:paraId="330994E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CD5B4"/>
                  <w:noWrap/>
                  <w:vAlign w:val="center"/>
                  <w:hideMark/>
                </w:tcPr>
                <w:p w14:paraId="11A3640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0%</w:t>
                  </w:r>
                </w:p>
              </w:tc>
              <w:tc>
                <w:tcPr>
                  <w:tcW w:w="943" w:type="dxa"/>
                  <w:tcBorders>
                    <w:top w:val="nil"/>
                    <w:left w:val="nil"/>
                    <w:bottom w:val="single" w:sz="8" w:space="0" w:color="FFFFFF"/>
                    <w:right w:val="single" w:sz="8" w:space="0" w:color="FFFFFF"/>
                  </w:tcBorders>
                  <w:shd w:val="clear" w:color="000000" w:fill="FCD5B4"/>
                  <w:noWrap/>
                  <w:vAlign w:val="center"/>
                  <w:hideMark/>
                </w:tcPr>
                <w:p w14:paraId="444113C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w:t>
                  </w:r>
                </w:p>
              </w:tc>
              <w:tc>
                <w:tcPr>
                  <w:tcW w:w="943" w:type="dxa"/>
                  <w:tcBorders>
                    <w:top w:val="nil"/>
                    <w:left w:val="nil"/>
                    <w:bottom w:val="single" w:sz="8" w:space="0" w:color="FFFFFF"/>
                    <w:right w:val="single" w:sz="8" w:space="0" w:color="FFFFFF"/>
                  </w:tcBorders>
                  <w:shd w:val="clear" w:color="000000" w:fill="FCD5B4"/>
                  <w:noWrap/>
                  <w:vAlign w:val="center"/>
                  <w:hideMark/>
                </w:tcPr>
                <w:p w14:paraId="0FA135E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59%</w:t>
                  </w:r>
                </w:p>
              </w:tc>
            </w:tr>
            <w:tr w:rsidR="00657F44" w:rsidRPr="00657F44" w14:paraId="64FC723D"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35509717"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6FC123A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25%</w:t>
                  </w:r>
                </w:p>
              </w:tc>
              <w:tc>
                <w:tcPr>
                  <w:tcW w:w="943" w:type="dxa"/>
                  <w:tcBorders>
                    <w:top w:val="nil"/>
                    <w:left w:val="nil"/>
                    <w:bottom w:val="single" w:sz="8" w:space="0" w:color="FFFFFF"/>
                    <w:right w:val="single" w:sz="8" w:space="0" w:color="FFFFFF"/>
                  </w:tcBorders>
                  <w:shd w:val="clear" w:color="000000" w:fill="FDE9D9"/>
                  <w:noWrap/>
                  <w:vAlign w:val="center"/>
                  <w:hideMark/>
                </w:tcPr>
                <w:p w14:paraId="5F8260E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19%</w:t>
                  </w:r>
                </w:p>
              </w:tc>
              <w:tc>
                <w:tcPr>
                  <w:tcW w:w="943" w:type="dxa"/>
                  <w:tcBorders>
                    <w:top w:val="nil"/>
                    <w:left w:val="nil"/>
                    <w:bottom w:val="single" w:sz="8" w:space="0" w:color="FFFFFF"/>
                    <w:right w:val="single" w:sz="8" w:space="0" w:color="FFFFFF"/>
                  </w:tcBorders>
                  <w:shd w:val="clear" w:color="000000" w:fill="FDE9D9"/>
                  <w:noWrap/>
                  <w:vAlign w:val="center"/>
                  <w:hideMark/>
                </w:tcPr>
                <w:p w14:paraId="27CCCC5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19%</w:t>
                  </w:r>
                </w:p>
              </w:tc>
              <w:tc>
                <w:tcPr>
                  <w:tcW w:w="943" w:type="dxa"/>
                  <w:tcBorders>
                    <w:top w:val="nil"/>
                    <w:left w:val="nil"/>
                    <w:bottom w:val="single" w:sz="8" w:space="0" w:color="FFFFFF"/>
                    <w:right w:val="single" w:sz="8" w:space="0" w:color="FFFFFF"/>
                  </w:tcBorders>
                  <w:shd w:val="clear" w:color="000000" w:fill="FDE9D9"/>
                  <w:noWrap/>
                  <w:vAlign w:val="center"/>
                  <w:hideMark/>
                </w:tcPr>
                <w:p w14:paraId="76C835E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58%</w:t>
                  </w:r>
                </w:p>
              </w:tc>
              <w:tc>
                <w:tcPr>
                  <w:tcW w:w="1179" w:type="dxa"/>
                  <w:tcBorders>
                    <w:top w:val="nil"/>
                    <w:left w:val="nil"/>
                    <w:bottom w:val="single" w:sz="8" w:space="0" w:color="FFFFFF"/>
                    <w:right w:val="single" w:sz="8" w:space="0" w:color="FFFFFF"/>
                  </w:tcBorders>
                  <w:shd w:val="clear" w:color="000000" w:fill="FDE9D9"/>
                  <w:noWrap/>
                  <w:vAlign w:val="center"/>
                  <w:hideMark/>
                </w:tcPr>
                <w:p w14:paraId="79C94C10"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MTN3Y</w:t>
                  </w:r>
                </w:p>
              </w:tc>
              <w:tc>
                <w:tcPr>
                  <w:tcW w:w="943" w:type="dxa"/>
                  <w:tcBorders>
                    <w:top w:val="nil"/>
                    <w:left w:val="nil"/>
                    <w:bottom w:val="single" w:sz="8" w:space="0" w:color="FFFFFF"/>
                    <w:right w:val="single" w:sz="8" w:space="0" w:color="FFFFFF"/>
                  </w:tcBorders>
                  <w:shd w:val="clear" w:color="000000" w:fill="FDE9D9"/>
                  <w:noWrap/>
                  <w:vAlign w:val="center"/>
                  <w:hideMark/>
                </w:tcPr>
                <w:p w14:paraId="3A77FDF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2856EC2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DE9D9"/>
                  <w:noWrap/>
                  <w:vAlign w:val="center"/>
                  <w:hideMark/>
                </w:tcPr>
                <w:p w14:paraId="29AF9FC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DE9D9"/>
                  <w:noWrap/>
                  <w:vAlign w:val="center"/>
                  <w:hideMark/>
                </w:tcPr>
                <w:p w14:paraId="5191E49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61%</w:t>
                  </w:r>
                </w:p>
              </w:tc>
            </w:tr>
            <w:tr w:rsidR="00657F44" w:rsidRPr="00657F44" w14:paraId="72684DD3"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43B77D21"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7148353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20%</w:t>
                  </w:r>
                </w:p>
              </w:tc>
              <w:tc>
                <w:tcPr>
                  <w:tcW w:w="943" w:type="dxa"/>
                  <w:tcBorders>
                    <w:top w:val="nil"/>
                    <w:left w:val="nil"/>
                    <w:bottom w:val="single" w:sz="8" w:space="0" w:color="FFFFFF"/>
                    <w:right w:val="single" w:sz="8" w:space="0" w:color="FFFFFF"/>
                  </w:tcBorders>
                  <w:shd w:val="clear" w:color="000000" w:fill="FCD5B4"/>
                  <w:noWrap/>
                  <w:vAlign w:val="center"/>
                  <w:hideMark/>
                </w:tcPr>
                <w:p w14:paraId="7A2DDA0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CD5B4"/>
                  <w:noWrap/>
                  <w:vAlign w:val="center"/>
                  <w:hideMark/>
                </w:tcPr>
                <w:p w14:paraId="4C129CD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18%</w:t>
                  </w:r>
                </w:p>
              </w:tc>
              <w:tc>
                <w:tcPr>
                  <w:tcW w:w="943" w:type="dxa"/>
                  <w:tcBorders>
                    <w:top w:val="nil"/>
                    <w:left w:val="nil"/>
                    <w:bottom w:val="single" w:sz="8" w:space="0" w:color="FFFFFF"/>
                    <w:right w:val="single" w:sz="8" w:space="0" w:color="FFFFFF"/>
                  </w:tcBorders>
                  <w:shd w:val="clear" w:color="000000" w:fill="FCD5B4"/>
                  <w:noWrap/>
                  <w:vAlign w:val="center"/>
                  <w:hideMark/>
                </w:tcPr>
                <w:p w14:paraId="011854B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55%</w:t>
                  </w:r>
                </w:p>
              </w:tc>
              <w:tc>
                <w:tcPr>
                  <w:tcW w:w="1179" w:type="dxa"/>
                  <w:tcBorders>
                    <w:top w:val="nil"/>
                    <w:left w:val="nil"/>
                    <w:bottom w:val="single" w:sz="8" w:space="0" w:color="FFFFFF"/>
                    <w:right w:val="single" w:sz="8" w:space="0" w:color="FFFFFF"/>
                  </w:tcBorders>
                  <w:shd w:val="clear" w:color="000000" w:fill="FCD5B4"/>
                  <w:noWrap/>
                  <w:vAlign w:val="center"/>
                  <w:hideMark/>
                </w:tcPr>
                <w:p w14:paraId="1D763A62"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MTN5Y</w:t>
                  </w:r>
                </w:p>
              </w:tc>
              <w:tc>
                <w:tcPr>
                  <w:tcW w:w="943" w:type="dxa"/>
                  <w:tcBorders>
                    <w:top w:val="nil"/>
                    <w:left w:val="nil"/>
                    <w:bottom w:val="single" w:sz="8" w:space="0" w:color="FFFFFF"/>
                    <w:right w:val="single" w:sz="8" w:space="0" w:color="FFFFFF"/>
                  </w:tcBorders>
                  <w:shd w:val="clear" w:color="000000" w:fill="FCD5B4"/>
                  <w:noWrap/>
                  <w:vAlign w:val="center"/>
                  <w:hideMark/>
                </w:tcPr>
                <w:p w14:paraId="5BAA95E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CD5B4"/>
                  <w:noWrap/>
                  <w:vAlign w:val="center"/>
                  <w:hideMark/>
                </w:tcPr>
                <w:p w14:paraId="3A4564C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CD5B4"/>
                  <w:noWrap/>
                  <w:vAlign w:val="center"/>
                  <w:hideMark/>
                </w:tcPr>
                <w:p w14:paraId="1338A5C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7F3D6C1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63%</w:t>
                  </w:r>
                </w:p>
              </w:tc>
            </w:tr>
            <w:tr w:rsidR="00657F44" w:rsidRPr="00657F44" w14:paraId="5CDC1CCA"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267E7C95"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5D7E2D6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22%</w:t>
                  </w:r>
                </w:p>
              </w:tc>
              <w:tc>
                <w:tcPr>
                  <w:tcW w:w="943" w:type="dxa"/>
                  <w:tcBorders>
                    <w:top w:val="nil"/>
                    <w:left w:val="nil"/>
                    <w:bottom w:val="single" w:sz="8" w:space="0" w:color="FFFFFF"/>
                    <w:right w:val="single" w:sz="8" w:space="0" w:color="FFFFFF"/>
                  </w:tcBorders>
                  <w:shd w:val="clear" w:color="000000" w:fill="FDE9D9"/>
                  <w:noWrap/>
                  <w:vAlign w:val="center"/>
                  <w:hideMark/>
                </w:tcPr>
                <w:p w14:paraId="4C9FC67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19%</w:t>
                  </w:r>
                </w:p>
              </w:tc>
              <w:tc>
                <w:tcPr>
                  <w:tcW w:w="943" w:type="dxa"/>
                  <w:tcBorders>
                    <w:top w:val="nil"/>
                    <w:left w:val="nil"/>
                    <w:bottom w:val="single" w:sz="8" w:space="0" w:color="FFFFFF"/>
                    <w:right w:val="single" w:sz="8" w:space="0" w:color="FFFFFF"/>
                  </w:tcBorders>
                  <w:shd w:val="clear" w:color="000000" w:fill="FDE9D9"/>
                  <w:noWrap/>
                  <w:vAlign w:val="center"/>
                  <w:hideMark/>
                </w:tcPr>
                <w:p w14:paraId="288EAAF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20%</w:t>
                  </w:r>
                </w:p>
              </w:tc>
              <w:tc>
                <w:tcPr>
                  <w:tcW w:w="943" w:type="dxa"/>
                  <w:tcBorders>
                    <w:top w:val="nil"/>
                    <w:left w:val="nil"/>
                    <w:bottom w:val="single" w:sz="8" w:space="0" w:color="FFFFFF"/>
                    <w:right w:val="single" w:sz="8" w:space="0" w:color="FFFFFF"/>
                  </w:tcBorders>
                  <w:shd w:val="clear" w:color="000000" w:fill="FDE9D9"/>
                  <w:noWrap/>
                  <w:vAlign w:val="center"/>
                  <w:hideMark/>
                </w:tcPr>
                <w:p w14:paraId="04417B6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56%</w:t>
                  </w:r>
                </w:p>
              </w:tc>
              <w:tc>
                <w:tcPr>
                  <w:tcW w:w="1179" w:type="dxa"/>
                  <w:tcBorders>
                    <w:top w:val="nil"/>
                    <w:left w:val="nil"/>
                    <w:bottom w:val="single" w:sz="8" w:space="0" w:color="FFFFFF"/>
                    <w:right w:val="single" w:sz="8" w:space="0" w:color="FFFFFF"/>
                  </w:tcBorders>
                  <w:shd w:val="clear" w:color="000000" w:fill="FDE9D9"/>
                  <w:noWrap/>
                  <w:vAlign w:val="center"/>
                  <w:hideMark/>
                </w:tcPr>
                <w:p w14:paraId="5F27142C"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企业债3Y</w:t>
                  </w:r>
                </w:p>
              </w:tc>
              <w:tc>
                <w:tcPr>
                  <w:tcW w:w="943" w:type="dxa"/>
                  <w:tcBorders>
                    <w:top w:val="nil"/>
                    <w:left w:val="nil"/>
                    <w:bottom w:val="single" w:sz="8" w:space="0" w:color="FFFFFF"/>
                    <w:right w:val="single" w:sz="8" w:space="0" w:color="FFFFFF"/>
                  </w:tcBorders>
                  <w:shd w:val="clear" w:color="000000" w:fill="FDE9D9"/>
                  <w:noWrap/>
                  <w:vAlign w:val="center"/>
                  <w:hideMark/>
                </w:tcPr>
                <w:p w14:paraId="793DD75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DE9D9"/>
                  <w:noWrap/>
                  <w:vAlign w:val="center"/>
                  <w:hideMark/>
                </w:tcPr>
                <w:p w14:paraId="547A178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DE9D9"/>
                  <w:noWrap/>
                  <w:vAlign w:val="center"/>
                  <w:hideMark/>
                </w:tcPr>
                <w:p w14:paraId="6AE4FBB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DE9D9"/>
                  <w:noWrap/>
                  <w:vAlign w:val="center"/>
                  <w:hideMark/>
                </w:tcPr>
                <w:p w14:paraId="6D9A8B3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61%</w:t>
                  </w:r>
                </w:p>
              </w:tc>
            </w:tr>
            <w:tr w:rsidR="00657F44" w:rsidRPr="00657F44" w14:paraId="3CC92B45"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034960CE"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3113762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CD5B4"/>
                  <w:noWrap/>
                  <w:vAlign w:val="center"/>
                  <w:hideMark/>
                </w:tcPr>
                <w:p w14:paraId="52A7D22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0B358D1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15%</w:t>
                  </w:r>
                </w:p>
              </w:tc>
              <w:tc>
                <w:tcPr>
                  <w:tcW w:w="943" w:type="dxa"/>
                  <w:tcBorders>
                    <w:top w:val="nil"/>
                    <w:left w:val="nil"/>
                    <w:bottom w:val="single" w:sz="8" w:space="0" w:color="FFFFFF"/>
                    <w:right w:val="single" w:sz="8" w:space="0" w:color="FFFFFF"/>
                  </w:tcBorders>
                  <w:shd w:val="clear" w:color="000000" w:fill="FCD5B4"/>
                  <w:noWrap/>
                  <w:vAlign w:val="center"/>
                  <w:hideMark/>
                </w:tcPr>
                <w:p w14:paraId="207369CE"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49%</w:t>
                  </w:r>
                </w:p>
              </w:tc>
              <w:tc>
                <w:tcPr>
                  <w:tcW w:w="1179" w:type="dxa"/>
                  <w:tcBorders>
                    <w:top w:val="nil"/>
                    <w:left w:val="nil"/>
                    <w:bottom w:val="single" w:sz="8" w:space="0" w:color="FFFFFF"/>
                    <w:right w:val="single" w:sz="8" w:space="0" w:color="FFFFFF"/>
                  </w:tcBorders>
                  <w:shd w:val="clear" w:color="000000" w:fill="FCD5B4"/>
                  <w:noWrap/>
                  <w:vAlign w:val="center"/>
                  <w:hideMark/>
                </w:tcPr>
                <w:p w14:paraId="06AEB644"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企业债5Y</w:t>
                  </w:r>
                </w:p>
              </w:tc>
              <w:tc>
                <w:tcPr>
                  <w:tcW w:w="943" w:type="dxa"/>
                  <w:tcBorders>
                    <w:top w:val="nil"/>
                    <w:left w:val="nil"/>
                    <w:bottom w:val="single" w:sz="8" w:space="0" w:color="FFFFFF"/>
                    <w:right w:val="single" w:sz="8" w:space="0" w:color="FFFFFF"/>
                  </w:tcBorders>
                  <w:shd w:val="clear" w:color="000000" w:fill="FCD5B4"/>
                  <w:noWrap/>
                  <w:vAlign w:val="center"/>
                  <w:hideMark/>
                </w:tcPr>
                <w:p w14:paraId="77930B8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CD5B4"/>
                  <w:noWrap/>
                  <w:vAlign w:val="center"/>
                  <w:hideMark/>
                </w:tcPr>
                <w:p w14:paraId="5F2EC03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w:t>
                  </w:r>
                </w:p>
              </w:tc>
              <w:tc>
                <w:tcPr>
                  <w:tcW w:w="943" w:type="dxa"/>
                  <w:tcBorders>
                    <w:top w:val="nil"/>
                    <w:left w:val="nil"/>
                    <w:bottom w:val="single" w:sz="8" w:space="0" w:color="FFFFFF"/>
                    <w:right w:val="single" w:sz="8" w:space="0" w:color="FFFFFF"/>
                  </w:tcBorders>
                  <w:shd w:val="clear" w:color="000000" w:fill="FCD5B4"/>
                  <w:noWrap/>
                  <w:vAlign w:val="center"/>
                  <w:hideMark/>
                </w:tcPr>
                <w:p w14:paraId="1F90ED6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w:t>
                  </w:r>
                </w:p>
              </w:tc>
              <w:tc>
                <w:tcPr>
                  <w:tcW w:w="943" w:type="dxa"/>
                  <w:tcBorders>
                    <w:top w:val="nil"/>
                    <w:left w:val="nil"/>
                    <w:bottom w:val="single" w:sz="8" w:space="0" w:color="FFFFFF"/>
                    <w:right w:val="single" w:sz="8" w:space="0" w:color="FFFFFF"/>
                  </w:tcBorders>
                  <w:shd w:val="clear" w:color="000000" w:fill="FCD5B4"/>
                  <w:noWrap/>
                  <w:vAlign w:val="center"/>
                  <w:hideMark/>
                </w:tcPr>
                <w:p w14:paraId="15F03FB8"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56%</w:t>
                  </w:r>
                </w:p>
              </w:tc>
            </w:tr>
            <w:tr w:rsidR="00657F44" w:rsidRPr="00657F44" w14:paraId="798E8486"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C8DBD1A"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349C496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DE9D9"/>
                  <w:noWrap/>
                  <w:vAlign w:val="center"/>
                  <w:hideMark/>
                </w:tcPr>
                <w:p w14:paraId="6AB93F7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DE9D9"/>
                  <w:noWrap/>
                  <w:vAlign w:val="center"/>
                  <w:hideMark/>
                </w:tcPr>
                <w:p w14:paraId="5FC4E83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DE9D9"/>
                  <w:noWrap/>
                  <w:vAlign w:val="center"/>
                  <w:hideMark/>
                </w:tcPr>
                <w:p w14:paraId="200E397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41%</w:t>
                  </w:r>
                </w:p>
              </w:tc>
              <w:tc>
                <w:tcPr>
                  <w:tcW w:w="1179" w:type="dxa"/>
                  <w:tcBorders>
                    <w:top w:val="nil"/>
                    <w:left w:val="nil"/>
                    <w:bottom w:val="single" w:sz="8" w:space="0" w:color="FFFFFF"/>
                    <w:right w:val="single" w:sz="8" w:space="0" w:color="FFFFFF"/>
                  </w:tcBorders>
                  <w:shd w:val="clear" w:color="000000" w:fill="FDE9D9"/>
                  <w:noWrap/>
                  <w:vAlign w:val="center"/>
                  <w:hideMark/>
                </w:tcPr>
                <w:p w14:paraId="5CC03545" w14:textId="77777777" w:rsidR="00657F44" w:rsidRPr="00657F44" w:rsidRDefault="00657F44" w:rsidP="00657F44">
                  <w:pPr>
                    <w:widowControl/>
                    <w:jc w:val="center"/>
                    <w:rPr>
                      <w:rFonts w:ascii="楷体" w:eastAsia="楷体" w:hAnsi="楷体" w:cs="宋体"/>
                      <w:color w:val="000000"/>
                      <w:kern w:val="0"/>
                      <w:sz w:val="20"/>
                      <w:szCs w:val="20"/>
                    </w:rPr>
                  </w:pPr>
                  <w:r w:rsidRPr="00657F44">
                    <w:rPr>
                      <w:rFonts w:ascii="楷体" w:eastAsia="楷体" w:hAnsi="楷体" w:cs="宋体" w:hint="eastAsia"/>
                      <w:color w:val="000000"/>
                      <w:kern w:val="0"/>
                      <w:sz w:val="20"/>
                      <w:szCs w:val="20"/>
                    </w:rPr>
                    <w:t>企业债7Y</w:t>
                  </w:r>
                </w:p>
              </w:tc>
              <w:tc>
                <w:tcPr>
                  <w:tcW w:w="943" w:type="dxa"/>
                  <w:tcBorders>
                    <w:top w:val="nil"/>
                    <w:left w:val="nil"/>
                    <w:bottom w:val="single" w:sz="8" w:space="0" w:color="FFFFFF"/>
                    <w:right w:val="single" w:sz="8" w:space="0" w:color="FFFFFF"/>
                  </w:tcBorders>
                  <w:shd w:val="clear" w:color="000000" w:fill="FDE9D9"/>
                  <w:noWrap/>
                  <w:vAlign w:val="center"/>
                  <w:hideMark/>
                </w:tcPr>
                <w:p w14:paraId="54C86F2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DE9D9"/>
                  <w:noWrap/>
                  <w:vAlign w:val="center"/>
                  <w:hideMark/>
                </w:tcPr>
                <w:p w14:paraId="285C47B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4%</w:t>
                  </w:r>
                </w:p>
              </w:tc>
              <w:tc>
                <w:tcPr>
                  <w:tcW w:w="943" w:type="dxa"/>
                  <w:tcBorders>
                    <w:top w:val="nil"/>
                    <w:left w:val="nil"/>
                    <w:bottom w:val="single" w:sz="8" w:space="0" w:color="FFFFFF"/>
                    <w:right w:val="single" w:sz="8" w:space="0" w:color="FFFFFF"/>
                  </w:tcBorders>
                  <w:shd w:val="clear" w:color="000000" w:fill="FDE9D9"/>
                  <w:noWrap/>
                  <w:vAlign w:val="center"/>
                  <w:hideMark/>
                </w:tcPr>
                <w:p w14:paraId="7738F613"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DE9D9"/>
                  <w:noWrap/>
                  <w:vAlign w:val="center"/>
                  <w:hideMark/>
                </w:tcPr>
                <w:p w14:paraId="5F451DA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51%</w:t>
                  </w:r>
                </w:p>
              </w:tc>
            </w:tr>
            <w:tr w:rsidR="00657F44" w:rsidRPr="00657F44" w14:paraId="1050D0CC" w14:textId="77777777" w:rsidTr="00657F44">
              <w:trPr>
                <w:trHeight w:val="300"/>
              </w:trPr>
              <w:tc>
                <w:tcPr>
                  <w:tcW w:w="1151" w:type="dxa"/>
                  <w:tcBorders>
                    <w:top w:val="nil"/>
                    <w:left w:val="nil"/>
                    <w:bottom w:val="single" w:sz="8" w:space="0" w:color="FFFFFF"/>
                    <w:right w:val="single" w:sz="8" w:space="0" w:color="FFFFFF"/>
                  </w:tcBorders>
                  <w:shd w:val="clear" w:color="000000" w:fill="FCD5B4"/>
                  <w:noWrap/>
                  <w:vAlign w:val="center"/>
                  <w:hideMark/>
                </w:tcPr>
                <w:p w14:paraId="6B7EFD1E"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01C14C3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19%</w:t>
                  </w:r>
                </w:p>
              </w:tc>
              <w:tc>
                <w:tcPr>
                  <w:tcW w:w="943" w:type="dxa"/>
                  <w:tcBorders>
                    <w:top w:val="nil"/>
                    <w:left w:val="nil"/>
                    <w:bottom w:val="single" w:sz="8" w:space="0" w:color="FFFFFF"/>
                    <w:right w:val="single" w:sz="8" w:space="0" w:color="FFFFFF"/>
                  </w:tcBorders>
                  <w:shd w:val="clear" w:color="000000" w:fill="FCD5B4"/>
                  <w:noWrap/>
                  <w:vAlign w:val="center"/>
                  <w:hideMark/>
                </w:tcPr>
                <w:p w14:paraId="6F962F4C"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17%</w:t>
                  </w:r>
                </w:p>
              </w:tc>
              <w:tc>
                <w:tcPr>
                  <w:tcW w:w="943" w:type="dxa"/>
                  <w:tcBorders>
                    <w:top w:val="nil"/>
                    <w:left w:val="nil"/>
                    <w:bottom w:val="single" w:sz="8" w:space="0" w:color="FFFFFF"/>
                    <w:right w:val="single" w:sz="8" w:space="0" w:color="FFFFFF"/>
                  </w:tcBorders>
                  <w:shd w:val="clear" w:color="000000" w:fill="FCD5B4"/>
                  <w:noWrap/>
                  <w:vAlign w:val="center"/>
                  <w:hideMark/>
                </w:tcPr>
                <w:p w14:paraId="6FA17BD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CD5B4"/>
                  <w:noWrap/>
                  <w:vAlign w:val="center"/>
                  <w:hideMark/>
                </w:tcPr>
                <w:p w14:paraId="211889A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64%</w:t>
                  </w:r>
                </w:p>
              </w:tc>
              <w:tc>
                <w:tcPr>
                  <w:tcW w:w="1179" w:type="dxa"/>
                  <w:tcBorders>
                    <w:top w:val="nil"/>
                    <w:left w:val="nil"/>
                    <w:bottom w:val="single" w:sz="8" w:space="0" w:color="FFFFFF"/>
                    <w:right w:val="single" w:sz="8" w:space="0" w:color="FFFFFF"/>
                  </w:tcBorders>
                  <w:shd w:val="clear" w:color="000000" w:fill="FCD5B4"/>
                  <w:noWrap/>
                  <w:vAlign w:val="center"/>
                  <w:hideMark/>
                </w:tcPr>
                <w:p w14:paraId="4565751A"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3Y</w:t>
                  </w:r>
                </w:p>
              </w:tc>
              <w:tc>
                <w:tcPr>
                  <w:tcW w:w="943" w:type="dxa"/>
                  <w:tcBorders>
                    <w:top w:val="nil"/>
                    <w:left w:val="nil"/>
                    <w:bottom w:val="single" w:sz="8" w:space="0" w:color="FFFFFF"/>
                    <w:right w:val="single" w:sz="8" w:space="0" w:color="FFFFFF"/>
                  </w:tcBorders>
                  <w:shd w:val="clear" w:color="000000" w:fill="FCD5B4"/>
                  <w:noWrap/>
                  <w:vAlign w:val="center"/>
                  <w:hideMark/>
                </w:tcPr>
                <w:p w14:paraId="604A517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7%</w:t>
                  </w:r>
                </w:p>
              </w:tc>
              <w:tc>
                <w:tcPr>
                  <w:tcW w:w="943" w:type="dxa"/>
                  <w:tcBorders>
                    <w:top w:val="nil"/>
                    <w:left w:val="nil"/>
                    <w:bottom w:val="single" w:sz="8" w:space="0" w:color="FFFFFF"/>
                    <w:right w:val="single" w:sz="8" w:space="0" w:color="FFFFFF"/>
                  </w:tcBorders>
                  <w:shd w:val="clear" w:color="000000" w:fill="FCD5B4"/>
                  <w:noWrap/>
                  <w:vAlign w:val="center"/>
                  <w:hideMark/>
                </w:tcPr>
                <w:p w14:paraId="1E234494"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10%</w:t>
                  </w:r>
                </w:p>
              </w:tc>
              <w:tc>
                <w:tcPr>
                  <w:tcW w:w="943" w:type="dxa"/>
                  <w:tcBorders>
                    <w:top w:val="nil"/>
                    <w:left w:val="nil"/>
                    <w:bottom w:val="single" w:sz="8" w:space="0" w:color="FFFFFF"/>
                    <w:right w:val="single" w:sz="8" w:space="0" w:color="FFFFFF"/>
                  </w:tcBorders>
                  <w:shd w:val="clear" w:color="000000" w:fill="FCD5B4"/>
                  <w:noWrap/>
                  <w:vAlign w:val="center"/>
                  <w:hideMark/>
                </w:tcPr>
                <w:p w14:paraId="4A0AA427"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CD5B4"/>
                  <w:noWrap/>
                  <w:vAlign w:val="center"/>
                  <w:hideMark/>
                </w:tcPr>
                <w:p w14:paraId="15484376"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76%</w:t>
                  </w:r>
                </w:p>
              </w:tc>
            </w:tr>
            <w:tr w:rsidR="00657F44" w:rsidRPr="00657F44" w14:paraId="47685186" w14:textId="77777777" w:rsidTr="00657F44">
              <w:trPr>
                <w:trHeight w:val="300"/>
              </w:trPr>
              <w:tc>
                <w:tcPr>
                  <w:tcW w:w="1151" w:type="dxa"/>
                  <w:tcBorders>
                    <w:top w:val="nil"/>
                    <w:left w:val="nil"/>
                    <w:bottom w:val="single" w:sz="8" w:space="0" w:color="FFFFFF"/>
                    <w:right w:val="single" w:sz="8" w:space="0" w:color="FFFFFF"/>
                  </w:tcBorders>
                  <w:shd w:val="clear" w:color="000000" w:fill="FDE9D9"/>
                  <w:noWrap/>
                  <w:vAlign w:val="center"/>
                  <w:hideMark/>
                </w:tcPr>
                <w:p w14:paraId="0766EE2A"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12CB82C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14%</w:t>
                  </w:r>
                </w:p>
              </w:tc>
              <w:tc>
                <w:tcPr>
                  <w:tcW w:w="943" w:type="dxa"/>
                  <w:tcBorders>
                    <w:top w:val="nil"/>
                    <w:left w:val="nil"/>
                    <w:bottom w:val="single" w:sz="8" w:space="0" w:color="FFFFFF"/>
                    <w:right w:val="single" w:sz="8" w:space="0" w:color="FFFFFF"/>
                  </w:tcBorders>
                  <w:shd w:val="clear" w:color="000000" w:fill="FDE9D9"/>
                  <w:noWrap/>
                  <w:vAlign w:val="center"/>
                  <w:hideMark/>
                </w:tcPr>
                <w:p w14:paraId="2463A9C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DE9D9"/>
                  <w:noWrap/>
                  <w:vAlign w:val="center"/>
                  <w:hideMark/>
                </w:tcPr>
                <w:p w14:paraId="1E755A0A"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16%</w:t>
                  </w:r>
                </w:p>
              </w:tc>
              <w:tc>
                <w:tcPr>
                  <w:tcW w:w="943" w:type="dxa"/>
                  <w:tcBorders>
                    <w:top w:val="nil"/>
                    <w:left w:val="nil"/>
                    <w:bottom w:val="single" w:sz="8" w:space="0" w:color="FFFFFF"/>
                    <w:right w:val="single" w:sz="8" w:space="0" w:color="FFFFFF"/>
                  </w:tcBorders>
                  <w:shd w:val="clear" w:color="000000" w:fill="FDE9D9"/>
                  <w:noWrap/>
                  <w:vAlign w:val="center"/>
                  <w:hideMark/>
                </w:tcPr>
                <w:p w14:paraId="170BF931"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80%</w:t>
                  </w:r>
                </w:p>
              </w:tc>
              <w:tc>
                <w:tcPr>
                  <w:tcW w:w="1179" w:type="dxa"/>
                  <w:tcBorders>
                    <w:top w:val="nil"/>
                    <w:left w:val="nil"/>
                    <w:bottom w:val="single" w:sz="8" w:space="0" w:color="FFFFFF"/>
                    <w:right w:val="single" w:sz="8" w:space="0" w:color="FFFFFF"/>
                  </w:tcBorders>
                  <w:shd w:val="clear" w:color="000000" w:fill="FDE9D9"/>
                  <w:noWrap/>
                  <w:vAlign w:val="center"/>
                  <w:hideMark/>
                </w:tcPr>
                <w:p w14:paraId="4163922F"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5Y</w:t>
                  </w:r>
                </w:p>
              </w:tc>
              <w:tc>
                <w:tcPr>
                  <w:tcW w:w="943" w:type="dxa"/>
                  <w:tcBorders>
                    <w:top w:val="nil"/>
                    <w:left w:val="nil"/>
                    <w:bottom w:val="single" w:sz="8" w:space="0" w:color="FFFFFF"/>
                    <w:right w:val="single" w:sz="8" w:space="0" w:color="FFFFFF"/>
                  </w:tcBorders>
                  <w:shd w:val="clear" w:color="000000" w:fill="FDE9D9"/>
                  <w:noWrap/>
                  <w:vAlign w:val="center"/>
                  <w:hideMark/>
                </w:tcPr>
                <w:p w14:paraId="23EBF68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2E5E8B7D"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9%</w:t>
                  </w:r>
                </w:p>
              </w:tc>
              <w:tc>
                <w:tcPr>
                  <w:tcW w:w="943" w:type="dxa"/>
                  <w:tcBorders>
                    <w:top w:val="nil"/>
                    <w:left w:val="nil"/>
                    <w:bottom w:val="single" w:sz="8" w:space="0" w:color="FFFFFF"/>
                    <w:right w:val="single" w:sz="8" w:space="0" w:color="FFFFFF"/>
                  </w:tcBorders>
                  <w:shd w:val="clear" w:color="000000" w:fill="FDE9D9"/>
                  <w:noWrap/>
                  <w:vAlign w:val="center"/>
                  <w:hideMark/>
                </w:tcPr>
                <w:p w14:paraId="7C1A157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16%</w:t>
                  </w:r>
                </w:p>
              </w:tc>
              <w:tc>
                <w:tcPr>
                  <w:tcW w:w="943" w:type="dxa"/>
                  <w:tcBorders>
                    <w:top w:val="nil"/>
                    <w:left w:val="nil"/>
                    <w:bottom w:val="single" w:sz="8" w:space="0" w:color="FFFFFF"/>
                    <w:right w:val="single" w:sz="8" w:space="0" w:color="FFFFFF"/>
                  </w:tcBorders>
                  <w:shd w:val="clear" w:color="000000" w:fill="FFC7CE"/>
                  <w:noWrap/>
                  <w:vAlign w:val="center"/>
                  <w:hideMark/>
                </w:tcPr>
                <w:p w14:paraId="0FB5AADB" w14:textId="77777777" w:rsidR="00657F44" w:rsidRPr="00657F44" w:rsidRDefault="00657F44" w:rsidP="00657F44">
                  <w:pPr>
                    <w:widowControl/>
                    <w:jc w:val="center"/>
                    <w:rPr>
                      <w:rFonts w:eastAsia="等线" w:cs="Calibri"/>
                      <w:color w:val="9C0006"/>
                      <w:kern w:val="0"/>
                      <w:szCs w:val="21"/>
                    </w:rPr>
                  </w:pPr>
                  <w:r w:rsidRPr="00657F44">
                    <w:rPr>
                      <w:rFonts w:eastAsia="等线" w:cs="Calibri"/>
                      <w:color w:val="9C0006"/>
                      <w:kern w:val="0"/>
                      <w:szCs w:val="21"/>
                    </w:rPr>
                    <w:t>90%</w:t>
                  </w:r>
                </w:p>
              </w:tc>
            </w:tr>
            <w:tr w:rsidR="00657F44" w:rsidRPr="00657F44" w14:paraId="48E74B2B" w14:textId="77777777" w:rsidTr="00657F44">
              <w:trPr>
                <w:trHeight w:val="300"/>
              </w:trPr>
              <w:tc>
                <w:tcPr>
                  <w:tcW w:w="1151" w:type="dxa"/>
                  <w:tcBorders>
                    <w:top w:val="nil"/>
                    <w:left w:val="nil"/>
                    <w:bottom w:val="nil"/>
                    <w:right w:val="nil"/>
                  </w:tcBorders>
                  <w:shd w:val="clear" w:color="000000" w:fill="FCD5B4"/>
                  <w:noWrap/>
                  <w:vAlign w:val="center"/>
                  <w:hideMark/>
                </w:tcPr>
                <w:p w14:paraId="080C63D7"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5E5EE0A2"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CD5B4"/>
                  <w:noWrap/>
                  <w:vAlign w:val="center"/>
                  <w:hideMark/>
                </w:tcPr>
                <w:p w14:paraId="78DC8329"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11%</w:t>
                  </w:r>
                </w:p>
              </w:tc>
              <w:tc>
                <w:tcPr>
                  <w:tcW w:w="943" w:type="dxa"/>
                  <w:tcBorders>
                    <w:top w:val="nil"/>
                    <w:left w:val="nil"/>
                    <w:bottom w:val="single" w:sz="8" w:space="0" w:color="FFFFFF"/>
                    <w:right w:val="single" w:sz="8" w:space="0" w:color="FFFFFF"/>
                  </w:tcBorders>
                  <w:shd w:val="clear" w:color="000000" w:fill="FCD5B4"/>
                  <w:noWrap/>
                  <w:vAlign w:val="center"/>
                  <w:hideMark/>
                </w:tcPr>
                <w:p w14:paraId="3EA0B3B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13%</w:t>
                  </w:r>
                </w:p>
              </w:tc>
              <w:tc>
                <w:tcPr>
                  <w:tcW w:w="943" w:type="dxa"/>
                  <w:tcBorders>
                    <w:top w:val="nil"/>
                    <w:left w:val="nil"/>
                    <w:bottom w:val="single" w:sz="8" w:space="0" w:color="FFFFFF"/>
                    <w:right w:val="single" w:sz="8" w:space="0" w:color="FFFFFF"/>
                  </w:tcBorders>
                  <w:shd w:val="clear" w:color="000000" w:fill="FCD5B4"/>
                  <w:noWrap/>
                  <w:vAlign w:val="center"/>
                  <w:hideMark/>
                </w:tcPr>
                <w:p w14:paraId="361AEB50"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75%</w:t>
                  </w:r>
                </w:p>
              </w:tc>
              <w:tc>
                <w:tcPr>
                  <w:tcW w:w="1179" w:type="dxa"/>
                  <w:tcBorders>
                    <w:top w:val="nil"/>
                    <w:left w:val="nil"/>
                    <w:bottom w:val="nil"/>
                    <w:right w:val="nil"/>
                  </w:tcBorders>
                  <w:shd w:val="clear" w:color="000000" w:fill="FCD5B4"/>
                  <w:noWrap/>
                  <w:vAlign w:val="center"/>
                  <w:hideMark/>
                </w:tcPr>
                <w:p w14:paraId="41C23D9F" w14:textId="77777777" w:rsidR="00657F44" w:rsidRPr="00657F44" w:rsidRDefault="00657F44" w:rsidP="00657F44">
                  <w:pPr>
                    <w:widowControl/>
                    <w:jc w:val="center"/>
                    <w:rPr>
                      <w:rFonts w:ascii="楷体" w:eastAsia="楷体" w:hAnsi="楷体" w:cs="宋体"/>
                      <w:color w:val="000000"/>
                      <w:kern w:val="0"/>
                      <w:sz w:val="20"/>
                      <w:szCs w:val="20"/>
                    </w:rPr>
                  </w:pPr>
                  <w:proofErr w:type="gramStart"/>
                  <w:r w:rsidRPr="00657F44">
                    <w:rPr>
                      <w:rFonts w:ascii="楷体" w:eastAsia="楷体" w:hAnsi="楷体" w:cs="宋体" w:hint="eastAsia"/>
                      <w:color w:val="000000"/>
                      <w:kern w:val="0"/>
                      <w:sz w:val="20"/>
                      <w:szCs w:val="20"/>
                    </w:rPr>
                    <w:t>城投债</w:t>
                  </w:r>
                  <w:proofErr w:type="gramEnd"/>
                  <w:r w:rsidRPr="00657F44">
                    <w:rPr>
                      <w:rFonts w:ascii="楷体" w:eastAsia="楷体" w:hAnsi="楷体" w:cs="宋体" w:hint="eastAsia"/>
                      <w:color w:val="000000"/>
                      <w:kern w:val="0"/>
                      <w:sz w:val="20"/>
                      <w:szCs w:val="20"/>
                    </w:rPr>
                    <w:t>7Y</w:t>
                  </w:r>
                </w:p>
              </w:tc>
              <w:tc>
                <w:tcPr>
                  <w:tcW w:w="943" w:type="dxa"/>
                  <w:tcBorders>
                    <w:top w:val="nil"/>
                    <w:left w:val="nil"/>
                    <w:bottom w:val="single" w:sz="8" w:space="0" w:color="FFFFFF"/>
                    <w:right w:val="single" w:sz="8" w:space="0" w:color="FFFFFF"/>
                  </w:tcBorders>
                  <w:shd w:val="clear" w:color="000000" w:fill="FCD5B4"/>
                  <w:noWrap/>
                  <w:vAlign w:val="center"/>
                  <w:hideMark/>
                </w:tcPr>
                <w:p w14:paraId="53C2C345"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8%</w:t>
                  </w:r>
                </w:p>
              </w:tc>
              <w:tc>
                <w:tcPr>
                  <w:tcW w:w="943" w:type="dxa"/>
                  <w:tcBorders>
                    <w:top w:val="nil"/>
                    <w:left w:val="nil"/>
                    <w:bottom w:val="single" w:sz="8" w:space="0" w:color="FFFFFF"/>
                    <w:right w:val="single" w:sz="8" w:space="0" w:color="FFFFFF"/>
                  </w:tcBorders>
                  <w:shd w:val="clear" w:color="000000" w:fill="FCD5B4"/>
                  <w:noWrap/>
                  <w:vAlign w:val="center"/>
                  <w:hideMark/>
                </w:tcPr>
                <w:p w14:paraId="71CA04FB"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6%</w:t>
                  </w:r>
                </w:p>
              </w:tc>
              <w:tc>
                <w:tcPr>
                  <w:tcW w:w="943" w:type="dxa"/>
                  <w:tcBorders>
                    <w:top w:val="nil"/>
                    <w:left w:val="nil"/>
                    <w:bottom w:val="single" w:sz="8" w:space="0" w:color="FFFFFF"/>
                    <w:right w:val="single" w:sz="8" w:space="0" w:color="FFFFFF"/>
                  </w:tcBorders>
                  <w:shd w:val="clear" w:color="000000" w:fill="FCD5B4"/>
                  <w:noWrap/>
                  <w:vAlign w:val="center"/>
                  <w:hideMark/>
                </w:tcPr>
                <w:p w14:paraId="6E2E05FF" w14:textId="77777777" w:rsidR="00657F44" w:rsidRPr="00657F44" w:rsidRDefault="00657F44" w:rsidP="00657F44">
                  <w:pPr>
                    <w:widowControl/>
                    <w:jc w:val="center"/>
                    <w:rPr>
                      <w:rFonts w:eastAsia="等线" w:cs="Calibri"/>
                      <w:color w:val="000000"/>
                      <w:kern w:val="0"/>
                      <w:szCs w:val="21"/>
                    </w:rPr>
                  </w:pPr>
                  <w:r w:rsidRPr="00657F44">
                    <w:rPr>
                      <w:rFonts w:eastAsia="等线" w:cs="Calibri"/>
                      <w:color w:val="000000"/>
                      <w:kern w:val="0"/>
                      <w:szCs w:val="21"/>
                    </w:rPr>
                    <w:t>12%</w:t>
                  </w:r>
                </w:p>
              </w:tc>
              <w:tc>
                <w:tcPr>
                  <w:tcW w:w="943" w:type="dxa"/>
                  <w:tcBorders>
                    <w:top w:val="nil"/>
                    <w:left w:val="nil"/>
                    <w:bottom w:val="single" w:sz="8" w:space="0" w:color="FFFFFF"/>
                    <w:right w:val="single" w:sz="8" w:space="0" w:color="FFFFFF"/>
                  </w:tcBorders>
                  <w:shd w:val="clear" w:color="000000" w:fill="FFC7CE"/>
                  <w:noWrap/>
                  <w:vAlign w:val="center"/>
                  <w:hideMark/>
                </w:tcPr>
                <w:p w14:paraId="76A8E85E" w14:textId="77777777" w:rsidR="00657F44" w:rsidRPr="00657F44" w:rsidRDefault="00657F44" w:rsidP="00657F44">
                  <w:pPr>
                    <w:widowControl/>
                    <w:jc w:val="center"/>
                    <w:rPr>
                      <w:rFonts w:eastAsia="等线" w:cs="Calibri"/>
                      <w:color w:val="9C0006"/>
                      <w:kern w:val="0"/>
                      <w:szCs w:val="21"/>
                    </w:rPr>
                  </w:pPr>
                  <w:r w:rsidRPr="00657F44">
                    <w:rPr>
                      <w:rFonts w:eastAsia="等线" w:cs="Calibri"/>
                      <w:color w:val="9C0006"/>
                      <w:kern w:val="0"/>
                      <w:szCs w:val="21"/>
                    </w:rPr>
                    <w:t>86%</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716D88CB"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5437B0">
        <w:rPr>
          <w:rFonts w:ascii="华文楷体" w:hAnsi="华文楷体" w:hint="eastAsia"/>
          <w:sz w:val="24"/>
          <w:szCs w:val="24"/>
          <w:lang w:eastAsia="zh-CN"/>
        </w:rPr>
        <w:t>，</w:t>
      </w:r>
      <w:r w:rsidR="00980B5C" w:rsidRPr="00980B5C">
        <w:rPr>
          <w:rFonts w:ascii="华文楷体" w:hAnsi="华文楷体" w:hint="eastAsia"/>
          <w:sz w:val="24"/>
          <w:szCs w:val="24"/>
          <w:lang w:eastAsia="zh-CN"/>
        </w:rPr>
        <w:t>各主要板块指数</w:t>
      </w:r>
      <w:r w:rsidR="00657F44">
        <w:rPr>
          <w:rFonts w:ascii="华文楷体" w:hAnsi="华文楷体" w:hint="eastAsia"/>
          <w:sz w:val="24"/>
          <w:szCs w:val="24"/>
          <w:lang w:eastAsia="zh-CN"/>
        </w:rPr>
        <w:t>适度下行，多数成交量小幅上涨</w:t>
      </w:r>
      <w:r w:rsidR="00980B5C" w:rsidRPr="00980B5C">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D909DA">
        <w:rPr>
          <w:rFonts w:ascii="华文楷体" w:hAnsi="华文楷体" w:hint="eastAsia"/>
          <w:sz w:val="24"/>
          <w:szCs w:val="24"/>
          <w:lang w:eastAsia="zh-CN"/>
        </w:rPr>
        <w:t>-</w:t>
      </w:r>
      <w:r w:rsidR="00657F44">
        <w:rPr>
          <w:rFonts w:ascii="华文楷体" w:hAnsi="华文楷体" w:hint="eastAsia"/>
          <w:sz w:val="24"/>
          <w:szCs w:val="24"/>
          <w:lang w:eastAsia="zh-CN"/>
        </w:rPr>
        <w:t>1.8</w:t>
      </w:r>
      <w:r w:rsidR="00AC28BB">
        <w:rPr>
          <w:rFonts w:ascii="华文楷体" w:hAnsi="华文楷体"/>
          <w:sz w:val="24"/>
          <w:szCs w:val="24"/>
          <w:lang w:eastAsia="zh-CN"/>
        </w:rPr>
        <w:t>%、</w:t>
      </w:r>
      <w:r w:rsidR="00657F44">
        <w:rPr>
          <w:rFonts w:ascii="华文楷体" w:hAnsi="华文楷体" w:hint="eastAsia"/>
          <w:sz w:val="24"/>
          <w:szCs w:val="24"/>
          <w:lang w:eastAsia="zh-CN"/>
        </w:rPr>
        <w:t>-1.8</w:t>
      </w:r>
      <w:r w:rsidR="00AC28BB">
        <w:rPr>
          <w:rFonts w:ascii="华文楷体" w:hAnsi="华文楷体"/>
          <w:sz w:val="24"/>
          <w:szCs w:val="24"/>
          <w:lang w:eastAsia="zh-CN"/>
        </w:rPr>
        <w:t>%、</w:t>
      </w:r>
      <w:r w:rsidR="00D909DA">
        <w:rPr>
          <w:rFonts w:ascii="华文楷体" w:hAnsi="华文楷体" w:hint="eastAsia"/>
          <w:sz w:val="24"/>
          <w:szCs w:val="24"/>
          <w:lang w:eastAsia="zh-CN"/>
        </w:rPr>
        <w:t>-</w:t>
      </w:r>
      <w:r w:rsidR="00657F44">
        <w:rPr>
          <w:rFonts w:ascii="华文楷体" w:hAnsi="华文楷体" w:hint="eastAsia"/>
          <w:sz w:val="24"/>
          <w:szCs w:val="24"/>
          <w:lang w:eastAsia="zh-CN"/>
        </w:rPr>
        <w:t>3.4</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D909DA">
        <w:rPr>
          <w:rFonts w:ascii="华文楷体" w:hAnsi="华文楷体" w:hint="eastAsia"/>
          <w:sz w:val="24"/>
          <w:szCs w:val="24"/>
          <w:lang w:eastAsia="zh-CN"/>
        </w:rPr>
        <w:t>-</w:t>
      </w:r>
      <w:r w:rsidR="00657F44">
        <w:rPr>
          <w:rFonts w:ascii="华文楷体" w:hAnsi="华文楷体" w:hint="eastAsia"/>
          <w:sz w:val="24"/>
          <w:szCs w:val="24"/>
          <w:lang w:eastAsia="zh-CN"/>
        </w:rPr>
        <w:t>2.3</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w:t>
      </w:r>
      <w:r w:rsidR="002C4A75">
        <w:rPr>
          <w:rFonts w:ascii="华文楷体" w:hAnsi="华文楷体" w:hint="eastAsia"/>
          <w:sz w:val="24"/>
          <w:szCs w:val="24"/>
          <w:lang w:eastAsia="zh-CN"/>
        </w:rPr>
        <w:t>涨幅收窄</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657F44">
        <w:rPr>
          <w:rFonts w:ascii="华文楷体" w:hAnsi="华文楷体" w:hint="eastAsia"/>
          <w:sz w:val="24"/>
          <w:szCs w:val="24"/>
          <w:lang w:eastAsia="zh-CN"/>
        </w:rPr>
        <w:t>下行1.6</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657F44">
        <w:tblPrEx>
          <w:tblCellMar>
            <w:left w:w="108" w:type="dxa"/>
            <w:right w:w="108" w:type="dxa"/>
          </w:tblCellMar>
        </w:tblPrEx>
        <w:trPr>
          <w:trHeight w:val="2921"/>
          <w:jc w:val="center"/>
        </w:trPr>
        <w:tc>
          <w:tcPr>
            <w:tcW w:w="4939" w:type="dxa"/>
            <w:vAlign w:val="center"/>
          </w:tcPr>
          <w:p w14:paraId="5C83721A" w14:textId="442A9080" w:rsidR="00E0626C" w:rsidRPr="00345C30" w:rsidRDefault="00657F44" w:rsidP="00345C30">
            <w:pPr>
              <w:widowControl/>
              <w:jc w:val="left"/>
              <w:rPr>
                <w:rFonts w:ascii="宋体" w:hAnsi="宋体" w:cs="宋体"/>
                <w:kern w:val="0"/>
                <w:sz w:val="24"/>
                <w:szCs w:val="24"/>
              </w:rPr>
            </w:pPr>
            <w:r w:rsidRPr="00657F44">
              <w:rPr>
                <w:rFonts w:ascii="宋体" w:hAnsi="宋体" w:cs="宋体"/>
                <w:noProof/>
                <w:kern w:val="0"/>
                <w:sz w:val="24"/>
                <w:szCs w:val="24"/>
              </w:rPr>
              <w:drawing>
                <wp:inline distT="0" distB="0" distL="0" distR="0" wp14:anchorId="06E93DA9" wp14:editId="231FCE50">
                  <wp:extent cx="3130906" cy="1938020"/>
                  <wp:effectExtent l="0" t="0" r="0" b="5080"/>
                  <wp:docPr id="19" name="图片 19" descr="C:\Users\Tang\AppData\Local\Temp\16241862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24186285(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7003" cy="1954174"/>
                          </a:xfrm>
                          <a:prstGeom prst="rect">
                            <a:avLst/>
                          </a:prstGeom>
                          <a:noFill/>
                          <a:ln>
                            <a:noFill/>
                          </a:ln>
                        </pic:spPr>
                      </pic:pic>
                    </a:graphicData>
                  </a:graphic>
                </wp:inline>
              </w:drawing>
            </w:r>
          </w:p>
        </w:tc>
        <w:tc>
          <w:tcPr>
            <w:tcW w:w="4938" w:type="dxa"/>
            <w:vAlign w:val="center"/>
          </w:tcPr>
          <w:p w14:paraId="39BD4383" w14:textId="1AA353E6" w:rsidR="00E0626C" w:rsidRPr="007E0340" w:rsidRDefault="00657F44" w:rsidP="009A2BA0">
            <w:pPr>
              <w:jc w:val="center"/>
              <w:rPr>
                <w:noProof/>
                <w:szCs w:val="18"/>
              </w:rPr>
            </w:pPr>
            <w:r>
              <w:rPr>
                <w:noProof/>
              </w:rPr>
              <w:drawing>
                <wp:inline distT="0" distB="0" distL="0" distR="0" wp14:anchorId="06D65DB9" wp14:editId="137F6819">
                  <wp:extent cx="2998470" cy="1895373"/>
                  <wp:effectExtent l="0" t="0" r="0" b="0"/>
                  <wp:docPr id="20" name="图表 20">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0A023476"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EE6431" w:rsidRPr="00EE6431">
        <w:rPr>
          <w:rFonts w:ascii="华文楷体" w:hAnsi="华文楷体" w:hint="eastAsia"/>
          <w:sz w:val="24"/>
          <w:szCs w:val="24"/>
          <w:lang w:eastAsia="zh-CN"/>
        </w:rPr>
        <w:t>主要港口动力煤平均价环比上涨2.43%</w:t>
      </w:r>
      <w:r w:rsidR="006E559F" w:rsidRPr="006E559F">
        <w:rPr>
          <w:rFonts w:ascii="华文楷体" w:hAnsi="华文楷体" w:hint="eastAsia"/>
          <w:sz w:val="24"/>
          <w:szCs w:val="24"/>
          <w:lang w:eastAsia="zh-CN"/>
        </w:rPr>
        <w:t>。</w:t>
      </w:r>
      <w:r w:rsidR="00EE6431" w:rsidRPr="00EE6431">
        <w:rPr>
          <w:rFonts w:ascii="华文楷体" w:hAnsi="华文楷体" w:hint="eastAsia"/>
          <w:sz w:val="24"/>
          <w:szCs w:val="24"/>
          <w:lang w:eastAsia="zh-CN"/>
        </w:rPr>
        <w:t>PTA产业链负荷率上升5.1个百分点至84.7%。南华玻璃指数均值在3462.7，环比下降0.89%</w:t>
      </w:r>
      <w:r w:rsidR="006E559F" w:rsidRPr="006E559F">
        <w:rPr>
          <w:rFonts w:ascii="华文楷体" w:hAnsi="华文楷体" w:hint="eastAsia"/>
          <w:sz w:val="24"/>
          <w:szCs w:val="24"/>
          <w:lang w:eastAsia="zh-CN"/>
        </w:rPr>
        <w:t>。</w:t>
      </w:r>
      <w:proofErr w:type="spellStart"/>
      <w:r w:rsidR="00EE6431" w:rsidRPr="00EE6431">
        <w:rPr>
          <w:rFonts w:ascii="华文楷体" w:hAnsi="华文楷体" w:hint="eastAsia"/>
          <w:sz w:val="24"/>
          <w:szCs w:val="24"/>
          <w:lang w:eastAsia="zh-CN"/>
        </w:rPr>
        <w:t>Myspic</w:t>
      </w:r>
      <w:proofErr w:type="spellEnd"/>
      <w:r w:rsidR="00EE6431" w:rsidRPr="00EE6431">
        <w:rPr>
          <w:rFonts w:ascii="华文楷体" w:hAnsi="华文楷体" w:hint="eastAsia"/>
          <w:sz w:val="24"/>
          <w:szCs w:val="24"/>
          <w:lang w:eastAsia="zh-CN"/>
        </w:rPr>
        <w:t>综合全国钢铁价格指数下行0.36%，主要钢材品种价格环比回调0.5%左右。按品种看，螺纹钢、热卷、高线价格分别跌0.5%、0.2%、0.4%</w:t>
      </w:r>
      <w:r w:rsidR="00EE6431">
        <w:rPr>
          <w:rFonts w:ascii="华文楷体" w:hAnsi="华文楷体" w:hint="eastAsia"/>
          <w:sz w:val="24"/>
          <w:szCs w:val="24"/>
          <w:lang w:eastAsia="zh-CN"/>
        </w:rPr>
        <w:t>。  库存方面</w:t>
      </w:r>
      <w:r w:rsidR="00EE6431" w:rsidRPr="00EE6431">
        <w:rPr>
          <w:rFonts w:ascii="华文楷体" w:hAnsi="华文楷体" w:hint="eastAsia"/>
          <w:sz w:val="24"/>
          <w:szCs w:val="24"/>
          <w:lang w:eastAsia="zh-CN"/>
        </w:rPr>
        <w:t>，主要钢材</w:t>
      </w:r>
      <w:r w:rsidR="00EE6431">
        <w:rPr>
          <w:rFonts w:ascii="华文楷体" w:hAnsi="华文楷体" w:hint="eastAsia"/>
          <w:sz w:val="24"/>
          <w:szCs w:val="24"/>
          <w:lang w:eastAsia="zh-CN"/>
        </w:rPr>
        <w:t>转为累库，其中</w:t>
      </w:r>
      <w:r w:rsidR="00EE6431" w:rsidRPr="00EE6431">
        <w:rPr>
          <w:rFonts w:ascii="华文楷体" w:hAnsi="华文楷体" w:hint="eastAsia"/>
          <w:sz w:val="24"/>
          <w:szCs w:val="24"/>
          <w:lang w:eastAsia="zh-CN"/>
        </w:rPr>
        <w:t>螺纹钢、热卷、线材总库存分别上升2.7%、4.2%、2.0%。</w:t>
      </w:r>
    </w:p>
    <w:p w14:paraId="21425444" w14:textId="313800C3"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5E049B" w:rsidRPr="005E049B">
        <w:rPr>
          <w:rFonts w:ascii="华文楷体" w:hAnsi="华文楷体" w:hint="eastAsia"/>
          <w:sz w:val="24"/>
          <w:szCs w:val="24"/>
          <w:lang w:eastAsia="zh-CN"/>
        </w:rPr>
        <w:t>30大中城市商品房平均成交</w:t>
      </w:r>
      <w:proofErr w:type="gramStart"/>
      <w:r w:rsidR="005E049B" w:rsidRPr="005E049B">
        <w:rPr>
          <w:rFonts w:ascii="华文楷体" w:hAnsi="华文楷体" w:hint="eastAsia"/>
          <w:sz w:val="24"/>
          <w:szCs w:val="24"/>
          <w:lang w:eastAsia="zh-CN"/>
        </w:rPr>
        <w:t>面积环</w:t>
      </w:r>
      <w:proofErr w:type="gramEnd"/>
      <w:r w:rsidR="005E049B" w:rsidRPr="005E049B">
        <w:rPr>
          <w:rFonts w:ascii="华文楷体" w:hAnsi="华文楷体" w:hint="eastAsia"/>
          <w:sz w:val="24"/>
          <w:szCs w:val="24"/>
          <w:lang w:eastAsia="zh-CN"/>
        </w:rPr>
        <w:t>比回落16.2%，一、二、三线城市分别下降20.1%、15.2%、14.7%，二手房成交面积持续回落。拿地方面，上周100大中城市土地成交</w:t>
      </w:r>
      <w:proofErr w:type="gramStart"/>
      <w:r w:rsidR="005E049B" w:rsidRPr="005E049B">
        <w:rPr>
          <w:rFonts w:ascii="华文楷体" w:hAnsi="华文楷体" w:hint="eastAsia"/>
          <w:sz w:val="24"/>
          <w:szCs w:val="24"/>
          <w:lang w:eastAsia="zh-CN"/>
        </w:rPr>
        <w:t>面积环</w:t>
      </w:r>
      <w:proofErr w:type="gramEnd"/>
      <w:r w:rsidR="005E049B" w:rsidRPr="005E049B">
        <w:rPr>
          <w:rFonts w:ascii="华文楷体" w:hAnsi="华文楷体" w:hint="eastAsia"/>
          <w:sz w:val="24"/>
          <w:szCs w:val="24"/>
          <w:lang w:eastAsia="zh-CN"/>
        </w:rPr>
        <w:t>比下降约60%，一、二、三线分别变化 -54%、-78%、+7.7%</w:t>
      </w:r>
      <w:r w:rsidR="00AE5690">
        <w:rPr>
          <w:rFonts w:ascii="华文楷体" w:hAnsi="华文楷体" w:hint="eastAsia"/>
          <w:sz w:val="24"/>
          <w:szCs w:val="24"/>
          <w:lang w:eastAsia="zh-CN"/>
        </w:rPr>
        <w:t>。</w:t>
      </w:r>
    </w:p>
    <w:p w14:paraId="77CCCEDF" w14:textId="78B4B6C3"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1F098C" w:rsidRPr="001F098C">
        <w:rPr>
          <w:rFonts w:ascii="华文楷体" w:hAnsi="华文楷体" w:hint="eastAsia"/>
          <w:sz w:val="24"/>
          <w:szCs w:val="24"/>
          <w:lang w:eastAsia="zh-CN"/>
        </w:rPr>
        <w:t>出口方面，</w:t>
      </w:r>
      <w:r w:rsidR="005E049B" w:rsidRPr="005E049B">
        <w:rPr>
          <w:rFonts w:ascii="华文楷体" w:hAnsi="华文楷体" w:hint="eastAsia"/>
          <w:bCs/>
          <w:sz w:val="24"/>
          <w:szCs w:val="24"/>
          <w:lang w:eastAsia="zh-CN"/>
        </w:rPr>
        <w:t>上海出口集装箱指数（SCFI）</w:t>
      </w:r>
      <w:r w:rsidR="007B52D4">
        <w:rPr>
          <w:rFonts w:ascii="华文楷体" w:hAnsi="华文楷体" w:hint="eastAsia"/>
          <w:bCs/>
          <w:sz w:val="24"/>
          <w:szCs w:val="24"/>
          <w:lang w:eastAsia="zh-CN"/>
        </w:rPr>
        <w:t>上</w:t>
      </w:r>
      <w:r w:rsidR="005E049B" w:rsidRPr="005E049B">
        <w:rPr>
          <w:rFonts w:ascii="华文楷体" w:hAnsi="华文楷体" w:hint="eastAsia"/>
          <w:bCs/>
          <w:sz w:val="24"/>
          <w:szCs w:val="24"/>
          <w:lang w:eastAsia="zh-CN"/>
        </w:rPr>
        <w:t>周环比回升1.20%，中国出口集装箱运价指数（CCFI）上行3.44%</w:t>
      </w:r>
      <w:r w:rsidR="003B19EF" w:rsidRPr="003B19EF">
        <w:rPr>
          <w:rFonts w:ascii="华文楷体" w:hAnsi="华文楷体" w:hint="eastAsia"/>
          <w:bCs/>
          <w:sz w:val="24"/>
          <w:szCs w:val="24"/>
          <w:lang w:eastAsia="zh-CN"/>
        </w:rPr>
        <w:t>。</w:t>
      </w:r>
      <w:r w:rsidR="001F098C">
        <w:rPr>
          <w:rFonts w:ascii="华文楷体" w:hAnsi="华文楷体" w:hint="eastAsia"/>
          <w:bCs/>
          <w:sz w:val="24"/>
          <w:szCs w:val="24"/>
          <w:lang w:eastAsia="zh-CN"/>
        </w:rPr>
        <w:t>进口方面，</w:t>
      </w:r>
      <w:r w:rsidR="005E049B" w:rsidRPr="005E049B">
        <w:rPr>
          <w:rFonts w:ascii="华文楷体" w:hAnsi="华文楷体" w:hint="eastAsia"/>
          <w:bCs/>
          <w:sz w:val="24"/>
          <w:szCs w:val="24"/>
          <w:lang w:eastAsia="zh-CN"/>
        </w:rPr>
        <w:t>波罗的海干散货</w:t>
      </w:r>
      <w:proofErr w:type="gramStart"/>
      <w:r w:rsidR="005E049B" w:rsidRPr="005E049B">
        <w:rPr>
          <w:rFonts w:ascii="华文楷体" w:hAnsi="华文楷体" w:hint="eastAsia"/>
          <w:bCs/>
          <w:sz w:val="24"/>
          <w:szCs w:val="24"/>
          <w:lang w:eastAsia="zh-CN"/>
        </w:rPr>
        <w:t>指数环</w:t>
      </w:r>
      <w:proofErr w:type="gramEnd"/>
      <w:r w:rsidR="005E049B" w:rsidRPr="005E049B">
        <w:rPr>
          <w:rFonts w:ascii="华文楷体" w:hAnsi="华文楷体" w:hint="eastAsia"/>
          <w:bCs/>
          <w:sz w:val="24"/>
          <w:szCs w:val="24"/>
          <w:lang w:eastAsia="zh-CN"/>
        </w:rPr>
        <w:t>比上行21.6%，中国进口干散货运价</w:t>
      </w:r>
      <w:proofErr w:type="gramStart"/>
      <w:r w:rsidR="005E049B" w:rsidRPr="005E049B">
        <w:rPr>
          <w:rFonts w:ascii="华文楷体" w:hAnsi="华文楷体" w:hint="eastAsia"/>
          <w:bCs/>
          <w:sz w:val="24"/>
          <w:szCs w:val="24"/>
          <w:lang w:eastAsia="zh-CN"/>
        </w:rPr>
        <w:t>指数环</w:t>
      </w:r>
      <w:proofErr w:type="gramEnd"/>
      <w:r w:rsidR="005E049B" w:rsidRPr="005E049B">
        <w:rPr>
          <w:rFonts w:ascii="华文楷体" w:hAnsi="华文楷体" w:hint="eastAsia"/>
          <w:bCs/>
          <w:sz w:val="24"/>
          <w:szCs w:val="24"/>
          <w:lang w:eastAsia="zh-CN"/>
        </w:rPr>
        <w:t>比上行12.4%</w:t>
      </w:r>
      <w:r w:rsidR="00A20244" w:rsidRPr="00A20244">
        <w:rPr>
          <w:rFonts w:ascii="华文楷体" w:hAnsi="华文楷体" w:hint="eastAsia"/>
          <w:bCs/>
          <w:sz w:val="24"/>
          <w:szCs w:val="24"/>
          <w:lang w:eastAsia="zh-CN"/>
        </w:rPr>
        <w:t>。</w:t>
      </w:r>
    </w:p>
    <w:p w14:paraId="50CC8233" w14:textId="64CD5618" w:rsidR="00065754"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7B52D4">
        <w:rPr>
          <w:rFonts w:ascii="华文楷体" w:hAnsi="华文楷体" w:hint="eastAsia"/>
          <w:bCs/>
          <w:sz w:val="24"/>
          <w:szCs w:val="24"/>
          <w:lang w:eastAsia="zh-CN"/>
        </w:rPr>
        <w:t>上</w:t>
      </w:r>
      <w:r w:rsidR="003B19EF" w:rsidRPr="003B19EF">
        <w:rPr>
          <w:rFonts w:ascii="华文楷体" w:hAnsi="华文楷体" w:hint="eastAsia"/>
          <w:bCs/>
          <w:sz w:val="24"/>
          <w:szCs w:val="24"/>
          <w:lang w:eastAsia="zh-CN"/>
        </w:rPr>
        <w:t>周</w:t>
      </w:r>
      <w:r w:rsidR="001F098C" w:rsidRPr="001F098C">
        <w:rPr>
          <w:rFonts w:ascii="华文楷体" w:hAnsi="华文楷体" w:hint="eastAsia"/>
          <w:bCs/>
          <w:sz w:val="24"/>
          <w:szCs w:val="24"/>
          <w:lang w:eastAsia="zh-CN"/>
        </w:rPr>
        <w:t>猪价方面，</w:t>
      </w:r>
      <w:r w:rsidR="005E049B" w:rsidRPr="005E049B">
        <w:rPr>
          <w:rFonts w:ascii="华文楷体" w:hAnsi="华文楷体" w:hint="eastAsia"/>
          <w:bCs/>
          <w:sz w:val="24"/>
          <w:szCs w:val="24"/>
          <w:lang w:eastAsia="zh-CN"/>
        </w:rPr>
        <w:t>农业部公布的全国平均批发价下降至22.92元/公斤，环比跌幅5.58%</w:t>
      </w:r>
      <w:r w:rsidR="006E559F" w:rsidRPr="006E559F">
        <w:rPr>
          <w:rFonts w:ascii="华文楷体" w:hAnsi="华文楷体" w:hint="eastAsia"/>
          <w:bCs/>
          <w:sz w:val="24"/>
          <w:szCs w:val="24"/>
          <w:lang w:eastAsia="zh-CN"/>
        </w:rPr>
        <w:t>。</w:t>
      </w:r>
      <w:r w:rsidR="005E049B" w:rsidRPr="005E049B">
        <w:rPr>
          <w:rFonts w:ascii="华文楷体" w:hAnsi="华文楷体" w:hint="eastAsia"/>
          <w:bCs/>
          <w:sz w:val="24"/>
          <w:szCs w:val="24"/>
          <w:lang w:eastAsia="zh-CN"/>
        </w:rPr>
        <w:t>水产品价格回调0.23%，蔬菜、牛肉价格转为小幅上涨</w:t>
      </w:r>
      <w:r w:rsidR="00065754">
        <w:rPr>
          <w:rFonts w:ascii="华文楷体" w:hAnsi="华文楷体" w:hint="eastAsia"/>
          <w:bCs/>
          <w:sz w:val="24"/>
          <w:szCs w:val="24"/>
          <w:lang w:eastAsia="zh-CN"/>
        </w:rPr>
        <w:t>。</w:t>
      </w:r>
      <w:r w:rsidR="003B19EF" w:rsidRPr="003B19EF">
        <w:rPr>
          <w:rFonts w:ascii="华文楷体" w:hAnsi="华文楷体" w:hint="eastAsia"/>
          <w:bCs/>
          <w:sz w:val="24"/>
          <w:szCs w:val="24"/>
          <w:lang w:eastAsia="zh-CN"/>
        </w:rPr>
        <w:t>工业品价格方面，</w:t>
      </w:r>
      <w:r w:rsidR="005E049B" w:rsidRPr="005E049B">
        <w:rPr>
          <w:rFonts w:ascii="华文楷体" w:hAnsi="华文楷体" w:hint="eastAsia"/>
          <w:bCs/>
          <w:sz w:val="24"/>
          <w:szCs w:val="24"/>
          <w:lang w:eastAsia="zh-CN"/>
        </w:rPr>
        <w:t>国内长江有色市场铜价下跌3.2%，铝、</w:t>
      </w:r>
      <w:proofErr w:type="gramStart"/>
      <w:r w:rsidR="005E049B" w:rsidRPr="005E049B">
        <w:rPr>
          <w:rFonts w:ascii="华文楷体" w:hAnsi="华文楷体" w:hint="eastAsia"/>
          <w:bCs/>
          <w:sz w:val="24"/>
          <w:szCs w:val="24"/>
          <w:lang w:eastAsia="zh-CN"/>
        </w:rPr>
        <w:t>铅分别</w:t>
      </w:r>
      <w:proofErr w:type="gramEnd"/>
      <w:r w:rsidR="005E049B" w:rsidRPr="005E049B">
        <w:rPr>
          <w:rFonts w:ascii="华文楷体" w:hAnsi="华文楷体" w:hint="eastAsia"/>
          <w:bCs/>
          <w:sz w:val="24"/>
          <w:szCs w:val="24"/>
          <w:lang w:eastAsia="zh-CN"/>
        </w:rPr>
        <w:t>涨1.3%、0.3%，锌价基本持平上周；海外方面，LME铜、铝、铅、</w:t>
      </w:r>
      <w:proofErr w:type="gramStart"/>
      <w:r w:rsidR="005E049B" w:rsidRPr="005E049B">
        <w:rPr>
          <w:rFonts w:ascii="华文楷体" w:hAnsi="华文楷体" w:hint="eastAsia"/>
          <w:bCs/>
          <w:sz w:val="24"/>
          <w:szCs w:val="24"/>
          <w:lang w:eastAsia="zh-CN"/>
        </w:rPr>
        <w:t>锌环比</w:t>
      </w:r>
      <w:proofErr w:type="gramEnd"/>
      <w:r w:rsidR="005E049B" w:rsidRPr="005E049B">
        <w:rPr>
          <w:rFonts w:ascii="华文楷体" w:hAnsi="华文楷体" w:hint="eastAsia"/>
          <w:bCs/>
          <w:sz w:val="24"/>
          <w:szCs w:val="24"/>
          <w:lang w:eastAsia="zh-CN"/>
        </w:rPr>
        <w:t>分别变化-2.9%、+0.03%、+0.35%、-0.05%</w:t>
      </w:r>
      <w:r w:rsidR="006E559F" w:rsidRPr="006E559F">
        <w:rPr>
          <w:rFonts w:ascii="华文楷体" w:hAnsi="华文楷体" w:hint="eastAsia"/>
          <w:bCs/>
          <w:sz w:val="24"/>
          <w:szCs w:val="24"/>
          <w:lang w:eastAsia="zh-CN"/>
        </w:rPr>
        <w:t>。</w:t>
      </w:r>
    </w:p>
    <w:p w14:paraId="3425BC76" w14:textId="1A1C9151" w:rsidR="00095AFC"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AE5690" w:rsidRPr="00AE5690">
        <w:rPr>
          <w:rFonts w:ascii="华文楷体" w:hAnsi="华文楷体" w:hint="eastAsia"/>
          <w:bCs/>
          <w:sz w:val="24"/>
          <w:szCs w:val="24"/>
          <w:lang w:eastAsia="zh-CN"/>
        </w:rPr>
        <w:t>乘联会最新数据显示，</w:t>
      </w:r>
      <w:r w:rsidR="005E049B" w:rsidRPr="005E049B">
        <w:rPr>
          <w:rFonts w:ascii="华文楷体" w:hAnsi="华文楷体" w:hint="eastAsia"/>
          <w:bCs/>
          <w:sz w:val="24"/>
          <w:szCs w:val="24"/>
          <w:lang w:eastAsia="zh-CN"/>
        </w:rPr>
        <w:t>日均零售在3.5万辆左右，同比下滑2%，环比5月次</w:t>
      </w:r>
      <w:proofErr w:type="gramStart"/>
      <w:r w:rsidR="005E049B" w:rsidRPr="005E049B">
        <w:rPr>
          <w:rFonts w:ascii="华文楷体" w:hAnsi="华文楷体" w:hint="eastAsia"/>
          <w:bCs/>
          <w:sz w:val="24"/>
          <w:szCs w:val="24"/>
          <w:lang w:eastAsia="zh-CN"/>
        </w:rPr>
        <w:t>周下降</w:t>
      </w:r>
      <w:proofErr w:type="gramEnd"/>
      <w:r w:rsidR="005E049B" w:rsidRPr="005E049B">
        <w:rPr>
          <w:rFonts w:ascii="华文楷体" w:hAnsi="华文楷体" w:hint="eastAsia"/>
          <w:bCs/>
          <w:sz w:val="24"/>
          <w:szCs w:val="24"/>
          <w:lang w:eastAsia="zh-CN"/>
        </w:rPr>
        <w:t>4%</w:t>
      </w:r>
      <w:r w:rsidR="00BA7FFE">
        <w:rPr>
          <w:rFonts w:ascii="华文楷体" w:hAnsi="华文楷体" w:hint="eastAsia"/>
          <w:bCs/>
          <w:sz w:val="24"/>
          <w:szCs w:val="24"/>
          <w:lang w:eastAsia="zh-CN"/>
        </w:rPr>
        <w:t>。</w:t>
      </w:r>
      <w:r w:rsidR="005E049B" w:rsidRPr="005E049B">
        <w:rPr>
          <w:rFonts w:ascii="华文楷体" w:hAnsi="华文楷体" w:hint="eastAsia"/>
          <w:bCs/>
          <w:sz w:val="24"/>
          <w:szCs w:val="24"/>
          <w:lang w:eastAsia="zh-CN"/>
        </w:rPr>
        <w:t>批发方面，当周主要厂商批发销量为日均3.3万辆，环比降9%</w:t>
      </w:r>
      <w:r w:rsidR="005E049B">
        <w:rPr>
          <w:rFonts w:ascii="华文楷体" w:hAnsi="华文楷体" w:hint="eastAsia"/>
          <w:bCs/>
          <w:sz w:val="24"/>
          <w:szCs w:val="24"/>
          <w:lang w:eastAsia="zh-CN"/>
        </w:rPr>
        <w:t>。</w:t>
      </w:r>
    </w:p>
    <w:p w14:paraId="6C0621FD" w14:textId="346CB368"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5E049B" w:rsidRPr="005E049B">
        <w:rPr>
          <w:rFonts w:ascii="华文楷体" w:hAnsi="华文楷体" w:hint="eastAsia"/>
          <w:bCs/>
          <w:sz w:val="24"/>
          <w:szCs w:val="24"/>
          <w:lang w:eastAsia="zh-CN"/>
        </w:rPr>
        <w:t>布伦</w:t>
      </w:r>
      <w:proofErr w:type="gramStart"/>
      <w:r w:rsidR="005E049B" w:rsidRPr="005E049B">
        <w:rPr>
          <w:rFonts w:ascii="华文楷体" w:hAnsi="华文楷体" w:hint="eastAsia"/>
          <w:bCs/>
          <w:sz w:val="24"/>
          <w:szCs w:val="24"/>
          <w:lang w:eastAsia="zh-CN"/>
        </w:rPr>
        <w:t>特</w:t>
      </w:r>
      <w:proofErr w:type="gramEnd"/>
      <w:r w:rsidR="005E049B" w:rsidRPr="005E049B">
        <w:rPr>
          <w:rFonts w:ascii="华文楷体" w:hAnsi="华文楷体" w:hint="eastAsia"/>
          <w:bCs/>
          <w:sz w:val="24"/>
          <w:szCs w:val="24"/>
          <w:lang w:eastAsia="zh-CN"/>
        </w:rPr>
        <w:t>原油环比上</w:t>
      </w:r>
      <w:r w:rsidR="007B52D4">
        <w:rPr>
          <w:rFonts w:ascii="华文楷体" w:hAnsi="华文楷体" w:hint="eastAsia"/>
          <w:bCs/>
          <w:sz w:val="24"/>
          <w:szCs w:val="24"/>
          <w:lang w:eastAsia="zh-CN"/>
        </w:rPr>
        <w:t>一</w:t>
      </w:r>
      <w:r w:rsidR="005E049B" w:rsidRPr="005E049B">
        <w:rPr>
          <w:rFonts w:ascii="华文楷体" w:hAnsi="华文楷体" w:hint="eastAsia"/>
          <w:bCs/>
          <w:sz w:val="24"/>
          <w:szCs w:val="24"/>
          <w:lang w:eastAsia="zh-CN"/>
        </w:rPr>
        <w:t>周五涨1.13%至73.51美元/桶；WTI原油价格涨1.03%至71.64美元/桶。</w:t>
      </w:r>
    </w:p>
    <w:p w14:paraId="35D3E229" w14:textId="4943F838"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0E39A6" w:rsidRPr="000E39A6">
        <w:rPr>
          <w:rFonts w:ascii="华文楷体" w:hAnsi="华文楷体" w:hint="eastAsia"/>
          <w:sz w:val="24"/>
          <w:szCs w:val="24"/>
          <w:lang w:eastAsia="zh-CN"/>
        </w:rPr>
        <w:t>5月全社会用电量，外汇数据，5月工业企业利润数据</w:t>
      </w:r>
      <w:r w:rsidR="005559FC">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21A97800"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7B52D4">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756C677B"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0E39A6" w:rsidRPr="000E39A6">
        <w:rPr>
          <w:rFonts w:ascii="华文楷体" w:hAnsi="华文楷体" w:hint="eastAsia"/>
          <w:sz w:val="24"/>
          <w:szCs w:val="24"/>
          <w:lang w:eastAsia="zh-CN"/>
        </w:rPr>
        <w:t>本周进入短期数据</w:t>
      </w:r>
      <w:r w:rsidR="0029752D">
        <w:rPr>
          <w:rFonts w:ascii="华文楷体" w:hAnsi="华文楷体" w:hint="eastAsia"/>
          <w:sz w:val="24"/>
          <w:szCs w:val="24"/>
          <w:lang w:eastAsia="zh-CN"/>
        </w:rPr>
        <w:t>空窗</w:t>
      </w:r>
      <w:bookmarkStart w:id="2" w:name="_GoBack"/>
      <w:bookmarkEnd w:id="2"/>
      <w:r w:rsidR="000E39A6" w:rsidRPr="000E39A6">
        <w:rPr>
          <w:rFonts w:ascii="华文楷体" w:hAnsi="华文楷体" w:hint="eastAsia"/>
          <w:sz w:val="24"/>
          <w:szCs w:val="24"/>
          <w:lang w:eastAsia="zh-CN"/>
        </w:rPr>
        <w:t>期，前半周仍会部分受到税期影响，市场关注季末流动性</w:t>
      </w:r>
      <w:r w:rsidR="000E39A6" w:rsidRPr="000E39A6">
        <w:rPr>
          <w:rFonts w:ascii="华文楷体" w:hAnsi="华文楷体" w:hint="eastAsia"/>
          <w:sz w:val="24"/>
          <w:szCs w:val="24"/>
          <w:lang w:eastAsia="zh-CN"/>
        </w:rPr>
        <w:lastRenderedPageBreak/>
        <w:t>扰动情况，目前央行公开市场操作持续较为中性，机构对当前债市点位保持一定分歧。利率债方面，</w:t>
      </w:r>
      <w:proofErr w:type="gramStart"/>
      <w:r w:rsidR="000E39A6" w:rsidRPr="000E39A6">
        <w:rPr>
          <w:rFonts w:ascii="华文楷体" w:hAnsi="华文楷体" w:hint="eastAsia"/>
          <w:sz w:val="24"/>
          <w:szCs w:val="24"/>
          <w:lang w:eastAsia="zh-CN"/>
        </w:rPr>
        <w:t>国开债</w:t>
      </w:r>
      <w:proofErr w:type="gramEnd"/>
      <w:r w:rsidR="000E39A6" w:rsidRPr="000E39A6">
        <w:rPr>
          <w:rFonts w:ascii="华文楷体" w:hAnsi="华文楷体" w:hint="eastAsia"/>
          <w:sz w:val="24"/>
          <w:szCs w:val="24"/>
          <w:lang w:eastAsia="zh-CN"/>
        </w:rPr>
        <w:t>10Y-1Y期限利差接近区间上限，国债10Y-1Y期限利差位于区间中位数左右，受现金理财新</w:t>
      </w:r>
      <w:proofErr w:type="gramStart"/>
      <w:r w:rsidR="000E39A6" w:rsidRPr="000E39A6">
        <w:rPr>
          <w:rFonts w:ascii="华文楷体" w:hAnsi="华文楷体" w:hint="eastAsia"/>
          <w:sz w:val="24"/>
          <w:szCs w:val="24"/>
          <w:lang w:eastAsia="zh-CN"/>
        </w:rPr>
        <w:t>规</w:t>
      </w:r>
      <w:proofErr w:type="gramEnd"/>
      <w:r w:rsidR="000E39A6" w:rsidRPr="000E39A6">
        <w:rPr>
          <w:rFonts w:ascii="华文楷体" w:hAnsi="华文楷体" w:hint="eastAsia"/>
          <w:sz w:val="24"/>
          <w:szCs w:val="24"/>
          <w:lang w:eastAsia="zh-CN"/>
        </w:rPr>
        <w:t>和季末流动性扰动影响，部分机构适度降低久期</w:t>
      </w:r>
      <w:r w:rsidR="007453FD" w:rsidRPr="007453FD">
        <w:rPr>
          <w:rFonts w:ascii="华文楷体" w:hAnsi="华文楷体" w:hint="eastAsia"/>
          <w:sz w:val="24"/>
          <w:szCs w:val="24"/>
          <w:lang w:eastAsia="zh-CN"/>
        </w:rPr>
        <w:t>。</w:t>
      </w:r>
    </w:p>
    <w:p w14:paraId="2C3F4BD1" w14:textId="6CBE9555"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0E39A6" w:rsidRPr="000E39A6">
        <w:rPr>
          <w:rFonts w:ascii="华文楷体" w:hAnsi="华文楷体" w:hint="eastAsia"/>
          <w:sz w:val="24"/>
          <w:szCs w:val="24"/>
          <w:lang w:eastAsia="zh-CN"/>
        </w:rPr>
        <w:t>债市整体收益率适度调整，但信用风险偏好保持边际转好，从区域上市场持续关注山西、天津、河南等前期敏感区域信用</w:t>
      </w:r>
      <w:proofErr w:type="gramStart"/>
      <w:r w:rsidR="000E39A6" w:rsidRPr="000E39A6">
        <w:rPr>
          <w:rFonts w:ascii="华文楷体" w:hAnsi="华文楷体" w:hint="eastAsia"/>
          <w:sz w:val="24"/>
          <w:szCs w:val="24"/>
          <w:lang w:eastAsia="zh-CN"/>
        </w:rPr>
        <w:t>债基本</w:t>
      </w:r>
      <w:proofErr w:type="gramEnd"/>
      <w:r w:rsidR="000E39A6" w:rsidRPr="000E39A6">
        <w:rPr>
          <w:rFonts w:ascii="华文楷体" w:hAnsi="华文楷体" w:hint="eastAsia"/>
          <w:sz w:val="24"/>
          <w:szCs w:val="24"/>
          <w:lang w:eastAsia="zh-CN"/>
        </w:rPr>
        <w:t>面变化情况。</w:t>
      </w:r>
    </w:p>
    <w:p w14:paraId="4C893BAE" w14:textId="7270DF1A"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0E39A6" w:rsidRPr="000E39A6">
        <w:rPr>
          <w:rFonts w:ascii="华文楷体" w:hAnsi="华文楷体" w:hint="eastAsia"/>
          <w:sz w:val="24"/>
          <w:szCs w:val="24"/>
          <w:lang w:eastAsia="zh-CN"/>
        </w:rPr>
        <w:t>近日回调幅度相对较大，多位主动管理基金经理对</w:t>
      </w:r>
      <w:r w:rsidR="007B52D4">
        <w:rPr>
          <w:rFonts w:ascii="华文楷体" w:hAnsi="华文楷体" w:hint="eastAsia"/>
          <w:sz w:val="24"/>
          <w:szCs w:val="24"/>
          <w:lang w:eastAsia="zh-CN"/>
        </w:rPr>
        <w:t>后市表态偏中性悲观。转债方面，伴随权益市场适度调整，高平价转债上</w:t>
      </w:r>
      <w:r w:rsidR="000E39A6" w:rsidRPr="000E39A6">
        <w:rPr>
          <w:rFonts w:ascii="华文楷体" w:hAnsi="华文楷体" w:hint="eastAsia"/>
          <w:sz w:val="24"/>
          <w:szCs w:val="24"/>
          <w:lang w:eastAsia="zh-CN"/>
        </w:rPr>
        <w:t>周下跌过程中调整明显，</w:t>
      </w:r>
      <w:proofErr w:type="gramStart"/>
      <w:r w:rsidR="000E39A6" w:rsidRPr="000E39A6">
        <w:rPr>
          <w:rFonts w:ascii="华文楷体" w:hAnsi="华文楷体" w:hint="eastAsia"/>
          <w:sz w:val="24"/>
          <w:szCs w:val="24"/>
          <w:lang w:eastAsia="zh-CN"/>
        </w:rPr>
        <w:t>后续仍</w:t>
      </w:r>
      <w:proofErr w:type="gramEnd"/>
      <w:r w:rsidR="000E39A6" w:rsidRPr="000E39A6">
        <w:rPr>
          <w:rFonts w:ascii="华文楷体" w:hAnsi="华文楷体" w:hint="eastAsia"/>
          <w:sz w:val="24"/>
          <w:szCs w:val="24"/>
          <w:lang w:eastAsia="zh-CN"/>
        </w:rPr>
        <w:t>持续关注业绩披露情况，针对</w:t>
      </w:r>
      <w:proofErr w:type="gramStart"/>
      <w:r w:rsidR="000E39A6" w:rsidRPr="000E39A6">
        <w:rPr>
          <w:rFonts w:ascii="华文楷体" w:hAnsi="华文楷体" w:hint="eastAsia"/>
          <w:sz w:val="24"/>
          <w:szCs w:val="24"/>
          <w:lang w:eastAsia="zh-CN"/>
        </w:rPr>
        <w:t>业绩预增及</w:t>
      </w:r>
      <w:proofErr w:type="gramEnd"/>
      <w:r w:rsidR="000E39A6" w:rsidRPr="000E39A6">
        <w:rPr>
          <w:rFonts w:ascii="华文楷体" w:hAnsi="华文楷体" w:hint="eastAsia"/>
          <w:sz w:val="24"/>
          <w:szCs w:val="24"/>
          <w:lang w:eastAsia="zh-CN"/>
        </w:rPr>
        <w:t>业绩可能超预期的正股对应的转</w:t>
      </w:r>
      <w:proofErr w:type="gramStart"/>
      <w:r w:rsidR="000E39A6" w:rsidRPr="000E39A6">
        <w:rPr>
          <w:rFonts w:ascii="华文楷体" w:hAnsi="华文楷体" w:hint="eastAsia"/>
          <w:sz w:val="24"/>
          <w:szCs w:val="24"/>
          <w:lang w:eastAsia="zh-CN"/>
        </w:rPr>
        <w:t>债寻找</w:t>
      </w:r>
      <w:proofErr w:type="gramEnd"/>
      <w:r w:rsidR="000E39A6" w:rsidRPr="000E39A6">
        <w:rPr>
          <w:rFonts w:ascii="华文楷体" w:hAnsi="华文楷体" w:hint="eastAsia"/>
          <w:sz w:val="24"/>
          <w:szCs w:val="24"/>
          <w:lang w:eastAsia="zh-CN"/>
        </w:rPr>
        <w:t>结构性机会为主</w:t>
      </w:r>
      <w:r w:rsidR="007453FD" w:rsidRPr="007453F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12DC2C2" w:rsidR="001D35B3" w:rsidRPr="006A5F34" w:rsidRDefault="001D35B3" w:rsidP="001858A9">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60714E">
              <w:rPr>
                <w:rFonts w:hint="eastAsia"/>
              </w:rPr>
              <w:t>适度回调</w:t>
            </w:r>
          </w:p>
        </w:tc>
        <w:tc>
          <w:tcPr>
            <w:tcW w:w="4938" w:type="dxa"/>
            <w:vAlign w:val="center"/>
          </w:tcPr>
          <w:p w14:paraId="02A10F26" w14:textId="6D2F1475"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03843">
              <w:rPr>
                <w:rFonts w:hint="eastAsia"/>
              </w:rPr>
              <w:t>持续</w:t>
            </w:r>
            <w:r w:rsidR="00AE643A">
              <w:rPr>
                <w:rFonts w:hint="eastAsia"/>
              </w:rPr>
              <w:t>回调</w:t>
            </w:r>
          </w:p>
        </w:tc>
      </w:tr>
      <w:tr w:rsidR="001D35B3" w:rsidRPr="006A5F34" w14:paraId="205667F1" w14:textId="77777777" w:rsidTr="0060714E">
        <w:tblPrEx>
          <w:tblCellMar>
            <w:left w:w="108" w:type="dxa"/>
            <w:right w:w="108" w:type="dxa"/>
          </w:tblCellMar>
        </w:tblPrEx>
        <w:trPr>
          <w:jc w:val="center"/>
        </w:trPr>
        <w:tc>
          <w:tcPr>
            <w:tcW w:w="4939" w:type="dxa"/>
            <w:vAlign w:val="center"/>
          </w:tcPr>
          <w:p w14:paraId="56C782C2" w14:textId="723A3E7B" w:rsidR="001D35B3" w:rsidRPr="007E0340" w:rsidRDefault="0060714E" w:rsidP="009A2BA0">
            <w:pPr>
              <w:jc w:val="center"/>
              <w:rPr>
                <w:noProof/>
              </w:rPr>
            </w:pPr>
            <w:r>
              <w:rPr>
                <w:noProof/>
              </w:rPr>
              <w:drawing>
                <wp:inline distT="0" distB="0" distL="0" distR="0" wp14:anchorId="3F7BF124" wp14:editId="58F3260A">
                  <wp:extent cx="2999105" cy="1891284"/>
                  <wp:effectExtent l="0" t="0" r="0" b="0"/>
                  <wp:docPr id="10" name="图表 10">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1A797B85" w:rsidR="001D35B3" w:rsidRPr="007E0340" w:rsidRDefault="0060714E" w:rsidP="009A2BA0">
            <w:pPr>
              <w:jc w:val="center"/>
              <w:rPr>
                <w:noProof/>
                <w:szCs w:val="18"/>
              </w:rPr>
            </w:pPr>
            <w:r>
              <w:rPr>
                <w:noProof/>
              </w:rPr>
              <w:drawing>
                <wp:inline distT="0" distB="0" distL="0" distR="0" wp14:anchorId="41846E2A" wp14:editId="7854D466">
                  <wp:extent cx="2998470" cy="1914982"/>
                  <wp:effectExtent l="0" t="0" r="0" b="0"/>
                  <wp:docPr id="12" name="图表 1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D8CDC64" w:rsidR="001D35B3" w:rsidRPr="006A5F34" w:rsidRDefault="001D35B3" w:rsidP="00966A21">
            <w:pPr>
              <w:pStyle w:val="ChartHeading"/>
              <w:jc w:val="both"/>
            </w:pPr>
            <w:r w:rsidRPr="006A5F34">
              <w:rPr>
                <w:rFonts w:hint="eastAsia"/>
              </w:rPr>
              <w:t>图表</w:t>
            </w:r>
            <w:r w:rsidRPr="006A5F34">
              <w:t>.</w:t>
            </w:r>
            <w:r>
              <w:t xml:space="preserve"> </w:t>
            </w:r>
            <w:r w:rsidR="00FF26B0">
              <w:rPr>
                <w:rFonts w:hint="eastAsia"/>
              </w:rPr>
              <w:t>人民币汇率</w:t>
            </w:r>
            <w:r w:rsidR="0060714E">
              <w:rPr>
                <w:rFonts w:hint="eastAsia"/>
              </w:rPr>
              <w:t>持续小幅贬值</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60714E">
        <w:tblPrEx>
          <w:tblCellMar>
            <w:left w:w="108" w:type="dxa"/>
            <w:right w:w="108" w:type="dxa"/>
          </w:tblCellMar>
        </w:tblPrEx>
        <w:trPr>
          <w:trHeight w:val="2987"/>
          <w:jc w:val="center"/>
        </w:trPr>
        <w:tc>
          <w:tcPr>
            <w:tcW w:w="4939" w:type="dxa"/>
            <w:vAlign w:val="center"/>
          </w:tcPr>
          <w:p w14:paraId="0BAC1731" w14:textId="61CCC79F" w:rsidR="001D35B3" w:rsidRPr="007E0340" w:rsidRDefault="0060714E" w:rsidP="009A2BA0">
            <w:pPr>
              <w:jc w:val="center"/>
              <w:rPr>
                <w:noProof/>
              </w:rPr>
            </w:pPr>
            <w:r>
              <w:rPr>
                <w:noProof/>
              </w:rPr>
              <w:drawing>
                <wp:inline distT="0" distB="0" distL="0" distR="0" wp14:anchorId="08130AF6" wp14:editId="65CDD35A">
                  <wp:extent cx="2999105" cy="1905787"/>
                  <wp:effectExtent l="0" t="0" r="10795" b="0"/>
                  <wp:docPr id="14" name="图表 1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1098E429" w:rsidR="001D35B3" w:rsidRPr="007E0340" w:rsidRDefault="0060714E" w:rsidP="009A2BA0">
            <w:pPr>
              <w:jc w:val="center"/>
              <w:rPr>
                <w:noProof/>
                <w:szCs w:val="18"/>
              </w:rPr>
            </w:pPr>
            <w:r>
              <w:rPr>
                <w:noProof/>
              </w:rPr>
              <w:drawing>
                <wp:inline distT="0" distB="0" distL="0" distR="0" wp14:anchorId="5475AA1F" wp14:editId="24E9F533">
                  <wp:extent cx="2998470" cy="1912137"/>
                  <wp:effectExtent l="0" t="0" r="0" b="0"/>
                  <wp:docPr id="13" name="图表 13">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30BCEBB4" w14:textId="77777777" w:rsidR="007B52D4" w:rsidRPr="00A10EA8" w:rsidRDefault="007B52D4" w:rsidP="007B52D4">
      <w:pPr>
        <w:rPr>
          <w:szCs w:val="21"/>
        </w:rPr>
      </w:pPr>
      <w:r w:rsidRPr="00A10EA8">
        <w:rPr>
          <w:rFonts w:ascii="微软雅黑" w:eastAsia="微软雅黑" w:hAnsi="微软雅黑" w:hint="eastAsia"/>
          <w:color w:val="474747"/>
          <w:szCs w:val="21"/>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A10EA8">
        <w:rPr>
          <w:rFonts w:ascii="微软雅黑" w:eastAsia="微软雅黑" w:hAnsi="微软雅黑" w:hint="eastAsia"/>
          <w:color w:val="474747"/>
          <w:szCs w:val="21"/>
          <w:shd w:val="clear" w:color="auto" w:fill="FFFFFF"/>
        </w:rPr>
        <w:t>作出</w:t>
      </w:r>
      <w:proofErr w:type="gramEnd"/>
      <w:r w:rsidRPr="00A10EA8">
        <w:rPr>
          <w:rFonts w:ascii="微软雅黑" w:eastAsia="微软雅黑" w:hAnsi="微软雅黑" w:hint="eastAsia"/>
          <w:color w:val="474747"/>
          <w:szCs w:val="21"/>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DA92FE" w14:textId="77777777" w:rsidR="00186126" w:rsidRDefault="00186126">
      <w:r>
        <w:separator/>
      </w:r>
    </w:p>
  </w:endnote>
  <w:endnote w:type="continuationSeparator" w:id="0">
    <w:p w14:paraId="6882F577" w14:textId="77777777" w:rsidR="00186126" w:rsidRDefault="00186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DD187B" w:rsidRDefault="00DD187B">
        <w:pPr>
          <w:pStyle w:val="a4"/>
          <w:jc w:val="right"/>
        </w:pPr>
        <w:r>
          <w:fldChar w:fldCharType="begin"/>
        </w:r>
        <w:r>
          <w:instrText>PAGE   \* MERGEFORMAT</w:instrText>
        </w:r>
        <w:r>
          <w:fldChar w:fldCharType="separate"/>
        </w:r>
        <w:r w:rsidR="0029752D" w:rsidRPr="0029752D">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66E51" w14:textId="77777777" w:rsidR="00186126" w:rsidRDefault="00186126">
      <w:r>
        <w:separator/>
      </w:r>
    </w:p>
  </w:footnote>
  <w:footnote w:type="continuationSeparator" w:id="0">
    <w:p w14:paraId="4689B948" w14:textId="77777777" w:rsidR="00186126" w:rsidRDefault="001861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DD187B" w:rsidRDefault="00DD187B"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126"/>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52D"/>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59F"/>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2D4"/>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0C30"/>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D51"/>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4"/>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44211</c:v>
                </c:pt>
                <c:pt idx="1">
                  <c:v>44218</c:v>
                </c:pt>
                <c:pt idx="2">
                  <c:v>44225</c:v>
                </c:pt>
                <c:pt idx="3">
                  <c:v>44232</c:v>
                </c:pt>
                <c:pt idx="4">
                  <c:v>44239</c:v>
                </c:pt>
                <c:pt idx="5">
                  <c:v>44246</c:v>
                </c:pt>
                <c:pt idx="6">
                  <c:v>44253</c:v>
                </c:pt>
                <c:pt idx="7">
                  <c:v>44260</c:v>
                </c:pt>
                <c:pt idx="8">
                  <c:v>44267</c:v>
                </c:pt>
                <c:pt idx="9">
                  <c:v>44274</c:v>
                </c:pt>
                <c:pt idx="10">
                  <c:v>44281</c:v>
                </c:pt>
                <c:pt idx="11">
                  <c:v>44288</c:v>
                </c:pt>
                <c:pt idx="12">
                  <c:v>44295</c:v>
                </c:pt>
                <c:pt idx="13">
                  <c:v>44302</c:v>
                </c:pt>
                <c:pt idx="14">
                  <c:v>44309</c:v>
                </c:pt>
                <c:pt idx="15">
                  <c:v>44316</c:v>
                </c:pt>
                <c:pt idx="16">
                  <c:v>44323</c:v>
                </c:pt>
                <c:pt idx="17">
                  <c:v>44330</c:v>
                </c:pt>
                <c:pt idx="18">
                  <c:v>44337</c:v>
                </c:pt>
                <c:pt idx="19">
                  <c:v>44344</c:v>
                </c:pt>
                <c:pt idx="20">
                  <c:v>44351</c:v>
                </c:pt>
                <c:pt idx="21">
                  <c:v>44358</c:v>
                </c:pt>
                <c:pt idx="22">
                  <c:v>44365</c:v>
                </c:pt>
              </c:numCache>
            </c:numRef>
          </c:cat>
          <c:val>
            <c:numRef>
              <c:f>央行!$B$5:$B$27</c:f>
              <c:numCache>
                <c:formatCode>###,###,###,###,##0.00</c:formatCode>
                <c:ptCount val="23"/>
                <c:pt idx="0">
                  <c:v>160</c:v>
                </c:pt>
                <c:pt idx="1">
                  <c:v>6140</c:v>
                </c:pt>
                <c:pt idx="2">
                  <c:v>3890</c:v>
                </c:pt>
                <c:pt idx="3">
                  <c:v>4800</c:v>
                </c:pt>
                <c:pt idx="4">
                  <c:v>2300</c:v>
                </c:pt>
                <c:pt idx="5">
                  <c:v>400</c:v>
                </c:pt>
                <c:pt idx="6">
                  <c:v>800</c:v>
                </c:pt>
                <c:pt idx="7">
                  <c:v>550</c:v>
                </c:pt>
                <c:pt idx="8">
                  <c:v>500</c:v>
                </c:pt>
                <c:pt idx="9">
                  <c:v>500</c:v>
                </c:pt>
                <c:pt idx="10">
                  <c:v>550</c:v>
                </c:pt>
                <c:pt idx="11">
                  <c:v>500</c:v>
                </c:pt>
                <c:pt idx="12">
                  <c:v>400</c:v>
                </c:pt>
                <c:pt idx="13">
                  <c:v>500</c:v>
                </c:pt>
                <c:pt idx="14">
                  <c:v>500</c:v>
                </c:pt>
                <c:pt idx="15">
                  <c:v>650</c:v>
                </c:pt>
                <c:pt idx="16">
                  <c:v>200</c:v>
                </c:pt>
                <c:pt idx="17">
                  <c:v>600</c:v>
                </c:pt>
                <c:pt idx="18">
                  <c:v>500</c:v>
                </c:pt>
                <c:pt idx="19">
                  <c:v>550</c:v>
                </c:pt>
                <c:pt idx="20">
                  <c:v>500</c:v>
                </c:pt>
                <c:pt idx="21">
                  <c:v>500</c:v>
                </c:pt>
                <c:pt idx="22">
                  <c:v>400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44211</c:v>
                </c:pt>
                <c:pt idx="1">
                  <c:v>44218</c:v>
                </c:pt>
                <c:pt idx="2">
                  <c:v>44225</c:v>
                </c:pt>
                <c:pt idx="3">
                  <c:v>44232</c:v>
                </c:pt>
                <c:pt idx="4">
                  <c:v>44239</c:v>
                </c:pt>
                <c:pt idx="5">
                  <c:v>44246</c:v>
                </c:pt>
                <c:pt idx="6">
                  <c:v>44253</c:v>
                </c:pt>
                <c:pt idx="7">
                  <c:v>44260</c:v>
                </c:pt>
                <c:pt idx="8">
                  <c:v>44267</c:v>
                </c:pt>
                <c:pt idx="9">
                  <c:v>44274</c:v>
                </c:pt>
                <c:pt idx="10">
                  <c:v>44281</c:v>
                </c:pt>
                <c:pt idx="11">
                  <c:v>44288</c:v>
                </c:pt>
                <c:pt idx="12">
                  <c:v>44295</c:v>
                </c:pt>
                <c:pt idx="13">
                  <c:v>44302</c:v>
                </c:pt>
                <c:pt idx="14">
                  <c:v>44309</c:v>
                </c:pt>
                <c:pt idx="15">
                  <c:v>44316</c:v>
                </c:pt>
                <c:pt idx="16">
                  <c:v>44323</c:v>
                </c:pt>
                <c:pt idx="17">
                  <c:v>44330</c:v>
                </c:pt>
                <c:pt idx="18">
                  <c:v>44337</c:v>
                </c:pt>
                <c:pt idx="19">
                  <c:v>44344</c:v>
                </c:pt>
                <c:pt idx="20">
                  <c:v>44351</c:v>
                </c:pt>
                <c:pt idx="21">
                  <c:v>44358</c:v>
                </c:pt>
                <c:pt idx="22">
                  <c:v>44365</c:v>
                </c:pt>
              </c:numCache>
            </c:numRef>
          </c:cat>
          <c:val>
            <c:numRef>
              <c:f>央行!$C$5:$C$27</c:f>
              <c:numCache>
                <c:formatCode>###,###,###,###,##0.00</c:formatCode>
                <c:ptCount val="23"/>
                <c:pt idx="0">
                  <c:v>-550</c:v>
                </c:pt>
                <c:pt idx="1">
                  <c:v>-160</c:v>
                </c:pt>
                <c:pt idx="2">
                  <c:v>-6190</c:v>
                </c:pt>
                <c:pt idx="3">
                  <c:v>-3840</c:v>
                </c:pt>
                <c:pt idx="4">
                  <c:v>-2800</c:v>
                </c:pt>
                <c:pt idx="5">
                  <c:v>-3800</c:v>
                </c:pt>
                <c:pt idx="6">
                  <c:v>-950</c:v>
                </c:pt>
                <c:pt idx="7">
                  <c:v>-800</c:v>
                </c:pt>
                <c:pt idx="8">
                  <c:v>-500</c:v>
                </c:pt>
                <c:pt idx="9">
                  <c:v>-500</c:v>
                </c:pt>
                <c:pt idx="10">
                  <c:v>-550</c:v>
                </c:pt>
                <c:pt idx="11">
                  <c:v>-500</c:v>
                </c:pt>
                <c:pt idx="12">
                  <c:v>-500</c:v>
                </c:pt>
                <c:pt idx="13">
                  <c:v>-400</c:v>
                </c:pt>
                <c:pt idx="14">
                  <c:v>-500</c:v>
                </c:pt>
                <c:pt idx="15">
                  <c:v>-550</c:v>
                </c:pt>
                <c:pt idx="16">
                  <c:v>-600</c:v>
                </c:pt>
                <c:pt idx="17">
                  <c:v>-200</c:v>
                </c:pt>
                <c:pt idx="18">
                  <c:v>-600</c:v>
                </c:pt>
                <c:pt idx="19">
                  <c:v>-550</c:v>
                </c:pt>
                <c:pt idx="20">
                  <c:v>-500</c:v>
                </c:pt>
                <c:pt idx="21">
                  <c:v>-500</c:v>
                </c:pt>
                <c:pt idx="22">
                  <c:v>-500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62564608"/>
        <c:axId val="36257088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44211</c:v>
                </c:pt>
                <c:pt idx="1">
                  <c:v>44218</c:v>
                </c:pt>
                <c:pt idx="2">
                  <c:v>44225</c:v>
                </c:pt>
                <c:pt idx="3">
                  <c:v>44232</c:v>
                </c:pt>
                <c:pt idx="4">
                  <c:v>44239</c:v>
                </c:pt>
                <c:pt idx="5">
                  <c:v>44246</c:v>
                </c:pt>
                <c:pt idx="6">
                  <c:v>44253</c:v>
                </c:pt>
                <c:pt idx="7">
                  <c:v>44260</c:v>
                </c:pt>
                <c:pt idx="8">
                  <c:v>44267</c:v>
                </c:pt>
                <c:pt idx="9">
                  <c:v>44274</c:v>
                </c:pt>
                <c:pt idx="10">
                  <c:v>44281</c:v>
                </c:pt>
                <c:pt idx="11">
                  <c:v>44288</c:v>
                </c:pt>
                <c:pt idx="12">
                  <c:v>44295</c:v>
                </c:pt>
                <c:pt idx="13">
                  <c:v>44302</c:v>
                </c:pt>
                <c:pt idx="14">
                  <c:v>44309</c:v>
                </c:pt>
                <c:pt idx="15">
                  <c:v>44316</c:v>
                </c:pt>
                <c:pt idx="16">
                  <c:v>44323</c:v>
                </c:pt>
                <c:pt idx="17">
                  <c:v>44330</c:v>
                </c:pt>
                <c:pt idx="18">
                  <c:v>44337</c:v>
                </c:pt>
                <c:pt idx="19">
                  <c:v>44344</c:v>
                </c:pt>
                <c:pt idx="20">
                  <c:v>44351</c:v>
                </c:pt>
                <c:pt idx="21">
                  <c:v>44358</c:v>
                </c:pt>
                <c:pt idx="22">
                  <c:v>44365</c:v>
                </c:pt>
              </c:numCache>
            </c:numRef>
          </c:cat>
          <c:val>
            <c:numRef>
              <c:f>央行!$D$5:$D$27</c:f>
              <c:numCache>
                <c:formatCode>###,###,###,###,##0.00</c:formatCode>
                <c:ptCount val="23"/>
                <c:pt idx="0">
                  <c:v>-390</c:v>
                </c:pt>
                <c:pt idx="1">
                  <c:v>5980</c:v>
                </c:pt>
                <c:pt idx="2">
                  <c:v>-2300</c:v>
                </c:pt>
                <c:pt idx="3">
                  <c:v>960</c:v>
                </c:pt>
                <c:pt idx="4">
                  <c:v>-500</c:v>
                </c:pt>
                <c:pt idx="5">
                  <c:v>-3400</c:v>
                </c:pt>
                <c:pt idx="6">
                  <c:v>-150</c:v>
                </c:pt>
                <c:pt idx="7">
                  <c:v>-250</c:v>
                </c:pt>
                <c:pt idx="8">
                  <c:v>0</c:v>
                </c:pt>
                <c:pt idx="9">
                  <c:v>0</c:v>
                </c:pt>
                <c:pt idx="10">
                  <c:v>0</c:v>
                </c:pt>
                <c:pt idx="11">
                  <c:v>0</c:v>
                </c:pt>
                <c:pt idx="12">
                  <c:v>-100</c:v>
                </c:pt>
                <c:pt idx="13">
                  <c:v>100</c:v>
                </c:pt>
                <c:pt idx="14">
                  <c:v>0</c:v>
                </c:pt>
                <c:pt idx="15">
                  <c:v>100</c:v>
                </c:pt>
                <c:pt idx="16">
                  <c:v>-400</c:v>
                </c:pt>
                <c:pt idx="17">
                  <c:v>400</c:v>
                </c:pt>
                <c:pt idx="18">
                  <c:v>-100</c:v>
                </c:pt>
                <c:pt idx="19">
                  <c:v>0</c:v>
                </c:pt>
                <c:pt idx="20">
                  <c:v>0</c:v>
                </c:pt>
                <c:pt idx="21">
                  <c:v>0</c:v>
                </c:pt>
                <c:pt idx="22">
                  <c:v>-100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62564608"/>
        <c:axId val="362570880"/>
      </c:lineChart>
      <c:catAx>
        <c:axId val="36256460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2570880"/>
        <c:crosses val="autoZero"/>
        <c:auto val="0"/>
        <c:lblAlgn val="ctr"/>
        <c:lblOffset val="0"/>
        <c:tickMarkSkip val="2"/>
        <c:noMultiLvlLbl val="0"/>
      </c:catAx>
      <c:valAx>
        <c:axId val="36257088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256460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215346493378276"/>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44365</c:v>
                </c:pt>
                <c:pt idx="1">
                  <c:v>44364</c:v>
                </c:pt>
                <c:pt idx="2">
                  <c:v>44363</c:v>
                </c:pt>
                <c:pt idx="3">
                  <c:v>44362</c:v>
                </c:pt>
                <c:pt idx="4">
                  <c:v>44358</c:v>
                </c:pt>
                <c:pt idx="5">
                  <c:v>44357</c:v>
                </c:pt>
                <c:pt idx="6">
                  <c:v>44356</c:v>
                </c:pt>
                <c:pt idx="7">
                  <c:v>44355</c:v>
                </c:pt>
                <c:pt idx="8">
                  <c:v>44354</c:v>
                </c:pt>
                <c:pt idx="9">
                  <c:v>44351</c:v>
                </c:pt>
                <c:pt idx="10">
                  <c:v>44350</c:v>
                </c:pt>
                <c:pt idx="11">
                  <c:v>44349</c:v>
                </c:pt>
                <c:pt idx="12">
                  <c:v>44348</c:v>
                </c:pt>
                <c:pt idx="13">
                  <c:v>44347</c:v>
                </c:pt>
                <c:pt idx="14">
                  <c:v>44344</c:v>
                </c:pt>
                <c:pt idx="15">
                  <c:v>44343</c:v>
                </c:pt>
                <c:pt idx="16">
                  <c:v>44342</c:v>
                </c:pt>
                <c:pt idx="17">
                  <c:v>44341</c:v>
                </c:pt>
                <c:pt idx="18">
                  <c:v>44340</c:v>
                </c:pt>
                <c:pt idx="19">
                  <c:v>44337</c:v>
                </c:pt>
                <c:pt idx="20">
                  <c:v>44336</c:v>
                </c:pt>
                <c:pt idx="21">
                  <c:v>44335</c:v>
                </c:pt>
                <c:pt idx="22">
                  <c:v>44334</c:v>
                </c:pt>
                <c:pt idx="23">
                  <c:v>44333</c:v>
                </c:pt>
                <c:pt idx="24">
                  <c:v>44330</c:v>
                </c:pt>
                <c:pt idx="25">
                  <c:v>44329</c:v>
                </c:pt>
                <c:pt idx="26">
                  <c:v>44328</c:v>
                </c:pt>
                <c:pt idx="27">
                  <c:v>44327</c:v>
                </c:pt>
                <c:pt idx="28">
                  <c:v>44326</c:v>
                </c:pt>
                <c:pt idx="29">
                  <c:v>44324</c:v>
                </c:pt>
                <c:pt idx="30">
                  <c:v>44323</c:v>
                </c:pt>
                <c:pt idx="31">
                  <c:v>44322</c:v>
                </c:pt>
                <c:pt idx="32">
                  <c:v>44316</c:v>
                </c:pt>
                <c:pt idx="33">
                  <c:v>44315</c:v>
                </c:pt>
                <c:pt idx="34">
                  <c:v>44314</c:v>
                </c:pt>
                <c:pt idx="35">
                  <c:v>44313</c:v>
                </c:pt>
                <c:pt idx="36">
                  <c:v>44312</c:v>
                </c:pt>
                <c:pt idx="37">
                  <c:v>44311</c:v>
                </c:pt>
                <c:pt idx="38">
                  <c:v>44309</c:v>
                </c:pt>
                <c:pt idx="39">
                  <c:v>44308</c:v>
                </c:pt>
                <c:pt idx="40">
                  <c:v>44307</c:v>
                </c:pt>
                <c:pt idx="41">
                  <c:v>44306</c:v>
                </c:pt>
                <c:pt idx="42">
                  <c:v>44305</c:v>
                </c:pt>
                <c:pt idx="43">
                  <c:v>44302</c:v>
                </c:pt>
                <c:pt idx="44">
                  <c:v>44301</c:v>
                </c:pt>
                <c:pt idx="45">
                  <c:v>44300</c:v>
                </c:pt>
                <c:pt idx="46">
                  <c:v>44299</c:v>
                </c:pt>
                <c:pt idx="47">
                  <c:v>44298</c:v>
                </c:pt>
                <c:pt idx="48">
                  <c:v>44295</c:v>
                </c:pt>
                <c:pt idx="49">
                  <c:v>44294</c:v>
                </c:pt>
                <c:pt idx="50">
                  <c:v>44293</c:v>
                </c:pt>
                <c:pt idx="51">
                  <c:v>44292</c:v>
                </c:pt>
                <c:pt idx="52">
                  <c:v>44288</c:v>
                </c:pt>
                <c:pt idx="53">
                  <c:v>44287</c:v>
                </c:pt>
                <c:pt idx="54">
                  <c:v>44286</c:v>
                </c:pt>
                <c:pt idx="55">
                  <c:v>44285</c:v>
                </c:pt>
                <c:pt idx="56">
                  <c:v>44284</c:v>
                </c:pt>
                <c:pt idx="57">
                  <c:v>44281</c:v>
                </c:pt>
                <c:pt idx="58">
                  <c:v>44280</c:v>
                </c:pt>
              </c:numCache>
            </c:numRef>
          </c:cat>
          <c:val>
            <c:numRef>
              <c:f>资金!$B$3:$B$61</c:f>
              <c:numCache>
                <c:formatCode>###,###,###,###,##0.0000</c:formatCode>
                <c:ptCount val="59"/>
                <c:pt idx="0">
                  <c:v>2.0535000000000001</c:v>
                </c:pt>
                <c:pt idx="1">
                  <c:v>1.9017999999999999</c:v>
                </c:pt>
                <c:pt idx="2">
                  <c:v>2.0264000000000002</c:v>
                </c:pt>
                <c:pt idx="3">
                  <c:v>2.1314000000000002</c:v>
                </c:pt>
                <c:pt idx="4">
                  <c:v>2.0297000000000001</c:v>
                </c:pt>
                <c:pt idx="5">
                  <c:v>1.9117</c:v>
                </c:pt>
                <c:pt idx="6">
                  <c:v>2.194</c:v>
                </c:pt>
                <c:pt idx="7">
                  <c:v>2.2252000000000001</c:v>
                </c:pt>
                <c:pt idx="8">
                  <c:v>2.3681000000000001</c:v>
                </c:pt>
                <c:pt idx="9">
                  <c:v>2.2187999999999999</c:v>
                </c:pt>
                <c:pt idx="10">
                  <c:v>1.8841000000000001</c:v>
                </c:pt>
                <c:pt idx="11">
                  <c:v>2.0444</c:v>
                </c:pt>
                <c:pt idx="12">
                  <c:v>2.2265999999999999</c:v>
                </c:pt>
                <c:pt idx="13">
                  <c:v>2.5068999999999999</c:v>
                </c:pt>
                <c:pt idx="14">
                  <c:v>2.2092000000000001</c:v>
                </c:pt>
                <c:pt idx="15">
                  <c:v>2.1524000000000001</c:v>
                </c:pt>
                <c:pt idx="16">
                  <c:v>2.0261</c:v>
                </c:pt>
                <c:pt idx="17">
                  <c:v>2.2078000000000002</c:v>
                </c:pt>
                <c:pt idx="18">
                  <c:v>2.2084999999999999</c:v>
                </c:pt>
                <c:pt idx="19">
                  <c:v>2.0007000000000001</c:v>
                </c:pt>
                <c:pt idx="20">
                  <c:v>2.1055999999999999</c:v>
                </c:pt>
                <c:pt idx="21">
                  <c:v>2.0579999999999998</c:v>
                </c:pt>
                <c:pt idx="22">
                  <c:v>2.1303999999999998</c:v>
                </c:pt>
                <c:pt idx="23">
                  <c:v>2.1846000000000001</c:v>
                </c:pt>
                <c:pt idx="24">
                  <c:v>1.8376999999999999</c:v>
                </c:pt>
                <c:pt idx="25">
                  <c:v>1.9856</c:v>
                </c:pt>
                <c:pt idx="26">
                  <c:v>1.9772000000000001</c:v>
                </c:pt>
                <c:pt idx="27">
                  <c:v>1.9589000000000001</c:v>
                </c:pt>
                <c:pt idx="28">
                  <c:v>1.6997</c:v>
                </c:pt>
                <c:pt idx="29">
                  <c:v>1.4749000000000001</c:v>
                </c:pt>
                <c:pt idx="30">
                  <c:v>1.7567999999999999</c:v>
                </c:pt>
                <c:pt idx="31">
                  <c:v>2.1004999999999998</c:v>
                </c:pt>
                <c:pt idx="32">
                  <c:v>2.3130000000000002</c:v>
                </c:pt>
                <c:pt idx="33">
                  <c:v>1.8532</c:v>
                </c:pt>
                <c:pt idx="34">
                  <c:v>1.8116000000000001</c:v>
                </c:pt>
                <c:pt idx="35">
                  <c:v>1.8314999999999999</c:v>
                </c:pt>
                <c:pt idx="36">
                  <c:v>2.0872999999999999</c:v>
                </c:pt>
                <c:pt idx="37">
                  <c:v>2.0192000000000001</c:v>
                </c:pt>
                <c:pt idx="38">
                  <c:v>1.9596</c:v>
                </c:pt>
                <c:pt idx="39">
                  <c:v>2.1551999999999998</c:v>
                </c:pt>
                <c:pt idx="40">
                  <c:v>1.9048</c:v>
                </c:pt>
                <c:pt idx="41">
                  <c:v>1.873</c:v>
                </c:pt>
                <c:pt idx="42">
                  <c:v>2.1116999999999999</c:v>
                </c:pt>
                <c:pt idx="43">
                  <c:v>1.9665999999999999</c:v>
                </c:pt>
                <c:pt idx="44">
                  <c:v>1.8460000000000001</c:v>
                </c:pt>
                <c:pt idx="45">
                  <c:v>1.8394999999999999</c:v>
                </c:pt>
                <c:pt idx="46">
                  <c:v>1.8163</c:v>
                </c:pt>
                <c:pt idx="47">
                  <c:v>1.8184</c:v>
                </c:pt>
                <c:pt idx="48">
                  <c:v>1.8128</c:v>
                </c:pt>
                <c:pt idx="49">
                  <c:v>1.7882</c:v>
                </c:pt>
                <c:pt idx="50">
                  <c:v>1.8531</c:v>
                </c:pt>
                <c:pt idx="51">
                  <c:v>1.8081</c:v>
                </c:pt>
                <c:pt idx="52">
                  <c:v>1.7512000000000001</c:v>
                </c:pt>
                <c:pt idx="53">
                  <c:v>2.1960000000000002</c:v>
                </c:pt>
                <c:pt idx="54">
                  <c:v>2.3929</c:v>
                </c:pt>
                <c:pt idx="55">
                  <c:v>1.8808</c:v>
                </c:pt>
                <c:pt idx="56">
                  <c:v>1.8393999999999999</c:v>
                </c:pt>
                <c:pt idx="57">
                  <c:v>1.8057000000000001</c:v>
                </c:pt>
                <c:pt idx="58">
                  <c:v>2.0571999999999999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44365</c:v>
                </c:pt>
                <c:pt idx="1">
                  <c:v>44364</c:v>
                </c:pt>
                <c:pt idx="2">
                  <c:v>44363</c:v>
                </c:pt>
                <c:pt idx="3">
                  <c:v>44362</c:v>
                </c:pt>
                <c:pt idx="4">
                  <c:v>44358</c:v>
                </c:pt>
                <c:pt idx="5">
                  <c:v>44357</c:v>
                </c:pt>
                <c:pt idx="6">
                  <c:v>44356</c:v>
                </c:pt>
                <c:pt idx="7">
                  <c:v>44355</c:v>
                </c:pt>
                <c:pt idx="8">
                  <c:v>44354</c:v>
                </c:pt>
                <c:pt idx="9">
                  <c:v>44351</c:v>
                </c:pt>
                <c:pt idx="10">
                  <c:v>44350</c:v>
                </c:pt>
                <c:pt idx="11">
                  <c:v>44349</c:v>
                </c:pt>
                <c:pt idx="12">
                  <c:v>44348</c:v>
                </c:pt>
                <c:pt idx="13">
                  <c:v>44347</c:v>
                </c:pt>
                <c:pt idx="14">
                  <c:v>44344</c:v>
                </c:pt>
                <c:pt idx="15">
                  <c:v>44343</c:v>
                </c:pt>
                <c:pt idx="16">
                  <c:v>44342</c:v>
                </c:pt>
                <c:pt idx="17">
                  <c:v>44341</c:v>
                </c:pt>
                <c:pt idx="18">
                  <c:v>44340</c:v>
                </c:pt>
                <c:pt idx="19">
                  <c:v>44337</c:v>
                </c:pt>
                <c:pt idx="20">
                  <c:v>44336</c:v>
                </c:pt>
                <c:pt idx="21">
                  <c:v>44335</c:v>
                </c:pt>
                <c:pt idx="22">
                  <c:v>44334</c:v>
                </c:pt>
                <c:pt idx="23">
                  <c:v>44333</c:v>
                </c:pt>
                <c:pt idx="24">
                  <c:v>44330</c:v>
                </c:pt>
                <c:pt idx="25">
                  <c:v>44329</c:v>
                </c:pt>
                <c:pt idx="26">
                  <c:v>44328</c:v>
                </c:pt>
                <c:pt idx="27">
                  <c:v>44327</c:v>
                </c:pt>
                <c:pt idx="28">
                  <c:v>44326</c:v>
                </c:pt>
                <c:pt idx="29">
                  <c:v>44324</c:v>
                </c:pt>
                <c:pt idx="30">
                  <c:v>44323</c:v>
                </c:pt>
                <c:pt idx="31">
                  <c:v>44322</c:v>
                </c:pt>
                <c:pt idx="32">
                  <c:v>44316</c:v>
                </c:pt>
                <c:pt idx="33">
                  <c:v>44315</c:v>
                </c:pt>
                <c:pt idx="34">
                  <c:v>44314</c:v>
                </c:pt>
                <c:pt idx="35">
                  <c:v>44313</c:v>
                </c:pt>
                <c:pt idx="36">
                  <c:v>44312</c:v>
                </c:pt>
                <c:pt idx="37">
                  <c:v>44311</c:v>
                </c:pt>
                <c:pt idx="38">
                  <c:v>44309</c:v>
                </c:pt>
                <c:pt idx="39">
                  <c:v>44308</c:v>
                </c:pt>
                <c:pt idx="40">
                  <c:v>44307</c:v>
                </c:pt>
                <c:pt idx="41">
                  <c:v>44306</c:v>
                </c:pt>
                <c:pt idx="42">
                  <c:v>44305</c:v>
                </c:pt>
                <c:pt idx="43">
                  <c:v>44302</c:v>
                </c:pt>
                <c:pt idx="44">
                  <c:v>44301</c:v>
                </c:pt>
                <c:pt idx="45">
                  <c:v>44300</c:v>
                </c:pt>
                <c:pt idx="46">
                  <c:v>44299</c:v>
                </c:pt>
                <c:pt idx="47">
                  <c:v>44298</c:v>
                </c:pt>
                <c:pt idx="48">
                  <c:v>44295</c:v>
                </c:pt>
                <c:pt idx="49">
                  <c:v>44294</c:v>
                </c:pt>
                <c:pt idx="50">
                  <c:v>44293</c:v>
                </c:pt>
                <c:pt idx="51">
                  <c:v>44292</c:v>
                </c:pt>
                <c:pt idx="52">
                  <c:v>44288</c:v>
                </c:pt>
                <c:pt idx="53">
                  <c:v>44287</c:v>
                </c:pt>
                <c:pt idx="54">
                  <c:v>44286</c:v>
                </c:pt>
                <c:pt idx="55">
                  <c:v>44285</c:v>
                </c:pt>
                <c:pt idx="56">
                  <c:v>44284</c:v>
                </c:pt>
                <c:pt idx="57">
                  <c:v>44281</c:v>
                </c:pt>
                <c:pt idx="58">
                  <c:v>44280</c:v>
                </c:pt>
              </c:numCache>
            </c:numRef>
          </c:cat>
          <c:val>
            <c:numRef>
              <c:f>资金!$C$3:$C$61</c:f>
              <c:numCache>
                <c:formatCode>###,###,###,###,##0.0000</c:formatCode>
                <c:ptCount val="59"/>
                <c:pt idx="0">
                  <c:v>2.2141999999999999</c:v>
                </c:pt>
                <c:pt idx="1">
                  <c:v>2.2254999999999998</c:v>
                </c:pt>
                <c:pt idx="2">
                  <c:v>2.2517999999999998</c:v>
                </c:pt>
                <c:pt idx="3">
                  <c:v>2.2555999999999998</c:v>
                </c:pt>
                <c:pt idx="4">
                  <c:v>2.1131000000000002</c:v>
                </c:pt>
                <c:pt idx="5">
                  <c:v>2.1677</c:v>
                </c:pt>
                <c:pt idx="6">
                  <c:v>2.2887</c:v>
                </c:pt>
                <c:pt idx="7">
                  <c:v>2.3472</c:v>
                </c:pt>
                <c:pt idx="8">
                  <c:v>2.3174000000000001</c:v>
                </c:pt>
                <c:pt idx="9">
                  <c:v>2.1429</c:v>
                </c:pt>
                <c:pt idx="10">
                  <c:v>2.1086999999999998</c:v>
                </c:pt>
                <c:pt idx="11">
                  <c:v>2.2256</c:v>
                </c:pt>
                <c:pt idx="12">
                  <c:v>2.29</c:v>
                </c:pt>
                <c:pt idx="13">
                  <c:v>2.7025999999999999</c:v>
                </c:pt>
                <c:pt idx="14">
                  <c:v>2.4354</c:v>
                </c:pt>
                <c:pt idx="15">
                  <c:v>2.3687999999999998</c:v>
                </c:pt>
                <c:pt idx="16">
                  <c:v>2.3936999999999999</c:v>
                </c:pt>
                <c:pt idx="17">
                  <c:v>2.4274</c:v>
                </c:pt>
                <c:pt idx="18">
                  <c:v>2.1537999999999999</c:v>
                </c:pt>
                <c:pt idx="19">
                  <c:v>2.1427</c:v>
                </c:pt>
                <c:pt idx="20">
                  <c:v>2.2088000000000001</c:v>
                </c:pt>
                <c:pt idx="21">
                  <c:v>2.1913</c:v>
                </c:pt>
                <c:pt idx="22">
                  <c:v>2.2437</c:v>
                </c:pt>
                <c:pt idx="23">
                  <c:v>2.1873999999999998</c:v>
                </c:pt>
                <c:pt idx="24">
                  <c:v>2.0255000000000001</c:v>
                </c:pt>
                <c:pt idx="25">
                  <c:v>2.0687000000000002</c:v>
                </c:pt>
                <c:pt idx="26">
                  <c:v>1.9994000000000001</c:v>
                </c:pt>
                <c:pt idx="27">
                  <c:v>1.9733000000000001</c:v>
                </c:pt>
                <c:pt idx="28">
                  <c:v>1.9528000000000001</c:v>
                </c:pt>
                <c:pt idx="29">
                  <c:v>1.821</c:v>
                </c:pt>
                <c:pt idx="30">
                  <c:v>1.9728000000000001</c:v>
                </c:pt>
                <c:pt idx="31">
                  <c:v>2.1395</c:v>
                </c:pt>
                <c:pt idx="32">
                  <c:v>2.3769</c:v>
                </c:pt>
                <c:pt idx="33">
                  <c:v>2.3264999999999998</c:v>
                </c:pt>
                <c:pt idx="34">
                  <c:v>2.2690000000000001</c:v>
                </c:pt>
                <c:pt idx="35">
                  <c:v>2.2949999999999999</c:v>
                </c:pt>
                <c:pt idx="36">
                  <c:v>2.3549000000000002</c:v>
                </c:pt>
                <c:pt idx="37">
                  <c:v>2.2372000000000001</c:v>
                </c:pt>
                <c:pt idx="38">
                  <c:v>2.1141000000000001</c:v>
                </c:pt>
                <c:pt idx="39">
                  <c:v>2.1456</c:v>
                </c:pt>
                <c:pt idx="40">
                  <c:v>2.0910000000000002</c:v>
                </c:pt>
                <c:pt idx="41">
                  <c:v>2.2360000000000002</c:v>
                </c:pt>
                <c:pt idx="42">
                  <c:v>2.3254000000000001</c:v>
                </c:pt>
                <c:pt idx="43">
                  <c:v>2.1677</c:v>
                </c:pt>
                <c:pt idx="44">
                  <c:v>2.0480999999999998</c:v>
                </c:pt>
                <c:pt idx="45">
                  <c:v>1.9805999999999999</c:v>
                </c:pt>
                <c:pt idx="46">
                  <c:v>1.9778</c:v>
                </c:pt>
                <c:pt idx="47">
                  <c:v>1.982</c:v>
                </c:pt>
                <c:pt idx="48">
                  <c:v>1.9272</c:v>
                </c:pt>
                <c:pt idx="49">
                  <c:v>1.9629000000000001</c:v>
                </c:pt>
                <c:pt idx="50">
                  <c:v>1.9476</c:v>
                </c:pt>
                <c:pt idx="51">
                  <c:v>1.9693000000000001</c:v>
                </c:pt>
                <c:pt idx="52">
                  <c:v>2.0823999999999998</c:v>
                </c:pt>
                <c:pt idx="53">
                  <c:v>2.2355999999999998</c:v>
                </c:pt>
                <c:pt idx="54">
                  <c:v>2.6713</c:v>
                </c:pt>
                <c:pt idx="55">
                  <c:v>2.4952000000000001</c:v>
                </c:pt>
                <c:pt idx="56">
                  <c:v>2.4664000000000001</c:v>
                </c:pt>
                <c:pt idx="57">
                  <c:v>2.4746000000000001</c:v>
                </c:pt>
                <c:pt idx="58">
                  <c:v>2.4559000000000002</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62770816"/>
        <c:axId val="362772352"/>
      </c:lineChart>
      <c:dateAx>
        <c:axId val="3627708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62772352"/>
        <c:crosses val="autoZero"/>
        <c:auto val="0"/>
        <c:lblOffset val="0"/>
        <c:baseTimeUnit val="days"/>
        <c:majorUnit val="14"/>
        <c:majorTimeUnit val="days"/>
        <c:minorUnit val="7"/>
        <c:minorTimeUnit val="days"/>
      </c:dateAx>
      <c:valAx>
        <c:axId val="36277235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6277081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10.109999999999996</c:v>
                </c:pt>
                <c:pt idx="1">
                  <c:v>4.4900000000000162</c:v>
                </c:pt>
                <c:pt idx="2">
                  <c:v>8.1500000000000128</c:v>
                </c:pt>
                <c:pt idx="3">
                  <c:v>-0.79000000000002402</c:v>
                </c:pt>
                <c:pt idx="4">
                  <c:v>-2.1800000000000264</c:v>
                </c:pt>
                <c:pt idx="5">
                  <c:v>-1.2000000000000011</c:v>
                </c:pt>
                <c:pt idx="6">
                  <c:v>-0.74000000000000732</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76391168"/>
        <c:axId val="37639308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1.883</c:v>
                </c:pt>
                <c:pt idx="1">
                  <c:v>1.9568000000000001</c:v>
                </c:pt>
                <c:pt idx="2">
                  <c:v>2.5274000000000001</c:v>
                </c:pt>
                <c:pt idx="3">
                  <c:v>2.8405999999999998</c:v>
                </c:pt>
                <c:pt idx="4">
                  <c:v>2.9866999999999999</c:v>
                </c:pt>
                <c:pt idx="5">
                  <c:v>3.1109</c:v>
                </c:pt>
                <c:pt idx="6">
                  <c:v>3.1202000000000001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1.7819</c:v>
                </c:pt>
                <c:pt idx="1">
                  <c:v>1.9118999999999999</c:v>
                </c:pt>
                <c:pt idx="2">
                  <c:v>2.4459</c:v>
                </c:pt>
                <c:pt idx="3">
                  <c:v>2.8485</c:v>
                </c:pt>
                <c:pt idx="4">
                  <c:v>3.0085000000000002</c:v>
                </c:pt>
                <c:pt idx="5">
                  <c:v>3.1229</c:v>
                </c:pt>
                <c:pt idx="6">
                  <c:v>3.1276000000000002</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76425088"/>
        <c:axId val="376423552"/>
      </c:lineChart>
      <c:dateAx>
        <c:axId val="37639116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393088"/>
        <c:crosses val="autoZero"/>
        <c:auto val="0"/>
        <c:lblOffset val="0"/>
        <c:baseTimeUnit val="days"/>
      </c:dateAx>
      <c:valAx>
        <c:axId val="37639308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391168"/>
        <c:crosses val="autoZero"/>
        <c:crossBetween val="between"/>
      </c:valAx>
      <c:valAx>
        <c:axId val="376423552"/>
        <c:scaling>
          <c:orientation val="minMax"/>
        </c:scaling>
        <c:delete val="0"/>
        <c:axPos val="r"/>
        <c:numFmt formatCode="#,##0.0_);[Red]\(#,##0.0\)" sourceLinked="0"/>
        <c:majorTickMark val="out"/>
        <c:minorTickMark val="none"/>
        <c:tickLblPos val="nextTo"/>
        <c:spPr>
          <a:ln w="3175">
            <a:solidFill>
              <a:sysClr val="windowText" lastClr="000000"/>
            </a:solidFill>
          </a:ln>
        </c:spPr>
        <c:crossAx val="376425088"/>
        <c:crosses val="max"/>
        <c:crossBetween val="between"/>
      </c:valAx>
      <c:dateAx>
        <c:axId val="376425088"/>
        <c:scaling>
          <c:orientation val="minMax"/>
        </c:scaling>
        <c:delete val="1"/>
        <c:axPos val="b"/>
        <c:numFmt formatCode="General" sourceLinked="1"/>
        <c:majorTickMark val="out"/>
        <c:minorTickMark val="none"/>
        <c:tickLblPos val="nextTo"/>
        <c:crossAx val="376423552"/>
        <c:crosses val="autoZero"/>
        <c:auto val="0"/>
        <c:lblOffset val="100"/>
        <c:baseTimeUnit val="years"/>
      </c:dateAx>
    </c:plotArea>
    <c:legend>
      <c:legendPos val="r"/>
      <c:layout>
        <c:manualLayout>
          <c:xMode val="edge"/>
          <c:yMode val="edge"/>
          <c:x val="0.10143492808687925"/>
          <c:y val="2.3338559535311578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6.8300000000000027</c:v>
                </c:pt>
                <c:pt idx="1">
                  <c:v>4.4499999999999984</c:v>
                </c:pt>
                <c:pt idx="2">
                  <c:v>-0.62999999999999723</c:v>
                </c:pt>
                <c:pt idx="3">
                  <c:v>8.9999999999967883E-2</c:v>
                </c:pt>
                <c:pt idx="4">
                  <c:v>2.0999999999999908</c:v>
                </c:pt>
                <c:pt idx="5">
                  <c:v>1.5100000000000335</c:v>
                </c:pt>
                <c:pt idx="6">
                  <c:v>0.50000000000003375</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76490624"/>
        <c:axId val="37650099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1.9077999999999999</c:v>
                </c:pt>
                <c:pt idx="1">
                  <c:v>1.9573</c:v>
                </c:pt>
                <c:pt idx="2">
                  <c:v>2.5586000000000002</c:v>
                </c:pt>
                <c:pt idx="3">
                  <c:v>3.1387999999999998</c:v>
                </c:pt>
                <c:pt idx="4">
                  <c:v>3.3302999999999998</c:v>
                </c:pt>
                <c:pt idx="5">
                  <c:v>3.4685000000000001</c:v>
                </c:pt>
                <c:pt idx="6">
                  <c:v>3.5150000000000001</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1.8394999999999999</c:v>
                </c:pt>
                <c:pt idx="1">
                  <c:v>1.9128000000000001</c:v>
                </c:pt>
                <c:pt idx="2">
                  <c:v>2.5649000000000002</c:v>
                </c:pt>
                <c:pt idx="3">
                  <c:v>3.1379000000000001</c:v>
                </c:pt>
                <c:pt idx="4">
                  <c:v>3.3092999999999999</c:v>
                </c:pt>
                <c:pt idx="5">
                  <c:v>3.4533999999999998</c:v>
                </c:pt>
                <c:pt idx="6">
                  <c:v>3.51</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76516608"/>
        <c:axId val="376502528"/>
      </c:lineChart>
      <c:dateAx>
        <c:axId val="3764906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500992"/>
        <c:crosses val="autoZero"/>
        <c:auto val="0"/>
        <c:lblOffset val="0"/>
        <c:baseTimeUnit val="days"/>
      </c:dateAx>
      <c:valAx>
        <c:axId val="37650099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490624"/>
        <c:crosses val="autoZero"/>
        <c:crossBetween val="between"/>
      </c:valAx>
      <c:valAx>
        <c:axId val="376502528"/>
        <c:scaling>
          <c:orientation val="minMax"/>
        </c:scaling>
        <c:delete val="0"/>
        <c:axPos val="r"/>
        <c:numFmt formatCode="#,##0.0_);[Red]\(#,##0.0\)" sourceLinked="0"/>
        <c:majorTickMark val="out"/>
        <c:minorTickMark val="none"/>
        <c:tickLblPos val="nextTo"/>
        <c:spPr>
          <a:ln w="3175">
            <a:solidFill>
              <a:sysClr val="windowText" lastClr="000000"/>
            </a:solidFill>
          </a:ln>
        </c:spPr>
        <c:crossAx val="376516608"/>
        <c:crosses val="max"/>
        <c:crossBetween val="between"/>
      </c:valAx>
      <c:dateAx>
        <c:axId val="376516608"/>
        <c:scaling>
          <c:orientation val="minMax"/>
        </c:scaling>
        <c:delete val="1"/>
        <c:axPos val="b"/>
        <c:numFmt formatCode="General" sourceLinked="1"/>
        <c:majorTickMark val="out"/>
        <c:minorTickMark val="none"/>
        <c:tickLblPos val="nextTo"/>
        <c:crossAx val="376502528"/>
        <c:crosses val="autoZero"/>
        <c:auto val="0"/>
        <c:lblOffset val="100"/>
        <c:baseTimeUnit val="years"/>
      </c:dateAx>
    </c:plotArea>
    <c:legend>
      <c:legendPos val="r"/>
      <c:layout>
        <c:manualLayout>
          <c:xMode val="edge"/>
          <c:yMode val="edge"/>
          <c:x val="9.7188566168746035E-2"/>
          <c:y val="9.5905283247431517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44365</c:v>
                </c:pt>
                <c:pt idx="1">
                  <c:v>44358</c:v>
                </c:pt>
                <c:pt idx="2">
                  <c:v>44351</c:v>
                </c:pt>
                <c:pt idx="3">
                  <c:v>44344</c:v>
                </c:pt>
                <c:pt idx="4">
                  <c:v>44337</c:v>
                </c:pt>
                <c:pt idx="5">
                  <c:v>44330</c:v>
                </c:pt>
                <c:pt idx="6">
                  <c:v>44323</c:v>
                </c:pt>
                <c:pt idx="7">
                  <c:v>44316</c:v>
                </c:pt>
                <c:pt idx="8">
                  <c:v>44309</c:v>
                </c:pt>
                <c:pt idx="9">
                  <c:v>44302</c:v>
                </c:pt>
                <c:pt idx="10">
                  <c:v>44295</c:v>
                </c:pt>
                <c:pt idx="11">
                  <c:v>44288</c:v>
                </c:pt>
                <c:pt idx="12">
                  <c:v>44281</c:v>
                </c:pt>
                <c:pt idx="13">
                  <c:v>44274</c:v>
                </c:pt>
                <c:pt idx="14">
                  <c:v>44267</c:v>
                </c:pt>
                <c:pt idx="15">
                  <c:v>44260</c:v>
                </c:pt>
                <c:pt idx="16">
                  <c:v>44253</c:v>
                </c:pt>
                <c:pt idx="17">
                  <c:v>44246</c:v>
                </c:pt>
                <c:pt idx="18">
                  <c:v>44237</c:v>
                </c:pt>
                <c:pt idx="19">
                  <c:v>44232</c:v>
                </c:pt>
                <c:pt idx="20">
                  <c:v>44225</c:v>
                </c:pt>
                <c:pt idx="21">
                  <c:v>44218</c:v>
                </c:pt>
                <c:pt idx="22">
                  <c:v>44211</c:v>
                </c:pt>
                <c:pt idx="23">
                  <c:v>44204</c:v>
                </c:pt>
              </c:numCache>
            </c:numRef>
          </c:cat>
          <c:val>
            <c:numRef>
              <c:f>转债!$H$5:$H$28</c:f>
              <c:numCache>
                <c:formatCode>General</c:formatCode>
                <c:ptCount val="24"/>
                <c:pt idx="0">
                  <c:v>0.57726554402171004</c:v>
                </c:pt>
                <c:pt idx="1">
                  <c:v>2.2584257857396262</c:v>
                </c:pt>
                <c:pt idx="2">
                  <c:v>2.4271513715270032</c:v>
                </c:pt>
                <c:pt idx="3">
                  <c:v>2.3470528364265331</c:v>
                </c:pt>
                <c:pt idx="4">
                  <c:v>0.68540926047075956</c:v>
                </c:pt>
                <c:pt idx="5">
                  <c:v>0.4614221019021203</c:v>
                </c:pt>
                <c:pt idx="6">
                  <c:v>-0.41824482079825254</c:v>
                </c:pt>
                <c:pt idx="7">
                  <c:v>-0.69931154293145781</c:v>
                </c:pt>
                <c:pt idx="8">
                  <c:v>-0.69744008183096895</c:v>
                </c:pt>
                <c:pt idx="9">
                  <c:v>-1.4085418296954422</c:v>
                </c:pt>
                <c:pt idx="10">
                  <c:v>-1.1286247193810994</c:v>
                </c:pt>
                <c:pt idx="11">
                  <c:v>-1.4970619397480456</c:v>
                </c:pt>
                <c:pt idx="12">
                  <c:v>-2.0709053834717439</c:v>
                </c:pt>
                <c:pt idx="13">
                  <c:v>-1.5088254095224851</c:v>
                </c:pt>
                <c:pt idx="14">
                  <c:v>-1.5239575092777846</c:v>
                </c:pt>
                <c:pt idx="15">
                  <c:v>-1.8365984536919067</c:v>
                </c:pt>
                <c:pt idx="16">
                  <c:v>-2.2982344368626562</c:v>
                </c:pt>
                <c:pt idx="17">
                  <c:v>-0.81250820435179172</c:v>
                </c:pt>
                <c:pt idx="18">
                  <c:v>-2.4403318047060973</c:v>
                </c:pt>
                <c:pt idx="19">
                  <c:v>-5.1547791903150397</c:v>
                </c:pt>
                <c:pt idx="20">
                  <c:v>-2.9582185615254941</c:v>
                </c:pt>
                <c:pt idx="21">
                  <c:v>0.87557644343789764</c:v>
                </c:pt>
                <c:pt idx="22">
                  <c:v>-4.2295020870808386E-2</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44365</c:v>
                </c:pt>
                <c:pt idx="1">
                  <c:v>44358</c:v>
                </c:pt>
                <c:pt idx="2">
                  <c:v>44351</c:v>
                </c:pt>
                <c:pt idx="3">
                  <c:v>44344</c:v>
                </c:pt>
                <c:pt idx="4">
                  <c:v>44337</c:v>
                </c:pt>
                <c:pt idx="5">
                  <c:v>44330</c:v>
                </c:pt>
                <c:pt idx="6">
                  <c:v>44323</c:v>
                </c:pt>
                <c:pt idx="7">
                  <c:v>44316</c:v>
                </c:pt>
                <c:pt idx="8">
                  <c:v>44309</c:v>
                </c:pt>
                <c:pt idx="9">
                  <c:v>44302</c:v>
                </c:pt>
                <c:pt idx="10">
                  <c:v>44295</c:v>
                </c:pt>
                <c:pt idx="11">
                  <c:v>44288</c:v>
                </c:pt>
                <c:pt idx="12">
                  <c:v>44281</c:v>
                </c:pt>
                <c:pt idx="13">
                  <c:v>44274</c:v>
                </c:pt>
                <c:pt idx="14">
                  <c:v>44267</c:v>
                </c:pt>
                <c:pt idx="15">
                  <c:v>44260</c:v>
                </c:pt>
                <c:pt idx="16">
                  <c:v>44253</c:v>
                </c:pt>
                <c:pt idx="17">
                  <c:v>44246</c:v>
                </c:pt>
                <c:pt idx="18">
                  <c:v>44237</c:v>
                </c:pt>
                <c:pt idx="19">
                  <c:v>44232</c:v>
                </c:pt>
                <c:pt idx="20">
                  <c:v>44225</c:v>
                </c:pt>
                <c:pt idx="21">
                  <c:v>44218</c:v>
                </c:pt>
                <c:pt idx="22">
                  <c:v>44211</c:v>
                </c:pt>
                <c:pt idx="23">
                  <c:v>44204</c:v>
                </c:pt>
              </c:numCache>
            </c:numRef>
          </c:cat>
          <c:val>
            <c:numRef>
              <c:f>转债!$I$5:$I$28</c:f>
              <c:numCache>
                <c:formatCode>General</c:formatCode>
                <c:ptCount val="24"/>
                <c:pt idx="0">
                  <c:v>0.12966283420212665</c:v>
                </c:pt>
                <c:pt idx="1">
                  <c:v>0.20713807479542101</c:v>
                </c:pt>
                <c:pt idx="2">
                  <c:v>0.42225278991481208</c:v>
                </c:pt>
                <c:pt idx="3">
                  <c:v>0.51949991556641262</c:v>
                </c:pt>
                <c:pt idx="4">
                  <c:v>0.58356761178539607</c:v>
                </c:pt>
                <c:pt idx="5">
                  <c:v>0.31507729279616203</c:v>
                </c:pt>
                <c:pt idx="6">
                  <c:v>0.22538251808958965</c:v>
                </c:pt>
                <c:pt idx="7">
                  <c:v>0.16810345193352116</c:v>
                </c:pt>
                <c:pt idx="8">
                  <c:v>0.20756236417436291</c:v>
                </c:pt>
                <c:pt idx="9">
                  <c:v>8.0275550494257608E-2</c:v>
                </c:pt>
                <c:pt idx="10">
                  <c:v>-0.21341755760364567</c:v>
                </c:pt>
                <c:pt idx="11">
                  <c:v>-0.185499316469806</c:v>
                </c:pt>
                <c:pt idx="12">
                  <c:v>-0.21239926309419843</c:v>
                </c:pt>
                <c:pt idx="13">
                  <c:v>-0.38041785715194898</c:v>
                </c:pt>
                <c:pt idx="14">
                  <c:v>-0.46603945382076573</c:v>
                </c:pt>
                <c:pt idx="15">
                  <c:v>-0.47613754103938977</c:v>
                </c:pt>
                <c:pt idx="16">
                  <c:v>-0.62472368154197211</c:v>
                </c:pt>
                <c:pt idx="17">
                  <c:v>-0.59799345066915421</c:v>
                </c:pt>
                <c:pt idx="18">
                  <c:v>-0.52348823572838654</c:v>
                </c:pt>
                <c:pt idx="19">
                  <c:v>-0.50770467083205428</c:v>
                </c:pt>
                <c:pt idx="20">
                  <c:v>-0.31456814554143842</c:v>
                </c:pt>
                <c:pt idx="21">
                  <c:v>6.406769621898345E-2</c:v>
                </c:pt>
                <c:pt idx="22">
                  <c:v>-1.060723447334766E-2</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44365</c:v>
                </c:pt>
                <c:pt idx="1">
                  <c:v>44358</c:v>
                </c:pt>
                <c:pt idx="2">
                  <c:v>44351</c:v>
                </c:pt>
                <c:pt idx="3">
                  <c:v>44344</c:v>
                </c:pt>
                <c:pt idx="4">
                  <c:v>44337</c:v>
                </c:pt>
                <c:pt idx="5">
                  <c:v>44330</c:v>
                </c:pt>
                <c:pt idx="6">
                  <c:v>44323</c:v>
                </c:pt>
                <c:pt idx="7">
                  <c:v>44316</c:v>
                </c:pt>
                <c:pt idx="8">
                  <c:v>44309</c:v>
                </c:pt>
                <c:pt idx="9">
                  <c:v>44302</c:v>
                </c:pt>
                <c:pt idx="10">
                  <c:v>44295</c:v>
                </c:pt>
                <c:pt idx="11">
                  <c:v>44288</c:v>
                </c:pt>
                <c:pt idx="12">
                  <c:v>44281</c:v>
                </c:pt>
                <c:pt idx="13">
                  <c:v>44274</c:v>
                </c:pt>
                <c:pt idx="14">
                  <c:v>44267</c:v>
                </c:pt>
                <c:pt idx="15">
                  <c:v>44260</c:v>
                </c:pt>
                <c:pt idx="16">
                  <c:v>44253</c:v>
                </c:pt>
                <c:pt idx="17">
                  <c:v>44246</c:v>
                </c:pt>
                <c:pt idx="18">
                  <c:v>44237</c:v>
                </c:pt>
                <c:pt idx="19">
                  <c:v>44232</c:v>
                </c:pt>
                <c:pt idx="20">
                  <c:v>44225</c:v>
                </c:pt>
                <c:pt idx="21">
                  <c:v>44218</c:v>
                </c:pt>
                <c:pt idx="22">
                  <c:v>44211</c:v>
                </c:pt>
                <c:pt idx="23">
                  <c:v>44204</c:v>
                </c:pt>
              </c:numCache>
            </c:numRef>
          </c:cat>
          <c:val>
            <c:numRef>
              <c:f>转债!$J$5:$J$28</c:f>
              <c:numCache>
                <c:formatCode>General</c:formatCode>
                <c:ptCount val="24"/>
                <c:pt idx="0">
                  <c:v>-7.1507572127286974</c:v>
                </c:pt>
                <c:pt idx="1">
                  <c:v>-4.9264128638072391</c:v>
                </c:pt>
                <c:pt idx="2">
                  <c:v>-3.8787388198478823</c:v>
                </c:pt>
                <c:pt idx="3">
                  <c:v>-3.1724902503545316</c:v>
                </c:pt>
                <c:pt idx="4">
                  <c:v>-6.5742309619923116</c:v>
                </c:pt>
                <c:pt idx="5">
                  <c:v>-7.0029180242945692</c:v>
                </c:pt>
                <c:pt idx="6">
                  <c:v>-9.0871477841972812</c:v>
                </c:pt>
                <c:pt idx="7">
                  <c:v>-6.7681975639907073</c:v>
                </c:pt>
                <c:pt idx="8">
                  <c:v>-6.5504821405623641</c:v>
                </c:pt>
                <c:pt idx="9">
                  <c:v>-9.6307193834819778</c:v>
                </c:pt>
                <c:pt idx="10">
                  <c:v>-8.37228660480217</c:v>
                </c:pt>
                <c:pt idx="11">
                  <c:v>-6.0754784165593883</c:v>
                </c:pt>
                <c:pt idx="12">
                  <c:v>-8.324019231541202</c:v>
                </c:pt>
                <c:pt idx="13">
                  <c:v>-8.8862900024613172</c:v>
                </c:pt>
                <c:pt idx="14">
                  <c:v>-6.3516769732293588</c:v>
                </c:pt>
                <c:pt idx="15">
                  <c:v>-4.2332406126646349</c:v>
                </c:pt>
                <c:pt idx="16">
                  <c:v>-2.8873024072035292</c:v>
                </c:pt>
                <c:pt idx="17">
                  <c:v>5.1572191631352737</c:v>
                </c:pt>
                <c:pt idx="18">
                  <c:v>5.6826939093726381</c:v>
                </c:pt>
                <c:pt idx="19">
                  <c:v>-0.21866530349777813</c:v>
                </c:pt>
                <c:pt idx="20">
                  <c:v>-2.6106416483541728</c:v>
                </c:pt>
                <c:pt idx="21">
                  <c:v>1.3528585002966054</c:v>
                </c:pt>
                <c:pt idx="22">
                  <c:v>-0.6796446487742025</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76903168"/>
        <c:axId val="376904704"/>
      </c:lineChart>
      <c:dateAx>
        <c:axId val="3769031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376904704"/>
        <c:crosses val="autoZero"/>
        <c:auto val="0"/>
        <c:lblOffset val="0"/>
        <c:baseTimeUnit val="days"/>
        <c:majorUnit val="14"/>
        <c:majorTimeUnit val="days"/>
      </c:dateAx>
      <c:valAx>
        <c:axId val="37690470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90316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2818</c:v>
                </c:pt>
                <c:pt idx="100">
                  <c:v>#N/A</c:v>
                </c:pt>
                <c:pt idx="101">
                  <c:v>#N/A</c:v>
                </c:pt>
                <c:pt idx="102">
                  <c:v>#N/A</c:v>
                </c:pt>
                <c:pt idx="103">
                  <c:v>#N/A</c:v>
                </c:pt>
                <c:pt idx="104">
                  <c:v>#N/A</c:v>
                </c:pt>
                <c:pt idx="105">
                  <c:v>#N/A</c:v>
                </c:pt>
                <c:pt idx="106">
                  <c:v>2926.49</c:v>
                </c:pt>
                <c:pt idx="107">
                  <c:v>#N/A</c:v>
                </c:pt>
                <c:pt idx="108">
                  <c:v>#N/A</c:v>
                </c:pt>
                <c:pt idx="109">
                  <c:v>#N/A</c:v>
                </c:pt>
                <c:pt idx="110">
                  <c:v>#N/A</c:v>
                </c:pt>
                <c:pt idx="111">
                  <c:v>#N/A</c:v>
                </c:pt>
                <c:pt idx="112">
                  <c:v>#N/A</c:v>
                </c:pt>
                <c:pt idx="113">
                  <c:v>2921.81</c:v>
                </c:pt>
                <c:pt idx="114">
                  <c:v>#N/A</c:v>
                </c:pt>
                <c:pt idx="115">
                  <c:v>#N/A</c:v>
                </c:pt>
                <c:pt idx="116">
                  <c:v>#N/A</c:v>
                </c:pt>
                <c:pt idx="117">
                  <c:v>#N/A</c:v>
                </c:pt>
                <c:pt idx="118">
                  <c:v>#N/A</c:v>
                </c:pt>
                <c:pt idx="119">
                  <c:v>#N/A</c:v>
                </c:pt>
                <c:pt idx="120">
                  <c:v>2997.89</c:v>
                </c:pt>
                <c:pt idx="121">
                  <c:v>#N/A</c:v>
                </c:pt>
                <c:pt idx="122">
                  <c:v>#N/A</c:v>
                </c:pt>
                <c:pt idx="123">
                  <c:v>#N/A</c:v>
                </c:pt>
                <c:pt idx="124">
                  <c:v>#N/A</c:v>
                </c:pt>
                <c:pt idx="125">
                  <c:v>#N/A</c:v>
                </c:pt>
                <c:pt idx="126">
                  <c:v>#N/A</c:v>
                </c:pt>
                <c:pt idx="127">
                  <c:v>3144.5</c:v>
                </c:pt>
                <c:pt idx="128">
                  <c:v>#N/A</c:v>
                </c:pt>
                <c:pt idx="129">
                  <c:v>#N/A</c:v>
                </c:pt>
                <c:pt idx="130">
                  <c:v>#N/A</c:v>
                </c:pt>
                <c:pt idx="131">
                  <c:v>#N/A</c:v>
                </c:pt>
                <c:pt idx="132">
                  <c:v>#N/A</c:v>
                </c:pt>
                <c:pt idx="133">
                  <c:v>#N/A</c:v>
                </c:pt>
                <c:pt idx="134">
                  <c:v>3052.2</c:v>
                </c:pt>
                <c:pt idx="135">
                  <c:v>#N/A</c:v>
                </c:pt>
                <c:pt idx="136">
                  <c:v>#N/A</c:v>
                </c:pt>
                <c:pt idx="137">
                  <c:v>#N/A</c:v>
                </c:pt>
                <c:pt idx="138">
                  <c:v>#N/A</c:v>
                </c:pt>
                <c:pt idx="139">
                  <c:v>#N/A</c:v>
                </c:pt>
                <c:pt idx="140">
                  <c:v>#N/A</c:v>
                </c:pt>
                <c:pt idx="141">
                  <c:v>2914.64</c:v>
                </c:pt>
                <c:pt idx="142">
                  <c:v>#N/A</c:v>
                </c:pt>
                <c:pt idx="143">
                  <c:v>#N/A</c:v>
                </c:pt>
                <c:pt idx="144">
                  <c:v>#N/A</c:v>
                </c:pt>
                <c:pt idx="145">
                  <c:v>#N/A</c:v>
                </c:pt>
                <c:pt idx="146">
                  <c:v>#N/A</c:v>
                </c:pt>
                <c:pt idx="147">
                  <c:v>#N/A</c:v>
                </c:pt>
                <c:pt idx="148">
                  <c:v>2972.27</c:v>
                </c:pt>
                <c:pt idx="149">
                  <c:v>#N/A</c:v>
                </c:pt>
                <c:pt idx="150">
                  <c:v>#N/A</c:v>
                </c:pt>
                <c:pt idx="151">
                  <c:v>#N/A</c:v>
                </c:pt>
                <c:pt idx="152">
                  <c:v>#N/A</c:v>
                </c:pt>
                <c:pt idx="153">
                  <c:v>#N/A</c:v>
                </c:pt>
                <c:pt idx="154">
                  <c:v>#N/A</c:v>
                </c:pt>
                <c:pt idx="155">
                  <c:v>3038.36</c:v>
                </c:pt>
                <c:pt idx="156">
                  <c:v>#N/A</c:v>
                </c:pt>
                <c:pt idx="157">
                  <c:v>#N/A</c:v>
                </c:pt>
                <c:pt idx="158">
                  <c:v>#N/A</c:v>
                </c:pt>
                <c:pt idx="159">
                  <c:v>#N/A</c:v>
                </c:pt>
                <c:pt idx="160">
                  <c:v>#N/A</c:v>
                </c:pt>
                <c:pt idx="161">
                  <c:v>#N/A</c:v>
                </c:pt>
                <c:pt idx="162">
                  <c:v>3115.05</c:v>
                </c:pt>
                <c:pt idx="163">
                  <c:v>#N/A</c:v>
                </c:pt>
                <c:pt idx="164">
                  <c:v>#N/A</c:v>
                </c:pt>
                <c:pt idx="165">
                  <c:v>#N/A</c:v>
                </c:pt>
                <c:pt idx="166">
                  <c:v>#N/A</c:v>
                </c:pt>
                <c:pt idx="167">
                  <c:v>#N/A</c:v>
                </c:pt>
                <c:pt idx="168">
                  <c:v>#N/A</c:v>
                </c:pt>
                <c:pt idx="169">
                  <c:v>3043.07</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76929664"/>
        <c:axId val="376935552"/>
      </c:lineChart>
      <c:dateAx>
        <c:axId val="37692966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935552"/>
        <c:crosses val="autoZero"/>
        <c:auto val="0"/>
        <c:lblOffset val="0"/>
        <c:baseTimeUnit val="days"/>
        <c:majorUnit val="1"/>
        <c:majorTimeUnit val="months"/>
      </c:dateAx>
      <c:valAx>
        <c:axId val="37693555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92966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150.34</c:v>
                </c:pt>
                <c:pt idx="96">
                  <c:v>150.25</c:v>
                </c:pt>
                <c:pt idx="97">
                  <c:v>150.66999999999999</c:v>
                </c:pt>
                <c:pt idx="98">
                  <c:v>150.84</c:v>
                </c:pt>
                <c:pt idx="99">
                  <c:v>#N/A</c:v>
                </c:pt>
                <c:pt idx="100">
                  <c:v>#N/A</c:v>
                </c:pt>
                <c:pt idx="101">
                  <c:v>152.19</c:v>
                </c:pt>
                <c:pt idx="102">
                  <c:v>152.47999999999999</c:v>
                </c:pt>
                <c:pt idx="103">
                  <c:v>153.24</c:v>
                </c:pt>
                <c:pt idx="104">
                  <c:v>153.57</c:v>
                </c:pt>
                <c:pt idx="105">
                  <c:v>153.81</c:v>
                </c:pt>
                <c:pt idx="106">
                  <c:v>#N/A</c:v>
                </c:pt>
                <c:pt idx="107">
                  <c:v>#N/A</c:v>
                </c:pt>
                <c:pt idx="108">
                  <c:v>154.16</c:v>
                </c:pt>
                <c:pt idx="109">
                  <c:v>154.68</c:v>
                </c:pt>
                <c:pt idx="110">
                  <c:v>154.94</c:v>
                </c:pt>
                <c:pt idx="111">
                  <c:v>154.94</c:v>
                </c:pt>
                <c:pt idx="112">
                  <c:v>154.97999999999999</c:v>
                </c:pt>
                <c:pt idx="113">
                  <c:v>#N/A</c:v>
                </c:pt>
                <c:pt idx="114">
                  <c:v>155.56</c:v>
                </c:pt>
                <c:pt idx="115">
                  <c:v>156.24</c:v>
                </c:pt>
                <c:pt idx="116">
                  <c:v>157</c:v>
                </c:pt>
                <c:pt idx="117">
                  <c:v>157.51</c:v>
                </c:pt>
                <c:pt idx="118">
                  <c:v>157.88999999999999</c:v>
                </c:pt>
                <c:pt idx="119">
                  <c:v>157.44</c:v>
                </c:pt>
                <c:pt idx="120">
                  <c:v>#N/A</c:v>
                </c:pt>
                <c:pt idx="121">
                  <c:v>#N/A</c:v>
                </c:pt>
                <c:pt idx="122">
                  <c:v>#N/A</c:v>
                </c:pt>
                <c:pt idx="123">
                  <c:v>#N/A</c:v>
                </c:pt>
                <c:pt idx="124">
                  <c:v>#N/A</c:v>
                </c:pt>
                <c:pt idx="125">
                  <c:v>157.91999999999999</c:v>
                </c:pt>
                <c:pt idx="126">
                  <c:v>158.16</c:v>
                </c:pt>
                <c:pt idx="127">
                  <c:v>158.22</c:v>
                </c:pt>
                <c:pt idx="128">
                  <c:v>#N/A</c:v>
                </c:pt>
                <c:pt idx="129">
                  <c:v>158.97</c:v>
                </c:pt>
                <c:pt idx="130">
                  <c:v>159.03</c:v>
                </c:pt>
                <c:pt idx="131">
                  <c:v>159.01</c:v>
                </c:pt>
                <c:pt idx="132">
                  <c:v>158.81</c:v>
                </c:pt>
                <c:pt idx="133">
                  <c:v>158.79</c:v>
                </c:pt>
                <c:pt idx="134">
                  <c:v>#N/A</c:v>
                </c:pt>
                <c:pt idx="135">
                  <c:v>#N/A</c:v>
                </c:pt>
                <c:pt idx="136">
                  <c:v>159.13</c:v>
                </c:pt>
                <c:pt idx="137">
                  <c:v>159.12</c:v>
                </c:pt>
                <c:pt idx="138">
                  <c:v>159.13</c:v>
                </c:pt>
                <c:pt idx="139">
                  <c:v>159.34</c:v>
                </c:pt>
                <c:pt idx="140">
                  <c:v>159.29</c:v>
                </c:pt>
                <c:pt idx="141">
                  <c:v>#N/A</c:v>
                </c:pt>
                <c:pt idx="142">
                  <c:v>#N/A</c:v>
                </c:pt>
                <c:pt idx="143">
                  <c:v>159.02000000000001</c:v>
                </c:pt>
                <c:pt idx="144">
                  <c:v>158.94999999999999</c:v>
                </c:pt>
                <c:pt idx="145">
                  <c:v>158.96</c:v>
                </c:pt>
                <c:pt idx="146">
                  <c:v>158.75</c:v>
                </c:pt>
                <c:pt idx="147">
                  <c:v>158.43</c:v>
                </c:pt>
                <c:pt idx="148">
                  <c:v>#N/A</c:v>
                </c:pt>
                <c:pt idx="149">
                  <c:v>#N/A</c:v>
                </c:pt>
                <c:pt idx="150">
                  <c:v>157.58000000000001</c:v>
                </c:pt>
                <c:pt idx="151">
                  <c:v>156.63</c:v>
                </c:pt>
                <c:pt idx="152">
                  <c:v>156.71</c:v>
                </c:pt>
                <c:pt idx="153">
                  <c:v>156.83000000000001</c:v>
                </c:pt>
                <c:pt idx="154">
                  <c:v>155.80000000000001</c:v>
                </c:pt>
                <c:pt idx="155">
                  <c:v>#N/A</c:v>
                </c:pt>
                <c:pt idx="156">
                  <c:v>#N/A</c:v>
                </c:pt>
                <c:pt idx="157">
                  <c:v>155.07</c:v>
                </c:pt>
                <c:pt idx="158">
                  <c:v>154.6</c:v>
                </c:pt>
                <c:pt idx="159">
                  <c:v>154.07</c:v>
                </c:pt>
                <c:pt idx="160">
                  <c:v>153.33000000000001</c:v>
                </c:pt>
                <c:pt idx="161">
                  <c:v>153.19999999999999</c:v>
                </c:pt>
                <c:pt idx="162">
                  <c:v>#N/A</c:v>
                </c:pt>
                <c:pt idx="163">
                  <c:v>#N/A</c:v>
                </c:pt>
                <c:pt idx="164">
                  <c:v>#N/A</c:v>
                </c:pt>
                <c:pt idx="165">
                  <c:v>153.16999999999999</c:v>
                </c:pt>
                <c:pt idx="166">
                  <c:v>152.41999999999999</c:v>
                </c:pt>
                <c:pt idx="167">
                  <c:v>152.01</c:v>
                </c:pt>
                <c:pt idx="168">
                  <c:v>150.75</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76966528"/>
        <c:axId val="376972416"/>
      </c:lineChart>
      <c:dateAx>
        <c:axId val="3769665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6972416"/>
        <c:crosses val="autoZero"/>
        <c:auto val="0"/>
        <c:lblOffset val="0"/>
        <c:baseTimeUnit val="days"/>
        <c:majorUnit val="1"/>
        <c:majorTimeUnit val="months"/>
      </c:dateAx>
      <c:valAx>
        <c:axId val="37697241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9665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44366</c:v>
                </c:pt>
                <c:pt idx="1">
                  <c:v>44359</c:v>
                </c:pt>
                <c:pt idx="2">
                  <c:v>44352</c:v>
                </c:pt>
                <c:pt idx="3">
                  <c:v>44345</c:v>
                </c:pt>
                <c:pt idx="4">
                  <c:v>44338</c:v>
                </c:pt>
                <c:pt idx="5">
                  <c:v>44331</c:v>
                </c:pt>
                <c:pt idx="6">
                  <c:v>44324</c:v>
                </c:pt>
                <c:pt idx="7">
                  <c:v>44317</c:v>
                </c:pt>
                <c:pt idx="8">
                  <c:v>44310</c:v>
                </c:pt>
                <c:pt idx="9">
                  <c:v>44303</c:v>
                </c:pt>
                <c:pt idx="10">
                  <c:v>44296</c:v>
                </c:pt>
                <c:pt idx="11">
                  <c:v>44289</c:v>
                </c:pt>
                <c:pt idx="12">
                  <c:v>44282</c:v>
                </c:pt>
                <c:pt idx="13">
                  <c:v>44275</c:v>
                </c:pt>
                <c:pt idx="14">
                  <c:v>44268</c:v>
                </c:pt>
                <c:pt idx="15">
                  <c:v>44261</c:v>
                </c:pt>
                <c:pt idx="16">
                  <c:v>44254</c:v>
                </c:pt>
                <c:pt idx="17">
                  <c:v>44247</c:v>
                </c:pt>
                <c:pt idx="18">
                  <c:v>44240</c:v>
                </c:pt>
                <c:pt idx="19">
                  <c:v>44233</c:v>
                </c:pt>
                <c:pt idx="20">
                  <c:v>44226</c:v>
                </c:pt>
                <c:pt idx="21">
                  <c:v>44219</c:v>
                </c:pt>
                <c:pt idx="22">
                  <c:v>44212</c:v>
                </c:pt>
                <c:pt idx="23">
                  <c:v>44205</c:v>
                </c:pt>
                <c:pt idx="24">
                  <c:v>44198</c:v>
                </c:pt>
                <c:pt idx="25">
                  <c:v>44191</c:v>
                </c:pt>
              </c:numCache>
            </c:numRef>
          </c:cat>
          <c:val>
            <c:numRef>
              <c:f>汇率!$B$3:$B$28</c:f>
              <c:numCache>
                <c:formatCode>###,###,###,###,##0.00</c:formatCode>
                <c:ptCount val="26"/>
                <c:pt idx="0">
                  <c:v>6.4408000000000003</c:v>
                </c:pt>
                <c:pt idx="1">
                  <c:v>6.3914</c:v>
                </c:pt>
                <c:pt idx="2">
                  <c:v>6.4092000000000002</c:v>
                </c:pt>
                <c:pt idx="3">
                  <c:v>6.3654000000000002</c:v>
                </c:pt>
                <c:pt idx="4">
                  <c:v>6.4337</c:v>
                </c:pt>
                <c:pt idx="5">
                  <c:v>6.4347000000000003</c:v>
                </c:pt>
                <c:pt idx="6">
                  <c:v>6.4588999999999999</c:v>
                </c:pt>
                <c:pt idx="7">
                  <c:v>6.4715999999999996</c:v>
                </c:pt>
                <c:pt idx="8">
                  <c:v>6.4935999999999998</c:v>
                </c:pt>
                <c:pt idx="9">
                  <c:v>6.5228000000000002</c:v>
                </c:pt>
                <c:pt idx="10">
                  <c:v>6.5589000000000004</c:v>
                </c:pt>
                <c:pt idx="11">
                  <c:v>6.5612000000000004</c:v>
                </c:pt>
                <c:pt idx="12">
                  <c:v>6.5407000000000002</c:v>
                </c:pt>
                <c:pt idx="13">
                  <c:v>6.5045000000000002</c:v>
                </c:pt>
                <c:pt idx="14">
                  <c:v>6.5035999999999996</c:v>
                </c:pt>
                <c:pt idx="15">
                  <c:v>6.4767999999999999</c:v>
                </c:pt>
                <c:pt idx="16">
                  <c:v>6.4589999999999996</c:v>
                </c:pt>
                <c:pt idx="17">
                  <c:v>6.4574999999999996</c:v>
                </c:pt>
                <c:pt idx="18">
                  <c:v>6.4379999999999997</c:v>
                </c:pt>
                <c:pt idx="19">
                  <c:v>6.4809999999999999</c:v>
                </c:pt>
                <c:pt idx="20">
                  <c:v>6.4611999999999998</c:v>
                </c:pt>
                <c:pt idx="21">
                  <c:v>6.4776999999999996</c:v>
                </c:pt>
                <c:pt idx="22">
                  <c:v>6.4752000000000001</c:v>
                </c:pt>
                <c:pt idx="23">
                  <c:v>6.4718999999999998</c:v>
                </c:pt>
                <c:pt idx="24">
                  <c:v>6.5397999999999996</c:v>
                </c:pt>
                <c:pt idx="25">
                  <c:v>6.5240999999999998</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376991104"/>
        <c:axId val="37700518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44366</c:v>
                </c:pt>
                <c:pt idx="1">
                  <c:v>44359</c:v>
                </c:pt>
                <c:pt idx="2">
                  <c:v>44352</c:v>
                </c:pt>
                <c:pt idx="3">
                  <c:v>44345</c:v>
                </c:pt>
                <c:pt idx="4">
                  <c:v>44338</c:v>
                </c:pt>
                <c:pt idx="5">
                  <c:v>44331</c:v>
                </c:pt>
                <c:pt idx="6">
                  <c:v>44324</c:v>
                </c:pt>
                <c:pt idx="7">
                  <c:v>44317</c:v>
                </c:pt>
                <c:pt idx="8">
                  <c:v>44310</c:v>
                </c:pt>
                <c:pt idx="9">
                  <c:v>44303</c:v>
                </c:pt>
                <c:pt idx="10">
                  <c:v>44296</c:v>
                </c:pt>
                <c:pt idx="11">
                  <c:v>44289</c:v>
                </c:pt>
                <c:pt idx="12">
                  <c:v>44282</c:v>
                </c:pt>
                <c:pt idx="13">
                  <c:v>44275</c:v>
                </c:pt>
                <c:pt idx="14">
                  <c:v>44268</c:v>
                </c:pt>
                <c:pt idx="15">
                  <c:v>44261</c:v>
                </c:pt>
                <c:pt idx="16">
                  <c:v>44254</c:v>
                </c:pt>
                <c:pt idx="17">
                  <c:v>44247</c:v>
                </c:pt>
                <c:pt idx="18">
                  <c:v>44240</c:v>
                </c:pt>
                <c:pt idx="19">
                  <c:v>44233</c:v>
                </c:pt>
                <c:pt idx="20">
                  <c:v>44226</c:v>
                </c:pt>
                <c:pt idx="21">
                  <c:v>44219</c:v>
                </c:pt>
                <c:pt idx="22">
                  <c:v>44212</c:v>
                </c:pt>
                <c:pt idx="23">
                  <c:v>44205</c:v>
                </c:pt>
                <c:pt idx="24">
                  <c:v>44198</c:v>
                </c:pt>
                <c:pt idx="25">
                  <c:v>44191</c:v>
                </c:pt>
              </c:numCache>
            </c:numRef>
          </c:cat>
          <c:val>
            <c:numRef>
              <c:f>汇率!$C$3:$C$28</c:f>
              <c:numCache>
                <c:formatCode>###,###,###,###,##0.00</c:formatCode>
                <c:ptCount val="26"/>
                <c:pt idx="0">
                  <c:v>167.02</c:v>
                </c:pt>
                <c:pt idx="1">
                  <c:v>165.76000000000002</c:v>
                </c:pt>
                <c:pt idx="2">
                  <c:v>153.24999999999997</c:v>
                </c:pt>
                <c:pt idx="3">
                  <c:v>150.25</c:v>
                </c:pt>
                <c:pt idx="4">
                  <c:v>145.76000000000002</c:v>
                </c:pt>
                <c:pt idx="5">
                  <c:v>151.22</c:v>
                </c:pt>
                <c:pt idx="6">
                  <c:v>155.88999999999999</c:v>
                </c:pt>
                <c:pt idx="7">
                  <c:v>151.40000000000003</c:v>
                </c:pt>
                <c:pt idx="8">
                  <c:v>159.19</c:v>
                </c:pt>
                <c:pt idx="9">
                  <c:v>157.31</c:v>
                </c:pt>
                <c:pt idx="10">
                  <c:v>154.21</c:v>
                </c:pt>
                <c:pt idx="11">
                  <c:v>148.13</c:v>
                </c:pt>
                <c:pt idx="12">
                  <c:v>152.85000000000002</c:v>
                </c:pt>
                <c:pt idx="13">
                  <c:v>149.64000000000001</c:v>
                </c:pt>
                <c:pt idx="14">
                  <c:v>162.13</c:v>
                </c:pt>
                <c:pt idx="15">
                  <c:v>168.56999999999996</c:v>
                </c:pt>
                <c:pt idx="16">
                  <c:v>183.98</c:v>
                </c:pt>
                <c:pt idx="17">
                  <c:v>191.78</c:v>
                </c:pt>
                <c:pt idx="18">
                  <c:v>209.49</c:v>
                </c:pt>
                <c:pt idx="19">
                  <c:v>202.64000000000001</c:v>
                </c:pt>
                <c:pt idx="20">
                  <c:v>206.86</c:v>
                </c:pt>
                <c:pt idx="21">
                  <c:v>201.85</c:v>
                </c:pt>
                <c:pt idx="22">
                  <c:v>204.07999999999998</c:v>
                </c:pt>
                <c:pt idx="23">
                  <c:v>201.56</c:v>
                </c:pt>
                <c:pt idx="24">
                  <c:v>221.29</c:v>
                </c:pt>
                <c:pt idx="25">
                  <c:v>229.03000000000003</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77012608"/>
        <c:axId val="377006720"/>
      </c:lineChart>
      <c:dateAx>
        <c:axId val="37699110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77005184"/>
        <c:crosses val="autoZero"/>
        <c:auto val="0"/>
        <c:lblOffset val="0"/>
        <c:baseTimeUnit val="days"/>
      </c:dateAx>
      <c:valAx>
        <c:axId val="37700518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76991104"/>
        <c:crosses val="autoZero"/>
        <c:crossBetween val="between"/>
      </c:valAx>
      <c:valAx>
        <c:axId val="377006720"/>
        <c:scaling>
          <c:orientation val="minMax"/>
        </c:scaling>
        <c:delete val="0"/>
        <c:axPos val="r"/>
        <c:numFmt formatCode="#,##0_);[Red]\(#,##0\)" sourceLinked="0"/>
        <c:majorTickMark val="out"/>
        <c:minorTickMark val="none"/>
        <c:tickLblPos val="nextTo"/>
        <c:spPr>
          <a:ln w="3175">
            <a:solidFill>
              <a:sysClr val="windowText" lastClr="000000"/>
            </a:solidFill>
          </a:ln>
        </c:spPr>
        <c:crossAx val="377012608"/>
        <c:crosses val="max"/>
        <c:crossBetween val="between"/>
      </c:valAx>
      <c:dateAx>
        <c:axId val="377012608"/>
        <c:scaling>
          <c:orientation val="minMax"/>
        </c:scaling>
        <c:delete val="1"/>
        <c:axPos val="b"/>
        <c:numFmt formatCode="yyyy\-mm\-dd;@" sourceLinked="1"/>
        <c:majorTickMark val="out"/>
        <c:minorTickMark val="none"/>
        <c:tickLblPos val="nextTo"/>
        <c:crossAx val="377006720"/>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32.4</c:v>
                </c:pt>
                <c:pt idx="100">
                  <c:v>#N/A</c:v>
                </c:pt>
                <c:pt idx="101">
                  <c:v>#N/A</c:v>
                </c:pt>
                <c:pt idx="102">
                  <c:v>#N/A</c:v>
                </c:pt>
                <c:pt idx="103">
                  <c:v>#N/A</c:v>
                </c:pt>
                <c:pt idx="104">
                  <c:v>#N/A</c:v>
                </c:pt>
                <c:pt idx="105">
                  <c:v>#N/A</c:v>
                </c:pt>
                <c:pt idx="106">
                  <c:v>31.77</c:v>
                </c:pt>
                <c:pt idx="107">
                  <c:v>#N/A</c:v>
                </c:pt>
                <c:pt idx="108">
                  <c:v>#N/A</c:v>
                </c:pt>
                <c:pt idx="109">
                  <c:v>#N/A</c:v>
                </c:pt>
                <c:pt idx="110">
                  <c:v>#N/A</c:v>
                </c:pt>
                <c:pt idx="111">
                  <c:v>#N/A</c:v>
                </c:pt>
                <c:pt idx="112">
                  <c:v>#N/A</c:v>
                </c:pt>
                <c:pt idx="113">
                  <c:v>31.5</c:v>
                </c:pt>
                <c:pt idx="114">
                  <c:v>#N/A</c:v>
                </c:pt>
                <c:pt idx="115">
                  <c:v>#N/A</c:v>
                </c:pt>
                <c:pt idx="116">
                  <c:v>#N/A</c:v>
                </c:pt>
                <c:pt idx="117">
                  <c:v>#N/A</c:v>
                </c:pt>
                <c:pt idx="118">
                  <c:v>#N/A</c:v>
                </c:pt>
                <c:pt idx="119">
                  <c:v>#N/A</c:v>
                </c:pt>
                <c:pt idx="120">
                  <c:v>30.62</c:v>
                </c:pt>
                <c:pt idx="121">
                  <c:v>#N/A</c:v>
                </c:pt>
                <c:pt idx="122">
                  <c:v>#N/A</c:v>
                </c:pt>
                <c:pt idx="123">
                  <c:v>#N/A</c:v>
                </c:pt>
                <c:pt idx="124">
                  <c:v>#N/A</c:v>
                </c:pt>
                <c:pt idx="125">
                  <c:v>#N/A</c:v>
                </c:pt>
                <c:pt idx="126">
                  <c:v>#N/A</c:v>
                </c:pt>
                <c:pt idx="127">
                  <c:v>30.04</c:v>
                </c:pt>
                <c:pt idx="128">
                  <c:v>#N/A</c:v>
                </c:pt>
                <c:pt idx="129">
                  <c:v>#N/A</c:v>
                </c:pt>
                <c:pt idx="130">
                  <c:v>#N/A</c:v>
                </c:pt>
                <c:pt idx="131">
                  <c:v>#N/A</c:v>
                </c:pt>
                <c:pt idx="132">
                  <c:v>#N/A</c:v>
                </c:pt>
                <c:pt idx="133">
                  <c:v>#N/A</c:v>
                </c:pt>
                <c:pt idx="134">
                  <c:v>27.78</c:v>
                </c:pt>
                <c:pt idx="135">
                  <c:v>#N/A</c:v>
                </c:pt>
                <c:pt idx="136">
                  <c:v>#N/A</c:v>
                </c:pt>
                <c:pt idx="137">
                  <c:v>#N/A</c:v>
                </c:pt>
                <c:pt idx="138">
                  <c:v>#N/A</c:v>
                </c:pt>
                <c:pt idx="139">
                  <c:v>#N/A</c:v>
                </c:pt>
                <c:pt idx="140">
                  <c:v>#N/A</c:v>
                </c:pt>
                <c:pt idx="141">
                  <c:v>26.29</c:v>
                </c:pt>
                <c:pt idx="142">
                  <c:v>#N/A</c:v>
                </c:pt>
                <c:pt idx="143">
                  <c:v>#N/A</c:v>
                </c:pt>
                <c:pt idx="144">
                  <c:v>#N/A</c:v>
                </c:pt>
                <c:pt idx="145">
                  <c:v>#N/A</c:v>
                </c:pt>
                <c:pt idx="146">
                  <c:v>#N/A</c:v>
                </c:pt>
                <c:pt idx="147">
                  <c:v>#N/A</c:v>
                </c:pt>
                <c:pt idx="148">
                  <c:v>26.08</c:v>
                </c:pt>
                <c:pt idx="149">
                  <c:v>#N/A</c:v>
                </c:pt>
                <c:pt idx="150">
                  <c:v>#N/A</c:v>
                </c:pt>
                <c:pt idx="151">
                  <c:v>#N/A</c:v>
                </c:pt>
                <c:pt idx="152">
                  <c:v>#N/A</c:v>
                </c:pt>
                <c:pt idx="153">
                  <c:v>#N/A</c:v>
                </c:pt>
                <c:pt idx="154">
                  <c:v>#N/A</c:v>
                </c:pt>
                <c:pt idx="155">
                  <c:v>24.68</c:v>
                </c:pt>
                <c:pt idx="156">
                  <c:v>#N/A</c:v>
                </c:pt>
                <c:pt idx="157">
                  <c:v>#N/A</c:v>
                </c:pt>
                <c:pt idx="158">
                  <c:v>#N/A</c:v>
                </c:pt>
                <c:pt idx="159">
                  <c:v>#N/A</c:v>
                </c:pt>
                <c:pt idx="160">
                  <c:v>#N/A</c:v>
                </c:pt>
                <c:pt idx="161">
                  <c:v>#N/A</c:v>
                </c:pt>
                <c:pt idx="162">
                  <c:v>23.89</c:v>
                </c:pt>
                <c:pt idx="163">
                  <c:v>#N/A</c:v>
                </c:pt>
                <c:pt idx="164">
                  <c:v>#N/A</c:v>
                </c:pt>
                <c:pt idx="165">
                  <c:v>#N/A</c:v>
                </c:pt>
                <c:pt idx="166">
                  <c:v>#N/A</c:v>
                </c:pt>
                <c:pt idx="167">
                  <c:v>#N/A</c:v>
                </c:pt>
                <c:pt idx="168">
                  <c:v>#N/A</c:v>
                </c:pt>
                <c:pt idx="169">
                  <c:v>22.77</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381311616"/>
        <c:axId val="381313408"/>
      </c:lineChart>
      <c:dateAx>
        <c:axId val="38131161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81313408"/>
        <c:crosses val="autoZero"/>
        <c:auto val="0"/>
        <c:lblOffset val="0"/>
        <c:baseTimeUnit val="days"/>
        <c:majorUnit val="1"/>
        <c:majorTimeUnit val="months"/>
      </c:dateAx>
      <c:valAx>
        <c:axId val="38131340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381311616"/>
        <c:crosses val="autoZero"/>
        <c:crossBetween val="between"/>
      </c:valAx>
      <c:spPr>
        <a:solidFill>
          <a:schemeClr val="bg1"/>
        </a:solidFill>
        <a:ln>
          <a:noFill/>
        </a:ln>
        <a:effectLst/>
      </c:spPr>
    </c:plotArea>
    <c:legend>
      <c:legendPos val="r"/>
      <c:layout>
        <c:manualLayout>
          <c:xMode val="edge"/>
          <c:yMode val="edge"/>
          <c:x val="0.15225"/>
          <c:y val="2.3337707786526686E-3"/>
          <c:w val="0.75918618495432666"/>
          <c:h val="9.7622104775926574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5.23017E-7</cdr:y>
    </cdr:from>
    <cdr:to>
      <cdr:x>0.12198</cdr:x>
      <cdr:y>0.07652</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65760" cy="146303"/>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DD95E1-622A-4880-A8EB-395311673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725</Words>
  <Characters>4139</Characters>
  <Application>Microsoft Office Word</Application>
  <DocSecurity>0</DocSecurity>
  <Lines>34</Lines>
  <Paragraphs>9</Paragraphs>
  <ScaleCrop>false</ScaleCrop>
  <Company>Microsoft</Company>
  <LinksUpToDate>false</LinksUpToDate>
  <CharactersWithSpaces>4855</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2021-06-21T02:23:00Z</dcterms:created>
  <dcterms:modified xsi:type="dcterms:W3CDTF">2021-06-21T06:30:00Z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