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7D523593"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C931F2">
        <w:rPr>
          <w:rFonts w:ascii="楷体" w:eastAsia="楷体" w:hAnsi="楷体" w:hint="eastAsia"/>
          <w:sz w:val="28"/>
          <w:szCs w:val="28"/>
        </w:rPr>
        <w:t>央行OMO小幅加量</w:t>
      </w:r>
      <w:r w:rsidR="00CD02EA">
        <w:rPr>
          <w:rFonts w:ascii="楷体" w:eastAsia="楷体" w:hAnsi="楷体" w:hint="eastAsia"/>
          <w:sz w:val="28"/>
          <w:szCs w:val="28"/>
        </w:rPr>
        <w:t>，</w:t>
      </w:r>
      <w:r w:rsidR="00C931F2">
        <w:rPr>
          <w:rFonts w:ascii="楷体" w:eastAsia="楷体" w:hAnsi="楷体" w:hint="eastAsia"/>
          <w:sz w:val="28"/>
          <w:szCs w:val="28"/>
        </w:rPr>
        <w:t>市场情绪相对积极</w:t>
      </w:r>
      <w:r w:rsidR="009F1386" w:rsidRPr="00541553">
        <w:rPr>
          <w:rFonts w:ascii="楷体" w:eastAsia="楷体" w:hAnsi="楷体"/>
          <w:sz w:val="28"/>
          <w:szCs w:val="28"/>
        </w:rPr>
        <w:t xml:space="preserve"> </w:t>
      </w:r>
    </w:p>
    <w:p w14:paraId="1B2C4A22" w14:textId="0BA85F85" w:rsidR="005E5CB1" w:rsidRPr="00711EF1" w:rsidRDefault="005E5CB1" w:rsidP="005E5CB1">
      <w:pPr>
        <w:pStyle w:val="Header1"/>
        <w:spacing w:before="240"/>
        <w:rPr>
          <w:rFonts w:ascii="华文楷体" w:hAnsi="华文楷体"/>
          <w:b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40AF4CA3" w14:textId="33594D07" w:rsidR="00695DD9" w:rsidRPr="00DF6DF8" w:rsidRDefault="007F3080" w:rsidP="00695DD9">
      <w:pPr>
        <w:pStyle w:val="Header1"/>
        <w:spacing w:before="240"/>
        <w:ind w:firstLine="480"/>
        <w:rPr>
          <w:rFonts w:ascii="华文楷体" w:hAnsi="华文楷体"/>
          <w:b w:val="0"/>
          <w:color w:val="auto"/>
          <w:sz w:val="24"/>
          <w:szCs w:val="24"/>
        </w:rPr>
      </w:pPr>
      <w:r w:rsidRPr="007F3080">
        <w:rPr>
          <w:rFonts w:ascii="华文楷体" w:hAnsi="华文楷体" w:hint="eastAsia"/>
          <w:b w:val="0"/>
          <w:color w:val="auto"/>
          <w:sz w:val="24"/>
          <w:szCs w:val="24"/>
        </w:rPr>
        <w:t>近期</w:t>
      </w:r>
      <w:r>
        <w:rPr>
          <w:rFonts w:ascii="华文楷体" w:hAnsi="华文楷体" w:hint="eastAsia"/>
          <w:b w:val="0"/>
          <w:color w:val="auto"/>
          <w:sz w:val="24"/>
          <w:szCs w:val="24"/>
        </w:rPr>
        <w:t>，</w:t>
      </w:r>
      <w:r w:rsidRPr="007F3080">
        <w:rPr>
          <w:rFonts w:ascii="华文楷体" w:hAnsi="华文楷体" w:hint="eastAsia"/>
          <w:b w:val="0"/>
          <w:color w:val="auto"/>
          <w:sz w:val="24"/>
          <w:szCs w:val="24"/>
        </w:rPr>
        <w:t>公布</w:t>
      </w:r>
      <w:r w:rsidR="00FC3B6C">
        <w:rPr>
          <w:rFonts w:ascii="华文楷体" w:hAnsi="华文楷体" w:hint="eastAsia"/>
          <w:b w:val="0"/>
          <w:color w:val="auto"/>
          <w:sz w:val="24"/>
          <w:szCs w:val="24"/>
        </w:rPr>
        <w:t>5月工业企业利润数据，其中</w:t>
      </w:r>
      <w:r w:rsidR="00FC3B6C" w:rsidRPr="00FC3B6C">
        <w:rPr>
          <w:rFonts w:ascii="华文楷体" w:hAnsi="华文楷体" w:hint="eastAsia"/>
          <w:b w:val="0"/>
          <w:color w:val="auto"/>
          <w:sz w:val="24"/>
          <w:szCs w:val="24"/>
        </w:rPr>
        <w:t>1-5月份，全国规模以上工业企业实现利润总额34247.4亿元，同比增长83.4%（按可比口径计算），前值106%，两年平均增长21.7%，前值22.3%。其中5月当月同比</w:t>
      </w:r>
      <w:r w:rsidR="000C3E92">
        <w:rPr>
          <w:rFonts w:ascii="华文楷体" w:hAnsi="华文楷体" w:hint="eastAsia"/>
          <w:b w:val="0"/>
          <w:color w:val="auto"/>
          <w:sz w:val="24"/>
          <w:szCs w:val="24"/>
        </w:rPr>
        <w:t>增长</w:t>
      </w:r>
      <w:r w:rsidR="00FC3B6C" w:rsidRPr="00FC3B6C">
        <w:rPr>
          <w:rFonts w:ascii="华文楷体" w:hAnsi="华文楷体" w:hint="eastAsia"/>
          <w:b w:val="0"/>
          <w:color w:val="auto"/>
          <w:sz w:val="24"/>
          <w:szCs w:val="24"/>
        </w:rPr>
        <w:t>36.4%，两年复合增速20.2%，较4月回落2.4个百分点。</w:t>
      </w:r>
    </w:p>
    <w:p w14:paraId="3073B9B1" w14:textId="3D513025" w:rsidR="007F3080" w:rsidRDefault="007F3080" w:rsidP="00FC3B6C">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w:t>
      </w:r>
      <w:r w:rsidR="00FC3B6C">
        <w:rPr>
          <w:rFonts w:ascii="华文楷体" w:hAnsi="华文楷体" w:hint="eastAsia"/>
          <w:b w:val="0"/>
          <w:color w:val="auto"/>
          <w:sz w:val="24"/>
          <w:szCs w:val="24"/>
        </w:rPr>
        <w:t>具体看数据方面，</w:t>
      </w:r>
      <w:r w:rsidR="00FC3B6C" w:rsidRPr="00FC3B6C">
        <w:rPr>
          <w:rFonts w:ascii="华文楷体" w:hAnsi="华文楷体" w:hint="eastAsia"/>
          <w:b w:val="0"/>
          <w:color w:val="auto"/>
          <w:sz w:val="24"/>
          <w:szCs w:val="24"/>
        </w:rPr>
        <w:t>5月营业收入累计48.2</w:t>
      </w:r>
      <w:proofErr w:type="gramStart"/>
      <w:r w:rsidR="00FC3B6C" w:rsidRPr="00FC3B6C">
        <w:rPr>
          <w:rFonts w:ascii="华文楷体" w:hAnsi="华文楷体" w:hint="eastAsia"/>
          <w:b w:val="0"/>
          <w:color w:val="auto"/>
          <w:sz w:val="24"/>
          <w:szCs w:val="24"/>
        </w:rPr>
        <w:t>万亿</w:t>
      </w:r>
      <w:proofErr w:type="gramEnd"/>
      <w:r w:rsidR="00FC3B6C" w:rsidRPr="00FC3B6C">
        <w:rPr>
          <w:rFonts w:ascii="华文楷体" w:hAnsi="华文楷体" w:hint="eastAsia"/>
          <w:b w:val="0"/>
          <w:color w:val="auto"/>
          <w:sz w:val="24"/>
          <w:szCs w:val="24"/>
        </w:rPr>
        <w:t>，同比</w:t>
      </w:r>
      <w:r w:rsidR="000C3E92">
        <w:rPr>
          <w:rFonts w:ascii="华文楷体" w:hAnsi="华文楷体" w:hint="eastAsia"/>
          <w:b w:val="0"/>
          <w:color w:val="auto"/>
          <w:sz w:val="24"/>
          <w:szCs w:val="24"/>
        </w:rPr>
        <w:t>增长</w:t>
      </w:r>
      <w:r w:rsidR="00FC3B6C" w:rsidRPr="00FC3B6C">
        <w:rPr>
          <w:rFonts w:ascii="华文楷体" w:hAnsi="华文楷体" w:hint="eastAsia"/>
          <w:b w:val="0"/>
          <w:color w:val="auto"/>
          <w:sz w:val="24"/>
          <w:szCs w:val="24"/>
        </w:rPr>
        <w:t>30.5%，两年复合增速9.9%，较4月累计复合增速上行0.2个百分点。5月工业企业利润累计3.42</w:t>
      </w:r>
      <w:proofErr w:type="gramStart"/>
      <w:r w:rsidR="00FC3B6C" w:rsidRPr="00FC3B6C">
        <w:rPr>
          <w:rFonts w:ascii="华文楷体" w:hAnsi="华文楷体" w:hint="eastAsia"/>
          <w:b w:val="0"/>
          <w:color w:val="auto"/>
          <w:sz w:val="24"/>
          <w:szCs w:val="24"/>
        </w:rPr>
        <w:t>万亿</w:t>
      </w:r>
      <w:proofErr w:type="gramEnd"/>
      <w:r w:rsidR="00FC3B6C" w:rsidRPr="00FC3B6C">
        <w:rPr>
          <w:rFonts w:ascii="华文楷体" w:hAnsi="华文楷体" w:hint="eastAsia"/>
          <w:b w:val="0"/>
          <w:color w:val="auto"/>
          <w:sz w:val="24"/>
          <w:szCs w:val="24"/>
        </w:rPr>
        <w:t>，同比增加83.4%，两年复合增速21.7%，较4月累计复合增速下行0.7%。5月工业增加值复合增速6.6%，较4月小幅回落。2021年工业</w:t>
      </w:r>
      <w:r w:rsidR="000C3E92" w:rsidRPr="00FC3B6C">
        <w:rPr>
          <w:rFonts w:ascii="华文楷体" w:hAnsi="华文楷体" w:hint="eastAsia"/>
          <w:b w:val="0"/>
          <w:color w:val="auto"/>
          <w:sz w:val="24"/>
          <w:szCs w:val="24"/>
        </w:rPr>
        <w:t>企业</w:t>
      </w:r>
      <w:r w:rsidR="00FC3B6C" w:rsidRPr="00FC3B6C">
        <w:rPr>
          <w:rFonts w:ascii="华文楷体" w:hAnsi="华文楷体" w:hint="eastAsia"/>
          <w:b w:val="0"/>
          <w:color w:val="auto"/>
          <w:sz w:val="24"/>
          <w:szCs w:val="24"/>
        </w:rPr>
        <w:t>5月利润率修复至7.11%，再创1996年以来的新高</w:t>
      </w:r>
      <w:r w:rsidR="00FC3B6C">
        <w:rPr>
          <w:rFonts w:ascii="华文楷体" w:hAnsi="华文楷体" w:hint="eastAsia"/>
          <w:b w:val="0"/>
          <w:color w:val="auto"/>
          <w:sz w:val="24"/>
          <w:szCs w:val="24"/>
        </w:rPr>
        <w:t>。</w:t>
      </w:r>
    </w:p>
    <w:p w14:paraId="21BBA9A8" w14:textId="57F94E50" w:rsidR="00FC3B6C" w:rsidRDefault="00FC3B6C" w:rsidP="00FC3B6C">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库存方面，</w:t>
      </w:r>
      <w:r w:rsidRPr="00FC3B6C">
        <w:rPr>
          <w:rFonts w:ascii="华文楷体" w:hAnsi="华文楷体" w:hint="eastAsia"/>
          <w:b w:val="0"/>
          <w:color w:val="auto"/>
          <w:sz w:val="24"/>
          <w:szCs w:val="24"/>
        </w:rPr>
        <w:t>2021年5月工业企业产成品库存增速约为10.2%，前值8.2%，较2021年4月小幅回升2个百分点，本月新增库存1400亿元。</w:t>
      </w:r>
    </w:p>
    <w:p w14:paraId="44766F64" w14:textId="10E1BD9B" w:rsidR="00FC3B6C" w:rsidRDefault="00FC3B6C" w:rsidP="00FC3B6C">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w:t>
      </w:r>
      <w:r w:rsidRPr="00FC3B6C">
        <w:rPr>
          <w:rFonts w:ascii="华文楷体" w:hAnsi="华文楷体" w:hint="eastAsia"/>
          <w:b w:val="0"/>
          <w:color w:val="auto"/>
          <w:sz w:val="24"/>
          <w:szCs w:val="24"/>
        </w:rPr>
        <w:t>41</w:t>
      </w:r>
      <w:r>
        <w:rPr>
          <w:rFonts w:ascii="华文楷体" w:hAnsi="华文楷体" w:hint="eastAsia"/>
          <w:b w:val="0"/>
          <w:color w:val="auto"/>
          <w:sz w:val="24"/>
          <w:szCs w:val="24"/>
        </w:rPr>
        <w:t>个工业大类行业中，</w:t>
      </w:r>
      <w:r w:rsidRPr="00FC3B6C">
        <w:rPr>
          <w:rFonts w:ascii="华文楷体" w:hAnsi="华文楷体" w:hint="eastAsia"/>
          <w:b w:val="0"/>
          <w:color w:val="auto"/>
          <w:sz w:val="24"/>
          <w:szCs w:val="24"/>
        </w:rPr>
        <w:t>8个行业利润增速超过100%</w:t>
      </w:r>
      <w:r>
        <w:rPr>
          <w:rFonts w:ascii="华文楷体" w:hAnsi="华文楷体" w:hint="eastAsia"/>
          <w:b w:val="0"/>
          <w:color w:val="auto"/>
          <w:sz w:val="24"/>
          <w:szCs w:val="24"/>
        </w:rPr>
        <w:t>，</w:t>
      </w:r>
      <w:r w:rsidRPr="00FC3B6C">
        <w:rPr>
          <w:rFonts w:ascii="华文楷体" w:hAnsi="华文楷体" w:hint="eastAsia"/>
          <w:b w:val="0"/>
          <w:color w:val="auto"/>
          <w:sz w:val="24"/>
          <w:szCs w:val="24"/>
        </w:rPr>
        <w:t>6个行业利润增速在30%—100%之间。上中游原材料行业，化纤行业两年复合增速85.8%</w:t>
      </w:r>
      <w:r w:rsidR="000C3E92">
        <w:rPr>
          <w:rFonts w:ascii="华文楷体" w:hAnsi="华文楷体" w:hint="eastAsia"/>
          <w:b w:val="0"/>
          <w:color w:val="auto"/>
          <w:sz w:val="24"/>
          <w:szCs w:val="24"/>
        </w:rPr>
        <w:t>，增速</w:t>
      </w:r>
      <w:r w:rsidRPr="00FC3B6C">
        <w:rPr>
          <w:rFonts w:ascii="华文楷体" w:hAnsi="华文楷体" w:hint="eastAsia"/>
          <w:b w:val="0"/>
          <w:color w:val="auto"/>
          <w:sz w:val="24"/>
          <w:szCs w:val="24"/>
        </w:rPr>
        <w:t>最高，有色、钢铁、化工行业两年复合增速分别65.5%、42.9%和38.3%。计算机通信电子行业和医药行业两年复合利润增速分别为41.8%和34.5%。中</w:t>
      </w:r>
      <w:r>
        <w:rPr>
          <w:rFonts w:ascii="华文楷体" w:hAnsi="华文楷体" w:hint="eastAsia"/>
          <w:b w:val="0"/>
          <w:color w:val="auto"/>
          <w:sz w:val="24"/>
          <w:szCs w:val="24"/>
        </w:rPr>
        <w:t>游设备行业利润增速继续下行，</w:t>
      </w:r>
      <w:r w:rsidRPr="00FC3B6C">
        <w:rPr>
          <w:rFonts w:ascii="华文楷体" w:hAnsi="华文楷体" w:hint="eastAsia"/>
          <w:b w:val="0"/>
          <w:color w:val="auto"/>
          <w:sz w:val="24"/>
          <w:szCs w:val="24"/>
        </w:rPr>
        <w:t>专用设备、通用设备和电气机械行业两年复合增速分别为27%、16.6%和15.1%。</w:t>
      </w:r>
    </w:p>
    <w:p w14:paraId="6E70956B" w14:textId="7A653A95" w:rsidR="00FC3B6C" w:rsidRDefault="00FC3B6C" w:rsidP="00FC3B6C">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从数据看，营业收入利润率有所改善，量价齐升支持5月工业企业利润增长。</w:t>
      </w:r>
      <w:r w:rsidRPr="00FC3B6C">
        <w:rPr>
          <w:rFonts w:ascii="华文楷体" w:hAnsi="华文楷体" w:hint="eastAsia"/>
          <w:b w:val="0"/>
          <w:color w:val="auto"/>
          <w:sz w:val="24"/>
          <w:szCs w:val="24"/>
        </w:rPr>
        <w:t>1-5月营收利润率达到7.11%，其中5月达到8.02%，较4月有所提升，处于历史最高水平，</w:t>
      </w:r>
      <w:r w:rsidR="00A91F3A">
        <w:rPr>
          <w:rFonts w:ascii="华文楷体" w:hAnsi="华文楷体" w:hint="eastAsia"/>
          <w:b w:val="0"/>
          <w:color w:val="auto"/>
          <w:sz w:val="24"/>
          <w:szCs w:val="24"/>
        </w:rPr>
        <w:t>更多体现于需求</w:t>
      </w:r>
      <w:proofErr w:type="gramStart"/>
      <w:r w:rsidR="00A91F3A">
        <w:rPr>
          <w:rFonts w:ascii="华文楷体" w:hAnsi="华文楷体" w:hint="eastAsia"/>
          <w:b w:val="0"/>
          <w:color w:val="auto"/>
          <w:sz w:val="24"/>
          <w:szCs w:val="24"/>
        </w:rPr>
        <w:t>端</w:t>
      </w:r>
      <w:r>
        <w:rPr>
          <w:rFonts w:ascii="华文楷体" w:hAnsi="华文楷体" w:hint="eastAsia"/>
          <w:b w:val="0"/>
          <w:color w:val="auto"/>
          <w:sz w:val="24"/>
          <w:szCs w:val="24"/>
        </w:rPr>
        <w:t>表现</w:t>
      </w:r>
      <w:proofErr w:type="gramEnd"/>
      <w:r>
        <w:rPr>
          <w:rFonts w:ascii="华文楷体" w:hAnsi="华文楷体" w:hint="eastAsia"/>
          <w:b w:val="0"/>
          <w:color w:val="auto"/>
          <w:sz w:val="24"/>
          <w:szCs w:val="24"/>
        </w:rPr>
        <w:t>较好。</w:t>
      </w:r>
    </w:p>
    <w:p w14:paraId="40FCB88C" w14:textId="153574A0" w:rsidR="00FC3B6C" w:rsidRPr="00FC3B6C" w:rsidRDefault="00FC3B6C" w:rsidP="00FC3B6C">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此外，</w:t>
      </w:r>
      <w:r w:rsidRPr="00FC3B6C">
        <w:rPr>
          <w:rFonts w:ascii="华文楷体" w:hAnsi="华文楷体" w:hint="eastAsia"/>
          <w:b w:val="0"/>
          <w:color w:val="auto"/>
          <w:sz w:val="24"/>
          <w:szCs w:val="24"/>
        </w:rPr>
        <w:t>5月份原材料制造业利润同比增长</w:t>
      </w:r>
      <w:r>
        <w:rPr>
          <w:rFonts w:ascii="华文楷体" w:hAnsi="华文楷体" w:hint="eastAsia"/>
          <w:b w:val="0"/>
          <w:color w:val="auto"/>
          <w:sz w:val="24"/>
          <w:szCs w:val="24"/>
        </w:rPr>
        <w:t>约</w:t>
      </w:r>
      <w:r w:rsidRPr="00FC3B6C">
        <w:rPr>
          <w:rFonts w:ascii="华文楷体" w:hAnsi="华文楷体" w:hint="eastAsia"/>
          <w:b w:val="0"/>
          <w:color w:val="auto"/>
          <w:sz w:val="24"/>
          <w:szCs w:val="24"/>
        </w:rPr>
        <w:t>1.11倍，增速分别比规模以上工业高74.8和11.8个百分点。黑色金属、有色金属冶炼和压延加工业、化学原料和化学制品制造业、石油煤炭及其他燃料加工业利润增长较快，合计拉动规模以上工业企业利润两年平均增长8.3个百分点。</w:t>
      </w:r>
    </w:p>
    <w:p w14:paraId="5D530856" w14:textId="4F5D8BF1" w:rsidR="00DD187B" w:rsidRPr="003E75B1" w:rsidRDefault="002D5CAF" w:rsidP="006C3FA8">
      <w:pPr>
        <w:pStyle w:val="Header1"/>
        <w:spacing w:before="240"/>
        <w:rPr>
          <w:rFonts w:ascii="华文楷体" w:hAnsi="华文楷体"/>
          <w:b w:val="0"/>
          <w:color w:val="auto"/>
          <w:sz w:val="24"/>
          <w:szCs w:val="24"/>
          <w:u w:val="single"/>
        </w:rPr>
      </w:pPr>
      <w:r>
        <w:rPr>
          <w:rFonts w:ascii="华文楷体" w:hAnsi="华文楷体" w:hint="eastAsia"/>
          <w:b w:val="0"/>
          <w:color w:val="auto"/>
          <w:sz w:val="24"/>
          <w:szCs w:val="24"/>
        </w:rPr>
        <w:t xml:space="preserve">     整体看，5月经济数据</w:t>
      </w:r>
      <w:r w:rsidR="003E75B1">
        <w:rPr>
          <w:rFonts w:ascii="华文楷体" w:hAnsi="华文楷体" w:hint="eastAsia"/>
          <w:b w:val="0"/>
          <w:color w:val="auto"/>
          <w:sz w:val="24"/>
          <w:szCs w:val="24"/>
        </w:rPr>
        <w:t>相对</w:t>
      </w:r>
      <w:r>
        <w:rPr>
          <w:rFonts w:ascii="华文楷体" w:hAnsi="华文楷体" w:hint="eastAsia"/>
          <w:b w:val="0"/>
          <w:color w:val="auto"/>
          <w:sz w:val="24"/>
          <w:szCs w:val="24"/>
        </w:rPr>
        <w:t>平稳，</w:t>
      </w:r>
      <w:r w:rsidR="003E75B1">
        <w:rPr>
          <w:rFonts w:ascii="华文楷体" w:hAnsi="华文楷体" w:hint="eastAsia"/>
          <w:b w:val="0"/>
          <w:color w:val="auto"/>
          <w:sz w:val="24"/>
          <w:szCs w:val="24"/>
        </w:rPr>
        <w:t>外需表现仍相对较好，内需经济基本保持修复态势，装备制造业补库存相对积极。但下半年地产、基建、出口预计边际走弱，关注下行过程中政策对经济基本</w:t>
      </w:r>
      <w:proofErr w:type="gramStart"/>
      <w:r w:rsidR="003E75B1">
        <w:rPr>
          <w:rFonts w:ascii="华文楷体" w:hAnsi="华文楷体" w:hint="eastAsia"/>
          <w:b w:val="0"/>
          <w:color w:val="auto"/>
          <w:sz w:val="24"/>
          <w:szCs w:val="24"/>
        </w:rPr>
        <w:t>面整体</w:t>
      </w:r>
      <w:proofErr w:type="gramEnd"/>
      <w:r w:rsidR="003E75B1">
        <w:rPr>
          <w:rFonts w:ascii="华文楷体" w:hAnsi="华文楷体" w:hint="eastAsia"/>
          <w:b w:val="0"/>
          <w:color w:val="auto"/>
          <w:sz w:val="24"/>
          <w:szCs w:val="24"/>
        </w:rPr>
        <w:t>表现的容忍程度</w:t>
      </w:r>
      <w:r>
        <w:rPr>
          <w:rFonts w:ascii="华文楷体" w:hAnsi="华文楷体" w:hint="eastAsia"/>
          <w:b w:val="0"/>
          <w:color w:val="auto"/>
          <w:sz w:val="24"/>
          <w:szCs w:val="24"/>
        </w:rPr>
        <w:t>。</w:t>
      </w:r>
      <w:r w:rsidR="003E75B1">
        <w:rPr>
          <w:rFonts w:ascii="华文楷体" w:hAnsi="华文楷体" w:hint="eastAsia"/>
          <w:b w:val="0"/>
          <w:color w:val="auto"/>
          <w:sz w:val="24"/>
          <w:szCs w:val="24"/>
        </w:rPr>
        <w:t>通胀方面，从5月数据可以看到，大宗商品尽管在上半年上涨较多，但在强监管背景下，未来PPI有望进入渐进回落过程，食品价格持续对CPI形成拖累，PPI环比增速预计边际下行，CPI全年前低后高，整体相对平稳，对政策影响边际有限。</w:t>
      </w:r>
    </w:p>
    <w:p w14:paraId="6FCB91BB" w14:textId="77777777" w:rsidR="002D5CAF" w:rsidRPr="00551C03" w:rsidRDefault="002D5CAF" w:rsidP="006C3FA8">
      <w:pPr>
        <w:pStyle w:val="Header1"/>
        <w:spacing w:before="240"/>
        <w:rPr>
          <w:rFonts w:ascii="华文楷体" w:hAnsi="华文楷体"/>
          <w:b w:val="0"/>
          <w:color w:val="auto"/>
          <w:sz w:val="24"/>
          <w:szCs w:val="24"/>
        </w:rPr>
      </w:pP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lastRenderedPageBreak/>
        <w:t>1</w:t>
      </w:r>
      <w:r>
        <w:rPr>
          <w:rFonts w:hint="eastAsia"/>
          <w:sz w:val="28"/>
          <w:szCs w:val="21"/>
          <w:lang w:eastAsia="zh-CN"/>
        </w:rPr>
        <w:t>、</w:t>
      </w:r>
      <w:r>
        <w:rPr>
          <w:rFonts w:hint="eastAsia"/>
          <w:sz w:val="28"/>
          <w:szCs w:val="21"/>
        </w:rPr>
        <w:t>资金面</w:t>
      </w:r>
    </w:p>
    <w:p w14:paraId="5B44DCF6" w14:textId="0A804B7D"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A5662C">
        <w:rPr>
          <w:rFonts w:ascii="华文楷体" w:hAnsi="华文楷体" w:hint="eastAsia"/>
          <w:sz w:val="24"/>
          <w:szCs w:val="24"/>
          <w:lang w:eastAsia="zh-CN"/>
        </w:rPr>
        <w:t>净</w:t>
      </w:r>
      <w:r w:rsidR="006C5372">
        <w:rPr>
          <w:rFonts w:ascii="华文楷体" w:hAnsi="华文楷体" w:hint="eastAsia"/>
          <w:sz w:val="24"/>
          <w:szCs w:val="24"/>
          <w:lang w:eastAsia="zh-CN"/>
        </w:rPr>
        <w:t>投放450</w:t>
      </w:r>
      <w:r w:rsidR="00C15F3D">
        <w:rPr>
          <w:rFonts w:ascii="华文楷体" w:hAnsi="华文楷体" w:hint="eastAsia"/>
          <w:sz w:val="24"/>
          <w:szCs w:val="24"/>
          <w:lang w:eastAsia="zh-CN"/>
        </w:rPr>
        <w:t>亿</w:t>
      </w:r>
      <w:r w:rsidR="006E4B59">
        <w:rPr>
          <w:rFonts w:ascii="华文楷体" w:hAnsi="华文楷体" w:hint="eastAsia"/>
          <w:sz w:val="24"/>
          <w:szCs w:val="24"/>
          <w:lang w:eastAsia="zh-CN"/>
        </w:rPr>
        <w:t>，</w:t>
      </w:r>
      <w:r w:rsidR="0090039B">
        <w:rPr>
          <w:rFonts w:ascii="华文楷体" w:hAnsi="华文楷体" w:hint="eastAsia"/>
          <w:sz w:val="24"/>
          <w:szCs w:val="24"/>
          <w:lang w:eastAsia="zh-CN"/>
        </w:rPr>
        <w:t>利率中枢</w:t>
      </w:r>
      <w:r w:rsidR="006C5372">
        <w:rPr>
          <w:rFonts w:ascii="华文楷体" w:hAnsi="华文楷体" w:hint="eastAsia"/>
          <w:sz w:val="24"/>
          <w:szCs w:val="24"/>
          <w:lang w:eastAsia="zh-CN"/>
        </w:rPr>
        <w:t>震荡为主，隔夜下行明显，跨季资金相对高位震荡为主</w:t>
      </w:r>
      <w:r w:rsidR="00B81E73">
        <w:rPr>
          <w:rFonts w:ascii="华文楷体" w:hAnsi="华文楷体" w:hint="eastAsia"/>
          <w:sz w:val="24"/>
          <w:szCs w:val="24"/>
          <w:lang w:eastAsia="zh-CN"/>
        </w:rPr>
        <w:t>。</w:t>
      </w:r>
      <w:r w:rsidR="00FF2720">
        <w:rPr>
          <w:rFonts w:ascii="华文楷体" w:hAnsi="华文楷体" w:hint="eastAsia"/>
          <w:sz w:val="24"/>
          <w:szCs w:val="24"/>
          <w:lang w:eastAsia="zh-CN"/>
        </w:rPr>
        <w:t>上周最后一个交易日</w:t>
      </w:r>
      <w:r>
        <w:rPr>
          <w:rFonts w:ascii="华文楷体" w:hAnsi="华文楷体" w:hint="eastAsia"/>
          <w:sz w:val="24"/>
          <w:szCs w:val="24"/>
          <w:lang w:eastAsia="zh-CN"/>
        </w:rPr>
        <w:t>隔夜</w:t>
      </w:r>
      <w:r w:rsidR="00D9413F">
        <w:rPr>
          <w:rFonts w:ascii="华文楷体" w:hAnsi="华文楷体" w:hint="eastAsia"/>
          <w:sz w:val="24"/>
          <w:szCs w:val="24"/>
          <w:lang w:eastAsia="zh-CN"/>
        </w:rPr>
        <w:t>较</w:t>
      </w:r>
      <w:r w:rsidR="00FF2720">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6C5372">
        <w:rPr>
          <w:rFonts w:ascii="华文楷体" w:hAnsi="华文楷体" w:hint="eastAsia"/>
          <w:sz w:val="24"/>
          <w:szCs w:val="24"/>
          <w:lang w:eastAsia="zh-CN"/>
        </w:rPr>
        <w:t>下</w:t>
      </w:r>
      <w:r w:rsidR="0090039B">
        <w:rPr>
          <w:rFonts w:ascii="华文楷体" w:hAnsi="华文楷体" w:hint="eastAsia"/>
          <w:sz w:val="24"/>
          <w:szCs w:val="24"/>
          <w:lang w:eastAsia="zh-CN"/>
        </w:rPr>
        <w:t>行</w:t>
      </w:r>
      <w:r w:rsidR="006C5372">
        <w:rPr>
          <w:rFonts w:ascii="华文楷体" w:hAnsi="华文楷体" w:hint="eastAsia"/>
          <w:sz w:val="24"/>
          <w:szCs w:val="24"/>
          <w:lang w:eastAsia="zh-CN"/>
        </w:rPr>
        <w:t>48</w:t>
      </w:r>
      <w:r w:rsidR="002D361C">
        <w:rPr>
          <w:rFonts w:ascii="华文楷体" w:hAnsi="华文楷体" w:hint="eastAsia"/>
          <w:sz w:val="24"/>
          <w:szCs w:val="24"/>
          <w:lang w:eastAsia="zh-CN"/>
        </w:rPr>
        <w:t>BP至</w:t>
      </w:r>
      <w:r w:rsidR="006C5372">
        <w:rPr>
          <w:rFonts w:ascii="华文楷体" w:hAnsi="华文楷体" w:hint="eastAsia"/>
          <w:sz w:val="24"/>
          <w:szCs w:val="24"/>
          <w:lang w:eastAsia="zh-CN"/>
        </w:rPr>
        <w:t>1.57</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90039B">
        <w:rPr>
          <w:rFonts w:ascii="华文楷体" w:hAnsi="华文楷体" w:hint="eastAsia"/>
          <w:sz w:val="24"/>
          <w:szCs w:val="24"/>
          <w:lang w:eastAsia="zh-CN"/>
        </w:rPr>
        <w:t>上行</w:t>
      </w:r>
      <w:r w:rsidR="006C5372">
        <w:rPr>
          <w:rFonts w:ascii="华文楷体" w:hAnsi="华文楷体" w:hint="eastAsia"/>
          <w:sz w:val="24"/>
          <w:szCs w:val="24"/>
          <w:lang w:eastAsia="zh-CN"/>
        </w:rPr>
        <w:t>51</w:t>
      </w:r>
      <w:r w:rsidR="00D9413F">
        <w:rPr>
          <w:rFonts w:ascii="华文楷体" w:hAnsi="华文楷体" w:hint="eastAsia"/>
          <w:sz w:val="24"/>
          <w:szCs w:val="24"/>
          <w:lang w:eastAsia="zh-CN"/>
        </w:rPr>
        <w:t>BP至</w:t>
      </w:r>
      <w:r w:rsidR="00C15F3D">
        <w:rPr>
          <w:rFonts w:ascii="华文楷体" w:hAnsi="华文楷体"/>
          <w:sz w:val="24"/>
          <w:szCs w:val="24"/>
          <w:lang w:eastAsia="zh-CN"/>
        </w:rPr>
        <w:t>2</w:t>
      </w:r>
      <w:r w:rsidR="00515400">
        <w:rPr>
          <w:rFonts w:ascii="华文楷体" w:hAnsi="华文楷体" w:hint="eastAsia"/>
          <w:sz w:val="24"/>
          <w:szCs w:val="24"/>
          <w:lang w:eastAsia="zh-CN"/>
        </w:rPr>
        <w:t>.</w:t>
      </w:r>
      <w:r w:rsidR="006C5372">
        <w:rPr>
          <w:rFonts w:ascii="华文楷体" w:hAnsi="华文楷体" w:hint="eastAsia"/>
          <w:sz w:val="24"/>
          <w:szCs w:val="24"/>
          <w:lang w:eastAsia="zh-CN"/>
        </w:rPr>
        <w:t>73</w:t>
      </w:r>
      <w:r>
        <w:rPr>
          <w:rFonts w:ascii="华文楷体" w:hAnsi="华文楷体" w:hint="eastAsia"/>
          <w:sz w:val="24"/>
          <w:szCs w:val="24"/>
          <w:lang w:eastAsia="zh-CN"/>
        </w:rPr>
        <w:t>%</w:t>
      </w:r>
      <w:r w:rsidR="007F77B5">
        <w:rPr>
          <w:rFonts w:ascii="华文楷体" w:hAnsi="华文楷体" w:hint="eastAsia"/>
          <w:sz w:val="24"/>
          <w:szCs w:val="24"/>
          <w:lang w:eastAsia="zh-CN"/>
        </w:rPr>
        <w:t>，</w:t>
      </w:r>
      <w:r w:rsidR="009C77AF">
        <w:rPr>
          <w:rFonts w:ascii="华文楷体" w:hAnsi="华文楷体" w:hint="eastAsia"/>
          <w:sz w:val="24"/>
          <w:szCs w:val="24"/>
          <w:lang w:eastAsia="zh-CN"/>
        </w:rPr>
        <w:t>开盘利率</w:t>
      </w:r>
      <w:r w:rsidR="00DA0B17">
        <w:rPr>
          <w:rFonts w:ascii="华文楷体" w:hAnsi="华文楷体" w:hint="eastAsia"/>
          <w:sz w:val="24"/>
          <w:szCs w:val="24"/>
          <w:lang w:eastAsia="zh-CN"/>
        </w:rPr>
        <w:t>未变化</w:t>
      </w:r>
      <w:r w:rsidR="00847EB6">
        <w:rPr>
          <w:rFonts w:ascii="华文楷体" w:hAnsi="华文楷体" w:hint="eastAsia"/>
          <w:sz w:val="24"/>
          <w:szCs w:val="24"/>
          <w:lang w:eastAsia="zh-CN"/>
        </w:rPr>
        <w:t>，</w:t>
      </w:r>
      <w:r w:rsidR="00ED7CCC">
        <w:rPr>
          <w:rFonts w:ascii="华文楷体" w:hAnsi="华文楷体" w:hint="eastAsia"/>
          <w:sz w:val="24"/>
          <w:szCs w:val="24"/>
          <w:lang w:eastAsia="zh-CN"/>
        </w:rPr>
        <w:t>隔夜利率和</w:t>
      </w:r>
      <w:r w:rsidR="00B92F0A">
        <w:rPr>
          <w:rFonts w:ascii="华文楷体" w:hAnsi="华文楷体" w:hint="eastAsia"/>
          <w:sz w:val="24"/>
          <w:szCs w:val="24"/>
          <w:lang w:eastAsia="zh-CN"/>
        </w:rPr>
        <w:t>7</w:t>
      </w:r>
      <w:r w:rsidR="00ED7CCC">
        <w:rPr>
          <w:rFonts w:ascii="华文楷体" w:hAnsi="华文楷体" w:hint="eastAsia"/>
          <w:sz w:val="24"/>
          <w:szCs w:val="24"/>
          <w:lang w:eastAsia="zh-CN"/>
        </w:rPr>
        <w:t>天利率</w:t>
      </w:r>
      <w:r w:rsidR="00C15F3D">
        <w:rPr>
          <w:rFonts w:ascii="华文楷体" w:hAnsi="华文楷体" w:hint="eastAsia"/>
          <w:sz w:val="24"/>
          <w:szCs w:val="24"/>
          <w:lang w:eastAsia="zh-CN"/>
        </w:rPr>
        <w:t>利差</w:t>
      </w:r>
      <w:r w:rsidR="002A111A">
        <w:rPr>
          <w:rFonts w:ascii="华文楷体" w:hAnsi="华文楷体" w:hint="eastAsia"/>
          <w:sz w:val="24"/>
          <w:szCs w:val="24"/>
          <w:lang w:eastAsia="zh-CN"/>
        </w:rPr>
        <w:t>保持</w:t>
      </w:r>
      <w:r w:rsidR="00026E14">
        <w:rPr>
          <w:rFonts w:ascii="华文楷体" w:hAnsi="华文楷体" w:hint="eastAsia"/>
          <w:sz w:val="24"/>
          <w:szCs w:val="24"/>
          <w:lang w:eastAsia="zh-CN"/>
        </w:rPr>
        <w:t>窄幅震荡</w:t>
      </w:r>
      <w:r w:rsidR="002D361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6C5372">
        <w:tblPrEx>
          <w:tblCellMar>
            <w:left w:w="108" w:type="dxa"/>
            <w:right w:w="108" w:type="dxa"/>
          </w:tblCellMar>
        </w:tblPrEx>
        <w:trPr>
          <w:jc w:val="center"/>
        </w:trPr>
        <w:tc>
          <w:tcPr>
            <w:tcW w:w="4939" w:type="dxa"/>
            <w:vAlign w:val="center"/>
          </w:tcPr>
          <w:p w14:paraId="60AEAEDC" w14:textId="3B4F51C7" w:rsidR="00E0626C" w:rsidRPr="003C6AC1" w:rsidRDefault="006C5372" w:rsidP="009A2BA0">
            <w:pPr>
              <w:jc w:val="center"/>
              <w:rPr>
                <w:noProof/>
                <w:sz w:val="20"/>
              </w:rPr>
            </w:pPr>
            <w:r>
              <w:rPr>
                <w:noProof/>
              </w:rPr>
              <w:drawing>
                <wp:inline distT="0" distB="0" distL="0" distR="0" wp14:anchorId="6D010F04" wp14:editId="12564ADC">
                  <wp:extent cx="2999105" cy="1732153"/>
                  <wp:effectExtent l="0" t="0" r="0" b="1905"/>
                  <wp:docPr id="1" name="图表 1">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255650BC" w:rsidR="00E0626C" w:rsidRPr="002A111A" w:rsidRDefault="006C5372" w:rsidP="009A2BA0">
            <w:pPr>
              <w:jc w:val="center"/>
              <w:rPr>
                <w:noProof/>
                <w:sz w:val="14"/>
                <w:szCs w:val="14"/>
              </w:rPr>
            </w:pPr>
            <w:r>
              <w:rPr>
                <w:noProof/>
              </w:rPr>
              <w:drawing>
                <wp:inline distT="0" distB="0" distL="0" distR="0" wp14:anchorId="7B640E44" wp14:editId="2E8CF637">
                  <wp:extent cx="3108960" cy="1731645"/>
                  <wp:effectExtent l="0" t="0" r="0" b="1905"/>
                  <wp:docPr id="11" name="图表 11">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3D3DDC6A" w:rsidR="00A917BC" w:rsidRPr="00A917BC" w:rsidRDefault="0093645F"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利率债</w:t>
      </w:r>
      <w:r w:rsidR="0064451B">
        <w:rPr>
          <w:rFonts w:ascii="华文楷体" w:hAnsi="华文楷体" w:hint="eastAsia"/>
          <w:sz w:val="24"/>
          <w:szCs w:val="24"/>
          <w:lang w:eastAsia="zh-CN"/>
        </w:rPr>
        <w:t>方面，</w:t>
      </w:r>
      <w:r w:rsidR="0090039B">
        <w:rPr>
          <w:rFonts w:ascii="华文楷体" w:hAnsi="华文楷体" w:hint="eastAsia"/>
          <w:sz w:val="24"/>
          <w:szCs w:val="24"/>
          <w:lang w:eastAsia="zh-CN"/>
        </w:rPr>
        <w:t>中长</w:t>
      </w:r>
      <w:proofErr w:type="gramStart"/>
      <w:r w:rsidR="0090039B">
        <w:rPr>
          <w:rFonts w:ascii="华文楷体" w:hAnsi="华文楷体" w:hint="eastAsia"/>
          <w:sz w:val="24"/>
          <w:szCs w:val="24"/>
          <w:lang w:eastAsia="zh-CN"/>
        </w:rPr>
        <w:t>端品种</w:t>
      </w:r>
      <w:proofErr w:type="gramEnd"/>
      <w:r w:rsidR="0090039B">
        <w:rPr>
          <w:rFonts w:ascii="华文楷体" w:hAnsi="华文楷体" w:hint="eastAsia"/>
          <w:sz w:val="24"/>
          <w:szCs w:val="24"/>
          <w:lang w:eastAsia="zh-CN"/>
        </w:rPr>
        <w:t>震荡</w:t>
      </w:r>
      <w:r w:rsidR="00E83AD6">
        <w:rPr>
          <w:rFonts w:ascii="华文楷体" w:hAnsi="华文楷体" w:hint="eastAsia"/>
          <w:sz w:val="24"/>
          <w:szCs w:val="24"/>
          <w:lang w:eastAsia="zh-CN"/>
        </w:rPr>
        <w:t>下行，央行OMO净投放小幅加量，市场情绪相对积极</w:t>
      </w:r>
      <w:r w:rsidR="006629A0">
        <w:rPr>
          <w:rFonts w:ascii="华文楷体" w:hAnsi="华文楷体" w:hint="eastAsia"/>
          <w:sz w:val="24"/>
          <w:szCs w:val="24"/>
          <w:lang w:eastAsia="zh-CN"/>
        </w:rPr>
        <w:t>。</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E83AD6">
        <w:rPr>
          <w:rFonts w:ascii="华文楷体" w:hAnsi="华文楷体" w:hint="eastAsia"/>
          <w:sz w:val="24"/>
          <w:szCs w:val="24"/>
          <w:lang w:eastAsia="zh-CN"/>
        </w:rPr>
        <w:t>64</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B17B47">
        <w:rPr>
          <w:rFonts w:ascii="华文楷体" w:hAnsi="华文楷体" w:hint="eastAsia"/>
          <w:sz w:val="24"/>
          <w:szCs w:val="24"/>
          <w:lang w:eastAsia="zh-CN"/>
        </w:rPr>
        <w:t>9</w:t>
      </w:r>
      <w:r w:rsidR="00E83AD6">
        <w:rPr>
          <w:rFonts w:ascii="华文楷体" w:hAnsi="华文楷体" w:hint="eastAsia"/>
          <w:sz w:val="24"/>
          <w:szCs w:val="24"/>
          <w:lang w:eastAsia="zh-CN"/>
        </w:rPr>
        <w:t>8</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90039B">
        <w:rPr>
          <w:rFonts w:ascii="华文楷体" w:hAnsi="华文楷体" w:hint="eastAsia"/>
          <w:sz w:val="24"/>
          <w:szCs w:val="24"/>
          <w:lang w:eastAsia="zh-CN"/>
        </w:rPr>
        <w:t>下行</w:t>
      </w:r>
      <w:r w:rsidR="00E83AD6">
        <w:rPr>
          <w:rFonts w:ascii="华文楷体" w:hAnsi="华文楷体" w:hint="eastAsia"/>
          <w:sz w:val="24"/>
          <w:szCs w:val="24"/>
          <w:lang w:eastAsia="zh-CN"/>
        </w:rPr>
        <w:t>3.8</w:t>
      </w:r>
      <w:r w:rsidR="00087119">
        <w:rPr>
          <w:rFonts w:ascii="华文楷体" w:hAnsi="华文楷体"/>
          <w:sz w:val="24"/>
          <w:szCs w:val="24"/>
          <w:lang w:eastAsia="zh-CN"/>
        </w:rPr>
        <w:t>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sidR="00E83AD6">
        <w:rPr>
          <w:rFonts w:ascii="华文楷体" w:hAnsi="华文楷体" w:hint="eastAsia"/>
          <w:sz w:val="24"/>
          <w:szCs w:val="24"/>
          <w:lang w:eastAsia="zh-CN"/>
        </w:rPr>
        <w:t>下行</w:t>
      </w:r>
      <w:proofErr w:type="gramEnd"/>
      <w:r w:rsidR="00E83AD6">
        <w:rPr>
          <w:rFonts w:ascii="华文楷体" w:hAnsi="华文楷体" w:hint="eastAsia"/>
          <w:sz w:val="24"/>
          <w:szCs w:val="24"/>
          <w:lang w:eastAsia="zh-CN"/>
        </w:rPr>
        <w:t>2.5</w:t>
      </w:r>
      <w:r w:rsidR="00DD03B3">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B20149">
        <w:rPr>
          <w:rFonts w:ascii="华文楷体" w:hAnsi="华文楷体" w:hint="eastAsia"/>
          <w:sz w:val="24"/>
          <w:szCs w:val="24"/>
          <w:lang w:eastAsia="zh-CN"/>
        </w:rPr>
        <w:t>维持</w:t>
      </w:r>
      <w:proofErr w:type="gramEnd"/>
      <w:r w:rsidR="00B20149">
        <w:rPr>
          <w:rFonts w:ascii="华文楷体" w:hAnsi="华文楷体" w:hint="eastAsia"/>
          <w:sz w:val="24"/>
          <w:szCs w:val="24"/>
          <w:lang w:eastAsia="zh-CN"/>
        </w:rPr>
        <w:t>在</w:t>
      </w:r>
      <w:r w:rsidR="00E83AD6">
        <w:rPr>
          <w:rFonts w:ascii="华文楷体" w:hAnsi="华文楷体" w:hint="eastAsia"/>
          <w:sz w:val="24"/>
          <w:szCs w:val="24"/>
          <w:lang w:eastAsia="zh-CN"/>
        </w:rPr>
        <w:t>41</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E83AD6">
        <w:tblPrEx>
          <w:tblCellMar>
            <w:left w:w="108" w:type="dxa"/>
            <w:right w:w="108" w:type="dxa"/>
          </w:tblCellMar>
        </w:tblPrEx>
        <w:trPr>
          <w:jc w:val="center"/>
        </w:trPr>
        <w:tc>
          <w:tcPr>
            <w:tcW w:w="4939" w:type="dxa"/>
            <w:vAlign w:val="center"/>
          </w:tcPr>
          <w:p w14:paraId="678C97B0" w14:textId="4845EA03" w:rsidR="00E0626C" w:rsidRPr="007E0340" w:rsidRDefault="00E83AD6" w:rsidP="002104B2">
            <w:pPr>
              <w:rPr>
                <w:noProof/>
              </w:rPr>
            </w:pPr>
            <w:r>
              <w:rPr>
                <w:noProof/>
              </w:rPr>
              <w:drawing>
                <wp:inline distT="0" distB="0" distL="0" distR="0" wp14:anchorId="3D2F5560" wp14:editId="4FEED42B">
                  <wp:extent cx="2999105" cy="1743379"/>
                  <wp:effectExtent l="0" t="0" r="0" b="0"/>
                  <wp:docPr id="9" name="图表 9">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2D8C0835" w:rsidR="00E0626C" w:rsidRPr="007E0340" w:rsidRDefault="00E83AD6" w:rsidP="009A2BA0">
            <w:pPr>
              <w:jc w:val="center"/>
              <w:rPr>
                <w:noProof/>
                <w:szCs w:val="18"/>
              </w:rPr>
            </w:pPr>
            <w:r>
              <w:rPr>
                <w:noProof/>
              </w:rPr>
              <w:drawing>
                <wp:inline distT="0" distB="0" distL="0" distR="0" wp14:anchorId="7023B38A" wp14:editId="374AFE14">
                  <wp:extent cx="2998470" cy="1743279"/>
                  <wp:effectExtent l="0" t="0" r="0" b="0"/>
                  <wp:docPr id="10" name="图表 10">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3894BF1E"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D14130">
        <w:rPr>
          <w:rFonts w:ascii="华文楷体" w:hAnsi="华文楷体" w:hint="eastAsia"/>
          <w:sz w:val="24"/>
          <w:szCs w:val="24"/>
          <w:lang w:eastAsia="zh-CN"/>
        </w:rPr>
        <w:t>各期限收益率适度下行，</w:t>
      </w:r>
      <w:r w:rsidR="00D14130">
        <w:rPr>
          <w:rFonts w:ascii="华文楷体" w:hAnsi="华文楷体"/>
          <w:sz w:val="24"/>
          <w:szCs w:val="24"/>
          <w:lang w:eastAsia="zh-CN"/>
        </w:rPr>
        <w:t>3-5Y期限品种表现相对</w:t>
      </w:r>
      <w:r w:rsidR="00D14130">
        <w:rPr>
          <w:rFonts w:ascii="华文楷体" w:hAnsi="华文楷体" w:hint="eastAsia"/>
          <w:sz w:val="24"/>
          <w:szCs w:val="24"/>
          <w:lang w:eastAsia="zh-CN"/>
        </w:rPr>
        <w:t>明显</w:t>
      </w:r>
      <w:r w:rsidR="008011F8" w:rsidRPr="008011F8">
        <w:rPr>
          <w:rFonts w:ascii="华文楷体" w:hAnsi="华文楷体" w:hint="eastAsia"/>
          <w:sz w:val="24"/>
          <w:szCs w:val="24"/>
          <w:lang w:eastAsia="zh-CN"/>
        </w:rPr>
        <w:t>。1Y</w:t>
      </w:r>
      <w:proofErr w:type="gramStart"/>
      <w:r w:rsidR="00D14130">
        <w:rPr>
          <w:rFonts w:ascii="华文楷体" w:hAnsi="华文楷体" w:hint="eastAsia"/>
          <w:sz w:val="24"/>
          <w:szCs w:val="24"/>
          <w:lang w:eastAsia="zh-CN"/>
        </w:rPr>
        <w:t>期限短融下行</w:t>
      </w:r>
      <w:proofErr w:type="gramEnd"/>
      <w:r w:rsidR="00D14130">
        <w:rPr>
          <w:rFonts w:ascii="华文楷体" w:hAnsi="华文楷体"/>
          <w:sz w:val="24"/>
          <w:szCs w:val="24"/>
          <w:lang w:eastAsia="zh-CN"/>
        </w:rPr>
        <w:t>2-4</w:t>
      </w:r>
      <w:r w:rsidR="008011F8" w:rsidRPr="008011F8">
        <w:rPr>
          <w:rFonts w:ascii="华文楷体" w:hAnsi="华文楷体" w:hint="eastAsia"/>
          <w:sz w:val="24"/>
          <w:szCs w:val="24"/>
          <w:lang w:eastAsia="zh-CN"/>
        </w:rPr>
        <w:t>BP，3年AAA</w:t>
      </w:r>
      <w:r w:rsidR="00D14130">
        <w:rPr>
          <w:rFonts w:ascii="华文楷体" w:hAnsi="华文楷体" w:hint="eastAsia"/>
          <w:sz w:val="24"/>
          <w:szCs w:val="24"/>
          <w:lang w:eastAsia="zh-CN"/>
        </w:rPr>
        <w:t>企业债下行</w:t>
      </w:r>
      <w:r w:rsidR="00D14130">
        <w:rPr>
          <w:rFonts w:ascii="华文楷体" w:hAnsi="华文楷体"/>
          <w:sz w:val="24"/>
          <w:szCs w:val="24"/>
          <w:lang w:eastAsia="zh-CN"/>
        </w:rPr>
        <w:t>3-4</w:t>
      </w:r>
      <w:r w:rsidR="008011F8" w:rsidRPr="008011F8">
        <w:rPr>
          <w:rFonts w:ascii="华文楷体" w:hAnsi="华文楷体" w:hint="eastAsia"/>
          <w:sz w:val="24"/>
          <w:szCs w:val="24"/>
          <w:lang w:eastAsia="zh-CN"/>
        </w:rPr>
        <w:t>BP，5Y企业债</w:t>
      </w:r>
      <w:r w:rsidR="00657F44">
        <w:rPr>
          <w:rFonts w:ascii="华文楷体" w:hAnsi="华文楷体" w:hint="eastAsia"/>
          <w:sz w:val="24"/>
          <w:szCs w:val="24"/>
          <w:lang w:eastAsia="zh-CN"/>
        </w:rPr>
        <w:t>下行</w:t>
      </w:r>
      <w:r w:rsidR="00D14130">
        <w:rPr>
          <w:rFonts w:ascii="华文楷体" w:hAnsi="华文楷体" w:hint="eastAsia"/>
          <w:sz w:val="24"/>
          <w:szCs w:val="24"/>
          <w:lang w:eastAsia="zh-CN"/>
        </w:rPr>
        <w:t>0</w:t>
      </w:r>
      <w:r w:rsidR="00D14130">
        <w:rPr>
          <w:rFonts w:ascii="华文楷体" w:hAnsi="华文楷体"/>
          <w:sz w:val="24"/>
          <w:szCs w:val="24"/>
          <w:lang w:eastAsia="zh-CN"/>
        </w:rPr>
        <w:t>-</w:t>
      </w:r>
      <w:r w:rsidR="00657F44">
        <w:rPr>
          <w:rFonts w:ascii="华文楷体" w:hAnsi="华文楷体" w:hint="eastAsia"/>
          <w:sz w:val="24"/>
          <w:szCs w:val="24"/>
          <w:lang w:eastAsia="zh-CN"/>
        </w:rPr>
        <w:t>1</w:t>
      </w:r>
      <w:r w:rsidR="008011F8" w:rsidRPr="008011F8">
        <w:rPr>
          <w:rFonts w:ascii="华文楷体" w:hAnsi="华文楷体" w:hint="eastAsia"/>
          <w:sz w:val="24"/>
          <w:szCs w:val="24"/>
          <w:lang w:eastAsia="zh-CN"/>
        </w:rPr>
        <w:t>BP</w:t>
      </w:r>
      <w:r w:rsidR="00657F44">
        <w:rPr>
          <w:rFonts w:ascii="华文楷体" w:hAnsi="华文楷体" w:hint="eastAsia"/>
          <w:sz w:val="24"/>
          <w:szCs w:val="24"/>
          <w:lang w:eastAsia="zh-CN"/>
        </w:rPr>
        <w:t>左右</w:t>
      </w:r>
      <w:r w:rsidR="008011F8" w:rsidRPr="008011F8">
        <w:rPr>
          <w:rFonts w:ascii="华文楷体" w:hAnsi="华文楷体" w:hint="eastAsia"/>
          <w:sz w:val="24"/>
          <w:szCs w:val="24"/>
          <w:lang w:eastAsia="zh-CN"/>
        </w:rPr>
        <w:t>，</w:t>
      </w:r>
      <w:proofErr w:type="gramStart"/>
      <w:r w:rsidR="008011F8" w:rsidRPr="008011F8">
        <w:rPr>
          <w:rFonts w:ascii="华文楷体" w:hAnsi="华文楷体" w:hint="eastAsia"/>
          <w:sz w:val="24"/>
          <w:szCs w:val="24"/>
          <w:lang w:eastAsia="zh-CN"/>
        </w:rPr>
        <w:t>城投债</w:t>
      </w:r>
      <w:proofErr w:type="gramEnd"/>
      <w:r w:rsidR="008011F8" w:rsidRPr="008011F8">
        <w:rPr>
          <w:rFonts w:ascii="华文楷体" w:hAnsi="华文楷体" w:hint="eastAsia"/>
          <w:sz w:val="24"/>
          <w:szCs w:val="24"/>
          <w:lang w:eastAsia="zh-CN"/>
        </w:rPr>
        <w:t>3Y期限品种</w:t>
      </w:r>
      <w:r w:rsidR="00D14130">
        <w:rPr>
          <w:rFonts w:ascii="华文楷体" w:hAnsi="华文楷体" w:hint="eastAsia"/>
          <w:sz w:val="24"/>
          <w:szCs w:val="24"/>
          <w:lang w:eastAsia="zh-CN"/>
        </w:rPr>
        <w:t>下行4-7</w:t>
      </w:r>
      <w:r w:rsidR="008011F8" w:rsidRPr="008011F8">
        <w:rPr>
          <w:rFonts w:ascii="华文楷体" w:hAnsi="华文楷体" w:hint="eastAsia"/>
          <w:sz w:val="24"/>
          <w:szCs w:val="24"/>
          <w:lang w:eastAsia="zh-CN"/>
        </w:rPr>
        <w:t>BP，5Y品种</w:t>
      </w:r>
      <w:r w:rsidR="00D14130">
        <w:rPr>
          <w:rFonts w:ascii="华文楷体" w:hAnsi="华文楷体" w:hint="eastAsia"/>
          <w:sz w:val="24"/>
          <w:szCs w:val="24"/>
          <w:lang w:eastAsia="zh-CN"/>
        </w:rPr>
        <w:t>下行</w:t>
      </w:r>
      <w:r w:rsidR="00D14130">
        <w:rPr>
          <w:rFonts w:ascii="华文楷体" w:hAnsi="华文楷体"/>
          <w:sz w:val="24"/>
          <w:szCs w:val="24"/>
          <w:lang w:eastAsia="zh-CN"/>
        </w:rPr>
        <w:t>2-6</w:t>
      </w:r>
      <w:r w:rsidR="008011F8" w:rsidRPr="008011F8">
        <w:rPr>
          <w:rFonts w:ascii="华文楷体" w:hAnsi="华文楷体" w:hint="eastAsia"/>
          <w:sz w:val="24"/>
          <w:szCs w:val="24"/>
          <w:lang w:eastAsia="zh-CN"/>
        </w:rPr>
        <w:t>BP，7Y品种</w:t>
      </w:r>
      <w:r w:rsidR="00D14130">
        <w:rPr>
          <w:rFonts w:ascii="华文楷体" w:hAnsi="华文楷体" w:hint="eastAsia"/>
          <w:sz w:val="24"/>
          <w:szCs w:val="24"/>
          <w:lang w:eastAsia="zh-CN"/>
        </w:rPr>
        <w:t>下行0-1</w:t>
      </w:r>
      <w:r w:rsidR="008011F8" w:rsidRPr="008011F8">
        <w:rPr>
          <w:rFonts w:ascii="华文楷体" w:hAnsi="华文楷体" w:hint="eastAsia"/>
          <w:sz w:val="24"/>
          <w:szCs w:val="24"/>
          <w:lang w:eastAsia="zh-CN"/>
        </w:rPr>
        <w:t>BP左右。</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8011F8">
        <w:rPr>
          <w:rFonts w:ascii="华文楷体" w:hAnsi="华文楷体" w:hint="eastAsia"/>
          <w:sz w:val="24"/>
          <w:szCs w:val="24"/>
          <w:lang w:eastAsia="zh-CN"/>
        </w:rPr>
        <w:t>2</w:t>
      </w:r>
      <w:r w:rsidR="00D14130">
        <w:rPr>
          <w:rFonts w:ascii="华文楷体" w:hAnsi="华文楷体"/>
          <w:sz w:val="24"/>
          <w:szCs w:val="24"/>
          <w:lang w:eastAsia="zh-CN"/>
        </w:rPr>
        <w:t>1</w:t>
      </w:r>
      <w:r w:rsidR="00DD03B3">
        <w:rPr>
          <w:rFonts w:ascii="华文楷体" w:hAnsi="华文楷体" w:hint="eastAsia"/>
          <w:sz w:val="24"/>
          <w:szCs w:val="24"/>
          <w:lang w:eastAsia="zh-CN"/>
        </w:rPr>
        <w:t>-</w:t>
      </w:r>
      <w:r w:rsidR="00F31B87">
        <w:rPr>
          <w:rFonts w:ascii="华文楷体" w:hAnsi="华文楷体" w:hint="eastAsia"/>
          <w:sz w:val="24"/>
          <w:szCs w:val="24"/>
          <w:lang w:eastAsia="zh-CN"/>
        </w:rPr>
        <w:t>2</w:t>
      </w:r>
      <w:r w:rsidR="00657F44">
        <w:rPr>
          <w:rFonts w:ascii="华文楷体" w:hAnsi="华文楷体" w:hint="eastAsia"/>
          <w:sz w:val="24"/>
          <w:szCs w:val="24"/>
          <w:lang w:eastAsia="zh-CN"/>
        </w:rPr>
        <w:t>7</w:t>
      </w:r>
      <w:r w:rsidR="00DA6CA4">
        <w:rPr>
          <w:rFonts w:ascii="华文楷体" w:hAnsi="华文楷体" w:hint="eastAsia"/>
          <w:sz w:val="24"/>
          <w:szCs w:val="24"/>
          <w:lang w:eastAsia="zh-CN"/>
        </w:rPr>
        <w:t>%</w:t>
      </w:r>
      <w:r w:rsidR="009111E9">
        <w:rPr>
          <w:rFonts w:ascii="华文楷体" w:hAnsi="华文楷体" w:hint="eastAsia"/>
          <w:sz w:val="24"/>
          <w:szCs w:val="24"/>
          <w:lang w:eastAsia="zh-CN"/>
        </w:rPr>
        <w:t>以内</w:t>
      </w:r>
      <w:r w:rsidR="009929B6">
        <w:rPr>
          <w:rFonts w:ascii="华文楷体" w:hAnsi="华文楷体" w:hint="eastAsia"/>
          <w:sz w:val="24"/>
          <w:szCs w:val="24"/>
          <w:lang w:eastAsia="zh-CN"/>
        </w:rPr>
        <w:t>；</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93645F">
        <w:rPr>
          <w:rFonts w:ascii="华文楷体" w:hAnsi="华文楷体" w:hint="eastAsia"/>
          <w:sz w:val="24"/>
          <w:szCs w:val="24"/>
          <w:lang w:eastAsia="zh-CN"/>
        </w:rPr>
        <w:t>1</w:t>
      </w:r>
      <w:r w:rsidR="00D14130">
        <w:rPr>
          <w:rFonts w:ascii="华文楷体" w:hAnsi="华文楷体"/>
          <w:sz w:val="24"/>
          <w:szCs w:val="24"/>
          <w:lang w:eastAsia="zh-CN"/>
        </w:rPr>
        <w:t>4</w:t>
      </w:r>
      <w:r w:rsidR="00254AC8">
        <w:rPr>
          <w:rFonts w:ascii="华文楷体" w:hAnsi="华文楷体" w:hint="eastAsia"/>
          <w:sz w:val="24"/>
          <w:szCs w:val="24"/>
          <w:lang w:eastAsia="zh-CN"/>
        </w:rPr>
        <w:t>-</w:t>
      </w:r>
      <w:r w:rsidR="008011F8">
        <w:rPr>
          <w:rFonts w:ascii="华文楷体" w:hAnsi="华文楷体" w:hint="eastAsia"/>
          <w:sz w:val="24"/>
          <w:szCs w:val="24"/>
          <w:lang w:eastAsia="zh-CN"/>
        </w:rPr>
        <w:t>2</w:t>
      </w:r>
      <w:r w:rsidR="00D14130">
        <w:rPr>
          <w:rFonts w:ascii="华文楷体" w:hAnsi="华文楷体"/>
          <w:sz w:val="24"/>
          <w:szCs w:val="24"/>
          <w:lang w:eastAsia="zh-CN"/>
        </w:rPr>
        <w:t>2</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657F44">
        <w:rPr>
          <w:rFonts w:ascii="华文楷体" w:hAnsi="华文楷体" w:hint="eastAsia"/>
          <w:sz w:val="24"/>
          <w:szCs w:val="24"/>
          <w:lang w:eastAsia="zh-CN"/>
        </w:rPr>
        <w:t>6</w:t>
      </w:r>
      <w:r w:rsidR="001F098C">
        <w:rPr>
          <w:rFonts w:ascii="华文楷体" w:hAnsi="华文楷体" w:hint="eastAsia"/>
          <w:sz w:val="24"/>
          <w:szCs w:val="24"/>
          <w:lang w:eastAsia="zh-CN"/>
        </w:rPr>
        <w:t>-1</w:t>
      </w:r>
      <w:r w:rsidR="00657F44">
        <w:rPr>
          <w:rFonts w:ascii="华文楷体" w:hAnsi="华文楷体" w:hint="eastAsia"/>
          <w:sz w:val="24"/>
          <w:szCs w:val="24"/>
          <w:lang w:eastAsia="zh-CN"/>
        </w:rPr>
        <w:t>4</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A55DFD">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lastRenderedPageBreak/>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74" w:type="dxa"/>
              <w:tblLook w:val="04A0" w:firstRow="1" w:lastRow="0" w:firstColumn="1" w:lastColumn="0" w:noHBand="0" w:noVBand="1"/>
            </w:tblPr>
            <w:tblGrid>
              <w:gridCol w:w="1121"/>
              <w:gridCol w:w="920"/>
              <w:gridCol w:w="921"/>
              <w:gridCol w:w="921"/>
              <w:gridCol w:w="921"/>
              <w:gridCol w:w="1150"/>
              <w:gridCol w:w="921"/>
              <w:gridCol w:w="921"/>
              <w:gridCol w:w="921"/>
              <w:gridCol w:w="921"/>
            </w:tblGrid>
            <w:tr w:rsidR="00D3254A" w:rsidRPr="00D3254A" w14:paraId="07EC38FF" w14:textId="77777777" w:rsidTr="00D3254A">
              <w:trPr>
                <w:trHeight w:val="285"/>
              </w:trPr>
              <w:tc>
                <w:tcPr>
                  <w:tcW w:w="1151" w:type="dxa"/>
                  <w:tcBorders>
                    <w:top w:val="nil"/>
                    <w:left w:val="nil"/>
                    <w:bottom w:val="single" w:sz="12" w:space="0" w:color="FFFFFF"/>
                    <w:right w:val="single" w:sz="8" w:space="0" w:color="FFFFFF"/>
                  </w:tcBorders>
                  <w:shd w:val="clear" w:color="000000" w:fill="F79646"/>
                  <w:noWrap/>
                  <w:vAlign w:val="center"/>
                  <w:hideMark/>
                </w:tcPr>
                <w:p w14:paraId="4485B881"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收益率(%)</w:t>
                  </w:r>
                </w:p>
              </w:tc>
              <w:tc>
                <w:tcPr>
                  <w:tcW w:w="943" w:type="dxa"/>
                  <w:tcBorders>
                    <w:top w:val="nil"/>
                    <w:left w:val="nil"/>
                    <w:bottom w:val="single" w:sz="12" w:space="0" w:color="FFFFFF"/>
                    <w:right w:val="single" w:sz="8" w:space="0" w:color="FFFFFF"/>
                  </w:tcBorders>
                  <w:shd w:val="clear" w:color="000000" w:fill="F79646"/>
                  <w:noWrap/>
                  <w:vAlign w:val="center"/>
                  <w:hideMark/>
                </w:tcPr>
                <w:p w14:paraId="59040C65"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AAA</w:t>
                  </w:r>
                </w:p>
              </w:tc>
              <w:tc>
                <w:tcPr>
                  <w:tcW w:w="943" w:type="dxa"/>
                  <w:tcBorders>
                    <w:top w:val="nil"/>
                    <w:left w:val="nil"/>
                    <w:bottom w:val="single" w:sz="12" w:space="0" w:color="FFFFFF"/>
                    <w:right w:val="single" w:sz="8" w:space="0" w:color="FFFFFF"/>
                  </w:tcBorders>
                  <w:shd w:val="clear" w:color="000000" w:fill="F79646"/>
                  <w:noWrap/>
                  <w:vAlign w:val="center"/>
                  <w:hideMark/>
                </w:tcPr>
                <w:p w14:paraId="0B5C6F3D"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742423E4"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2981CC87"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w:t>
                  </w:r>
                </w:p>
              </w:tc>
              <w:tc>
                <w:tcPr>
                  <w:tcW w:w="1179" w:type="dxa"/>
                  <w:tcBorders>
                    <w:top w:val="nil"/>
                    <w:left w:val="nil"/>
                    <w:bottom w:val="single" w:sz="12" w:space="0" w:color="FFFFFF"/>
                    <w:right w:val="single" w:sz="8" w:space="0" w:color="FFFFFF"/>
                  </w:tcBorders>
                  <w:shd w:val="clear" w:color="000000" w:fill="F79646"/>
                  <w:noWrap/>
                  <w:vAlign w:val="center"/>
                  <w:hideMark/>
                </w:tcPr>
                <w:p w14:paraId="739023B1"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息差</w:t>
                  </w:r>
                </w:p>
              </w:tc>
              <w:tc>
                <w:tcPr>
                  <w:tcW w:w="943" w:type="dxa"/>
                  <w:tcBorders>
                    <w:top w:val="nil"/>
                    <w:left w:val="nil"/>
                    <w:bottom w:val="single" w:sz="12" w:space="0" w:color="FFFFFF"/>
                    <w:right w:val="single" w:sz="8" w:space="0" w:color="FFFFFF"/>
                  </w:tcBorders>
                  <w:shd w:val="clear" w:color="000000" w:fill="F79646"/>
                  <w:noWrap/>
                  <w:vAlign w:val="center"/>
                  <w:hideMark/>
                </w:tcPr>
                <w:p w14:paraId="7BB63688"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AAA</w:t>
                  </w:r>
                </w:p>
              </w:tc>
              <w:tc>
                <w:tcPr>
                  <w:tcW w:w="943" w:type="dxa"/>
                  <w:tcBorders>
                    <w:top w:val="nil"/>
                    <w:left w:val="nil"/>
                    <w:bottom w:val="single" w:sz="12" w:space="0" w:color="FFFFFF"/>
                    <w:right w:val="single" w:sz="8" w:space="0" w:color="FFFFFF"/>
                  </w:tcBorders>
                  <w:shd w:val="clear" w:color="000000" w:fill="F79646"/>
                  <w:noWrap/>
                  <w:vAlign w:val="center"/>
                  <w:hideMark/>
                </w:tcPr>
                <w:p w14:paraId="1856FBB7"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5C035C24"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07F2C7EB"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w:t>
                  </w:r>
                </w:p>
              </w:tc>
            </w:tr>
            <w:tr w:rsidR="00D3254A" w:rsidRPr="00D3254A" w14:paraId="229B57E3" w14:textId="77777777" w:rsidTr="00D3254A">
              <w:trPr>
                <w:trHeight w:val="315"/>
              </w:trPr>
              <w:tc>
                <w:tcPr>
                  <w:tcW w:w="1151" w:type="dxa"/>
                  <w:tcBorders>
                    <w:top w:val="nil"/>
                    <w:left w:val="nil"/>
                    <w:bottom w:val="single" w:sz="8" w:space="0" w:color="FFFFFF"/>
                    <w:right w:val="single" w:sz="8" w:space="0" w:color="FFFFFF"/>
                  </w:tcBorders>
                  <w:shd w:val="clear" w:color="000000" w:fill="FCD5B4"/>
                  <w:noWrap/>
                  <w:vAlign w:val="center"/>
                  <w:hideMark/>
                </w:tcPr>
                <w:p w14:paraId="0C535213"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CP</w:t>
                  </w:r>
                </w:p>
              </w:tc>
              <w:tc>
                <w:tcPr>
                  <w:tcW w:w="943" w:type="dxa"/>
                  <w:tcBorders>
                    <w:top w:val="nil"/>
                    <w:left w:val="nil"/>
                    <w:bottom w:val="single" w:sz="8" w:space="0" w:color="FFFFFF"/>
                    <w:right w:val="single" w:sz="8" w:space="0" w:color="FFFFFF"/>
                  </w:tcBorders>
                  <w:shd w:val="clear" w:color="000000" w:fill="FCD5B4"/>
                  <w:noWrap/>
                  <w:vAlign w:val="center"/>
                  <w:hideMark/>
                </w:tcPr>
                <w:p w14:paraId="738068A8"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3.00 </w:t>
                  </w:r>
                </w:p>
              </w:tc>
              <w:tc>
                <w:tcPr>
                  <w:tcW w:w="943" w:type="dxa"/>
                  <w:tcBorders>
                    <w:top w:val="nil"/>
                    <w:left w:val="nil"/>
                    <w:bottom w:val="single" w:sz="8" w:space="0" w:color="FFFFFF"/>
                    <w:right w:val="single" w:sz="8" w:space="0" w:color="FFFFFF"/>
                  </w:tcBorders>
                  <w:shd w:val="clear" w:color="000000" w:fill="FCD5B4"/>
                  <w:noWrap/>
                  <w:vAlign w:val="center"/>
                  <w:hideMark/>
                </w:tcPr>
                <w:p w14:paraId="203BF95B"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3.10 </w:t>
                  </w:r>
                </w:p>
              </w:tc>
              <w:tc>
                <w:tcPr>
                  <w:tcW w:w="943" w:type="dxa"/>
                  <w:tcBorders>
                    <w:top w:val="nil"/>
                    <w:left w:val="nil"/>
                    <w:bottom w:val="single" w:sz="8" w:space="0" w:color="FFFFFF"/>
                    <w:right w:val="single" w:sz="8" w:space="0" w:color="FFFFFF"/>
                  </w:tcBorders>
                  <w:shd w:val="clear" w:color="000000" w:fill="FCD5B4"/>
                  <w:noWrap/>
                  <w:vAlign w:val="center"/>
                  <w:hideMark/>
                </w:tcPr>
                <w:p w14:paraId="37D9E982"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3.32 </w:t>
                  </w:r>
                </w:p>
              </w:tc>
              <w:tc>
                <w:tcPr>
                  <w:tcW w:w="943" w:type="dxa"/>
                  <w:tcBorders>
                    <w:top w:val="nil"/>
                    <w:left w:val="nil"/>
                    <w:bottom w:val="single" w:sz="8" w:space="0" w:color="FFFFFF"/>
                    <w:right w:val="single" w:sz="8" w:space="0" w:color="FFFFFF"/>
                  </w:tcBorders>
                  <w:shd w:val="clear" w:color="000000" w:fill="FCD5B4"/>
                  <w:noWrap/>
                  <w:vAlign w:val="center"/>
                  <w:hideMark/>
                </w:tcPr>
                <w:p w14:paraId="3DDFE4B6"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5.51 </w:t>
                  </w:r>
                </w:p>
              </w:tc>
              <w:tc>
                <w:tcPr>
                  <w:tcW w:w="1179" w:type="dxa"/>
                  <w:tcBorders>
                    <w:top w:val="nil"/>
                    <w:left w:val="nil"/>
                    <w:bottom w:val="single" w:sz="8" w:space="0" w:color="FFFFFF"/>
                    <w:right w:val="single" w:sz="8" w:space="0" w:color="FFFFFF"/>
                  </w:tcBorders>
                  <w:shd w:val="clear" w:color="000000" w:fill="FCD5B4"/>
                  <w:noWrap/>
                  <w:vAlign w:val="center"/>
                  <w:hideMark/>
                </w:tcPr>
                <w:p w14:paraId="5155F4B4"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CP</w:t>
                  </w:r>
                </w:p>
              </w:tc>
              <w:tc>
                <w:tcPr>
                  <w:tcW w:w="943" w:type="dxa"/>
                  <w:tcBorders>
                    <w:top w:val="nil"/>
                    <w:left w:val="nil"/>
                    <w:bottom w:val="single" w:sz="8" w:space="0" w:color="FFFFFF"/>
                    <w:right w:val="single" w:sz="8" w:space="0" w:color="FFFFFF"/>
                  </w:tcBorders>
                  <w:shd w:val="clear" w:color="000000" w:fill="FCD5B4"/>
                  <w:noWrap/>
                  <w:vAlign w:val="center"/>
                  <w:hideMark/>
                </w:tcPr>
                <w:p w14:paraId="69998E61"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0.56 </w:t>
                  </w:r>
                </w:p>
              </w:tc>
              <w:tc>
                <w:tcPr>
                  <w:tcW w:w="943" w:type="dxa"/>
                  <w:tcBorders>
                    <w:top w:val="nil"/>
                    <w:left w:val="nil"/>
                    <w:bottom w:val="single" w:sz="8" w:space="0" w:color="FFFFFF"/>
                    <w:right w:val="single" w:sz="8" w:space="0" w:color="FFFFFF"/>
                  </w:tcBorders>
                  <w:shd w:val="clear" w:color="000000" w:fill="FCD5B4"/>
                  <w:noWrap/>
                  <w:vAlign w:val="center"/>
                  <w:hideMark/>
                </w:tcPr>
                <w:p w14:paraId="42F81C25"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0.66 </w:t>
                  </w:r>
                </w:p>
              </w:tc>
              <w:tc>
                <w:tcPr>
                  <w:tcW w:w="943" w:type="dxa"/>
                  <w:tcBorders>
                    <w:top w:val="nil"/>
                    <w:left w:val="nil"/>
                    <w:bottom w:val="single" w:sz="8" w:space="0" w:color="FFFFFF"/>
                    <w:right w:val="single" w:sz="8" w:space="0" w:color="FFFFFF"/>
                  </w:tcBorders>
                  <w:shd w:val="clear" w:color="000000" w:fill="FCD5B4"/>
                  <w:noWrap/>
                  <w:vAlign w:val="center"/>
                  <w:hideMark/>
                </w:tcPr>
                <w:p w14:paraId="435C896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0.88 </w:t>
                  </w:r>
                </w:p>
              </w:tc>
              <w:tc>
                <w:tcPr>
                  <w:tcW w:w="943" w:type="dxa"/>
                  <w:tcBorders>
                    <w:top w:val="nil"/>
                    <w:left w:val="nil"/>
                    <w:bottom w:val="single" w:sz="8" w:space="0" w:color="FFFFFF"/>
                    <w:right w:val="single" w:sz="8" w:space="0" w:color="FFFFFF"/>
                  </w:tcBorders>
                  <w:shd w:val="clear" w:color="000000" w:fill="FCD5B4"/>
                  <w:noWrap/>
                  <w:vAlign w:val="center"/>
                  <w:hideMark/>
                </w:tcPr>
                <w:p w14:paraId="50107668"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3.07 </w:t>
                  </w:r>
                </w:p>
              </w:tc>
            </w:tr>
            <w:tr w:rsidR="00D3254A" w:rsidRPr="00D3254A" w14:paraId="56F6C3E0" w14:textId="77777777" w:rsidTr="00D3254A">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3C876CB7"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MTN3Y</w:t>
                  </w:r>
                </w:p>
              </w:tc>
              <w:tc>
                <w:tcPr>
                  <w:tcW w:w="943" w:type="dxa"/>
                  <w:tcBorders>
                    <w:top w:val="nil"/>
                    <w:left w:val="nil"/>
                    <w:bottom w:val="single" w:sz="8" w:space="0" w:color="FFFFFF"/>
                    <w:right w:val="single" w:sz="8" w:space="0" w:color="FFFFFF"/>
                  </w:tcBorders>
                  <w:shd w:val="clear" w:color="000000" w:fill="FDE9D9"/>
                  <w:noWrap/>
                  <w:vAlign w:val="center"/>
                  <w:hideMark/>
                </w:tcPr>
                <w:p w14:paraId="32628CBC"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3.47 </w:t>
                  </w:r>
                </w:p>
              </w:tc>
              <w:tc>
                <w:tcPr>
                  <w:tcW w:w="943" w:type="dxa"/>
                  <w:tcBorders>
                    <w:top w:val="nil"/>
                    <w:left w:val="nil"/>
                    <w:bottom w:val="single" w:sz="8" w:space="0" w:color="FFFFFF"/>
                    <w:right w:val="single" w:sz="8" w:space="0" w:color="FFFFFF"/>
                  </w:tcBorders>
                  <w:shd w:val="clear" w:color="000000" w:fill="FDE9D9"/>
                  <w:noWrap/>
                  <w:vAlign w:val="center"/>
                  <w:hideMark/>
                </w:tcPr>
                <w:p w14:paraId="09BDE37D"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3.63 </w:t>
                  </w:r>
                </w:p>
              </w:tc>
              <w:tc>
                <w:tcPr>
                  <w:tcW w:w="943" w:type="dxa"/>
                  <w:tcBorders>
                    <w:top w:val="nil"/>
                    <w:left w:val="nil"/>
                    <w:bottom w:val="single" w:sz="8" w:space="0" w:color="FFFFFF"/>
                    <w:right w:val="single" w:sz="8" w:space="0" w:color="FFFFFF"/>
                  </w:tcBorders>
                  <w:shd w:val="clear" w:color="000000" w:fill="FDE9D9"/>
                  <w:noWrap/>
                  <w:vAlign w:val="center"/>
                  <w:hideMark/>
                </w:tcPr>
                <w:p w14:paraId="54CCE80F"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4.01 </w:t>
                  </w:r>
                </w:p>
              </w:tc>
              <w:tc>
                <w:tcPr>
                  <w:tcW w:w="943" w:type="dxa"/>
                  <w:tcBorders>
                    <w:top w:val="nil"/>
                    <w:left w:val="nil"/>
                    <w:bottom w:val="single" w:sz="8" w:space="0" w:color="FFFFFF"/>
                    <w:right w:val="single" w:sz="8" w:space="0" w:color="FFFFFF"/>
                  </w:tcBorders>
                  <w:shd w:val="clear" w:color="000000" w:fill="FDE9D9"/>
                  <w:noWrap/>
                  <w:vAlign w:val="center"/>
                  <w:hideMark/>
                </w:tcPr>
                <w:p w14:paraId="53EF6363"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6.20 </w:t>
                  </w:r>
                </w:p>
              </w:tc>
              <w:tc>
                <w:tcPr>
                  <w:tcW w:w="1179" w:type="dxa"/>
                  <w:tcBorders>
                    <w:top w:val="nil"/>
                    <w:left w:val="nil"/>
                    <w:bottom w:val="single" w:sz="8" w:space="0" w:color="FFFFFF"/>
                    <w:right w:val="single" w:sz="8" w:space="0" w:color="FFFFFF"/>
                  </w:tcBorders>
                  <w:shd w:val="clear" w:color="000000" w:fill="FDE9D9"/>
                  <w:noWrap/>
                  <w:vAlign w:val="center"/>
                  <w:hideMark/>
                </w:tcPr>
                <w:p w14:paraId="21C4A1F0"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MTN3Y</w:t>
                  </w:r>
                </w:p>
              </w:tc>
              <w:tc>
                <w:tcPr>
                  <w:tcW w:w="943" w:type="dxa"/>
                  <w:tcBorders>
                    <w:top w:val="nil"/>
                    <w:left w:val="nil"/>
                    <w:bottom w:val="single" w:sz="8" w:space="0" w:color="FFFFFF"/>
                    <w:right w:val="single" w:sz="8" w:space="0" w:color="FFFFFF"/>
                  </w:tcBorders>
                  <w:shd w:val="clear" w:color="000000" w:fill="FDE9D9"/>
                  <w:noWrap/>
                  <w:vAlign w:val="center"/>
                  <w:hideMark/>
                </w:tcPr>
                <w:p w14:paraId="0F8526EB"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0.71 </w:t>
                  </w:r>
                </w:p>
              </w:tc>
              <w:tc>
                <w:tcPr>
                  <w:tcW w:w="943" w:type="dxa"/>
                  <w:tcBorders>
                    <w:top w:val="nil"/>
                    <w:left w:val="nil"/>
                    <w:bottom w:val="single" w:sz="8" w:space="0" w:color="FFFFFF"/>
                    <w:right w:val="single" w:sz="8" w:space="0" w:color="FFFFFF"/>
                  </w:tcBorders>
                  <w:shd w:val="clear" w:color="000000" w:fill="FDE9D9"/>
                  <w:noWrap/>
                  <w:vAlign w:val="center"/>
                  <w:hideMark/>
                </w:tcPr>
                <w:p w14:paraId="0232B7B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0.87 </w:t>
                  </w:r>
                </w:p>
              </w:tc>
              <w:tc>
                <w:tcPr>
                  <w:tcW w:w="943" w:type="dxa"/>
                  <w:tcBorders>
                    <w:top w:val="nil"/>
                    <w:left w:val="nil"/>
                    <w:bottom w:val="single" w:sz="8" w:space="0" w:color="FFFFFF"/>
                    <w:right w:val="single" w:sz="8" w:space="0" w:color="FFFFFF"/>
                  </w:tcBorders>
                  <w:shd w:val="clear" w:color="000000" w:fill="FDE9D9"/>
                  <w:noWrap/>
                  <w:vAlign w:val="center"/>
                  <w:hideMark/>
                </w:tcPr>
                <w:p w14:paraId="6EBF1071"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1.25 </w:t>
                  </w:r>
                </w:p>
              </w:tc>
              <w:tc>
                <w:tcPr>
                  <w:tcW w:w="943" w:type="dxa"/>
                  <w:tcBorders>
                    <w:top w:val="nil"/>
                    <w:left w:val="nil"/>
                    <w:bottom w:val="single" w:sz="8" w:space="0" w:color="FFFFFF"/>
                    <w:right w:val="single" w:sz="8" w:space="0" w:color="FFFFFF"/>
                  </w:tcBorders>
                  <w:shd w:val="clear" w:color="000000" w:fill="FDE9D9"/>
                  <w:noWrap/>
                  <w:vAlign w:val="center"/>
                  <w:hideMark/>
                </w:tcPr>
                <w:p w14:paraId="32E6AFE5"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3.44 </w:t>
                  </w:r>
                </w:p>
              </w:tc>
            </w:tr>
            <w:tr w:rsidR="00D3254A" w:rsidRPr="00D3254A" w14:paraId="1270A942" w14:textId="77777777" w:rsidTr="00D3254A">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53C5407D"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MTN5Y</w:t>
                  </w:r>
                </w:p>
              </w:tc>
              <w:tc>
                <w:tcPr>
                  <w:tcW w:w="943" w:type="dxa"/>
                  <w:tcBorders>
                    <w:top w:val="nil"/>
                    <w:left w:val="nil"/>
                    <w:bottom w:val="single" w:sz="8" w:space="0" w:color="FFFFFF"/>
                    <w:right w:val="single" w:sz="8" w:space="0" w:color="FFFFFF"/>
                  </w:tcBorders>
                  <w:shd w:val="clear" w:color="000000" w:fill="FCD5B4"/>
                  <w:noWrap/>
                  <w:vAlign w:val="center"/>
                  <w:hideMark/>
                </w:tcPr>
                <w:p w14:paraId="5147ECA0"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3.74 </w:t>
                  </w:r>
                </w:p>
              </w:tc>
              <w:tc>
                <w:tcPr>
                  <w:tcW w:w="943" w:type="dxa"/>
                  <w:tcBorders>
                    <w:top w:val="nil"/>
                    <w:left w:val="nil"/>
                    <w:bottom w:val="single" w:sz="8" w:space="0" w:color="FFFFFF"/>
                    <w:right w:val="single" w:sz="8" w:space="0" w:color="FFFFFF"/>
                  </w:tcBorders>
                  <w:shd w:val="clear" w:color="000000" w:fill="FCD5B4"/>
                  <w:noWrap/>
                  <w:vAlign w:val="center"/>
                  <w:hideMark/>
                </w:tcPr>
                <w:p w14:paraId="4F4DA192"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3.94 </w:t>
                  </w:r>
                </w:p>
              </w:tc>
              <w:tc>
                <w:tcPr>
                  <w:tcW w:w="943" w:type="dxa"/>
                  <w:tcBorders>
                    <w:top w:val="nil"/>
                    <w:left w:val="nil"/>
                    <w:bottom w:val="single" w:sz="8" w:space="0" w:color="FFFFFF"/>
                    <w:right w:val="single" w:sz="8" w:space="0" w:color="FFFFFF"/>
                  </w:tcBorders>
                  <w:shd w:val="clear" w:color="000000" w:fill="FCD5B4"/>
                  <w:noWrap/>
                  <w:vAlign w:val="center"/>
                  <w:hideMark/>
                </w:tcPr>
                <w:p w14:paraId="703C4A02"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4.48 </w:t>
                  </w:r>
                </w:p>
              </w:tc>
              <w:tc>
                <w:tcPr>
                  <w:tcW w:w="943" w:type="dxa"/>
                  <w:tcBorders>
                    <w:top w:val="nil"/>
                    <w:left w:val="nil"/>
                    <w:bottom w:val="single" w:sz="8" w:space="0" w:color="FFFFFF"/>
                    <w:right w:val="single" w:sz="8" w:space="0" w:color="FFFFFF"/>
                  </w:tcBorders>
                  <w:shd w:val="clear" w:color="000000" w:fill="FCD5B4"/>
                  <w:noWrap/>
                  <w:vAlign w:val="center"/>
                  <w:hideMark/>
                </w:tcPr>
                <w:p w14:paraId="53F0251D"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6.67 </w:t>
                  </w:r>
                </w:p>
              </w:tc>
              <w:tc>
                <w:tcPr>
                  <w:tcW w:w="1179" w:type="dxa"/>
                  <w:tcBorders>
                    <w:top w:val="nil"/>
                    <w:left w:val="nil"/>
                    <w:bottom w:val="single" w:sz="8" w:space="0" w:color="FFFFFF"/>
                    <w:right w:val="single" w:sz="8" w:space="0" w:color="FFFFFF"/>
                  </w:tcBorders>
                  <w:shd w:val="clear" w:color="000000" w:fill="FCD5B4"/>
                  <w:noWrap/>
                  <w:vAlign w:val="center"/>
                  <w:hideMark/>
                </w:tcPr>
                <w:p w14:paraId="3ECCA313"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MTN5Y</w:t>
                  </w:r>
                </w:p>
              </w:tc>
              <w:tc>
                <w:tcPr>
                  <w:tcW w:w="943" w:type="dxa"/>
                  <w:tcBorders>
                    <w:top w:val="nil"/>
                    <w:left w:val="nil"/>
                    <w:bottom w:val="single" w:sz="8" w:space="0" w:color="FFFFFF"/>
                    <w:right w:val="single" w:sz="8" w:space="0" w:color="FFFFFF"/>
                  </w:tcBorders>
                  <w:shd w:val="clear" w:color="000000" w:fill="FCD5B4"/>
                  <w:noWrap/>
                  <w:vAlign w:val="center"/>
                  <w:hideMark/>
                </w:tcPr>
                <w:p w14:paraId="4B98EC10"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0.79 </w:t>
                  </w:r>
                </w:p>
              </w:tc>
              <w:tc>
                <w:tcPr>
                  <w:tcW w:w="943" w:type="dxa"/>
                  <w:tcBorders>
                    <w:top w:val="nil"/>
                    <w:left w:val="nil"/>
                    <w:bottom w:val="single" w:sz="8" w:space="0" w:color="FFFFFF"/>
                    <w:right w:val="single" w:sz="8" w:space="0" w:color="FFFFFF"/>
                  </w:tcBorders>
                  <w:shd w:val="clear" w:color="000000" w:fill="FCD5B4"/>
                  <w:noWrap/>
                  <w:vAlign w:val="center"/>
                  <w:hideMark/>
                </w:tcPr>
                <w:p w14:paraId="44A50BB0"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0.99 </w:t>
                  </w:r>
                </w:p>
              </w:tc>
              <w:tc>
                <w:tcPr>
                  <w:tcW w:w="943" w:type="dxa"/>
                  <w:tcBorders>
                    <w:top w:val="nil"/>
                    <w:left w:val="nil"/>
                    <w:bottom w:val="single" w:sz="8" w:space="0" w:color="FFFFFF"/>
                    <w:right w:val="single" w:sz="8" w:space="0" w:color="FFFFFF"/>
                  </w:tcBorders>
                  <w:shd w:val="clear" w:color="000000" w:fill="FCD5B4"/>
                  <w:noWrap/>
                  <w:vAlign w:val="center"/>
                  <w:hideMark/>
                </w:tcPr>
                <w:p w14:paraId="0ABE2BAB"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1.53 </w:t>
                  </w:r>
                </w:p>
              </w:tc>
              <w:tc>
                <w:tcPr>
                  <w:tcW w:w="943" w:type="dxa"/>
                  <w:tcBorders>
                    <w:top w:val="nil"/>
                    <w:left w:val="nil"/>
                    <w:bottom w:val="single" w:sz="8" w:space="0" w:color="FFFFFF"/>
                    <w:right w:val="single" w:sz="8" w:space="0" w:color="FFFFFF"/>
                  </w:tcBorders>
                  <w:shd w:val="clear" w:color="000000" w:fill="FCD5B4"/>
                  <w:noWrap/>
                  <w:vAlign w:val="center"/>
                  <w:hideMark/>
                </w:tcPr>
                <w:p w14:paraId="3C9DF299"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3.72 </w:t>
                  </w:r>
                </w:p>
              </w:tc>
            </w:tr>
            <w:tr w:rsidR="00D3254A" w:rsidRPr="00D3254A" w14:paraId="569CBC3F" w14:textId="77777777" w:rsidTr="00D3254A">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0719FC02"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企业债3Y</w:t>
                  </w:r>
                </w:p>
              </w:tc>
              <w:tc>
                <w:tcPr>
                  <w:tcW w:w="943" w:type="dxa"/>
                  <w:tcBorders>
                    <w:top w:val="nil"/>
                    <w:left w:val="nil"/>
                    <w:bottom w:val="single" w:sz="8" w:space="0" w:color="FFFFFF"/>
                    <w:right w:val="single" w:sz="8" w:space="0" w:color="FFFFFF"/>
                  </w:tcBorders>
                  <w:shd w:val="clear" w:color="000000" w:fill="FDE9D9"/>
                  <w:noWrap/>
                  <w:vAlign w:val="center"/>
                  <w:hideMark/>
                </w:tcPr>
                <w:p w14:paraId="0AE58098"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3.39 </w:t>
                  </w:r>
                </w:p>
              </w:tc>
              <w:tc>
                <w:tcPr>
                  <w:tcW w:w="943" w:type="dxa"/>
                  <w:tcBorders>
                    <w:top w:val="nil"/>
                    <w:left w:val="nil"/>
                    <w:bottom w:val="single" w:sz="8" w:space="0" w:color="FFFFFF"/>
                    <w:right w:val="single" w:sz="8" w:space="0" w:color="FFFFFF"/>
                  </w:tcBorders>
                  <w:shd w:val="clear" w:color="000000" w:fill="FDE9D9"/>
                  <w:noWrap/>
                  <w:vAlign w:val="center"/>
                  <w:hideMark/>
                </w:tcPr>
                <w:p w14:paraId="2182EC9C"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3.64 </w:t>
                  </w:r>
                </w:p>
              </w:tc>
              <w:tc>
                <w:tcPr>
                  <w:tcW w:w="943" w:type="dxa"/>
                  <w:tcBorders>
                    <w:top w:val="nil"/>
                    <w:left w:val="nil"/>
                    <w:bottom w:val="single" w:sz="8" w:space="0" w:color="FFFFFF"/>
                    <w:right w:val="single" w:sz="8" w:space="0" w:color="FFFFFF"/>
                  </w:tcBorders>
                  <w:shd w:val="clear" w:color="000000" w:fill="FDE9D9"/>
                  <w:noWrap/>
                  <w:vAlign w:val="center"/>
                  <w:hideMark/>
                </w:tcPr>
                <w:p w14:paraId="36BBE8A6"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4.00 </w:t>
                  </w:r>
                </w:p>
              </w:tc>
              <w:tc>
                <w:tcPr>
                  <w:tcW w:w="943" w:type="dxa"/>
                  <w:tcBorders>
                    <w:top w:val="nil"/>
                    <w:left w:val="nil"/>
                    <w:bottom w:val="single" w:sz="8" w:space="0" w:color="FFFFFF"/>
                    <w:right w:val="single" w:sz="8" w:space="0" w:color="FFFFFF"/>
                  </w:tcBorders>
                  <w:shd w:val="clear" w:color="000000" w:fill="FDE9D9"/>
                  <w:noWrap/>
                  <w:vAlign w:val="center"/>
                  <w:hideMark/>
                </w:tcPr>
                <w:p w14:paraId="61D9092F"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6.20 </w:t>
                  </w:r>
                </w:p>
              </w:tc>
              <w:tc>
                <w:tcPr>
                  <w:tcW w:w="1179" w:type="dxa"/>
                  <w:tcBorders>
                    <w:top w:val="nil"/>
                    <w:left w:val="nil"/>
                    <w:bottom w:val="single" w:sz="8" w:space="0" w:color="FFFFFF"/>
                    <w:right w:val="single" w:sz="8" w:space="0" w:color="FFFFFF"/>
                  </w:tcBorders>
                  <w:shd w:val="clear" w:color="000000" w:fill="FDE9D9"/>
                  <w:noWrap/>
                  <w:vAlign w:val="center"/>
                  <w:hideMark/>
                </w:tcPr>
                <w:p w14:paraId="5E424AF5"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企业债3Y</w:t>
                  </w:r>
                </w:p>
              </w:tc>
              <w:tc>
                <w:tcPr>
                  <w:tcW w:w="943" w:type="dxa"/>
                  <w:tcBorders>
                    <w:top w:val="nil"/>
                    <w:left w:val="nil"/>
                    <w:bottom w:val="single" w:sz="8" w:space="0" w:color="FFFFFF"/>
                    <w:right w:val="single" w:sz="8" w:space="0" w:color="FFFFFF"/>
                  </w:tcBorders>
                  <w:shd w:val="clear" w:color="000000" w:fill="FDE9D9"/>
                  <w:noWrap/>
                  <w:vAlign w:val="center"/>
                  <w:hideMark/>
                </w:tcPr>
                <w:p w14:paraId="30426EA6"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0.63 </w:t>
                  </w:r>
                </w:p>
              </w:tc>
              <w:tc>
                <w:tcPr>
                  <w:tcW w:w="943" w:type="dxa"/>
                  <w:tcBorders>
                    <w:top w:val="nil"/>
                    <w:left w:val="nil"/>
                    <w:bottom w:val="single" w:sz="8" w:space="0" w:color="FFFFFF"/>
                    <w:right w:val="single" w:sz="8" w:space="0" w:color="FFFFFF"/>
                  </w:tcBorders>
                  <w:shd w:val="clear" w:color="000000" w:fill="FDE9D9"/>
                  <w:noWrap/>
                  <w:vAlign w:val="center"/>
                  <w:hideMark/>
                </w:tcPr>
                <w:p w14:paraId="7F9BA161"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0.88 </w:t>
                  </w:r>
                </w:p>
              </w:tc>
              <w:tc>
                <w:tcPr>
                  <w:tcW w:w="943" w:type="dxa"/>
                  <w:tcBorders>
                    <w:top w:val="nil"/>
                    <w:left w:val="nil"/>
                    <w:bottom w:val="single" w:sz="8" w:space="0" w:color="FFFFFF"/>
                    <w:right w:val="single" w:sz="8" w:space="0" w:color="FFFFFF"/>
                  </w:tcBorders>
                  <w:shd w:val="clear" w:color="000000" w:fill="FDE9D9"/>
                  <w:noWrap/>
                  <w:vAlign w:val="center"/>
                  <w:hideMark/>
                </w:tcPr>
                <w:p w14:paraId="108B0698"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1.24 </w:t>
                  </w:r>
                </w:p>
              </w:tc>
              <w:tc>
                <w:tcPr>
                  <w:tcW w:w="943" w:type="dxa"/>
                  <w:tcBorders>
                    <w:top w:val="nil"/>
                    <w:left w:val="nil"/>
                    <w:bottom w:val="single" w:sz="8" w:space="0" w:color="FFFFFF"/>
                    <w:right w:val="single" w:sz="8" w:space="0" w:color="FFFFFF"/>
                  </w:tcBorders>
                  <w:shd w:val="clear" w:color="000000" w:fill="FDE9D9"/>
                  <w:noWrap/>
                  <w:vAlign w:val="center"/>
                  <w:hideMark/>
                </w:tcPr>
                <w:p w14:paraId="4088AE8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3.44 </w:t>
                  </w:r>
                </w:p>
              </w:tc>
            </w:tr>
            <w:tr w:rsidR="00D3254A" w:rsidRPr="00D3254A" w14:paraId="3964A790" w14:textId="77777777" w:rsidTr="00D3254A">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55EEAE1A"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企业债5Y</w:t>
                  </w:r>
                </w:p>
              </w:tc>
              <w:tc>
                <w:tcPr>
                  <w:tcW w:w="943" w:type="dxa"/>
                  <w:tcBorders>
                    <w:top w:val="nil"/>
                    <w:left w:val="nil"/>
                    <w:bottom w:val="single" w:sz="8" w:space="0" w:color="FFFFFF"/>
                    <w:right w:val="single" w:sz="8" w:space="0" w:color="FFFFFF"/>
                  </w:tcBorders>
                  <w:shd w:val="clear" w:color="000000" w:fill="FCD5B4"/>
                  <w:noWrap/>
                  <w:vAlign w:val="center"/>
                  <w:hideMark/>
                </w:tcPr>
                <w:p w14:paraId="409A06E5"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3.65 </w:t>
                  </w:r>
                </w:p>
              </w:tc>
              <w:tc>
                <w:tcPr>
                  <w:tcW w:w="943" w:type="dxa"/>
                  <w:tcBorders>
                    <w:top w:val="nil"/>
                    <w:left w:val="nil"/>
                    <w:bottom w:val="single" w:sz="8" w:space="0" w:color="FFFFFF"/>
                    <w:right w:val="single" w:sz="8" w:space="0" w:color="FFFFFF"/>
                  </w:tcBorders>
                  <w:shd w:val="clear" w:color="000000" w:fill="FCD5B4"/>
                  <w:noWrap/>
                  <w:vAlign w:val="center"/>
                  <w:hideMark/>
                </w:tcPr>
                <w:p w14:paraId="700744CC"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3.90 </w:t>
                  </w:r>
                </w:p>
              </w:tc>
              <w:tc>
                <w:tcPr>
                  <w:tcW w:w="943" w:type="dxa"/>
                  <w:tcBorders>
                    <w:top w:val="nil"/>
                    <w:left w:val="nil"/>
                    <w:bottom w:val="single" w:sz="8" w:space="0" w:color="FFFFFF"/>
                    <w:right w:val="single" w:sz="8" w:space="0" w:color="FFFFFF"/>
                  </w:tcBorders>
                  <w:shd w:val="clear" w:color="000000" w:fill="FCD5B4"/>
                  <w:noWrap/>
                  <w:vAlign w:val="center"/>
                  <w:hideMark/>
                </w:tcPr>
                <w:p w14:paraId="61E73C7F"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4.46 </w:t>
                  </w:r>
                </w:p>
              </w:tc>
              <w:tc>
                <w:tcPr>
                  <w:tcW w:w="943" w:type="dxa"/>
                  <w:tcBorders>
                    <w:top w:val="nil"/>
                    <w:left w:val="nil"/>
                    <w:bottom w:val="single" w:sz="8" w:space="0" w:color="FFFFFF"/>
                    <w:right w:val="single" w:sz="8" w:space="0" w:color="FFFFFF"/>
                  </w:tcBorders>
                  <w:shd w:val="clear" w:color="000000" w:fill="FCD5B4"/>
                  <w:noWrap/>
                  <w:vAlign w:val="center"/>
                  <w:hideMark/>
                </w:tcPr>
                <w:p w14:paraId="7F08ADAC"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6.66 </w:t>
                  </w:r>
                </w:p>
              </w:tc>
              <w:tc>
                <w:tcPr>
                  <w:tcW w:w="1179" w:type="dxa"/>
                  <w:tcBorders>
                    <w:top w:val="nil"/>
                    <w:left w:val="nil"/>
                    <w:bottom w:val="single" w:sz="8" w:space="0" w:color="FFFFFF"/>
                    <w:right w:val="single" w:sz="8" w:space="0" w:color="FFFFFF"/>
                  </w:tcBorders>
                  <w:shd w:val="clear" w:color="000000" w:fill="FCD5B4"/>
                  <w:noWrap/>
                  <w:vAlign w:val="center"/>
                  <w:hideMark/>
                </w:tcPr>
                <w:p w14:paraId="0AFBA203"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企业债5Y</w:t>
                  </w:r>
                </w:p>
              </w:tc>
              <w:tc>
                <w:tcPr>
                  <w:tcW w:w="943" w:type="dxa"/>
                  <w:tcBorders>
                    <w:top w:val="nil"/>
                    <w:left w:val="nil"/>
                    <w:bottom w:val="single" w:sz="8" w:space="0" w:color="FFFFFF"/>
                    <w:right w:val="single" w:sz="8" w:space="0" w:color="FFFFFF"/>
                  </w:tcBorders>
                  <w:shd w:val="clear" w:color="000000" w:fill="FCD5B4"/>
                  <w:noWrap/>
                  <w:vAlign w:val="center"/>
                  <w:hideMark/>
                </w:tcPr>
                <w:p w14:paraId="728310BF"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0.70 </w:t>
                  </w:r>
                </w:p>
              </w:tc>
              <w:tc>
                <w:tcPr>
                  <w:tcW w:w="943" w:type="dxa"/>
                  <w:tcBorders>
                    <w:top w:val="nil"/>
                    <w:left w:val="nil"/>
                    <w:bottom w:val="single" w:sz="8" w:space="0" w:color="FFFFFF"/>
                    <w:right w:val="single" w:sz="8" w:space="0" w:color="FFFFFF"/>
                  </w:tcBorders>
                  <w:shd w:val="clear" w:color="000000" w:fill="FCD5B4"/>
                  <w:noWrap/>
                  <w:vAlign w:val="center"/>
                  <w:hideMark/>
                </w:tcPr>
                <w:p w14:paraId="2926706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0.95 </w:t>
                  </w:r>
                </w:p>
              </w:tc>
              <w:tc>
                <w:tcPr>
                  <w:tcW w:w="943" w:type="dxa"/>
                  <w:tcBorders>
                    <w:top w:val="nil"/>
                    <w:left w:val="nil"/>
                    <w:bottom w:val="single" w:sz="8" w:space="0" w:color="FFFFFF"/>
                    <w:right w:val="single" w:sz="8" w:space="0" w:color="FFFFFF"/>
                  </w:tcBorders>
                  <w:shd w:val="clear" w:color="000000" w:fill="FCD5B4"/>
                  <w:noWrap/>
                  <w:vAlign w:val="center"/>
                  <w:hideMark/>
                </w:tcPr>
                <w:p w14:paraId="42B36441"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1.51 </w:t>
                  </w:r>
                </w:p>
              </w:tc>
              <w:tc>
                <w:tcPr>
                  <w:tcW w:w="943" w:type="dxa"/>
                  <w:tcBorders>
                    <w:top w:val="nil"/>
                    <w:left w:val="nil"/>
                    <w:bottom w:val="single" w:sz="8" w:space="0" w:color="FFFFFF"/>
                    <w:right w:val="single" w:sz="8" w:space="0" w:color="FFFFFF"/>
                  </w:tcBorders>
                  <w:shd w:val="clear" w:color="000000" w:fill="FCD5B4"/>
                  <w:noWrap/>
                  <w:vAlign w:val="center"/>
                  <w:hideMark/>
                </w:tcPr>
                <w:p w14:paraId="7719F1F8"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3.71 </w:t>
                  </w:r>
                </w:p>
              </w:tc>
            </w:tr>
            <w:tr w:rsidR="00D3254A" w:rsidRPr="00D3254A" w14:paraId="79382DC4" w14:textId="77777777" w:rsidTr="00D3254A">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657D0B83"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企业债7Y</w:t>
                  </w:r>
                </w:p>
              </w:tc>
              <w:tc>
                <w:tcPr>
                  <w:tcW w:w="943" w:type="dxa"/>
                  <w:tcBorders>
                    <w:top w:val="nil"/>
                    <w:left w:val="nil"/>
                    <w:bottom w:val="single" w:sz="8" w:space="0" w:color="FFFFFF"/>
                    <w:right w:val="single" w:sz="8" w:space="0" w:color="FFFFFF"/>
                  </w:tcBorders>
                  <w:shd w:val="clear" w:color="000000" w:fill="FDE9D9"/>
                  <w:noWrap/>
                  <w:vAlign w:val="center"/>
                  <w:hideMark/>
                </w:tcPr>
                <w:p w14:paraId="092F9661"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3.87 </w:t>
                  </w:r>
                </w:p>
              </w:tc>
              <w:tc>
                <w:tcPr>
                  <w:tcW w:w="943" w:type="dxa"/>
                  <w:tcBorders>
                    <w:top w:val="nil"/>
                    <w:left w:val="nil"/>
                    <w:bottom w:val="single" w:sz="8" w:space="0" w:color="FFFFFF"/>
                    <w:right w:val="single" w:sz="8" w:space="0" w:color="FFFFFF"/>
                  </w:tcBorders>
                  <w:shd w:val="clear" w:color="000000" w:fill="FDE9D9"/>
                  <w:noWrap/>
                  <w:vAlign w:val="center"/>
                  <w:hideMark/>
                </w:tcPr>
                <w:p w14:paraId="01A8CF66"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4.12 </w:t>
                  </w:r>
                </w:p>
              </w:tc>
              <w:tc>
                <w:tcPr>
                  <w:tcW w:w="943" w:type="dxa"/>
                  <w:tcBorders>
                    <w:top w:val="nil"/>
                    <w:left w:val="nil"/>
                    <w:bottom w:val="single" w:sz="8" w:space="0" w:color="FFFFFF"/>
                    <w:right w:val="single" w:sz="8" w:space="0" w:color="FFFFFF"/>
                  </w:tcBorders>
                  <w:shd w:val="clear" w:color="000000" w:fill="FDE9D9"/>
                  <w:noWrap/>
                  <w:vAlign w:val="center"/>
                  <w:hideMark/>
                </w:tcPr>
                <w:p w14:paraId="44292C75"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4.68 </w:t>
                  </w:r>
                </w:p>
              </w:tc>
              <w:tc>
                <w:tcPr>
                  <w:tcW w:w="943" w:type="dxa"/>
                  <w:tcBorders>
                    <w:top w:val="nil"/>
                    <w:left w:val="nil"/>
                    <w:bottom w:val="single" w:sz="8" w:space="0" w:color="FFFFFF"/>
                    <w:right w:val="single" w:sz="8" w:space="0" w:color="FFFFFF"/>
                  </w:tcBorders>
                  <w:shd w:val="clear" w:color="000000" w:fill="FDE9D9"/>
                  <w:noWrap/>
                  <w:vAlign w:val="center"/>
                  <w:hideMark/>
                </w:tcPr>
                <w:p w14:paraId="7A9B6B61"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6.88 </w:t>
                  </w:r>
                </w:p>
              </w:tc>
              <w:tc>
                <w:tcPr>
                  <w:tcW w:w="1179" w:type="dxa"/>
                  <w:tcBorders>
                    <w:top w:val="nil"/>
                    <w:left w:val="nil"/>
                    <w:bottom w:val="single" w:sz="8" w:space="0" w:color="FFFFFF"/>
                    <w:right w:val="single" w:sz="8" w:space="0" w:color="FFFFFF"/>
                  </w:tcBorders>
                  <w:shd w:val="clear" w:color="000000" w:fill="FDE9D9"/>
                  <w:noWrap/>
                  <w:vAlign w:val="center"/>
                  <w:hideMark/>
                </w:tcPr>
                <w:p w14:paraId="37735C9A"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企业债7Y</w:t>
                  </w:r>
                </w:p>
              </w:tc>
              <w:tc>
                <w:tcPr>
                  <w:tcW w:w="943" w:type="dxa"/>
                  <w:tcBorders>
                    <w:top w:val="nil"/>
                    <w:left w:val="nil"/>
                    <w:bottom w:val="single" w:sz="8" w:space="0" w:color="FFFFFF"/>
                    <w:right w:val="single" w:sz="8" w:space="0" w:color="FFFFFF"/>
                  </w:tcBorders>
                  <w:shd w:val="clear" w:color="000000" w:fill="FDE9D9"/>
                  <w:noWrap/>
                  <w:vAlign w:val="center"/>
                  <w:hideMark/>
                </w:tcPr>
                <w:p w14:paraId="5FB45D3B"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0.79 </w:t>
                  </w:r>
                </w:p>
              </w:tc>
              <w:tc>
                <w:tcPr>
                  <w:tcW w:w="943" w:type="dxa"/>
                  <w:tcBorders>
                    <w:top w:val="nil"/>
                    <w:left w:val="nil"/>
                    <w:bottom w:val="single" w:sz="8" w:space="0" w:color="FFFFFF"/>
                    <w:right w:val="single" w:sz="8" w:space="0" w:color="FFFFFF"/>
                  </w:tcBorders>
                  <w:shd w:val="clear" w:color="000000" w:fill="FDE9D9"/>
                  <w:noWrap/>
                  <w:vAlign w:val="center"/>
                  <w:hideMark/>
                </w:tcPr>
                <w:p w14:paraId="25697FBF"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1.04 </w:t>
                  </w:r>
                </w:p>
              </w:tc>
              <w:tc>
                <w:tcPr>
                  <w:tcW w:w="943" w:type="dxa"/>
                  <w:tcBorders>
                    <w:top w:val="nil"/>
                    <w:left w:val="nil"/>
                    <w:bottom w:val="single" w:sz="8" w:space="0" w:color="FFFFFF"/>
                    <w:right w:val="single" w:sz="8" w:space="0" w:color="FFFFFF"/>
                  </w:tcBorders>
                  <w:shd w:val="clear" w:color="000000" w:fill="FDE9D9"/>
                  <w:noWrap/>
                  <w:vAlign w:val="center"/>
                  <w:hideMark/>
                </w:tcPr>
                <w:p w14:paraId="5B5677A9"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1.60 </w:t>
                  </w:r>
                </w:p>
              </w:tc>
              <w:tc>
                <w:tcPr>
                  <w:tcW w:w="943" w:type="dxa"/>
                  <w:tcBorders>
                    <w:top w:val="nil"/>
                    <w:left w:val="nil"/>
                    <w:bottom w:val="single" w:sz="8" w:space="0" w:color="FFFFFF"/>
                    <w:right w:val="single" w:sz="8" w:space="0" w:color="FFFFFF"/>
                  </w:tcBorders>
                  <w:shd w:val="clear" w:color="000000" w:fill="FDE9D9"/>
                  <w:noWrap/>
                  <w:vAlign w:val="center"/>
                  <w:hideMark/>
                </w:tcPr>
                <w:p w14:paraId="1F396DDB"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3.80 </w:t>
                  </w:r>
                </w:p>
              </w:tc>
            </w:tr>
            <w:tr w:rsidR="00D3254A" w:rsidRPr="00D3254A" w14:paraId="3175CD28" w14:textId="77777777" w:rsidTr="00D3254A">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7B40B5C8" w14:textId="77777777" w:rsidR="00D3254A" w:rsidRPr="00D3254A" w:rsidRDefault="00D3254A" w:rsidP="00D3254A">
                  <w:pPr>
                    <w:widowControl/>
                    <w:jc w:val="center"/>
                    <w:rPr>
                      <w:rFonts w:ascii="楷体" w:eastAsia="楷体" w:hAnsi="楷体" w:cs="宋体"/>
                      <w:color w:val="000000"/>
                      <w:kern w:val="0"/>
                      <w:sz w:val="20"/>
                      <w:szCs w:val="20"/>
                    </w:rPr>
                  </w:pPr>
                  <w:proofErr w:type="gramStart"/>
                  <w:r w:rsidRPr="00D3254A">
                    <w:rPr>
                      <w:rFonts w:ascii="楷体" w:eastAsia="楷体" w:hAnsi="楷体" w:cs="宋体" w:hint="eastAsia"/>
                      <w:color w:val="000000"/>
                      <w:kern w:val="0"/>
                      <w:sz w:val="20"/>
                      <w:szCs w:val="20"/>
                    </w:rPr>
                    <w:t>城投债</w:t>
                  </w:r>
                  <w:proofErr w:type="gramEnd"/>
                  <w:r w:rsidRPr="00D3254A">
                    <w:rPr>
                      <w:rFonts w:ascii="楷体" w:eastAsia="楷体" w:hAnsi="楷体" w:cs="宋体" w:hint="eastAsia"/>
                      <w:color w:val="000000"/>
                      <w:kern w:val="0"/>
                      <w:sz w:val="20"/>
                      <w:szCs w:val="20"/>
                    </w:rPr>
                    <w:t>3Y</w:t>
                  </w:r>
                </w:p>
              </w:tc>
              <w:tc>
                <w:tcPr>
                  <w:tcW w:w="943" w:type="dxa"/>
                  <w:tcBorders>
                    <w:top w:val="nil"/>
                    <w:left w:val="nil"/>
                    <w:bottom w:val="single" w:sz="8" w:space="0" w:color="FFFFFF"/>
                    <w:right w:val="single" w:sz="8" w:space="0" w:color="FFFFFF"/>
                  </w:tcBorders>
                  <w:shd w:val="clear" w:color="000000" w:fill="FCD5B4"/>
                  <w:noWrap/>
                  <w:vAlign w:val="center"/>
                  <w:hideMark/>
                </w:tcPr>
                <w:p w14:paraId="7C8AA3F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3.45 </w:t>
                  </w:r>
                </w:p>
              </w:tc>
              <w:tc>
                <w:tcPr>
                  <w:tcW w:w="943" w:type="dxa"/>
                  <w:tcBorders>
                    <w:top w:val="nil"/>
                    <w:left w:val="nil"/>
                    <w:bottom w:val="single" w:sz="8" w:space="0" w:color="FFFFFF"/>
                    <w:right w:val="single" w:sz="8" w:space="0" w:color="FFFFFF"/>
                  </w:tcBorders>
                  <w:shd w:val="clear" w:color="000000" w:fill="FCD5B4"/>
                  <w:noWrap/>
                  <w:vAlign w:val="center"/>
                  <w:hideMark/>
                </w:tcPr>
                <w:p w14:paraId="6DC1A46E"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3.61 </w:t>
                  </w:r>
                </w:p>
              </w:tc>
              <w:tc>
                <w:tcPr>
                  <w:tcW w:w="943" w:type="dxa"/>
                  <w:tcBorders>
                    <w:top w:val="nil"/>
                    <w:left w:val="nil"/>
                    <w:bottom w:val="single" w:sz="8" w:space="0" w:color="FFFFFF"/>
                    <w:right w:val="single" w:sz="8" w:space="0" w:color="FFFFFF"/>
                  </w:tcBorders>
                  <w:shd w:val="clear" w:color="000000" w:fill="FCD5B4"/>
                  <w:noWrap/>
                  <w:vAlign w:val="center"/>
                  <w:hideMark/>
                </w:tcPr>
                <w:p w14:paraId="38CDFE7B"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3.77 </w:t>
                  </w:r>
                </w:p>
              </w:tc>
              <w:tc>
                <w:tcPr>
                  <w:tcW w:w="943" w:type="dxa"/>
                  <w:tcBorders>
                    <w:top w:val="nil"/>
                    <w:left w:val="nil"/>
                    <w:bottom w:val="single" w:sz="8" w:space="0" w:color="FFFFFF"/>
                    <w:right w:val="single" w:sz="8" w:space="0" w:color="FFFFFF"/>
                  </w:tcBorders>
                  <w:shd w:val="clear" w:color="000000" w:fill="FCD5B4"/>
                  <w:noWrap/>
                  <w:vAlign w:val="center"/>
                  <w:hideMark/>
                </w:tcPr>
                <w:p w14:paraId="51A88B86"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6.38 </w:t>
                  </w:r>
                </w:p>
              </w:tc>
              <w:tc>
                <w:tcPr>
                  <w:tcW w:w="1179" w:type="dxa"/>
                  <w:tcBorders>
                    <w:top w:val="nil"/>
                    <w:left w:val="nil"/>
                    <w:bottom w:val="single" w:sz="8" w:space="0" w:color="FFFFFF"/>
                    <w:right w:val="single" w:sz="8" w:space="0" w:color="FFFFFF"/>
                  </w:tcBorders>
                  <w:shd w:val="clear" w:color="000000" w:fill="FCD5B4"/>
                  <w:noWrap/>
                  <w:vAlign w:val="center"/>
                  <w:hideMark/>
                </w:tcPr>
                <w:p w14:paraId="49FD8186" w14:textId="77777777" w:rsidR="00D3254A" w:rsidRPr="00D3254A" w:rsidRDefault="00D3254A" w:rsidP="00D3254A">
                  <w:pPr>
                    <w:widowControl/>
                    <w:jc w:val="center"/>
                    <w:rPr>
                      <w:rFonts w:ascii="楷体" w:eastAsia="楷体" w:hAnsi="楷体" w:cs="宋体"/>
                      <w:color w:val="000000"/>
                      <w:kern w:val="0"/>
                      <w:sz w:val="20"/>
                      <w:szCs w:val="20"/>
                    </w:rPr>
                  </w:pPr>
                  <w:proofErr w:type="gramStart"/>
                  <w:r w:rsidRPr="00D3254A">
                    <w:rPr>
                      <w:rFonts w:ascii="楷体" w:eastAsia="楷体" w:hAnsi="楷体" w:cs="宋体" w:hint="eastAsia"/>
                      <w:color w:val="000000"/>
                      <w:kern w:val="0"/>
                      <w:sz w:val="20"/>
                      <w:szCs w:val="20"/>
                    </w:rPr>
                    <w:t>城投债</w:t>
                  </w:r>
                  <w:proofErr w:type="gramEnd"/>
                  <w:r w:rsidRPr="00D3254A">
                    <w:rPr>
                      <w:rFonts w:ascii="楷体" w:eastAsia="楷体" w:hAnsi="楷体" w:cs="宋体" w:hint="eastAsia"/>
                      <w:color w:val="000000"/>
                      <w:kern w:val="0"/>
                      <w:sz w:val="20"/>
                      <w:szCs w:val="20"/>
                    </w:rPr>
                    <w:t>3Y</w:t>
                  </w:r>
                </w:p>
              </w:tc>
              <w:tc>
                <w:tcPr>
                  <w:tcW w:w="943" w:type="dxa"/>
                  <w:tcBorders>
                    <w:top w:val="nil"/>
                    <w:left w:val="nil"/>
                    <w:bottom w:val="single" w:sz="8" w:space="0" w:color="FFFFFF"/>
                    <w:right w:val="single" w:sz="8" w:space="0" w:color="FFFFFF"/>
                  </w:tcBorders>
                  <w:shd w:val="clear" w:color="000000" w:fill="FCD5B4"/>
                  <w:noWrap/>
                  <w:vAlign w:val="center"/>
                  <w:hideMark/>
                </w:tcPr>
                <w:p w14:paraId="1D5ED676"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0.69 </w:t>
                  </w:r>
                </w:p>
              </w:tc>
              <w:tc>
                <w:tcPr>
                  <w:tcW w:w="943" w:type="dxa"/>
                  <w:tcBorders>
                    <w:top w:val="nil"/>
                    <w:left w:val="nil"/>
                    <w:bottom w:val="single" w:sz="8" w:space="0" w:color="FFFFFF"/>
                    <w:right w:val="single" w:sz="8" w:space="0" w:color="FFFFFF"/>
                  </w:tcBorders>
                  <w:shd w:val="clear" w:color="000000" w:fill="FCD5B4"/>
                  <w:noWrap/>
                  <w:vAlign w:val="center"/>
                  <w:hideMark/>
                </w:tcPr>
                <w:p w14:paraId="5A562C1B"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0.85 </w:t>
                  </w:r>
                </w:p>
              </w:tc>
              <w:tc>
                <w:tcPr>
                  <w:tcW w:w="943" w:type="dxa"/>
                  <w:tcBorders>
                    <w:top w:val="nil"/>
                    <w:left w:val="nil"/>
                    <w:bottom w:val="single" w:sz="8" w:space="0" w:color="FFFFFF"/>
                    <w:right w:val="single" w:sz="8" w:space="0" w:color="FFFFFF"/>
                  </w:tcBorders>
                  <w:shd w:val="clear" w:color="000000" w:fill="FCD5B4"/>
                  <w:noWrap/>
                  <w:vAlign w:val="center"/>
                  <w:hideMark/>
                </w:tcPr>
                <w:p w14:paraId="36E6ED56"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1.01 </w:t>
                  </w:r>
                </w:p>
              </w:tc>
              <w:tc>
                <w:tcPr>
                  <w:tcW w:w="943" w:type="dxa"/>
                  <w:tcBorders>
                    <w:top w:val="nil"/>
                    <w:left w:val="nil"/>
                    <w:bottom w:val="single" w:sz="8" w:space="0" w:color="FFFFFF"/>
                    <w:right w:val="single" w:sz="8" w:space="0" w:color="FFFFFF"/>
                  </w:tcBorders>
                  <w:shd w:val="clear" w:color="000000" w:fill="FCD5B4"/>
                  <w:noWrap/>
                  <w:vAlign w:val="center"/>
                  <w:hideMark/>
                </w:tcPr>
                <w:p w14:paraId="542BDACD"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3.62 </w:t>
                  </w:r>
                </w:p>
              </w:tc>
            </w:tr>
            <w:tr w:rsidR="00D3254A" w:rsidRPr="00D3254A" w14:paraId="4AAD7832" w14:textId="77777777" w:rsidTr="00D3254A">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0F4C337A" w14:textId="77777777" w:rsidR="00D3254A" w:rsidRPr="00D3254A" w:rsidRDefault="00D3254A" w:rsidP="00D3254A">
                  <w:pPr>
                    <w:widowControl/>
                    <w:jc w:val="center"/>
                    <w:rPr>
                      <w:rFonts w:ascii="楷体" w:eastAsia="楷体" w:hAnsi="楷体" w:cs="宋体"/>
                      <w:color w:val="000000"/>
                      <w:kern w:val="0"/>
                      <w:sz w:val="20"/>
                      <w:szCs w:val="20"/>
                    </w:rPr>
                  </w:pPr>
                  <w:proofErr w:type="gramStart"/>
                  <w:r w:rsidRPr="00D3254A">
                    <w:rPr>
                      <w:rFonts w:ascii="楷体" w:eastAsia="楷体" w:hAnsi="楷体" w:cs="宋体" w:hint="eastAsia"/>
                      <w:color w:val="000000"/>
                      <w:kern w:val="0"/>
                      <w:sz w:val="20"/>
                      <w:szCs w:val="20"/>
                    </w:rPr>
                    <w:t>城投债</w:t>
                  </w:r>
                  <w:proofErr w:type="gramEnd"/>
                  <w:r w:rsidRPr="00D3254A">
                    <w:rPr>
                      <w:rFonts w:ascii="楷体" w:eastAsia="楷体" w:hAnsi="楷体" w:cs="宋体" w:hint="eastAsia"/>
                      <w:color w:val="000000"/>
                      <w:kern w:val="0"/>
                      <w:sz w:val="20"/>
                      <w:szCs w:val="20"/>
                    </w:rPr>
                    <w:t>5Y</w:t>
                  </w:r>
                </w:p>
              </w:tc>
              <w:tc>
                <w:tcPr>
                  <w:tcW w:w="943" w:type="dxa"/>
                  <w:tcBorders>
                    <w:top w:val="nil"/>
                    <w:left w:val="nil"/>
                    <w:bottom w:val="single" w:sz="8" w:space="0" w:color="FFFFFF"/>
                    <w:right w:val="single" w:sz="8" w:space="0" w:color="FFFFFF"/>
                  </w:tcBorders>
                  <w:shd w:val="clear" w:color="000000" w:fill="FDE9D9"/>
                  <w:noWrap/>
                  <w:vAlign w:val="center"/>
                  <w:hideMark/>
                </w:tcPr>
                <w:p w14:paraId="795F8EC8"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3.73 </w:t>
                  </w:r>
                </w:p>
              </w:tc>
              <w:tc>
                <w:tcPr>
                  <w:tcW w:w="943" w:type="dxa"/>
                  <w:tcBorders>
                    <w:top w:val="nil"/>
                    <w:left w:val="nil"/>
                    <w:bottom w:val="single" w:sz="8" w:space="0" w:color="FFFFFF"/>
                    <w:right w:val="single" w:sz="8" w:space="0" w:color="FFFFFF"/>
                  </w:tcBorders>
                  <w:shd w:val="clear" w:color="000000" w:fill="FDE9D9"/>
                  <w:noWrap/>
                  <w:vAlign w:val="center"/>
                  <w:hideMark/>
                </w:tcPr>
                <w:p w14:paraId="61F58916"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3.94 </w:t>
                  </w:r>
                </w:p>
              </w:tc>
              <w:tc>
                <w:tcPr>
                  <w:tcW w:w="943" w:type="dxa"/>
                  <w:tcBorders>
                    <w:top w:val="nil"/>
                    <w:left w:val="nil"/>
                    <w:bottom w:val="single" w:sz="8" w:space="0" w:color="FFFFFF"/>
                    <w:right w:val="single" w:sz="8" w:space="0" w:color="FFFFFF"/>
                  </w:tcBorders>
                  <w:shd w:val="clear" w:color="000000" w:fill="FDE9D9"/>
                  <w:noWrap/>
                  <w:vAlign w:val="center"/>
                  <w:hideMark/>
                </w:tcPr>
                <w:p w14:paraId="239909B4"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4.32 </w:t>
                  </w:r>
                </w:p>
              </w:tc>
              <w:tc>
                <w:tcPr>
                  <w:tcW w:w="943" w:type="dxa"/>
                  <w:tcBorders>
                    <w:top w:val="nil"/>
                    <w:left w:val="nil"/>
                    <w:bottom w:val="single" w:sz="8" w:space="0" w:color="FFFFFF"/>
                    <w:right w:val="single" w:sz="8" w:space="0" w:color="FFFFFF"/>
                  </w:tcBorders>
                  <w:shd w:val="clear" w:color="000000" w:fill="FDE9D9"/>
                  <w:noWrap/>
                  <w:vAlign w:val="center"/>
                  <w:hideMark/>
                </w:tcPr>
                <w:p w14:paraId="411609C5"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7.28 </w:t>
                  </w:r>
                </w:p>
              </w:tc>
              <w:tc>
                <w:tcPr>
                  <w:tcW w:w="1179" w:type="dxa"/>
                  <w:tcBorders>
                    <w:top w:val="nil"/>
                    <w:left w:val="nil"/>
                    <w:bottom w:val="single" w:sz="8" w:space="0" w:color="FFFFFF"/>
                    <w:right w:val="single" w:sz="8" w:space="0" w:color="FFFFFF"/>
                  </w:tcBorders>
                  <w:shd w:val="clear" w:color="000000" w:fill="FDE9D9"/>
                  <w:noWrap/>
                  <w:vAlign w:val="center"/>
                  <w:hideMark/>
                </w:tcPr>
                <w:p w14:paraId="05819A12" w14:textId="77777777" w:rsidR="00D3254A" w:rsidRPr="00D3254A" w:rsidRDefault="00D3254A" w:rsidP="00D3254A">
                  <w:pPr>
                    <w:widowControl/>
                    <w:jc w:val="center"/>
                    <w:rPr>
                      <w:rFonts w:ascii="楷体" w:eastAsia="楷体" w:hAnsi="楷体" w:cs="宋体"/>
                      <w:color w:val="000000"/>
                      <w:kern w:val="0"/>
                      <w:sz w:val="20"/>
                      <w:szCs w:val="20"/>
                    </w:rPr>
                  </w:pPr>
                  <w:proofErr w:type="gramStart"/>
                  <w:r w:rsidRPr="00D3254A">
                    <w:rPr>
                      <w:rFonts w:ascii="楷体" w:eastAsia="楷体" w:hAnsi="楷体" w:cs="宋体" w:hint="eastAsia"/>
                      <w:color w:val="000000"/>
                      <w:kern w:val="0"/>
                      <w:sz w:val="20"/>
                      <w:szCs w:val="20"/>
                    </w:rPr>
                    <w:t>城投债</w:t>
                  </w:r>
                  <w:proofErr w:type="gramEnd"/>
                  <w:r w:rsidRPr="00D3254A">
                    <w:rPr>
                      <w:rFonts w:ascii="楷体" w:eastAsia="楷体" w:hAnsi="楷体" w:cs="宋体" w:hint="eastAsia"/>
                      <w:color w:val="000000"/>
                      <w:kern w:val="0"/>
                      <w:sz w:val="20"/>
                      <w:szCs w:val="20"/>
                    </w:rPr>
                    <w:t>5Y</w:t>
                  </w:r>
                </w:p>
              </w:tc>
              <w:tc>
                <w:tcPr>
                  <w:tcW w:w="943" w:type="dxa"/>
                  <w:tcBorders>
                    <w:top w:val="nil"/>
                    <w:left w:val="nil"/>
                    <w:bottom w:val="single" w:sz="8" w:space="0" w:color="FFFFFF"/>
                    <w:right w:val="single" w:sz="8" w:space="0" w:color="FFFFFF"/>
                  </w:tcBorders>
                  <w:shd w:val="clear" w:color="000000" w:fill="FDE9D9"/>
                  <w:noWrap/>
                  <w:vAlign w:val="center"/>
                  <w:hideMark/>
                </w:tcPr>
                <w:p w14:paraId="58004D4D"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0.78 </w:t>
                  </w:r>
                </w:p>
              </w:tc>
              <w:tc>
                <w:tcPr>
                  <w:tcW w:w="943" w:type="dxa"/>
                  <w:tcBorders>
                    <w:top w:val="nil"/>
                    <w:left w:val="nil"/>
                    <w:bottom w:val="single" w:sz="8" w:space="0" w:color="FFFFFF"/>
                    <w:right w:val="single" w:sz="8" w:space="0" w:color="FFFFFF"/>
                  </w:tcBorders>
                  <w:shd w:val="clear" w:color="000000" w:fill="FDE9D9"/>
                  <w:noWrap/>
                  <w:vAlign w:val="center"/>
                  <w:hideMark/>
                </w:tcPr>
                <w:p w14:paraId="1EA2559F"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0.99 </w:t>
                  </w:r>
                </w:p>
              </w:tc>
              <w:tc>
                <w:tcPr>
                  <w:tcW w:w="943" w:type="dxa"/>
                  <w:tcBorders>
                    <w:top w:val="nil"/>
                    <w:left w:val="nil"/>
                    <w:bottom w:val="single" w:sz="8" w:space="0" w:color="FFFFFF"/>
                    <w:right w:val="single" w:sz="8" w:space="0" w:color="FFFFFF"/>
                  </w:tcBorders>
                  <w:shd w:val="clear" w:color="000000" w:fill="FDE9D9"/>
                  <w:noWrap/>
                  <w:vAlign w:val="center"/>
                  <w:hideMark/>
                </w:tcPr>
                <w:p w14:paraId="54BB75A6"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1.37 </w:t>
                  </w:r>
                </w:p>
              </w:tc>
              <w:tc>
                <w:tcPr>
                  <w:tcW w:w="943" w:type="dxa"/>
                  <w:tcBorders>
                    <w:top w:val="nil"/>
                    <w:left w:val="nil"/>
                    <w:bottom w:val="single" w:sz="8" w:space="0" w:color="FFFFFF"/>
                    <w:right w:val="single" w:sz="8" w:space="0" w:color="FFFFFF"/>
                  </w:tcBorders>
                  <w:shd w:val="clear" w:color="000000" w:fill="FDE9D9"/>
                  <w:noWrap/>
                  <w:vAlign w:val="center"/>
                  <w:hideMark/>
                </w:tcPr>
                <w:p w14:paraId="369D46AF"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4.33 </w:t>
                  </w:r>
                </w:p>
              </w:tc>
            </w:tr>
            <w:tr w:rsidR="00D3254A" w:rsidRPr="00D3254A" w14:paraId="1D0E9F1E" w14:textId="77777777" w:rsidTr="00D3254A">
              <w:trPr>
                <w:trHeight w:val="300"/>
              </w:trPr>
              <w:tc>
                <w:tcPr>
                  <w:tcW w:w="1151" w:type="dxa"/>
                  <w:tcBorders>
                    <w:top w:val="nil"/>
                    <w:left w:val="nil"/>
                    <w:bottom w:val="nil"/>
                    <w:right w:val="nil"/>
                  </w:tcBorders>
                  <w:shd w:val="clear" w:color="000000" w:fill="FCD5B4"/>
                  <w:noWrap/>
                  <w:vAlign w:val="center"/>
                  <w:hideMark/>
                </w:tcPr>
                <w:p w14:paraId="7BE90115" w14:textId="77777777" w:rsidR="00D3254A" w:rsidRPr="00D3254A" w:rsidRDefault="00D3254A" w:rsidP="00D3254A">
                  <w:pPr>
                    <w:widowControl/>
                    <w:jc w:val="center"/>
                    <w:rPr>
                      <w:rFonts w:ascii="楷体" w:eastAsia="楷体" w:hAnsi="楷体" w:cs="宋体"/>
                      <w:color w:val="000000"/>
                      <w:kern w:val="0"/>
                      <w:sz w:val="20"/>
                      <w:szCs w:val="20"/>
                    </w:rPr>
                  </w:pPr>
                  <w:proofErr w:type="gramStart"/>
                  <w:r w:rsidRPr="00D3254A">
                    <w:rPr>
                      <w:rFonts w:ascii="楷体" w:eastAsia="楷体" w:hAnsi="楷体" w:cs="宋体" w:hint="eastAsia"/>
                      <w:color w:val="000000"/>
                      <w:kern w:val="0"/>
                      <w:sz w:val="20"/>
                      <w:szCs w:val="20"/>
                    </w:rPr>
                    <w:t>城投债</w:t>
                  </w:r>
                  <w:proofErr w:type="gramEnd"/>
                  <w:r w:rsidRPr="00D3254A">
                    <w:rPr>
                      <w:rFonts w:ascii="楷体" w:eastAsia="楷体" w:hAnsi="楷体" w:cs="宋体" w:hint="eastAsia"/>
                      <w:color w:val="000000"/>
                      <w:kern w:val="0"/>
                      <w:sz w:val="20"/>
                      <w:szCs w:val="20"/>
                    </w:rPr>
                    <w:t>7Y</w:t>
                  </w:r>
                </w:p>
              </w:tc>
              <w:tc>
                <w:tcPr>
                  <w:tcW w:w="943" w:type="dxa"/>
                  <w:tcBorders>
                    <w:top w:val="nil"/>
                    <w:left w:val="nil"/>
                    <w:bottom w:val="single" w:sz="8" w:space="0" w:color="FFFFFF"/>
                    <w:right w:val="single" w:sz="8" w:space="0" w:color="FFFFFF"/>
                  </w:tcBorders>
                  <w:shd w:val="clear" w:color="000000" w:fill="FCD5B4"/>
                  <w:noWrap/>
                  <w:vAlign w:val="center"/>
                  <w:hideMark/>
                </w:tcPr>
                <w:p w14:paraId="34DB8A8D"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3.95 </w:t>
                  </w:r>
                </w:p>
              </w:tc>
              <w:tc>
                <w:tcPr>
                  <w:tcW w:w="943" w:type="dxa"/>
                  <w:tcBorders>
                    <w:top w:val="nil"/>
                    <w:left w:val="nil"/>
                    <w:bottom w:val="single" w:sz="8" w:space="0" w:color="FFFFFF"/>
                    <w:right w:val="single" w:sz="8" w:space="0" w:color="FFFFFF"/>
                  </w:tcBorders>
                  <w:shd w:val="clear" w:color="000000" w:fill="FCD5B4"/>
                  <w:noWrap/>
                  <w:vAlign w:val="center"/>
                  <w:hideMark/>
                </w:tcPr>
                <w:p w14:paraId="655F09E1"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4.16 </w:t>
                  </w:r>
                </w:p>
              </w:tc>
              <w:tc>
                <w:tcPr>
                  <w:tcW w:w="943" w:type="dxa"/>
                  <w:tcBorders>
                    <w:top w:val="nil"/>
                    <w:left w:val="nil"/>
                    <w:bottom w:val="single" w:sz="8" w:space="0" w:color="FFFFFF"/>
                    <w:right w:val="single" w:sz="8" w:space="0" w:color="FFFFFF"/>
                  </w:tcBorders>
                  <w:shd w:val="clear" w:color="000000" w:fill="FCD5B4"/>
                  <w:noWrap/>
                  <w:vAlign w:val="center"/>
                  <w:hideMark/>
                </w:tcPr>
                <w:p w14:paraId="0A0AE198"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4.65 </w:t>
                  </w:r>
                </w:p>
              </w:tc>
              <w:tc>
                <w:tcPr>
                  <w:tcW w:w="943" w:type="dxa"/>
                  <w:tcBorders>
                    <w:top w:val="nil"/>
                    <w:left w:val="nil"/>
                    <w:bottom w:val="single" w:sz="8" w:space="0" w:color="FFFFFF"/>
                    <w:right w:val="single" w:sz="8" w:space="0" w:color="FFFFFF"/>
                  </w:tcBorders>
                  <w:shd w:val="clear" w:color="000000" w:fill="FCD5B4"/>
                  <w:noWrap/>
                  <w:vAlign w:val="center"/>
                  <w:hideMark/>
                </w:tcPr>
                <w:p w14:paraId="5E7D4A6D"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7.59 </w:t>
                  </w:r>
                </w:p>
              </w:tc>
              <w:tc>
                <w:tcPr>
                  <w:tcW w:w="1179" w:type="dxa"/>
                  <w:tcBorders>
                    <w:top w:val="nil"/>
                    <w:left w:val="nil"/>
                    <w:bottom w:val="nil"/>
                    <w:right w:val="nil"/>
                  </w:tcBorders>
                  <w:shd w:val="clear" w:color="000000" w:fill="FCD5B4"/>
                  <w:noWrap/>
                  <w:vAlign w:val="center"/>
                  <w:hideMark/>
                </w:tcPr>
                <w:p w14:paraId="079D1902" w14:textId="77777777" w:rsidR="00D3254A" w:rsidRPr="00D3254A" w:rsidRDefault="00D3254A" w:rsidP="00D3254A">
                  <w:pPr>
                    <w:widowControl/>
                    <w:jc w:val="center"/>
                    <w:rPr>
                      <w:rFonts w:ascii="楷体" w:eastAsia="楷体" w:hAnsi="楷体" w:cs="宋体"/>
                      <w:color w:val="000000"/>
                      <w:kern w:val="0"/>
                      <w:sz w:val="20"/>
                      <w:szCs w:val="20"/>
                    </w:rPr>
                  </w:pPr>
                  <w:proofErr w:type="gramStart"/>
                  <w:r w:rsidRPr="00D3254A">
                    <w:rPr>
                      <w:rFonts w:ascii="楷体" w:eastAsia="楷体" w:hAnsi="楷体" w:cs="宋体" w:hint="eastAsia"/>
                      <w:color w:val="000000"/>
                      <w:kern w:val="0"/>
                      <w:sz w:val="20"/>
                      <w:szCs w:val="20"/>
                    </w:rPr>
                    <w:t>城投债</w:t>
                  </w:r>
                  <w:proofErr w:type="gramEnd"/>
                  <w:r w:rsidRPr="00D3254A">
                    <w:rPr>
                      <w:rFonts w:ascii="楷体" w:eastAsia="楷体" w:hAnsi="楷体" w:cs="宋体" w:hint="eastAsia"/>
                      <w:color w:val="000000"/>
                      <w:kern w:val="0"/>
                      <w:sz w:val="20"/>
                      <w:szCs w:val="20"/>
                    </w:rPr>
                    <w:t>7Y</w:t>
                  </w:r>
                </w:p>
              </w:tc>
              <w:tc>
                <w:tcPr>
                  <w:tcW w:w="943" w:type="dxa"/>
                  <w:tcBorders>
                    <w:top w:val="nil"/>
                    <w:left w:val="nil"/>
                    <w:bottom w:val="single" w:sz="8" w:space="0" w:color="FFFFFF"/>
                    <w:right w:val="single" w:sz="8" w:space="0" w:color="FFFFFF"/>
                  </w:tcBorders>
                  <w:shd w:val="clear" w:color="000000" w:fill="FCD5B4"/>
                  <w:noWrap/>
                  <w:vAlign w:val="center"/>
                  <w:hideMark/>
                </w:tcPr>
                <w:p w14:paraId="30D51A4C"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0.88 </w:t>
                  </w:r>
                </w:p>
              </w:tc>
              <w:tc>
                <w:tcPr>
                  <w:tcW w:w="943" w:type="dxa"/>
                  <w:tcBorders>
                    <w:top w:val="nil"/>
                    <w:left w:val="nil"/>
                    <w:bottom w:val="single" w:sz="8" w:space="0" w:color="FFFFFF"/>
                    <w:right w:val="single" w:sz="8" w:space="0" w:color="FFFFFF"/>
                  </w:tcBorders>
                  <w:shd w:val="clear" w:color="000000" w:fill="FCD5B4"/>
                  <w:noWrap/>
                  <w:vAlign w:val="center"/>
                  <w:hideMark/>
                </w:tcPr>
                <w:p w14:paraId="7A5EB4C4"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1.08 </w:t>
                  </w:r>
                </w:p>
              </w:tc>
              <w:tc>
                <w:tcPr>
                  <w:tcW w:w="943" w:type="dxa"/>
                  <w:tcBorders>
                    <w:top w:val="nil"/>
                    <w:left w:val="nil"/>
                    <w:bottom w:val="single" w:sz="8" w:space="0" w:color="FFFFFF"/>
                    <w:right w:val="single" w:sz="8" w:space="0" w:color="FFFFFF"/>
                  </w:tcBorders>
                  <w:shd w:val="clear" w:color="000000" w:fill="FCD5B4"/>
                  <w:noWrap/>
                  <w:vAlign w:val="center"/>
                  <w:hideMark/>
                </w:tcPr>
                <w:p w14:paraId="1E49B745"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1.57 </w:t>
                  </w:r>
                </w:p>
              </w:tc>
              <w:tc>
                <w:tcPr>
                  <w:tcW w:w="943" w:type="dxa"/>
                  <w:tcBorders>
                    <w:top w:val="nil"/>
                    <w:left w:val="nil"/>
                    <w:bottom w:val="single" w:sz="8" w:space="0" w:color="FFFFFF"/>
                    <w:right w:val="single" w:sz="8" w:space="0" w:color="FFFFFF"/>
                  </w:tcBorders>
                  <w:shd w:val="clear" w:color="000000" w:fill="FCD5B4"/>
                  <w:noWrap/>
                  <w:vAlign w:val="center"/>
                  <w:hideMark/>
                </w:tcPr>
                <w:p w14:paraId="0D08937B"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4.51 </w:t>
                  </w:r>
                </w:p>
              </w:tc>
            </w:tr>
            <w:tr w:rsidR="00D3254A" w:rsidRPr="00D3254A" w14:paraId="358C86E2" w14:textId="77777777" w:rsidTr="00D3254A">
              <w:trPr>
                <w:trHeight w:val="150"/>
              </w:trPr>
              <w:tc>
                <w:tcPr>
                  <w:tcW w:w="1151" w:type="dxa"/>
                  <w:tcBorders>
                    <w:top w:val="nil"/>
                    <w:left w:val="nil"/>
                    <w:bottom w:val="nil"/>
                    <w:right w:val="nil"/>
                  </w:tcBorders>
                  <w:shd w:val="clear" w:color="auto" w:fill="auto"/>
                  <w:noWrap/>
                  <w:vAlign w:val="center"/>
                  <w:hideMark/>
                </w:tcPr>
                <w:p w14:paraId="54FAF5AC" w14:textId="77777777" w:rsidR="00D3254A" w:rsidRPr="00D3254A" w:rsidRDefault="00D3254A" w:rsidP="00D3254A">
                  <w:pPr>
                    <w:widowControl/>
                    <w:jc w:val="center"/>
                    <w:rPr>
                      <w:rFonts w:eastAsia="等线" w:cs="Calibri"/>
                      <w:color w:val="000000"/>
                      <w:kern w:val="0"/>
                      <w:szCs w:val="21"/>
                    </w:rPr>
                  </w:pPr>
                </w:p>
              </w:tc>
              <w:tc>
                <w:tcPr>
                  <w:tcW w:w="943" w:type="dxa"/>
                  <w:tcBorders>
                    <w:top w:val="nil"/>
                    <w:left w:val="nil"/>
                    <w:bottom w:val="nil"/>
                    <w:right w:val="nil"/>
                  </w:tcBorders>
                  <w:shd w:val="clear" w:color="auto" w:fill="auto"/>
                  <w:noWrap/>
                  <w:vAlign w:val="center"/>
                  <w:hideMark/>
                </w:tcPr>
                <w:p w14:paraId="3AAFB508" w14:textId="77777777" w:rsidR="00D3254A" w:rsidRPr="00D3254A" w:rsidRDefault="00D3254A" w:rsidP="00D3254A">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01C0BCD1" w14:textId="77777777" w:rsidR="00D3254A" w:rsidRPr="00D3254A" w:rsidRDefault="00D3254A" w:rsidP="00D3254A">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5A184749" w14:textId="77777777" w:rsidR="00D3254A" w:rsidRPr="00D3254A" w:rsidRDefault="00D3254A" w:rsidP="00D3254A">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70739F8C" w14:textId="77777777" w:rsidR="00D3254A" w:rsidRPr="00D3254A" w:rsidRDefault="00D3254A" w:rsidP="00D3254A">
                  <w:pPr>
                    <w:widowControl/>
                    <w:jc w:val="center"/>
                    <w:rPr>
                      <w:rFonts w:ascii="Times New Roman" w:eastAsia="Times New Roman" w:hAnsi="Times New Roman"/>
                      <w:kern w:val="0"/>
                      <w:sz w:val="20"/>
                      <w:szCs w:val="20"/>
                    </w:rPr>
                  </w:pPr>
                </w:p>
              </w:tc>
              <w:tc>
                <w:tcPr>
                  <w:tcW w:w="1179" w:type="dxa"/>
                  <w:tcBorders>
                    <w:top w:val="nil"/>
                    <w:left w:val="nil"/>
                    <w:bottom w:val="nil"/>
                    <w:right w:val="nil"/>
                  </w:tcBorders>
                  <w:shd w:val="clear" w:color="auto" w:fill="auto"/>
                  <w:noWrap/>
                  <w:vAlign w:val="center"/>
                  <w:hideMark/>
                </w:tcPr>
                <w:p w14:paraId="1EBCC183" w14:textId="77777777" w:rsidR="00D3254A" w:rsidRPr="00D3254A" w:rsidRDefault="00D3254A" w:rsidP="00D3254A">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4A58779C" w14:textId="77777777" w:rsidR="00D3254A" w:rsidRPr="00D3254A" w:rsidRDefault="00D3254A" w:rsidP="00D3254A">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3EF17E47" w14:textId="77777777" w:rsidR="00D3254A" w:rsidRPr="00D3254A" w:rsidRDefault="00D3254A" w:rsidP="00D3254A">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51864521" w14:textId="77777777" w:rsidR="00D3254A" w:rsidRPr="00D3254A" w:rsidRDefault="00D3254A" w:rsidP="00D3254A">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2716ECF0" w14:textId="77777777" w:rsidR="00D3254A" w:rsidRPr="00D3254A" w:rsidRDefault="00D3254A" w:rsidP="00D3254A">
                  <w:pPr>
                    <w:widowControl/>
                    <w:jc w:val="center"/>
                    <w:rPr>
                      <w:rFonts w:ascii="Times New Roman" w:eastAsia="Times New Roman" w:hAnsi="Times New Roman"/>
                      <w:kern w:val="0"/>
                      <w:sz w:val="20"/>
                      <w:szCs w:val="20"/>
                    </w:rPr>
                  </w:pPr>
                </w:p>
              </w:tc>
            </w:tr>
            <w:tr w:rsidR="00D3254A" w:rsidRPr="00D3254A" w14:paraId="14B4A426" w14:textId="77777777" w:rsidTr="00D3254A">
              <w:trPr>
                <w:trHeight w:val="300"/>
              </w:trPr>
              <w:tc>
                <w:tcPr>
                  <w:tcW w:w="1151" w:type="dxa"/>
                  <w:tcBorders>
                    <w:top w:val="nil"/>
                    <w:left w:val="nil"/>
                    <w:bottom w:val="single" w:sz="12" w:space="0" w:color="FFFFFF"/>
                    <w:right w:val="single" w:sz="8" w:space="0" w:color="FFFFFF"/>
                  </w:tcBorders>
                  <w:shd w:val="clear" w:color="000000" w:fill="F79646"/>
                  <w:noWrap/>
                  <w:vAlign w:val="center"/>
                  <w:hideMark/>
                </w:tcPr>
                <w:p w14:paraId="6B1F61D1" w14:textId="77777777" w:rsidR="00D3254A" w:rsidRPr="00D3254A" w:rsidRDefault="00D3254A" w:rsidP="00D3254A">
                  <w:pPr>
                    <w:widowControl/>
                    <w:jc w:val="center"/>
                    <w:rPr>
                      <w:rFonts w:ascii="楷体" w:eastAsia="楷体" w:hAnsi="楷体" w:cs="宋体"/>
                      <w:b/>
                      <w:bCs/>
                      <w:color w:val="FFFFFF"/>
                      <w:kern w:val="0"/>
                      <w:sz w:val="20"/>
                      <w:szCs w:val="20"/>
                    </w:rPr>
                  </w:pPr>
                  <w:proofErr w:type="gramStart"/>
                  <w:r w:rsidRPr="00D3254A">
                    <w:rPr>
                      <w:rFonts w:ascii="楷体" w:eastAsia="楷体" w:hAnsi="楷体" w:cs="宋体" w:hint="eastAsia"/>
                      <w:b/>
                      <w:bCs/>
                      <w:color w:val="FFFFFF"/>
                      <w:kern w:val="0"/>
                      <w:sz w:val="20"/>
                      <w:szCs w:val="20"/>
                    </w:rPr>
                    <w:t>周变化</w:t>
                  </w:r>
                  <w:proofErr w:type="gramEnd"/>
                  <w:r w:rsidRPr="00D3254A">
                    <w:rPr>
                      <w:rFonts w:ascii="楷体" w:eastAsia="楷体" w:hAnsi="楷体" w:cs="宋体" w:hint="eastAsia"/>
                      <w:b/>
                      <w:bCs/>
                      <w:color w:val="FFFFFF"/>
                      <w:kern w:val="0"/>
                      <w:sz w:val="20"/>
                      <w:szCs w:val="20"/>
                    </w:rPr>
                    <w:t>(BP)</w:t>
                  </w:r>
                </w:p>
              </w:tc>
              <w:tc>
                <w:tcPr>
                  <w:tcW w:w="943" w:type="dxa"/>
                  <w:tcBorders>
                    <w:top w:val="nil"/>
                    <w:left w:val="nil"/>
                    <w:bottom w:val="single" w:sz="12" w:space="0" w:color="FFFFFF"/>
                    <w:right w:val="single" w:sz="8" w:space="0" w:color="FFFFFF"/>
                  </w:tcBorders>
                  <w:shd w:val="clear" w:color="000000" w:fill="F79646"/>
                  <w:noWrap/>
                  <w:vAlign w:val="center"/>
                  <w:hideMark/>
                </w:tcPr>
                <w:p w14:paraId="2DF88756"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AAA</w:t>
                  </w:r>
                </w:p>
              </w:tc>
              <w:tc>
                <w:tcPr>
                  <w:tcW w:w="943" w:type="dxa"/>
                  <w:tcBorders>
                    <w:top w:val="nil"/>
                    <w:left w:val="nil"/>
                    <w:bottom w:val="single" w:sz="12" w:space="0" w:color="FFFFFF"/>
                    <w:right w:val="single" w:sz="8" w:space="0" w:color="FFFFFF"/>
                  </w:tcBorders>
                  <w:shd w:val="clear" w:color="000000" w:fill="F79646"/>
                  <w:noWrap/>
                  <w:vAlign w:val="center"/>
                  <w:hideMark/>
                </w:tcPr>
                <w:p w14:paraId="326CC430"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11AF2607"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0752A40D"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w:t>
                  </w:r>
                </w:p>
              </w:tc>
              <w:tc>
                <w:tcPr>
                  <w:tcW w:w="1179" w:type="dxa"/>
                  <w:tcBorders>
                    <w:top w:val="nil"/>
                    <w:left w:val="nil"/>
                    <w:bottom w:val="single" w:sz="12" w:space="0" w:color="FFFFFF"/>
                    <w:right w:val="single" w:sz="8" w:space="0" w:color="FFFFFF"/>
                  </w:tcBorders>
                  <w:shd w:val="clear" w:color="000000" w:fill="F79646"/>
                  <w:noWrap/>
                  <w:vAlign w:val="center"/>
                  <w:hideMark/>
                </w:tcPr>
                <w:p w14:paraId="086C4178"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息差</w:t>
                  </w:r>
                </w:p>
              </w:tc>
              <w:tc>
                <w:tcPr>
                  <w:tcW w:w="943" w:type="dxa"/>
                  <w:tcBorders>
                    <w:top w:val="nil"/>
                    <w:left w:val="nil"/>
                    <w:bottom w:val="single" w:sz="12" w:space="0" w:color="FFFFFF"/>
                    <w:right w:val="single" w:sz="8" w:space="0" w:color="FFFFFF"/>
                  </w:tcBorders>
                  <w:shd w:val="clear" w:color="000000" w:fill="F79646"/>
                  <w:noWrap/>
                  <w:vAlign w:val="center"/>
                  <w:hideMark/>
                </w:tcPr>
                <w:p w14:paraId="3C185BA8"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AAA</w:t>
                  </w:r>
                </w:p>
              </w:tc>
              <w:tc>
                <w:tcPr>
                  <w:tcW w:w="943" w:type="dxa"/>
                  <w:tcBorders>
                    <w:top w:val="nil"/>
                    <w:left w:val="nil"/>
                    <w:bottom w:val="single" w:sz="12" w:space="0" w:color="FFFFFF"/>
                    <w:right w:val="single" w:sz="8" w:space="0" w:color="FFFFFF"/>
                  </w:tcBorders>
                  <w:shd w:val="clear" w:color="000000" w:fill="F79646"/>
                  <w:noWrap/>
                  <w:vAlign w:val="center"/>
                  <w:hideMark/>
                </w:tcPr>
                <w:p w14:paraId="0D810551"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29B59A44"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36EBF221"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w:t>
                  </w:r>
                </w:p>
              </w:tc>
            </w:tr>
            <w:tr w:rsidR="00D3254A" w:rsidRPr="00D3254A" w14:paraId="03FC4E6B" w14:textId="77777777" w:rsidTr="00D3254A">
              <w:trPr>
                <w:trHeight w:val="315"/>
              </w:trPr>
              <w:tc>
                <w:tcPr>
                  <w:tcW w:w="1151" w:type="dxa"/>
                  <w:tcBorders>
                    <w:top w:val="nil"/>
                    <w:left w:val="nil"/>
                    <w:bottom w:val="single" w:sz="8" w:space="0" w:color="FFFFFF"/>
                    <w:right w:val="single" w:sz="8" w:space="0" w:color="FFFFFF"/>
                  </w:tcBorders>
                  <w:shd w:val="clear" w:color="000000" w:fill="FCD5B4"/>
                  <w:noWrap/>
                  <w:vAlign w:val="center"/>
                  <w:hideMark/>
                </w:tcPr>
                <w:p w14:paraId="7109F635"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CP</w:t>
                  </w:r>
                </w:p>
              </w:tc>
              <w:tc>
                <w:tcPr>
                  <w:tcW w:w="943" w:type="dxa"/>
                  <w:tcBorders>
                    <w:top w:val="nil"/>
                    <w:left w:val="nil"/>
                    <w:bottom w:val="single" w:sz="8" w:space="0" w:color="FFFFFF"/>
                    <w:right w:val="single" w:sz="8" w:space="0" w:color="FFFFFF"/>
                  </w:tcBorders>
                  <w:shd w:val="clear" w:color="000000" w:fill="FCD5B4"/>
                  <w:noWrap/>
                  <w:vAlign w:val="center"/>
                  <w:hideMark/>
                </w:tcPr>
                <w:p w14:paraId="26373622"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-2.5 </w:t>
                  </w:r>
                </w:p>
              </w:tc>
              <w:tc>
                <w:tcPr>
                  <w:tcW w:w="943" w:type="dxa"/>
                  <w:tcBorders>
                    <w:top w:val="nil"/>
                    <w:left w:val="nil"/>
                    <w:bottom w:val="single" w:sz="8" w:space="0" w:color="FFFFFF"/>
                    <w:right w:val="single" w:sz="8" w:space="0" w:color="FFFFFF"/>
                  </w:tcBorders>
                  <w:shd w:val="clear" w:color="000000" w:fill="FCD5B4"/>
                  <w:noWrap/>
                  <w:vAlign w:val="center"/>
                  <w:hideMark/>
                </w:tcPr>
                <w:p w14:paraId="2F2478F7"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-3.5 </w:t>
                  </w:r>
                </w:p>
              </w:tc>
              <w:tc>
                <w:tcPr>
                  <w:tcW w:w="943" w:type="dxa"/>
                  <w:tcBorders>
                    <w:top w:val="nil"/>
                    <w:left w:val="nil"/>
                    <w:bottom w:val="single" w:sz="8" w:space="0" w:color="FFFFFF"/>
                    <w:right w:val="single" w:sz="8" w:space="0" w:color="FFFFFF"/>
                  </w:tcBorders>
                  <w:shd w:val="clear" w:color="000000" w:fill="FCD5B4"/>
                  <w:noWrap/>
                  <w:vAlign w:val="center"/>
                  <w:hideMark/>
                </w:tcPr>
                <w:p w14:paraId="25416191"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-2.5 </w:t>
                  </w:r>
                </w:p>
              </w:tc>
              <w:tc>
                <w:tcPr>
                  <w:tcW w:w="943" w:type="dxa"/>
                  <w:tcBorders>
                    <w:top w:val="nil"/>
                    <w:left w:val="nil"/>
                    <w:bottom w:val="single" w:sz="8" w:space="0" w:color="FFFFFF"/>
                    <w:right w:val="single" w:sz="8" w:space="0" w:color="FFFFFF"/>
                  </w:tcBorders>
                  <w:shd w:val="clear" w:color="000000" w:fill="FCD5B4"/>
                  <w:noWrap/>
                  <w:vAlign w:val="center"/>
                  <w:hideMark/>
                </w:tcPr>
                <w:p w14:paraId="5848B63D"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-2.5 </w:t>
                  </w:r>
                </w:p>
              </w:tc>
              <w:tc>
                <w:tcPr>
                  <w:tcW w:w="1179" w:type="dxa"/>
                  <w:tcBorders>
                    <w:top w:val="nil"/>
                    <w:left w:val="nil"/>
                    <w:bottom w:val="single" w:sz="8" w:space="0" w:color="FFFFFF"/>
                    <w:right w:val="single" w:sz="8" w:space="0" w:color="FFFFFF"/>
                  </w:tcBorders>
                  <w:shd w:val="clear" w:color="000000" w:fill="FCD5B4"/>
                  <w:noWrap/>
                  <w:vAlign w:val="center"/>
                  <w:hideMark/>
                </w:tcPr>
                <w:p w14:paraId="788435B2"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CP</w:t>
                  </w:r>
                </w:p>
              </w:tc>
              <w:tc>
                <w:tcPr>
                  <w:tcW w:w="943" w:type="dxa"/>
                  <w:tcBorders>
                    <w:top w:val="nil"/>
                    <w:left w:val="nil"/>
                    <w:bottom w:val="single" w:sz="8" w:space="0" w:color="FFFFFF"/>
                    <w:right w:val="single" w:sz="8" w:space="0" w:color="FFFFFF"/>
                  </w:tcBorders>
                  <w:shd w:val="clear" w:color="000000" w:fill="FCD5B4"/>
                  <w:noWrap/>
                  <w:vAlign w:val="center"/>
                  <w:hideMark/>
                </w:tcPr>
                <w:p w14:paraId="030CF151"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5.8 </w:t>
                  </w:r>
                </w:p>
              </w:tc>
              <w:tc>
                <w:tcPr>
                  <w:tcW w:w="943" w:type="dxa"/>
                  <w:tcBorders>
                    <w:top w:val="nil"/>
                    <w:left w:val="nil"/>
                    <w:bottom w:val="single" w:sz="8" w:space="0" w:color="FFFFFF"/>
                    <w:right w:val="single" w:sz="8" w:space="0" w:color="FFFFFF"/>
                  </w:tcBorders>
                  <w:shd w:val="clear" w:color="000000" w:fill="FCD5B4"/>
                  <w:noWrap/>
                  <w:vAlign w:val="center"/>
                  <w:hideMark/>
                </w:tcPr>
                <w:p w14:paraId="22926973"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4.8 </w:t>
                  </w:r>
                </w:p>
              </w:tc>
              <w:tc>
                <w:tcPr>
                  <w:tcW w:w="943" w:type="dxa"/>
                  <w:tcBorders>
                    <w:top w:val="nil"/>
                    <w:left w:val="nil"/>
                    <w:bottom w:val="single" w:sz="8" w:space="0" w:color="FFFFFF"/>
                    <w:right w:val="single" w:sz="8" w:space="0" w:color="FFFFFF"/>
                  </w:tcBorders>
                  <w:shd w:val="clear" w:color="000000" w:fill="FCD5B4"/>
                  <w:noWrap/>
                  <w:vAlign w:val="center"/>
                  <w:hideMark/>
                </w:tcPr>
                <w:p w14:paraId="65E41D05"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5.8 </w:t>
                  </w:r>
                </w:p>
              </w:tc>
              <w:tc>
                <w:tcPr>
                  <w:tcW w:w="943" w:type="dxa"/>
                  <w:tcBorders>
                    <w:top w:val="nil"/>
                    <w:left w:val="nil"/>
                    <w:bottom w:val="single" w:sz="8" w:space="0" w:color="FFFFFF"/>
                    <w:right w:val="single" w:sz="8" w:space="0" w:color="FFFFFF"/>
                  </w:tcBorders>
                  <w:shd w:val="clear" w:color="000000" w:fill="FCD5B4"/>
                  <w:noWrap/>
                  <w:vAlign w:val="center"/>
                  <w:hideMark/>
                </w:tcPr>
                <w:p w14:paraId="7B3A3B27"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5.8 </w:t>
                  </w:r>
                </w:p>
              </w:tc>
            </w:tr>
            <w:tr w:rsidR="00D3254A" w:rsidRPr="00D3254A" w14:paraId="19D70F4D" w14:textId="77777777" w:rsidTr="00D3254A">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01590D1B"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MTN3Y</w:t>
                  </w:r>
                </w:p>
              </w:tc>
              <w:tc>
                <w:tcPr>
                  <w:tcW w:w="943" w:type="dxa"/>
                  <w:tcBorders>
                    <w:top w:val="nil"/>
                    <w:left w:val="nil"/>
                    <w:bottom w:val="single" w:sz="8" w:space="0" w:color="FFFFFF"/>
                    <w:right w:val="single" w:sz="8" w:space="0" w:color="FFFFFF"/>
                  </w:tcBorders>
                  <w:shd w:val="clear" w:color="000000" w:fill="FDE9D9"/>
                  <w:noWrap/>
                  <w:vAlign w:val="center"/>
                  <w:hideMark/>
                </w:tcPr>
                <w:p w14:paraId="50587B0E"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-3.4 </w:t>
                  </w:r>
                </w:p>
              </w:tc>
              <w:tc>
                <w:tcPr>
                  <w:tcW w:w="943" w:type="dxa"/>
                  <w:tcBorders>
                    <w:top w:val="nil"/>
                    <w:left w:val="nil"/>
                    <w:bottom w:val="single" w:sz="8" w:space="0" w:color="FFFFFF"/>
                    <w:right w:val="single" w:sz="8" w:space="0" w:color="FFFFFF"/>
                  </w:tcBorders>
                  <w:shd w:val="clear" w:color="000000" w:fill="FDE9D9"/>
                  <w:noWrap/>
                  <w:vAlign w:val="center"/>
                  <w:hideMark/>
                </w:tcPr>
                <w:p w14:paraId="6D75B568"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-4.4 </w:t>
                  </w:r>
                </w:p>
              </w:tc>
              <w:tc>
                <w:tcPr>
                  <w:tcW w:w="943" w:type="dxa"/>
                  <w:tcBorders>
                    <w:top w:val="nil"/>
                    <w:left w:val="nil"/>
                    <w:bottom w:val="single" w:sz="8" w:space="0" w:color="FFFFFF"/>
                    <w:right w:val="single" w:sz="8" w:space="0" w:color="FFFFFF"/>
                  </w:tcBorders>
                  <w:shd w:val="clear" w:color="000000" w:fill="FDE9D9"/>
                  <w:noWrap/>
                  <w:vAlign w:val="center"/>
                  <w:hideMark/>
                </w:tcPr>
                <w:p w14:paraId="57BD3C9C"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-2.4 </w:t>
                  </w:r>
                </w:p>
              </w:tc>
              <w:tc>
                <w:tcPr>
                  <w:tcW w:w="943" w:type="dxa"/>
                  <w:tcBorders>
                    <w:top w:val="nil"/>
                    <w:left w:val="nil"/>
                    <w:bottom w:val="single" w:sz="8" w:space="0" w:color="FFFFFF"/>
                    <w:right w:val="single" w:sz="8" w:space="0" w:color="FFFFFF"/>
                  </w:tcBorders>
                  <w:shd w:val="clear" w:color="000000" w:fill="FDE9D9"/>
                  <w:noWrap/>
                  <w:vAlign w:val="center"/>
                  <w:hideMark/>
                </w:tcPr>
                <w:p w14:paraId="11CB00D2"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-2.4 </w:t>
                  </w:r>
                </w:p>
              </w:tc>
              <w:tc>
                <w:tcPr>
                  <w:tcW w:w="1179" w:type="dxa"/>
                  <w:tcBorders>
                    <w:top w:val="nil"/>
                    <w:left w:val="nil"/>
                    <w:bottom w:val="single" w:sz="8" w:space="0" w:color="FFFFFF"/>
                    <w:right w:val="single" w:sz="8" w:space="0" w:color="FFFFFF"/>
                  </w:tcBorders>
                  <w:shd w:val="clear" w:color="000000" w:fill="FDE9D9"/>
                  <w:noWrap/>
                  <w:vAlign w:val="center"/>
                  <w:hideMark/>
                </w:tcPr>
                <w:p w14:paraId="33EB2B17"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MTN3Y</w:t>
                  </w:r>
                </w:p>
              </w:tc>
              <w:tc>
                <w:tcPr>
                  <w:tcW w:w="943" w:type="dxa"/>
                  <w:tcBorders>
                    <w:top w:val="nil"/>
                    <w:left w:val="nil"/>
                    <w:bottom w:val="single" w:sz="8" w:space="0" w:color="FFFFFF"/>
                    <w:right w:val="single" w:sz="8" w:space="0" w:color="FFFFFF"/>
                  </w:tcBorders>
                  <w:shd w:val="clear" w:color="000000" w:fill="FDE9D9"/>
                  <w:noWrap/>
                  <w:vAlign w:val="center"/>
                  <w:hideMark/>
                </w:tcPr>
                <w:p w14:paraId="5FE0F10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4.5 </w:t>
                  </w:r>
                </w:p>
              </w:tc>
              <w:tc>
                <w:tcPr>
                  <w:tcW w:w="943" w:type="dxa"/>
                  <w:tcBorders>
                    <w:top w:val="nil"/>
                    <w:left w:val="nil"/>
                    <w:bottom w:val="single" w:sz="8" w:space="0" w:color="FFFFFF"/>
                    <w:right w:val="single" w:sz="8" w:space="0" w:color="FFFFFF"/>
                  </w:tcBorders>
                  <w:shd w:val="clear" w:color="000000" w:fill="FDE9D9"/>
                  <w:noWrap/>
                  <w:vAlign w:val="center"/>
                  <w:hideMark/>
                </w:tcPr>
                <w:p w14:paraId="538BE4BF"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3.5 </w:t>
                  </w:r>
                </w:p>
              </w:tc>
              <w:tc>
                <w:tcPr>
                  <w:tcW w:w="943" w:type="dxa"/>
                  <w:tcBorders>
                    <w:top w:val="nil"/>
                    <w:left w:val="nil"/>
                    <w:bottom w:val="single" w:sz="8" w:space="0" w:color="FFFFFF"/>
                    <w:right w:val="single" w:sz="8" w:space="0" w:color="FFFFFF"/>
                  </w:tcBorders>
                  <w:shd w:val="clear" w:color="000000" w:fill="FDE9D9"/>
                  <w:noWrap/>
                  <w:vAlign w:val="center"/>
                  <w:hideMark/>
                </w:tcPr>
                <w:p w14:paraId="38D3649B"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5.5 </w:t>
                  </w:r>
                </w:p>
              </w:tc>
              <w:tc>
                <w:tcPr>
                  <w:tcW w:w="943" w:type="dxa"/>
                  <w:tcBorders>
                    <w:top w:val="nil"/>
                    <w:left w:val="nil"/>
                    <w:bottom w:val="single" w:sz="8" w:space="0" w:color="FFFFFF"/>
                    <w:right w:val="single" w:sz="8" w:space="0" w:color="FFFFFF"/>
                  </w:tcBorders>
                  <w:shd w:val="clear" w:color="000000" w:fill="FDE9D9"/>
                  <w:noWrap/>
                  <w:vAlign w:val="center"/>
                  <w:hideMark/>
                </w:tcPr>
                <w:p w14:paraId="20C75365"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5.5 </w:t>
                  </w:r>
                </w:p>
              </w:tc>
            </w:tr>
            <w:tr w:rsidR="00D3254A" w:rsidRPr="00D3254A" w14:paraId="33DE4A58" w14:textId="77777777" w:rsidTr="00D3254A">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6A72CCFE"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MTN5Y</w:t>
                  </w:r>
                </w:p>
              </w:tc>
              <w:tc>
                <w:tcPr>
                  <w:tcW w:w="943" w:type="dxa"/>
                  <w:tcBorders>
                    <w:top w:val="nil"/>
                    <w:left w:val="nil"/>
                    <w:bottom w:val="single" w:sz="8" w:space="0" w:color="FFFFFF"/>
                    <w:right w:val="single" w:sz="8" w:space="0" w:color="FFFFFF"/>
                  </w:tcBorders>
                  <w:shd w:val="clear" w:color="000000" w:fill="FCD5B4"/>
                  <w:noWrap/>
                  <w:vAlign w:val="center"/>
                  <w:hideMark/>
                </w:tcPr>
                <w:p w14:paraId="512F2C2D"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-4.4 </w:t>
                  </w:r>
                </w:p>
              </w:tc>
              <w:tc>
                <w:tcPr>
                  <w:tcW w:w="943" w:type="dxa"/>
                  <w:tcBorders>
                    <w:top w:val="nil"/>
                    <w:left w:val="nil"/>
                    <w:bottom w:val="single" w:sz="8" w:space="0" w:color="FFFFFF"/>
                    <w:right w:val="single" w:sz="8" w:space="0" w:color="FFFFFF"/>
                  </w:tcBorders>
                  <w:shd w:val="clear" w:color="000000" w:fill="FCD5B4"/>
                  <w:noWrap/>
                  <w:vAlign w:val="center"/>
                  <w:hideMark/>
                </w:tcPr>
                <w:p w14:paraId="19BE9683"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-3.4 </w:t>
                  </w:r>
                </w:p>
              </w:tc>
              <w:tc>
                <w:tcPr>
                  <w:tcW w:w="943" w:type="dxa"/>
                  <w:tcBorders>
                    <w:top w:val="nil"/>
                    <w:left w:val="nil"/>
                    <w:bottom w:val="single" w:sz="8" w:space="0" w:color="FFFFFF"/>
                    <w:right w:val="single" w:sz="8" w:space="0" w:color="FFFFFF"/>
                  </w:tcBorders>
                  <w:shd w:val="clear" w:color="000000" w:fill="FCD5B4"/>
                  <w:noWrap/>
                  <w:vAlign w:val="center"/>
                  <w:hideMark/>
                </w:tcPr>
                <w:p w14:paraId="3FA0E31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-3.4 </w:t>
                  </w:r>
                </w:p>
              </w:tc>
              <w:tc>
                <w:tcPr>
                  <w:tcW w:w="943" w:type="dxa"/>
                  <w:tcBorders>
                    <w:top w:val="nil"/>
                    <w:left w:val="nil"/>
                    <w:bottom w:val="single" w:sz="8" w:space="0" w:color="FFFFFF"/>
                    <w:right w:val="single" w:sz="8" w:space="0" w:color="FFFFFF"/>
                  </w:tcBorders>
                  <w:shd w:val="clear" w:color="000000" w:fill="FCD5B4"/>
                  <w:noWrap/>
                  <w:vAlign w:val="center"/>
                  <w:hideMark/>
                </w:tcPr>
                <w:p w14:paraId="1A35292D"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-3.4 </w:t>
                  </w:r>
                </w:p>
              </w:tc>
              <w:tc>
                <w:tcPr>
                  <w:tcW w:w="1179" w:type="dxa"/>
                  <w:tcBorders>
                    <w:top w:val="nil"/>
                    <w:left w:val="nil"/>
                    <w:bottom w:val="single" w:sz="8" w:space="0" w:color="FFFFFF"/>
                    <w:right w:val="single" w:sz="8" w:space="0" w:color="FFFFFF"/>
                  </w:tcBorders>
                  <w:shd w:val="clear" w:color="000000" w:fill="FCD5B4"/>
                  <w:noWrap/>
                  <w:vAlign w:val="center"/>
                  <w:hideMark/>
                </w:tcPr>
                <w:p w14:paraId="047956D4"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MTN5Y</w:t>
                  </w:r>
                </w:p>
              </w:tc>
              <w:tc>
                <w:tcPr>
                  <w:tcW w:w="943" w:type="dxa"/>
                  <w:tcBorders>
                    <w:top w:val="nil"/>
                    <w:left w:val="nil"/>
                    <w:bottom w:val="single" w:sz="8" w:space="0" w:color="FFFFFF"/>
                    <w:right w:val="single" w:sz="8" w:space="0" w:color="FFFFFF"/>
                  </w:tcBorders>
                  <w:shd w:val="clear" w:color="000000" w:fill="FCD5B4"/>
                  <w:noWrap/>
                  <w:vAlign w:val="center"/>
                  <w:hideMark/>
                </w:tcPr>
                <w:p w14:paraId="3E04AE53"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-0.8 </w:t>
                  </w:r>
                </w:p>
              </w:tc>
              <w:tc>
                <w:tcPr>
                  <w:tcW w:w="943" w:type="dxa"/>
                  <w:tcBorders>
                    <w:top w:val="nil"/>
                    <w:left w:val="nil"/>
                    <w:bottom w:val="single" w:sz="8" w:space="0" w:color="FFFFFF"/>
                    <w:right w:val="single" w:sz="8" w:space="0" w:color="FFFFFF"/>
                  </w:tcBorders>
                  <w:shd w:val="clear" w:color="000000" w:fill="FCD5B4"/>
                  <w:noWrap/>
                  <w:vAlign w:val="center"/>
                  <w:hideMark/>
                </w:tcPr>
                <w:p w14:paraId="54A07F8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0.2 </w:t>
                  </w:r>
                </w:p>
              </w:tc>
              <w:tc>
                <w:tcPr>
                  <w:tcW w:w="943" w:type="dxa"/>
                  <w:tcBorders>
                    <w:top w:val="nil"/>
                    <w:left w:val="nil"/>
                    <w:bottom w:val="single" w:sz="8" w:space="0" w:color="FFFFFF"/>
                    <w:right w:val="single" w:sz="8" w:space="0" w:color="FFFFFF"/>
                  </w:tcBorders>
                  <w:shd w:val="clear" w:color="000000" w:fill="FCD5B4"/>
                  <w:noWrap/>
                  <w:vAlign w:val="center"/>
                  <w:hideMark/>
                </w:tcPr>
                <w:p w14:paraId="2C49C5B9"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0.2 </w:t>
                  </w:r>
                </w:p>
              </w:tc>
              <w:tc>
                <w:tcPr>
                  <w:tcW w:w="943" w:type="dxa"/>
                  <w:tcBorders>
                    <w:top w:val="nil"/>
                    <w:left w:val="nil"/>
                    <w:bottom w:val="single" w:sz="8" w:space="0" w:color="FFFFFF"/>
                    <w:right w:val="single" w:sz="8" w:space="0" w:color="FFFFFF"/>
                  </w:tcBorders>
                  <w:shd w:val="clear" w:color="000000" w:fill="FCD5B4"/>
                  <w:noWrap/>
                  <w:vAlign w:val="center"/>
                  <w:hideMark/>
                </w:tcPr>
                <w:p w14:paraId="253315F6"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0.2 </w:t>
                  </w:r>
                </w:p>
              </w:tc>
            </w:tr>
            <w:tr w:rsidR="00D3254A" w:rsidRPr="00D3254A" w14:paraId="2ED32AC0" w14:textId="77777777" w:rsidTr="00D3254A">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71D6F2D9"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企业债3Y</w:t>
                  </w:r>
                </w:p>
              </w:tc>
              <w:tc>
                <w:tcPr>
                  <w:tcW w:w="943" w:type="dxa"/>
                  <w:tcBorders>
                    <w:top w:val="nil"/>
                    <w:left w:val="nil"/>
                    <w:bottom w:val="single" w:sz="8" w:space="0" w:color="FFFFFF"/>
                    <w:right w:val="single" w:sz="8" w:space="0" w:color="FFFFFF"/>
                  </w:tcBorders>
                  <w:shd w:val="clear" w:color="000000" w:fill="FDE9D9"/>
                  <w:noWrap/>
                  <w:vAlign w:val="center"/>
                  <w:hideMark/>
                </w:tcPr>
                <w:p w14:paraId="5E2F69B7"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-4.1 </w:t>
                  </w:r>
                </w:p>
              </w:tc>
              <w:tc>
                <w:tcPr>
                  <w:tcW w:w="943" w:type="dxa"/>
                  <w:tcBorders>
                    <w:top w:val="nil"/>
                    <w:left w:val="nil"/>
                    <w:bottom w:val="single" w:sz="8" w:space="0" w:color="FFFFFF"/>
                    <w:right w:val="single" w:sz="8" w:space="0" w:color="FFFFFF"/>
                  </w:tcBorders>
                  <w:shd w:val="clear" w:color="000000" w:fill="FDE9D9"/>
                  <w:noWrap/>
                  <w:vAlign w:val="center"/>
                  <w:hideMark/>
                </w:tcPr>
                <w:p w14:paraId="5BF7671F"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-3.1 </w:t>
                  </w:r>
                </w:p>
              </w:tc>
              <w:tc>
                <w:tcPr>
                  <w:tcW w:w="943" w:type="dxa"/>
                  <w:tcBorders>
                    <w:top w:val="nil"/>
                    <w:left w:val="nil"/>
                    <w:bottom w:val="single" w:sz="8" w:space="0" w:color="FFFFFF"/>
                    <w:right w:val="single" w:sz="8" w:space="0" w:color="FFFFFF"/>
                  </w:tcBorders>
                  <w:shd w:val="clear" w:color="000000" w:fill="FDE9D9"/>
                  <w:noWrap/>
                  <w:vAlign w:val="center"/>
                  <w:hideMark/>
                </w:tcPr>
                <w:p w14:paraId="3D3C01B4"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-3.1 </w:t>
                  </w:r>
                </w:p>
              </w:tc>
              <w:tc>
                <w:tcPr>
                  <w:tcW w:w="943" w:type="dxa"/>
                  <w:tcBorders>
                    <w:top w:val="nil"/>
                    <w:left w:val="nil"/>
                    <w:bottom w:val="single" w:sz="8" w:space="0" w:color="FFFFFF"/>
                    <w:right w:val="single" w:sz="8" w:space="0" w:color="FFFFFF"/>
                  </w:tcBorders>
                  <w:shd w:val="clear" w:color="000000" w:fill="FDE9D9"/>
                  <w:noWrap/>
                  <w:vAlign w:val="center"/>
                  <w:hideMark/>
                </w:tcPr>
                <w:p w14:paraId="421A3061"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-3.1 </w:t>
                  </w:r>
                </w:p>
              </w:tc>
              <w:tc>
                <w:tcPr>
                  <w:tcW w:w="1179" w:type="dxa"/>
                  <w:tcBorders>
                    <w:top w:val="nil"/>
                    <w:left w:val="nil"/>
                    <w:bottom w:val="single" w:sz="8" w:space="0" w:color="FFFFFF"/>
                    <w:right w:val="single" w:sz="8" w:space="0" w:color="FFFFFF"/>
                  </w:tcBorders>
                  <w:shd w:val="clear" w:color="000000" w:fill="FDE9D9"/>
                  <w:noWrap/>
                  <w:vAlign w:val="center"/>
                  <w:hideMark/>
                </w:tcPr>
                <w:p w14:paraId="01BED8DA"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企业债3Y</w:t>
                  </w:r>
                </w:p>
              </w:tc>
              <w:tc>
                <w:tcPr>
                  <w:tcW w:w="943" w:type="dxa"/>
                  <w:tcBorders>
                    <w:top w:val="nil"/>
                    <w:left w:val="nil"/>
                    <w:bottom w:val="single" w:sz="8" w:space="0" w:color="FFFFFF"/>
                    <w:right w:val="single" w:sz="8" w:space="0" w:color="FFFFFF"/>
                  </w:tcBorders>
                  <w:shd w:val="clear" w:color="000000" w:fill="FDE9D9"/>
                  <w:noWrap/>
                  <w:vAlign w:val="center"/>
                  <w:hideMark/>
                </w:tcPr>
                <w:p w14:paraId="1191CDFC"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3.8 </w:t>
                  </w:r>
                </w:p>
              </w:tc>
              <w:tc>
                <w:tcPr>
                  <w:tcW w:w="943" w:type="dxa"/>
                  <w:tcBorders>
                    <w:top w:val="nil"/>
                    <w:left w:val="nil"/>
                    <w:bottom w:val="single" w:sz="8" w:space="0" w:color="FFFFFF"/>
                    <w:right w:val="single" w:sz="8" w:space="0" w:color="FFFFFF"/>
                  </w:tcBorders>
                  <w:shd w:val="clear" w:color="000000" w:fill="FDE9D9"/>
                  <w:noWrap/>
                  <w:vAlign w:val="center"/>
                  <w:hideMark/>
                </w:tcPr>
                <w:p w14:paraId="2197E52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4.8 </w:t>
                  </w:r>
                </w:p>
              </w:tc>
              <w:tc>
                <w:tcPr>
                  <w:tcW w:w="943" w:type="dxa"/>
                  <w:tcBorders>
                    <w:top w:val="nil"/>
                    <w:left w:val="nil"/>
                    <w:bottom w:val="single" w:sz="8" w:space="0" w:color="FFFFFF"/>
                    <w:right w:val="single" w:sz="8" w:space="0" w:color="FFFFFF"/>
                  </w:tcBorders>
                  <w:shd w:val="clear" w:color="000000" w:fill="FDE9D9"/>
                  <w:noWrap/>
                  <w:vAlign w:val="center"/>
                  <w:hideMark/>
                </w:tcPr>
                <w:p w14:paraId="5B3F319B"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4.8 </w:t>
                  </w:r>
                </w:p>
              </w:tc>
              <w:tc>
                <w:tcPr>
                  <w:tcW w:w="943" w:type="dxa"/>
                  <w:tcBorders>
                    <w:top w:val="nil"/>
                    <w:left w:val="nil"/>
                    <w:bottom w:val="single" w:sz="8" w:space="0" w:color="FFFFFF"/>
                    <w:right w:val="single" w:sz="8" w:space="0" w:color="FFFFFF"/>
                  </w:tcBorders>
                  <w:shd w:val="clear" w:color="000000" w:fill="FDE9D9"/>
                  <w:noWrap/>
                  <w:vAlign w:val="center"/>
                  <w:hideMark/>
                </w:tcPr>
                <w:p w14:paraId="225EEDBD"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4.8 </w:t>
                  </w:r>
                </w:p>
              </w:tc>
            </w:tr>
            <w:tr w:rsidR="00D3254A" w:rsidRPr="00D3254A" w14:paraId="060238E6" w14:textId="77777777" w:rsidTr="00D3254A">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761BDF57"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企业债5Y</w:t>
                  </w:r>
                </w:p>
              </w:tc>
              <w:tc>
                <w:tcPr>
                  <w:tcW w:w="943" w:type="dxa"/>
                  <w:tcBorders>
                    <w:top w:val="nil"/>
                    <w:left w:val="nil"/>
                    <w:bottom w:val="single" w:sz="8" w:space="0" w:color="FFFFFF"/>
                    <w:right w:val="single" w:sz="8" w:space="0" w:color="FFFFFF"/>
                  </w:tcBorders>
                  <w:shd w:val="clear" w:color="000000" w:fill="FCD5B4"/>
                  <w:noWrap/>
                  <w:vAlign w:val="center"/>
                  <w:hideMark/>
                </w:tcPr>
                <w:p w14:paraId="2653F369"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-0.1 </w:t>
                  </w:r>
                </w:p>
              </w:tc>
              <w:tc>
                <w:tcPr>
                  <w:tcW w:w="943" w:type="dxa"/>
                  <w:tcBorders>
                    <w:top w:val="nil"/>
                    <w:left w:val="nil"/>
                    <w:bottom w:val="single" w:sz="8" w:space="0" w:color="FFFFFF"/>
                    <w:right w:val="single" w:sz="8" w:space="0" w:color="FFFFFF"/>
                  </w:tcBorders>
                  <w:shd w:val="clear" w:color="000000" w:fill="FCD5B4"/>
                  <w:noWrap/>
                  <w:vAlign w:val="center"/>
                  <w:hideMark/>
                </w:tcPr>
                <w:p w14:paraId="7DADBEB6"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-0.1 </w:t>
                  </w:r>
                </w:p>
              </w:tc>
              <w:tc>
                <w:tcPr>
                  <w:tcW w:w="943" w:type="dxa"/>
                  <w:tcBorders>
                    <w:top w:val="nil"/>
                    <w:left w:val="nil"/>
                    <w:bottom w:val="single" w:sz="8" w:space="0" w:color="FFFFFF"/>
                    <w:right w:val="single" w:sz="8" w:space="0" w:color="FFFFFF"/>
                  </w:tcBorders>
                  <w:shd w:val="clear" w:color="000000" w:fill="FCD5B4"/>
                  <w:noWrap/>
                  <w:vAlign w:val="center"/>
                  <w:hideMark/>
                </w:tcPr>
                <w:p w14:paraId="0D7A3578"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0.9 </w:t>
                  </w:r>
                </w:p>
              </w:tc>
              <w:tc>
                <w:tcPr>
                  <w:tcW w:w="943" w:type="dxa"/>
                  <w:tcBorders>
                    <w:top w:val="nil"/>
                    <w:left w:val="nil"/>
                    <w:bottom w:val="single" w:sz="8" w:space="0" w:color="FFFFFF"/>
                    <w:right w:val="single" w:sz="8" w:space="0" w:color="FFFFFF"/>
                  </w:tcBorders>
                  <w:shd w:val="clear" w:color="000000" w:fill="FCD5B4"/>
                  <w:noWrap/>
                  <w:vAlign w:val="center"/>
                  <w:hideMark/>
                </w:tcPr>
                <w:p w14:paraId="2461FF0F"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0.9 </w:t>
                  </w:r>
                </w:p>
              </w:tc>
              <w:tc>
                <w:tcPr>
                  <w:tcW w:w="1179" w:type="dxa"/>
                  <w:tcBorders>
                    <w:top w:val="nil"/>
                    <w:left w:val="nil"/>
                    <w:bottom w:val="single" w:sz="8" w:space="0" w:color="FFFFFF"/>
                    <w:right w:val="single" w:sz="8" w:space="0" w:color="FFFFFF"/>
                  </w:tcBorders>
                  <w:shd w:val="clear" w:color="000000" w:fill="FCD5B4"/>
                  <w:noWrap/>
                  <w:vAlign w:val="center"/>
                  <w:hideMark/>
                </w:tcPr>
                <w:p w14:paraId="5E829A58"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企业债5Y</w:t>
                  </w:r>
                </w:p>
              </w:tc>
              <w:tc>
                <w:tcPr>
                  <w:tcW w:w="943" w:type="dxa"/>
                  <w:tcBorders>
                    <w:top w:val="nil"/>
                    <w:left w:val="nil"/>
                    <w:bottom w:val="single" w:sz="8" w:space="0" w:color="FFFFFF"/>
                    <w:right w:val="single" w:sz="8" w:space="0" w:color="FFFFFF"/>
                  </w:tcBorders>
                  <w:shd w:val="clear" w:color="000000" w:fill="FCD5B4"/>
                  <w:noWrap/>
                  <w:vAlign w:val="center"/>
                  <w:hideMark/>
                </w:tcPr>
                <w:p w14:paraId="53680F23"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3.6 </w:t>
                  </w:r>
                </w:p>
              </w:tc>
              <w:tc>
                <w:tcPr>
                  <w:tcW w:w="943" w:type="dxa"/>
                  <w:tcBorders>
                    <w:top w:val="nil"/>
                    <w:left w:val="nil"/>
                    <w:bottom w:val="single" w:sz="8" w:space="0" w:color="FFFFFF"/>
                    <w:right w:val="single" w:sz="8" w:space="0" w:color="FFFFFF"/>
                  </w:tcBorders>
                  <w:shd w:val="clear" w:color="000000" w:fill="FCD5B4"/>
                  <w:noWrap/>
                  <w:vAlign w:val="center"/>
                  <w:hideMark/>
                </w:tcPr>
                <w:p w14:paraId="5A19A481"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3.5 </w:t>
                  </w:r>
                </w:p>
              </w:tc>
              <w:tc>
                <w:tcPr>
                  <w:tcW w:w="943" w:type="dxa"/>
                  <w:tcBorders>
                    <w:top w:val="nil"/>
                    <w:left w:val="nil"/>
                    <w:bottom w:val="single" w:sz="8" w:space="0" w:color="FFFFFF"/>
                    <w:right w:val="single" w:sz="8" w:space="0" w:color="FFFFFF"/>
                  </w:tcBorders>
                  <w:shd w:val="clear" w:color="000000" w:fill="FCD5B4"/>
                  <w:noWrap/>
                  <w:vAlign w:val="center"/>
                  <w:hideMark/>
                </w:tcPr>
                <w:p w14:paraId="24C8CD32"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4.6 </w:t>
                  </w:r>
                </w:p>
              </w:tc>
              <w:tc>
                <w:tcPr>
                  <w:tcW w:w="943" w:type="dxa"/>
                  <w:tcBorders>
                    <w:top w:val="nil"/>
                    <w:left w:val="nil"/>
                    <w:bottom w:val="single" w:sz="8" w:space="0" w:color="FFFFFF"/>
                    <w:right w:val="single" w:sz="8" w:space="0" w:color="FFFFFF"/>
                  </w:tcBorders>
                  <w:shd w:val="clear" w:color="000000" w:fill="FCD5B4"/>
                  <w:noWrap/>
                  <w:vAlign w:val="center"/>
                  <w:hideMark/>
                </w:tcPr>
                <w:p w14:paraId="4674B2F5"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4.6 </w:t>
                  </w:r>
                </w:p>
              </w:tc>
            </w:tr>
            <w:tr w:rsidR="00D3254A" w:rsidRPr="00D3254A" w14:paraId="6B41DA79" w14:textId="77777777" w:rsidTr="00D3254A">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1E4D8581"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企业债7Y</w:t>
                  </w:r>
                </w:p>
              </w:tc>
              <w:tc>
                <w:tcPr>
                  <w:tcW w:w="943" w:type="dxa"/>
                  <w:tcBorders>
                    <w:top w:val="nil"/>
                    <w:left w:val="nil"/>
                    <w:bottom w:val="single" w:sz="8" w:space="0" w:color="FFFFFF"/>
                    <w:right w:val="single" w:sz="8" w:space="0" w:color="FFFFFF"/>
                  </w:tcBorders>
                  <w:shd w:val="clear" w:color="000000" w:fill="FDE9D9"/>
                  <w:noWrap/>
                  <w:vAlign w:val="center"/>
                  <w:hideMark/>
                </w:tcPr>
                <w:p w14:paraId="1F077750"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-2.4 </w:t>
                  </w:r>
                </w:p>
              </w:tc>
              <w:tc>
                <w:tcPr>
                  <w:tcW w:w="943" w:type="dxa"/>
                  <w:tcBorders>
                    <w:top w:val="nil"/>
                    <w:left w:val="nil"/>
                    <w:bottom w:val="single" w:sz="8" w:space="0" w:color="FFFFFF"/>
                    <w:right w:val="single" w:sz="8" w:space="0" w:color="FFFFFF"/>
                  </w:tcBorders>
                  <w:shd w:val="clear" w:color="000000" w:fill="FDE9D9"/>
                  <w:noWrap/>
                  <w:vAlign w:val="center"/>
                  <w:hideMark/>
                </w:tcPr>
                <w:p w14:paraId="7C78FC8B"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-2.4 </w:t>
                  </w:r>
                </w:p>
              </w:tc>
              <w:tc>
                <w:tcPr>
                  <w:tcW w:w="943" w:type="dxa"/>
                  <w:tcBorders>
                    <w:top w:val="nil"/>
                    <w:left w:val="nil"/>
                    <w:bottom w:val="single" w:sz="8" w:space="0" w:color="FFFFFF"/>
                    <w:right w:val="single" w:sz="8" w:space="0" w:color="FFFFFF"/>
                  </w:tcBorders>
                  <w:shd w:val="clear" w:color="000000" w:fill="FDE9D9"/>
                  <w:noWrap/>
                  <w:vAlign w:val="center"/>
                  <w:hideMark/>
                </w:tcPr>
                <w:p w14:paraId="487D6173"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-1.4 </w:t>
                  </w:r>
                </w:p>
              </w:tc>
              <w:tc>
                <w:tcPr>
                  <w:tcW w:w="943" w:type="dxa"/>
                  <w:tcBorders>
                    <w:top w:val="nil"/>
                    <w:left w:val="nil"/>
                    <w:bottom w:val="single" w:sz="8" w:space="0" w:color="FFFFFF"/>
                    <w:right w:val="single" w:sz="8" w:space="0" w:color="FFFFFF"/>
                  </w:tcBorders>
                  <w:shd w:val="clear" w:color="000000" w:fill="FDE9D9"/>
                  <w:noWrap/>
                  <w:vAlign w:val="center"/>
                  <w:hideMark/>
                </w:tcPr>
                <w:p w14:paraId="0D10437C"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-1.4 </w:t>
                  </w:r>
                </w:p>
              </w:tc>
              <w:tc>
                <w:tcPr>
                  <w:tcW w:w="1179" w:type="dxa"/>
                  <w:tcBorders>
                    <w:top w:val="nil"/>
                    <w:left w:val="nil"/>
                    <w:bottom w:val="single" w:sz="8" w:space="0" w:color="FFFFFF"/>
                    <w:right w:val="single" w:sz="8" w:space="0" w:color="FFFFFF"/>
                  </w:tcBorders>
                  <w:shd w:val="clear" w:color="000000" w:fill="FDE9D9"/>
                  <w:noWrap/>
                  <w:vAlign w:val="center"/>
                  <w:hideMark/>
                </w:tcPr>
                <w:p w14:paraId="43F9A332"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企业债7Y</w:t>
                  </w:r>
                </w:p>
              </w:tc>
              <w:tc>
                <w:tcPr>
                  <w:tcW w:w="943" w:type="dxa"/>
                  <w:tcBorders>
                    <w:top w:val="nil"/>
                    <w:left w:val="nil"/>
                    <w:bottom w:val="single" w:sz="8" w:space="0" w:color="FFFFFF"/>
                    <w:right w:val="single" w:sz="8" w:space="0" w:color="FFFFFF"/>
                  </w:tcBorders>
                  <w:shd w:val="clear" w:color="000000" w:fill="FDE9D9"/>
                  <w:noWrap/>
                  <w:vAlign w:val="center"/>
                  <w:hideMark/>
                </w:tcPr>
                <w:p w14:paraId="5AF68303"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0.9 </w:t>
                  </w:r>
                </w:p>
              </w:tc>
              <w:tc>
                <w:tcPr>
                  <w:tcW w:w="943" w:type="dxa"/>
                  <w:tcBorders>
                    <w:top w:val="nil"/>
                    <w:left w:val="nil"/>
                    <w:bottom w:val="single" w:sz="8" w:space="0" w:color="FFFFFF"/>
                    <w:right w:val="single" w:sz="8" w:space="0" w:color="FFFFFF"/>
                  </w:tcBorders>
                  <w:shd w:val="clear" w:color="000000" w:fill="FDE9D9"/>
                  <w:noWrap/>
                  <w:vAlign w:val="center"/>
                  <w:hideMark/>
                </w:tcPr>
                <w:p w14:paraId="3E0CFFB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0.9 </w:t>
                  </w:r>
                </w:p>
              </w:tc>
              <w:tc>
                <w:tcPr>
                  <w:tcW w:w="943" w:type="dxa"/>
                  <w:tcBorders>
                    <w:top w:val="nil"/>
                    <w:left w:val="nil"/>
                    <w:bottom w:val="single" w:sz="8" w:space="0" w:color="FFFFFF"/>
                    <w:right w:val="single" w:sz="8" w:space="0" w:color="FFFFFF"/>
                  </w:tcBorders>
                  <w:shd w:val="clear" w:color="000000" w:fill="FDE9D9"/>
                  <w:noWrap/>
                  <w:vAlign w:val="center"/>
                  <w:hideMark/>
                </w:tcPr>
                <w:p w14:paraId="13BB6328"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1.9 </w:t>
                  </w:r>
                </w:p>
              </w:tc>
              <w:tc>
                <w:tcPr>
                  <w:tcW w:w="943" w:type="dxa"/>
                  <w:tcBorders>
                    <w:top w:val="nil"/>
                    <w:left w:val="nil"/>
                    <w:bottom w:val="single" w:sz="8" w:space="0" w:color="FFFFFF"/>
                    <w:right w:val="single" w:sz="8" w:space="0" w:color="FFFFFF"/>
                  </w:tcBorders>
                  <w:shd w:val="clear" w:color="000000" w:fill="FDE9D9"/>
                  <w:noWrap/>
                  <w:vAlign w:val="center"/>
                  <w:hideMark/>
                </w:tcPr>
                <w:p w14:paraId="16D7AE2E"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1.9 </w:t>
                  </w:r>
                </w:p>
              </w:tc>
            </w:tr>
            <w:tr w:rsidR="00D3254A" w:rsidRPr="00D3254A" w14:paraId="0870E146" w14:textId="77777777" w:rsidTr="00D3254A">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586743E6" w14:textId="77777777" w:rsidR="00D3254A" w:rsidRPr="00D3254A" w:rsidRDefault="00D3254A" w:rsidP="00D3254A">
                  <w:pPr>
                    <w:widowControl/>
                    <w:jc w:val="center"/>
                    <w:rPr>
                      <w:rFonts w:ascii="楷体" w:eastAsia="楷体" w:hAnsi="楷体" w:cs="宋体"/>
                      <w:color w:val="000000"/>
                      <w:kern w:val="0"/>
                      <w:sz w:val="20"/>
                      <w:szCs w:val="20"/>
                    </w:rPr>
                  </w:pPr>
                  <w:proofErr w:type="gramStart"/>
                  <w:r w:rsidRPr="00D3254A">
                    <w:rPr>
                      <w:rFonts w:ascii="楷体" w:eastAsia="楷体" w:hAnsi="楷体" w:cs="宋体" w:hint="eastAsia"/>
                      <w:color w:val="000000"/>
                      <w:kern w:val="0"/>
                      <w:sz w:val="20"/>
                      <w:szCs w:val="20"/>
                    </w:rPr>
                    <w:t>城投债</w:t>
                  </w:r>
                  <w:proofErr w:type="gramEnd"/>
                  <w:r w:rsidRPr="00D3254A">
                    <w:rPr>
                      <w:rFonts w:ascii="楷体" w:eastAsia="楷体" w:hAnsi="楷体" w:cs="宋体" w:hint="eastAsia"/>
                      <w:color w:val="000000"/>
                      <w:kern w:val="0"/>
                      <w:sz w:val="20"/>
                      <w:szCs w:val="20"/>
                    </w:rPr>
                    <w:t>3Y</w:t>
                  </w:r>
                </w:p>
              </w:tc>
              <w:tc>
                <w:tcPr>
                  <w:tcW w:w="943" w:type="dxa"/>
                  <w:tcBorders>
                    <w:top w:val="nil"/>
                    <w:left w:val="nil"/>
                    <w:bottom w:val="single" w:sz="8" w:space="0" w:color="FFFFFF"/>
                    <w:right w:val="single" w:sz="8" w:space="0" w:color="FFFFFF"/>
                  </w:tcBorders>
                  <w:shd w:val="clear" w:color="000000" w:fill="FCD5B4"/>
                  <w:noWrap/>
                  <w:vAlign w:val="center"/>
                  <w:hideMark/>
                </w:tcPr>
                <w:p w14:paraId="0CA4B6C9"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-6.7 </w:t>
                  </w:r>
                </w:p>
              </w:tc>
              <w:tc>
                <w:tcPr>
                  <w:tcW w:w="943" w:type="dxa"/>
                  <w:tcBorders>
                    <w:top w:val="nil"/>
                    <w:left w:val="nil"/>
                    <w:bottom w:val="single" w:sz="8" w:space="0" w:color="FFFFFF"/>
                    <w:right w:val="single" w:sz="8" w:space="0" w:color="FFFFFF"/>
                  </w:tcBorders>
                  <w:shd w:val="clear" w:color="000000" w:fill="FCD5B4"/>
                  <w:noWrap/>
                  <w:vAlign w:val="center"/>
                  <w:hideMark/>
                </w:tcPr>
                <w:p w14:paraId="2604E389"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-4.7 </w:t>
                  </w:r>
                </w:p>
              </w:tc>
              <w:tc>
                <w:tcPr>
                  <w:tcW w:w="943" w:type="dxa"/>
                  <w:tcBorders>
                    <w:top w:val="nil"/>
                    <w:left w:val="nil"/>
                    <w:bottom w:val="single" w:sz="8" w:space="0" w:color="FFFFFF"/>
                    <w:right w:val="single" w:sz="8" w:space="0" w:color="FFFFFF"/>
                  </w:tcBorders>
                  <w:shd w:val="clear" w:color="000000" w:fill="FCD5B4"/>
                  <w:noWrap/>
                  <w:vAlign w:val="center"/>
                  <w:hideMark/>
                </w:tcPr>
                <w:p w14:paraId="2499C02F"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-1.7 </w:t>
                  </w:r>
                </w:p>
              </w:tc>
              <w:tc>
                <w:tcPr>
                  <w:tcW w:w="943" w:type="dxa"/>
                  <w:tcBorders>
                    <w:top w:val="nil"/>
                    <w:left w:val="nil"/>
                    <w:bottom w:val="single" w:sz="8" w:space="0" w:color="FFFFFF"/>
                    <w:right w:val="single" w:sz="8" w:space="0" w:color="FFFFFF"/>
                  </w:tcBorders>
                  <w:shd w:val="clear" w:color="000000" w:fill="FCD5B4"/>
                  <w:noWrap/>
                  <w:vAlign w:val="center"/>
                  <w:hideMark/>
                </w:tcPr>
                <w:p w14:paraId="396E9481"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0.3 </w:t>
                  </w:r>
                </w:p>
              </w:tc>
              <w:tc>
                <w:tcPr>
                  <w:tcW w:w="1179" w:type="dxa"/>
                  <w:tcBorders>
                    <w:top w:val="nil"/>
                    <w:left w:val="nil"/>
                    <w:bottom w:val="single" w:sz="8" w:space="0" w:color="FFFFFF"/>
                    <w:right w:val="single" w:sz="8" w:space="0" w:color="FFFFFF"/>
                  </w:tcBorders>
                  <w:shd w:val="clear" w:color="000000" w:fill="FCD5B4"/>
                  <w:noWrap/>
                  <w:vAlign w:val="center"/>
                  <w:hideMark/>
                </w:tcPr>
                <w:p w14:paraId="6243F300" w14:textId="77777777" w:rsidR="00D3254A" w:rsidRPr="00D3254A" w:rsidRDefault="00D3254A" w:rsidP="00D3254A">
                  <w:pPr>
                    <w:widowControl/>
                    <w:jc w:val="center"/>
                    <w:rPr>
                      <w:rFonts w:ascii="楷体" w:eastAsia="楷体" w:hAnsi="楷体" w:cs="宋体"/>
                      <w:color w:val="000000"/>
                      <w:kern w:val="0"/>
                      <w:sz w:val="20"/>
                      <w:szCs w:val="20"/>
                    </w:rPr>
                  </w:pPr>
                  <w:proofErr w:type="gramStart"/>
                  <w:r w:rsidRPr="00D3254A">
                    <w:rPr>
                      <w:rFonts w:ascii="楷体" w:eastAsia="楷体" w:hAnsi="楷体" w:cs="宋体" w:hint="eastAsia"/>
                      <w:color w:val="000000"/>
                      <w:kern w:val="0"/>
                      <w:sz w:val="20"/>
                      <w:szCs w:val="20"/>
                    </w:rPr>
                    <w:t>城投债</w:t>
                  </w:r>
                  <w:proofErr w:type="gramEnd"/>
                  <w:r w:rsidRPr="00D3254A">
                    <w:rPr>
                      <w:rFonts w:ascii="楷体" w:eastAsia="楷体" w:hAnsi="楷体" w:cs="宋体" w:hint="eastAsia"/>
                      <w:color w:val="000000"/>
                      <w:kern w:val="0"/>
                      <w:sz w:val="20"/>
                      <w:szCs w:val="20"/>
                    </w:rPr>
                    <w:t>3Y</w:t>
                  </w:r>
                </w:p>
              </w:tc>
              <w:tc>
                <w:tcPr>
                  <w:tcW w:w="943" w:type="dxa"/>
                  <w:tcBorders>
                    <w:top w:val="nil"/>
                    <w:left w:val="nil"/>
                    <w:bottom w:val="single" w:sz="8" w:space="0" w:color="FFFFFF"/>
                    <w:right w:val="single" w:sz="8" w:space="0" w:color="FFFFFF"/>
                  </w:tcBorders>
                  <w:shd w:val="clear" w:color="000000" w:fill="FCD5B4"/>
                  <w:noWrap/>
                  <w:vAlign w:val="center"/>
                  <w:hideMark/>
                </w:tcPr>
                <w:p w14:paraId="63CE348B"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1.2 </w:t>
                  </w:r>
                </w:p>
              </w:tc>
              <w:tc>
                <w:tcPr>
                  <w:tcW w:w="943" w:type="dxa"/>
                  <w:tcBorders>
                    <w:top w:val="nil"/>
                    <w:left w:val="nil"/>
                    <w:bottom w:val="single" w:sz="8" w:space="0" w:color="FFFFFF"/>
                    <w:right w:val="single" w:sz="8" w:space="0" w:color="FFFFFF"/>
                  </w:tcBorders>
                  <w:shd w:val="clear" w:color="000000" w:fill="FCD5B4"/>
                  <w:noWrap/>
                  <w:vAlign w:val="center"/>
                  <w:hideMark/>
                </w:tcPr>
                <w:p w14:paraId="78C2A7C3"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3.2 </w:t>
                  </w:r>
                </w:p>
              </w:tc>
              <w:tc>
                <w:tcPr>
                  <w:tcW w:w="943" w:type="dxa"/>
                  <w:tcBorders>
                    <w:top w:val="nil"/>
                    <w:left w:val="nil"/>
                    <w:bottom w:val="single" w:sz="8" w:space="0" w:color="FFFFFF"/>
                    <w:right w:val="single" w:sz="8" w:space="0" w:color="FFFFFF"/>
                  </w:tcBorders>
                  <w:shd w:val="clear" w:color="000000" w:fill="FCD5B4"/>
                  <w:noWrap/>
                  <w:vAlign w:val="center"/>
                  <w:hideMark/>
                </w:tcPr>
                <w:p w14:paraId="5EAAD9ED"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6.2 </w:t>
                  </w:r>
                </w:p>
              </w:tc>
              <w:tc>
                <w:tcPr>
                  <w:tcW w:w="943" w:type="dxa"/>
                  <w:tcBorders>
                    <w:top w:val="nil"/>
                    <w:left w:val="nil"/>
                    <w:bottom w:val="single" w:sz="8" w:space="0" w:color="FFFFFF"/>
                    <w:right w:val="single" w:sz="8" w:space="0" w:color="FFFFFF"/>
                  </w:tcBorders>
                  <w:shd w:val="clear" w:color="000000" w:fill="FCD5B4"/>
                  <w:noWrap/>
                  <w:vAlign w:val="center"/>
                  <w:hideMark/>
                </w:tcPr>
                <w:p w14:paraId="5B773D20"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8.2 </w:t>
                  </w:r>
                </w:p>
              </w:tc>
            </w:tr>
            <w:tr w:rsidR="00D3254A" w:rsidRPr="00D3254A" w14:paraId="13819A22" w14:textId="77777777" w:rsidTr="00D3254A">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6D7EFC70" w14:textId="77777777" w:rsidR="00D3254A" w:rsidRPr="00D3254A" w:rsidRDefault="00D3254A" w:rsidP="00D3254A">
                  <w:pPr>
                    <w:widowControl/>
                    <w:jc w:val="center"/>
                    <w:rPr>
                      <w:rFonts w:ascii="楷体" w:eastAsia="楷体" w:hAnsi="楷体" w:cs="宋体"/>
                      <w:color w:val="000000"/>
                      <w:kern w:val="0"/>
                      <w:sz w:val="20"/>
                      <w:szCs w:val="20"/>
                    </w:rPr>
                  </w:pPr>
                  <w:proofErr w:type="gramStart"/>
                  <w:r w:rsidRPr="00D3254A">
                    <w:rPr>
                      <w:rFonts w:ascii="楷体" w:eastAsia="楷体" w:hAnsi="楷体" w:cs="宋体" w:hint="eastAsia"/>
                      <w:color w:val="000000"/>
                      <w:kern w:val="0"/>
                      <w:sz w:val="20"/>
                      <w:szCs w:val="20"/>
                    </w:rPr>
                    <w:t>城投债</w:t>
                  </w:r>
                  <w:proofErr w:type="gramEnd"/>
                  <w:r w:rsidRPr="00D3254A">
                    <w:rPr>
                      <w:rFonts w:ascii="楷体" w:eastAsia="楷体" w:hAnsi="楷体" w:cs="宋体" w:hint="eastAsia"/>
                      <w:color w:val="000000"/>
                      <w:kern w:val="0"/>
                      <w:sz w:val="20"/>
                      <w:szCs w:val="20"/>
                    </w:rPr>
                    <w:t>5Y</w:t>
                  </w:r>
                </w:p>
              </w:tc>
              <w:tc>
                <w:tcPr>
                  <w:tcW w:w="943" w:type="dxa"/>
                  <w:tcBorders>
                    <w:top w:val="nil"/>
                    <w:left w:val="nil"/>
                    <w:bottom w:val="single" w:sz="8" w:space="0" w:color="FFFFFF"/>
                    <w:right w:val="single" w:sz="8" w:space="0" w:color="FFFFFF"/>
                  </w:tcBorders>
                  <w:shd w:val="clear" w:color="000000" w:fill="FDE9D9"/>
                  <w:noWrap/>
                  <w:vAlign w:val="center"/>
                  <w:hideMark/>
                </w:tcPr>
                <w:p w14:paraId="3BA755DD"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-5.6 </w:t>
                  </w:r>
                </w:p>
              </w:tc>
              <w:tc>
                <w:tcPr>
                  <w:tcW w:w="943" w:type="dxa"/>
                  <w:tcBorders>
                    <w:top w:val="nil"/>
                    <w:left w:val="nil"/>
                    <w:bottom w:val="single" w:sz="8" w:space="0" w:color="FFFFFF"/>
                    <w:right w:val="single" w:sz="8" w:space="0" w:color="FFFFFF"/>
                  </w:tcBorders>
                  <w:shd w:val="clear" w:color="000000" w:fill="FDE9D9"/>
                  <w:noWrap/>
                  <w:vAlign w:val="center"/>
                  <w:hideMark/>
                </w:tcPr>
                <w:p w14:paraId="1D95DED2"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-2.6 </w:t>
                  </w:r>
                </w:p>
              </w:tc>
              <w:tc>
                <w:tcPr>
                  <w:tcW w:w="943" w:type="dxa"/>
                  <w:tcBorders>
                    <w:top w:val="nil"/>
                    <w:left w:val="nil"/>
                    <w:bottom w:val="single" w:sz="8" w:space="0" w:color="FFFFFF"/>
                    <w:right w:val="single" w:sz="8" w:space="0" w:color="FFFFFF"/>
                  </w:tcBorders>
                  <w:shd w:val="clear" w:color="000000" w:fill="FDE9D9"/>
                  <w:noWrap/>
                  <w:vAlign w:val="center"/>
                  <w:hideMark/>
                </w:tcPr>
                <w:p w14:paraId="1991E879"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-2.6 </w:t>
                  </w:r>
                </w:p>
              </w:tc>
              <w:tc>
                <w:tcPr>
                  <w:tcW w:w="943" w:type="dxa"/>
                  <w:tcBorders>
                    <w:top w:val="nil"/>
                    <w:left w:val="nil"/>
                    <w:bottom w:val="single" w:sz="8" w:space="0" w:color="FFFFFF"/>
                    <w:right w:val="single" w:sz="8" w:space="0" w:color="FFFFFF"/>
                  </w:tcBorders>
                  <w:shd w:val="clear" w:color="000000" w:fill="FDE9D9"/>
                  <w:noWrap/>
                  <w:vAlign w:val="center"/>
                  <w:hideMark/>
                </w:tcPr>
                <w:p w14:paraId="0D9016B1"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-0.6 </w:t>
                  </w:r>
                </w:p>
              </w:tc>
              <w:tc>
                <w:tcPr>
                  <w:tcW w:w="1179" w:type="dxa"/>
                  <w:tcBorders>
                    <w:top w:val="nil"/>
                    <w:left w:val="nil"/>
                    <w:bottom w:val="single" w:sz="8" w:space="0" w:color="FFFFFF"/>
                    <w:right w:val="single" w:sz="8" w:space="0" w:color="FFFFFF"/>
                  </w:tcBorders>
                  <w:shd w:val="clear" w:color="000000" w:fill="FDE9D9"/>
                  <w:noWrap/>
                  <w:vAlign w:val="center"/>
                  <w:hideMark/>
                </w:tcPr>
                <w:p w14:paraId="6BC348A2" w14:textId="77777777" w:rsidR="00D3254A" w:rsidRPr="00D3254A" w:rsidRDefault="00D3254A" w:rsidP="00D3254A">
                  <w:pPr>
                    <w:widowControl/>
                    <w:jc w:val="center"/>
                    <w:rPr>
                      <w:rFonts w:ascii="楷体" w:eastAsia="楷体" w:hAnsi="楷体" w:cs="宋体"/>
                      <w:color w:val="000000"/>
                      <w:kern w:val="0"/>
                      <w:sz w:val="20"/>
                      <w:szCs w:val="20"/>
                    </w:rPr>
                  </w:pPr>
                  <w:proofErr w:type="gramStart"/>
                  <w:r w:rsidRPr="00D3254A">
                    <w:rPr>
                      <w:rFonts w:ascii="楷体" w:eastAsia="楷体" w:hAnsi="楷体" w:cs="宋体" w:hint="eastAsia"/>
                      <w:color w:val="000000"/>
                      <w:kern w:val="0"/>
                      <w:sz w:val="20"/>
                      <w:szCs w:val="20"/>
                    </w:rPr>
                    <w:t>城投债</w:t>
                  </w:r>
                  <w:proofErr w:type="gramEnd"/>
                  <w:r w:rsidRPr="00D3254A">
                    <w:rPr>
                      <w:rFonts w:ascii="楷体" w:eastAsia="楷体" w:hAnsi="楷体" w:cs="宋体" w:hint="eastAsia"/>
                      <w:color w:val="000000"/>
                      <w:kern w:val="0"/>
                      <w:sz w:val="20"/>
                      <w:szCs w:val="20"/>
                    </w:rPr>
                    <w:t>5Y</w:t>
                  </w:r>
                </w:p>
              </w:tc>
              <w:tc>
                <w:tcPr>
                  <w:tcW w:w="943" w:type="dxa"/>
                  <w:tcBorders>
                    <w:top w:val="nil"/>
                    <w:left w:val="nil"/>
                    <w:bottom w:val="single" w:sz="8" w:space="0" w:color="FFFFFF"/>
                    <w:right w:val="single" w:sz="8" w:space="0" w:color="FFFFFF"/>
                  </w:tcBorders>
                  <w:shd w:val="clear" w:color="000000" w:fill="FDE9D9"/>
                  <w:noWrap/>
                  <w:vAlign w:val="center"/>
                  <w:hideMark/>
                </w:tcPr>
                <w:p w14:paraId="3DC661DE"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-2.0 </w:t>
                  </w:r>
                </w:p>
              </w:tc>
              <w:tc>
                <w:tcPr>
                  <w:tcW w:w="943" w:type="dxa"/>
                  <w:tcBorders>
                    <w:top w:val="nil"/>
                    <w:left w:val="nil"/>
                    <w:bottom w:val="single" w:sz="8" w:space="0" w:color="FFFFFF"/>
                    <w:right w:val="single" w:sz="8" w:space="0" w:color="FFFFFF"/>
                  </w:tcBorders>
                  <w:shd w:val="clear" w:color="000000" w:fill="FDE9D9"/>
                  <w:noWrap/>
                  <w:vAlign w:val="center"/>
                  <w:hideMark/>
                </w:tcPr>
                <w:p w14:paraId="7EA55497"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1.0 </w:t>
                  </w:r>
                </w:p>
              </w:tc>
              <w:tc>
                <w:tcPr>
                  <w:tcW w:w="943" w:type="dxa"/>
                  <w:tcBorders>
                    <w:top w:val="nil"/>
                    <w:left w:val="nil"/>
                    <w:bottom w:val="single" w:sz="8" w:space="0" w:color="FFFFFF"/>
                    <w:right w:val="single" w:sz="8" w:space="0" w:color="FFFFFF"/>
                  </w:tcBorders>
                  <w:shd w:val="clear" w:color="000000" w:fill="FDE9D9"/>
                  <w:noWrap/>
                  <w:vAlign w:val="center"/>
                  <w:hideMark/>
                </w:tcPr>
                <w:p w14:paraId="27AB27FB"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1.0 </w:t>
                  </w:r>
                </w:p>
              </w:tc>
              <w:tc>
                <w:tcPr>
                  <w:tcW w:w="943" w:type="dxa"/>
                  <w:tcBorders>
                    <w:top w:val="nil"/>
                    <w:left w:val="nil"/>
                    <w:bottom w:val="single" w:sz="8" w:space="0" w:color="FFFFFF"/>
                    <w:right w:val="single" w:sz="8" w:space="0" w:color="FFFFFF"/>
                  </w:tcBorders>
                  <w:shd w:val="clear" w:color="000000" w:fill="FDE9D9"/>
                  <w:noWrap/>
                  <w:vAlign w:val="center"/>
                  <w:hideMark/>
                </w:tcPr>
                <w:p w14:paraId="6C299D3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3.0 </w:t>
                  </w:r>
                </w:p>
              </w:tc>
            </w:tr>
            <w:tr w:rsidR="00D3254A" w:rsidRPr="00D3254A" w14:paraId="69F936E3" w14:textId="77777777" w:rsidTr="00D3254A">
              <w:trPr>
                <w:trHeight w:val="300"/>
              </w:trPr>
              <w:tc>
                <w:tcPr>
                  <w:tcW w:w="1151" w:type="dxa"/>
                  <w:tcBorders>
                    <w:top w:val="nil"/>
                    <w:left w:val="nil"/>
                    <w:bottom w:val="nil"/>
                    <w:right w:val="nil"/>
                  </w:tcBorders>
                  <w:shd w:val="clear" w:color="000000" w:fill="FCD5B4"/>
                  <w:noWrap/>
                  <w:vAlign w:val="center"/>
                  <w:hideMark/>
                </w:tcPr>
                <w:p w14:paraId="6E02B8BB" w14:textId="77777777" w:rsidR="00D3254A" w:rsidRPr="00D3254A" w:rsidRDefault="00D3254A" w:rsidP="00D3254A">
                  <w:pPr>
                    <w:widowControl/>
                    <w:jc w:val="center"/>
                    <w:rPr>
                      <w:rFonts w:ascii="楷体" w:eastAsia="楷体" w:hAnsi="楷体" w:cs="宋体"/>
                      <w:color w:val="000000"/>
                      <w:kern w:val="0"/>
                      <w:sz w:val="20"/>
                      <w:szCs w:val="20"/>
                    </w:rPr>
                  </w:pPr>
                  <w:proofErr w:type="gramStart"/>
                  <w:r w:rsidRPr="00D3254A">
                    <w:rPr>
                      <w:rFonts w:ascii="楷体" w:eastAsia="楷体" w:hAnsi="楷体" w:cs="宋体" w:hint="eastAsia"/>
                      <w:color w:val="000000"/>
                      <w:kern w:val="0"/>
                      <w:sz w:val="20"/>
                      <w:szCs w:val="20"/>
                    </w:rPr>
                    <w:t>城投债</w:t>
                  </w:r>
                  <w:proofErr w:type="gramEnd"/>
                  <w:r w:rsidRPr="00D3254A">
                    <w:rPr>
                      <w:rFonts w:ascii="楷体" w:eastAsia="楷体" w:hAnsi="楷体" w:cs="宋体" w:hint="eastAsia"/>
                      <w:color w:val="000000"/>
                      <w:kern w:val="0"/>
                      <w:sz w:val="20"/>
                      <w:szCs w:val="20"/>
                    </w:rPr>
                    <w:t>7Y</w:t>
                  </w:r>
                </w:p>
              </w:tc>
              <w:tc>
                <w:tcPr>
                  <w:tcW w:w="943" w:type="dxa"/>
                  <w:tcBorders>
                    <w:top w:val="nil"/>
                    <w:left w:val="nil"/>
                    <w:bottom w:val="single" w:sz="8" w:space="0" w:color="FFFFFF"/>
                    <w:right w:val="single" w:sz="8" w:space="0" w:color="FFFFFF"/>
                  </w:tcBorders>
                  <w:shd w:val="clear" w:color="000000" w:fill="FCD5B4"/>
                  <w:noWrap/>
                  <w:vAlign w:val="center"/>
                  <w:hideMark/>
                </w:tcPr>
                <w:p w14:paraId="7975C87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FF0000"/>
                      <w:kern w:val="0"/>
                      <w:szCs w:val="21"/>
                    </w:rPr>
                    <w:t xml:space="preserve">-0.9 </w:t>
                  </w:r>
                </w:p>
              </w:tc>
              <w:tc>
                <w:tcPr>
                  <w:tcW w:w="943" w:type="dxa"/>
                  <w:tcBorders>
                    <w:top w:val="nil"/>
                    <w:left w:val="nil"/>
                    <w:bottom w:val="single" w:sz="8" w:space="0" w:color="FFFFFF"/>
                    <w:right w:val="single" w:sz="8" w:space="0" w:color="FFFFFF"/>
                  </w:tcBorders>
                  <w:shd w:val="clear" w:color="000000" w:fill="FCD5B4"/>
                  <w:noWrap/>
                  <w:vAlign w:val="center"/>
                  <w:hideMark/>
                </w:tcPr>
                <w:p w14:paraId="3698FBE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0.0 </w:t>
                  </w:r>
                </w:p>
              </w:tc>
              <w:tc>
                <w:tcPr>
                  <w:tcW w:w="943" w:type="dxa"/>
                  <w:tcBorders>
                    <w:top w:val="nil"/>
                    <w:left w:val="nil"/>
                    <w:bottom w:val="single" w:sz="8" w:space="0" w:color="FFFFFF"/>
                    <w:right w:val="single" w:sz="8" w:space="0" w:color="FFFFFF"/>
                  </w:tcBorders>
                  <w:shd w:val="clear" w:color="000000" w:fill="FCD5B4"/>
                  <w:noWrap/>
                  <w:vAlign w:val="center"/>
                  <w:hideMark/>
                </w:tcPr>
                <w:p w14:paraId="260502C5"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1.0 </w:t>
                  </w:r>
                </w:p>
              </w:tc>
              <w:tc>
                <w:tcPr>
                  <w:tcW w:w="943" w:type="dxa"/>
                  <w:tcBorders>
                    <w:top w:val="nil"/>
                    <w:left w:val="nil"/>
                    <w:bottom w:val="single" w:sz="8" w:space="0" w:color="FFFFFF"/>
                    <w:right w:val="single" w:sz="8" w:space="0" w:color="FFFFFF"/>
                  </w:tcBorders>
                  <w:shd w:val="clear" w:color="000000" w:fill="FCD5B4"/>
                  <w:noWrap/>
                  <w:vAlign w:val="center"/>
                  <w:hideMark/>
                </w:tcPr>
                <w:p w14:paraId="29481357"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2.0 </w:t>
                  </w:r>
                </w:p>
              </w:tc>
              <w:tc>
                <w:tcPr>
                  <w:tcW w:w="1179" w:type="dxa"/>
                  <w:tcBorders>
                    <w:top w:val="nil"/>
                    <w:left w:val="nil"/>
                    <w:bottom w:val="nil"/>
                    <w:right w:val="nil"/>
                  </w:tcBorders>
                  <w:shd w:val="clear" w:color="000000" w:fill="FCD5B4"/>
                  <w:noWrap/>
                  <w:vAlign w:val="center"/>
                  <w:hideMark/>
                </w:tcPr>
                <w:p w14:paraId="4D1AA6EE" w14:textId="77777777" w:rsidR="00D3254A" w:rsidRPr="00D3254A" w:rsidRDefault="00D3254A" w:rsidP="00D3254A">
                  <w:pPr>
                    <w:widowControl/>
                    <w:jc w:val="center"/>
                    <w:rPr>
                      <w:rFonts w:ascii="楷体" w:eastAsia="楷体" w:hAnsi="楷体" w:cs="宋体"/>
                      <w:color w:val="000000"/>
                      <w:kern w:val="0"/>
                      <w:sz w:val="20"/>
                      <w:szCs w:val="20"/>
                    </w:rPr>
                  </w:pPr>
                  <w:proofErr w:type="gramStart"/>
                  <w:r w:rsidRPr="00D3254A">
                    <w:rPr>
                      <w:rFonts w:ascii="楷体" w:eastAsia="楷体" w:hAnsi="楷体" w:cs="宋体" w:hint="eastAsia"/>
                      <w:color w:val="000000"/>
                      <w:kern w:val="0"/>
                      <w:sz w:val="20"/>
                      <w:szCs w:val="20"/>
                    </w:rPr>
                    <w:t>城投债</w:t>
                  </w:r>
                  <w:proofErr w:type="gramEnd"/>
                  <w:r w:rsidRPr="00D3254A">
                    <w:rPr>
                      <w:rFonts w:ascii="楷体" w:eastAsia="楷体" w:hAnsi="楷体" w:cs="宋体" w:hint="eastAsia"/>
                      <w:color w:val="000000"/>
                      <w:kern w:val="0"/>
                      <w:sz w:val="20"/>
                      <w:szCs w:val="20"/>
                    </w:rPr>
                    <w:t>7Y</w:t>
                  </w:r>
                </w:p>
              </w:tc>
              <w:tc>
                <w:tcPr>
                  <w:tcW w:w="943" w:type="dxa"/>
                  <w:tcBorders>
                    <w:top w:val="nil"/>
                    <w:left w:val="nil"/>
                    <w:bottom w:val="single" w:sz="8" w:space="0" w:color="FFFFFF"/>
                    <w:right w:val="single" w:sz="8" w:space="0" w:color="FFFFFF"/>
                  </w:tcBorders>
                  <w:shd w:val="clear" w:color="000000" w:fill="FCD5B4"/>
                  <w:noWrap/>
                  <w:vAlign w:val="center"/>
                  <w:hideMark/>
                </w:tcPr>
                <w:p w14:paraId="1282C664"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2.3 </w:t>
                  </w:r>
                </w:p>
              </w:tc>
              <w:tc>
                <w:tcPr>
                  <w:tcW w:w="943" w:type="dxa"/>
                  <w:tcBorders>
                    <w:top w:val="nil"/>
                    <w:left w:val="nil"/>
                    <w:bottom w:val="single" w:sz="8" w:space="0" w:color="FFFFFF"/>
                    <w:right w:val="single" w:sz="8" w:space="0" w:color="FFFFFF"/>
                  </w:tcBorders>
                  <w:shd w:val="clear" w:color="000000" w:fill="FCD5B4"/>
                  <w:noWrap/>
                  <w:vAlign w:val="center"/>
                  <w:hideMark/>
                </w:tcPr>
                <w:p w14:paraId="3E019A35"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3.3 </w:t>
                  </w:r>
                </w:p>
              </w:tc>
              <w:tc>
                <w:tcPr>
                  <w:tcW w:w="943" w:type="dxa"/>
                  <w:tcBorders>
                    <w:top w:val="nil"/>
                    <w:left w:val="nil"/>
                    <w:bottom w:val="single" w:sz="8" w:space="0" w:color="FFFFFF"/>
                    <w:right w:val="single" w:sz="8" w:space="0" w:color="FFFFFF"/>
                  </w:tcBorders>
                  <w:shd w:val="clear" w:color="000000" w:fill="FCD5B4"/>
                  <w:noWrap/>
                  <w:vAlign w:val="center"/>
                  <w:hideMark/>
                </w:tcPr>
                <w:p w14:paraId="5E85BFB7"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4.3 </w:t>
                  </w:r>
                </w:p>
              </w:tc>
              <w:tc>
                <w:tcPr>
                  <w:tcW w:w="943" w:type="dxa"/>
                  <w:tcBorders>
                    <w:top w:val="nil"/>
                    <w:left w:val="nil"/>
                    <w:bottom w:val="single" w:sz="8" w:space="0" w:color="FFFFFF"/>
                    <w:right w:val="single" w:sz="8" w:space="0" w:color="FFFFFF"/>
                  </w:tcBorders>
                  <w:shd w:val="clear" w:color="000000" w:fill="FCD5B4"/>
                  <w:noWrap/>
                  <w:vAlign w:val="center"/>
                  <w:hideMark/>
                </w:tcPr>
                <w:p w14:paraId="4C18AEDD"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 xml:space="preserve">5.3 </w:t>
                  </w:r>
                </w:p>
              </w:tc>
            </w:tr>
            <w:tr w:rsidR="00D3254A" w:rsidRPr="00D3254A" w14:paraId="38E25EE9" w14:textId="77777777" w:rsidTr="00D3254A">
              <w:trPr>
                <w:trHeight w:val="150"/>
              </w:trPr>
              <w:tc>
                <w:tcPr>
                  <w:tcW w:w="1151" w:type="dxa"/>
                  <w:tcBorders>
                    <w:top w:val="nil"/>
                    <w:left w:val="nil"/>
                    <w:bottom w:val="nil"/>
                    <w:right w:val="nil"/>
                  </w:tcBorders>
                  <w:shd w:val="clear" w:color="auto" w:fill="auto"/>
                  <w:noWrap/>
                  <w:vAlign w:val="center"/>
                  <w:hideMark/>
                </w:tcPr>
                <w:p w14:paraId="18BBA42B" w14:textId="77777777" w:rsidR="00D3254A" w:rsidRPr="00D3254A" w:rsidRDefault="00D3254A" w:rsidP="00D3254A">
                  <w:pPr>
                    <w:widowControl/>
                    <w:jc w:val="center"/>
                    <w:rPr>
                      <w:rFonts w:eastAsia="等线" w:cs="Calibri"/>
                      <w:color w:val="000000"/>
                      <w:kern w:val="0"/>
                      <w:szCs w:val="21"/>
                    </w:rPr>
                  </w:pPr>
                </w:p>
              </w:tc>
              <w:tc>
                <w:tcPr>
                  <w:tcW w:w="943" w:type="dxa"/>
                  <w:tcBorders>
                    <w:top w:val="nil"/>
                    <w:left w:val="nil"/>
                    <w:bottom w:val="nil"/>
                    <w:right w:val="nil"/>
                  </w:tcBorders>
                  <w:shd w:val="clear" w:color="auto" w:fill="auto"/>
                  <w:noWrap/>
                  <w:vAlign w:val="center"/>
                  <w:hideMark/>
                </w:tcPr>
                <w:p w14:paraId="7195C934" w14:textId="77777777" w:rsidR="00D3254A" w:rsidRPr="00D3254A" w:rsidRDefault="00D3254A" w:rsidP="00D3254A">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1A54C9F4" w14:textId="77777777" w:rsidR="00D3254A" w:rsidRPr="00D3254A" w:rsidRDefault="00D3254A" w:rsidP="00D3254A">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41D44512" w14:textId="77777777" w:rsidR="00D3254A" w:rsidRPr="00D3254A" w:rsidRDefault="00D3254A" w:rsidP="00D3254A">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076A9C8F" w14:textId="77777777" w:rsidR="00D3254A" w:rsidRPr="00D3254A" w:rsidRDefault="00D3254A" w:rsidP="00D3254A">
                  <w:pPr>
                    <w:widowControl/>
                    <w:jc w:val="center"/>
                    <w:rPr>
                      <w:rFonts w:ascii="Times New Roman" w:eastAsia="Times New Roman" w:hAnsi="Times New Roman"/>
                      <w:kern w:val="0"/>
                      <w:sz w:val="20"/>
                      <w:szCs w:val="20"/>
                    </w:rPr>
                  </w:pPr>
                </w:p>
              </w:tc>
              <w:tc>
                <w:tcPr>
                  <w:tcW w:w="1179" w:type="dxa"/>
                  <w:tcBorders>
                    <w:top w:val="nil"/>
                    <w:left w:val="nil"/>
                    <w:bottom w:val="nil"/>
                    <w:right w:val="nil"/>
                  </w:tcBorders>
                  <w:shd w:val="clear" w:color="auto" w:fill="auto"/>
                  <w:noWrap/>
                  <w:vAlign w:val="center"/>
                  <w:hideMark/>
                </w:tcPr>
                <w:p w14:paraId="2004C556" w14:textId="77777777" w:rsidR="00D3254A" w:rsidRPr="00D3254A" w:rsidRDefault="00D3254A" w:rsidP="00D3254A">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72132E3C" w14:textId="77777777" w:rsidR="00D3254A" w:rsidRPr="00D3254A" w:rsidRDefault="00D3254A" w:rsidP="00D3254A">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64E1A443" w14:textId="77777777" w:rsidR="00D3254A" w:rsidRPr="00D3254A" w:rsidRDefault="00D3254A" w:rsidP="00D3254A">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3F6790E8" w14:textId="77777777" w:rsidR="00D3254A" w:rsidRPr="00D3254A" w:rsidRDefault="00D3254A" w:rsidP="00D3254A">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032EE3B6" w14:textId="77777777" w:rsidR="00D3254A" w:rsidRPr="00D3254A" w:rsidRDefault="00D3254A" w:rsidP="00D3254A">
                  <w:pPr>
                    <w:widowControl/>
                    <w:jc w:val="center"/>
                    <w:rPr>
                      <w:rFonts w:ascii="Times New Roman" w:eastAsia="Times New Roman" w:hAnsi="Times New Roman"/>
                      <w:kern w:val="0"/>
                      <w:sz w:val="20"/>
                      <w:szCs w:val="20"/>
                    </w:rPr>
                  </w:pPr>
                </w:p>
              </w:tc>
            </w:tr>
            <w:tr w:rsidR="00D3254A" w:rsidRPr="00D3254A" w14:paraId="79675321" w14:textId="77777777" w:rsidTr="00D3254A">
              <w:trPr>
                <w:trHeight w:val="300"/>
              </w:trPr>
              <w:tc>
                <w:tcPr>
                  <w:tcW w:w="1151" w:type="dxa"/>
                  <w:tcBorders>
                    <w:top w:val="nil"/>
                    <w:left w:val="nil"/>
                    <w:bottom w:val="single" w:sz="12" w:space="0" w:color="FFFFFF"/>
                    <w:right w:val="single" w:sz="8" w:space="0" w:color="FFFFFF"/>
                  </w:tcBorders>
                  <w:shd w:val="clear" w:color="000000" w:fill="F79646"/>
                  <w:noWrap/>
                  <w:vAlign w:val="center"/>
                  <w:hideMark/>
                </w:tcPr>
                <w:p w14:paraId="5F5FE76A"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收益率分位</w:t>
                  </w:r>
                </w:p>
              </w:tc>
              <w:tc>
                <w:tcPr>
                  <w:tcW w:w="943" w:type="dxa"/>
                  <w:tcBorders>
                    <w:top w:val="nil"/>
                    <w:left w:val="nil"/>
                    <w:bottom w:val="single" w:sz="12" w:space="0" w:color="FFFFFF"/>
                    <w:right w:val="single" w:sz="8" w:space="0" w:color="FFFFFF"/>
                  </w:tcBorders>
                  <w:shd w:val="clear" w:color="000000" w:fill="F79646"/>
                  <w:noWrap/>
                  <w:vAlign w:val="center"/>
                  <w:hideMark/>
                </w:tcPr>
                <w:p w14:paraId="7D3DA505"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AAA</w:t>
                  </w:r>
                </w:p>
              </w:tc>
              <w:tc>
                <w:tcPr>
                  <w:tcW w:w="943" w:type="dxa"/>
                  <w:tcBorders>
                    <w:top w:val="nil"/>
                    <w:left w:val="nil"/>
                    <w:bottom w:val="single" w:sz="12" w:space="0" w:color="FFFFFF"/>
                    <w:right w:val="single" w:sz="8" w:space="0" w:color="FFFFFF"/>
                  </w:tcBorders>
                  <w:shd w:val="clear" w:color="000000" w:fill="F79646"/>
                  <w:noWrap/>
                  <w:vAlign w:val="center"/>
                  <w:hideMark/>
                </w:tcPr>
                <w:p w14:paraId="40F0B703"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6DA9D437"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273F31ED"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w:t>
                  </w:r>
                </w:p>
              </w:tc>
              <w:tc>
                <w:tcPr>
                  <w:tcW w:w="1179" w:type="dxa"/>
                  <w:tcBorders>
                    <w:top w:val="nil"/>
                    <w:left w:val="nil"/>
                    <w:bottom w:val="single" w:sz="12" w:space="0" w:color="FFFFFF"/>
                    <w:right w:val="single" w:sz="8" w:space="0" w:color="FFFFFF"/>
                  </w:tcBorders>
                  <w:shd w:val="clear" w:color="000000" w:fill="F79646"/>
                  <w:noWrap/>
                  <w:vAlign w:val="center"/>
                  <w:hideMark/>
                </w:tcPr>
                <w:p w14:paraId="3E6B12F6"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息差</w:t>
                  </w:r>
                </w:p>
              </w:tc>
              <w:tc>
                <w:tcPr>
                  <w:tcW w:w="943" w:type="dxa"/>
                  <w:tcBorders>
                    <w:top w:val="nil"/>
                    <w:left w:val="nil"/>
                    <w:bottom w:val="single" w:sz="12" w:space="0" w:color="FFFFFF"/>
                    <w:right w:val="single" w:sz="8" w:space="0" w:color="FFFFFF"/>
                  </w:tcBorders>
                  <w:shd w:val="clear" w:color="000000" w:fill="F79646"/>
                  <w:noWrap/>
                  <w:vAlign w:val="center"/>
                  <w:hideMark/>
                </w:tcPr>
                <w:p w14:paraId="2CC3343F"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AAA</w:t>
                  </w:r>
                </w:p>
              </w:tc>
              <w:tc>
                <w:tcPr>
                  <w:tcW w:w="943" w:type="dxa"/>
                  <w:tcBorders>
                    <w:top w:val="nil"/>
                    <w:left w:val="nil"/>
                    <w:bottom w:val="single" w:sz="12" w:space="0" w:color="FFFFFF"/>
                    <w:right w:val="single" w:sz="8" w:space="0" w:color="FFFFFF"/>
                  </w:tcBorders>
                  <w:shd w:val="clear" w:color="000000" w:fill="F79646"/>
                  <w:noWrap/>
                  <w:vAlign w:val="center"/>
                  <w:hideMark/>
                </w:tcPr>
                <w:p w14:paraId="57B8164C"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4C3C5167"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410BB68F" w14:textId="77777777" w:rsidR="00D3254A" w:rsidRPr="00D3254A" w:rsidRDefault="00D3254A" w:rsidP="00D3254A">
                  <w:pPr>
                    <w:widowControl/>
                    <w:jc w:val="center"/>
                    <w:rPr>
                      <w:rFonts w:ascii="楷体" w:eastAsia="楷体" w:hAnsi="楷体" w:cs="宋体"/>
                      <w:b/>
                      <w:bCs/>
                      <w:color w:val="FFFFFF"/>
                      <w:kern w:val="0"/>
                      <w:sz w:val="20"/>
                      <w:szCs w:val="20"/>
                    </w:rPr>
                  </w:pPr>
                  <w:r w:rsidRPr="00D3254A">
                    <w:rPr>
                      <w:rFonts w:ascii="楷体" w:eastAsia="楷体" w:hAnsi="楷体" w:cs="宋体" w:hint="eastAsia"/>
                      <w:b/>
                      <w:bCs/>
                      <w:color w:val="FFFFFF"/>
                      <w:kern w:val="0"/>
                      <w:sz w:val="20"/>
                      <w:szCs w:val="20"/>
                    </w:rPr>
                    <w:t>AA-</w:t>
                  </w:r>
                </w:p>
              </w:tc>
            </w:tr>
            <w:tr w:rsidR="00D3254A" w:rsidRPr="00D3254A" w14:paraId="546B5C18" w14:textId="77777777" w:rsidTr="00D3254A">
              <w:trPr>
                <w:trHeight w:val="315"/>
              </w:trPr>
              <w:tc>
                <w:tcPr>
                  <w:tcW w:w="1151" w:type="dxa"/>
                  <w:tcBorders>
                    <w:top w:val="nil"/>
                    <w:left w:val="nil"/>
                    <w:bottom w:val="single" w:sz="8" w:space="0" w:color="FFFFFF"/>
                    <w:right w:val="single" w:sz="8" w:space="0" w:color="FFFFFF"/>
                  </w:tcBorders>
                  <w:shd w:val="clear" w:color="000000" w:fill="FCD5B4"/>
                  <w:noWrap/>
                  <w:vAlign w:val="center"/>
                  <w:hideMark/>
                </w:tcPr>
                <w:p w14:paraId="0BED0843"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CP</w:t>
                  </w:r>
                </w:p>
              </w:tc>
              <w:tc>
                <w:tcPr>
                  <w:tcW w:w="943" w:type="dxa"/>
                  <w:tcBorders>
                    <w:top w:val="nil"/>
                    <w:left w:val="nil"/>
                    <w:bottom w:val="single" w:sz="8" w:space="0" w:color="FFFFFF"/>
                    <w:right w:val="single" w:sz="8" w:space="0" w:color="FFFFFF"/>
                  </w:tcBorders>
                  <w:shd w:val="clear" w:color="000000" w:fill="FCD5B4"/>
                  <w:noWrap/>
                  <w:vAlign w:val="center"/>
                  <w:hideMark/>
                </w:tcPr>
                <w:p w14:paraId="1F629BC7"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27%</w:t>
                  </w:r>
                </w:p>
              </w:tc>
              <w:tc>
                <w:tcPr>
                  <w:tcW w:w="943" w:type="dxa"/>
                  <w:tcBorders>
                    <w:top w:val="nil"/>
                    <w:left w:val="nil"/>
                    <w:bottom w:val="single" w:sz="8" w:space="0" w:color="FFFFFF"/>
                    <w:right w:val="single" w:sz="8" w:space="0" w:color="FFFFFF"/>
                  </w:tcBorders>
                  <w:shd w:val="clear" w:color="000000" w:fill="FCD5B4"/>
                  <w:noWrap/>
                  <w:vAlign w:val="center"/>
                  <w:hideMark/>
                </w:tcPr>
                <w:p w14:paraId="24FEE5EE"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21%</w:t>
                  </w:r>
                </w:p>
              </w:tc>
              <w:tc>
                <w:tcPr>
                  <w:tcW w:w="943" w:type="dxa"/>
                  <w:tcBorders>
                    <w:top w:val="nil"/>
                    <w:left w:val="nil"/>
                    <w:bottom w:val="single" w:sz="8" w:space="0" w:color="FFFFFF"/>
                    <w:right w:val="single" w:sz="8" w:space="0" w:color="FFFFFF"/>
                  </w:tcBorders>
                  <w:shd w:val="clear" w:color="000000" w:fill="FCD5B4"/>
                  <w:noWrap/>
                  <w:vAlign w:val="center"/>
                  <w:hideMark/>
                </w:tcPr>
                <w:p w14:paraId="61C79D9F"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20%</w:t>
                  </w:r>
                </w:p>
              </w:tc>
              <w:tc>
                <w:tcPr>
                  <w:tcW w:w="943" w:type="dxa"/>
                  <w:tcBorders>
                    <w:top w:val="nil"/>
                    <w:left w:val="nil"/>
                    <w:bottom w:val="single" w:sz="8" w:space="0" w:color="FFFFFF"/>
                    <w:right w:val="single" w:sz="8" w:space="0" w:color="FFFFFF"/>
                  </w:tcBorders>
                  <w:shd w:val="clear" w:color="000000" w:fill="FCD5B4"/>
                  <w:noWrap/>
                  <w:vAlign w:val="center"/>
                  <w:hideMark/>
                </w:tcPr>
                <w:p w14:paraId="41F6C583"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53%</w:t>
                  </w:r>
                </w:p>
              </w:tc>
              <w:tc>
                <w:tcPr>
                  <w:tcW w:w="1179" w:type="dxa"/>
                  <w:tcBorders>
                    <w:top w:val="nil"/>
                    <w:left w:val="nil"/>
                    <w:bottom w:val="single" w:sz="8" w:space="0" w:color="FFFFFF"/>
                    <w:right w:val="single" w:sz="8" w:space="0" w:color="FFFFFF"/>
                  </w:tcBorders>
                  <w:shd w:val="clear" w:color="000000" w:fill="FCD5B4"/>
                  <w:noWrap/>
                  <w:vAlign w:val="center"/>
                  <w:hideMark/>
                </w:tcPr>
                <w:p w14:paraId="330409E2"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CP</w:t>
                  </w:r>
                </w:p>
              </w:tc>
              <w:tc>
                <w:tcPr>
                  <w:tcW w:w="943" w:type="dxa"/>
                  <w:tcBorders>
                    <w:top w:val="nil"/>
                    <w:left w:val="nil"/>
                    <w:bottom w:val="single" w:sz="8" w:space="0" w:color="FFFFFF"/>
                    <w:right w:val="single" w:sz="8" w:space="0" w:color="FFFFFF"/>
                  </w:tcBorders>
                  <w:shd w:val="clear" w:color="000000" w:fill="FCD5B4"/>
                  <w:noWrap/>
                  <w:vAlign w:val="center"/>
                  <w:hideMark/>
                </w:tcPr>
                <w:p w14:paraId="3CFBEE08"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9%</w:t>
                  </w:r>
                </w:p>
              </w:tc>
              <w:tc>
                <w:tcPr>
                  <w:tcW w:w="943" w:type="dxa"/>
                  <w:tcBorders>
                    <w:top w:val="nil"/>
                    <w:left w:val="nil"/>
                    <w:bottom w:val="single" w:sz="8" w:space="0" w:color="FFFFFF"/>
                    <w:right w:val="single" w:sz="8" w:space="0" w:color="FFFFFF"/>
                  </w:tcBorders>
                  <w:shd w:val="clear" w:color="000000" w:fill="FCD5B4"/>
                  <w:noWrap/>
                  <w:vAlign w:val="center"/>
                  <w:hideMark/>
                </w:tcPr>
                <w:p w14:paraId="27E774F6"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3%</w:t>
                  </w:r>
                </w:p>
              </w:tc>
              <w:tc>
                <w:tcPr>
                  <w:tcW w:w="943" w:type="dxa"/>
                  <w:tcBorders>
                    <w:top w:val="nil"/>
                    <w:left w:val="nil"/>
                    <w:bottom w:val="single" w:sz="8" w:space="0" w:color="FFFFFF"/>
                    <w:right w:val="single" w:sz="8" w:space="0" w:color="FFFFFF"/>
                  </w:tcBorders>
                  <w:shd w:val="clear" w:color="000000" w:fill="FCD5B4"/>
                  <w:noWrap/>
                  <w:vAlign w:val="center"/>
                  <w:hideMark/>
                </w:tcPr>
                <w:p w14:paraId="757EC2D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5%</w:t>
                  </w:r>
                </w:p>
              </w:tc>
              <w:tc>
                <w:tcPr>
                  <w:tcW w:w="943" w:type="dxa"/>
                  <w:tcBorders>
                    <w:top w:val="nil"/>
                    <w:left w:val="nil"/>
                    <w:bottom w:val="single" w:sz="8" w:space="0" w:color="FFFFFF"/>
                    <w:right w:val="single" w:sz="8" w:space="0" w:color="FFFFFF"/>
                  </w:tcBorders>
                  <w:shd w:val="clear" w:color="000000" w:fill="FCD5B4"/>
                  <w:noWrap/>
                  <w:vAlign w:val="center"/>
                  <w:hideMark/>
                </w:tcPr>
                <w:p w14:paraId="1B061BF6"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64%</w:t>
                  </w:r>
                </w:p>
              </w:tc>
            </w:tr>
            <w:tr w:rsidR="00D3254A" w:rsidRPr="00D3254A" w14:paraId="0608D3B6" w14:textId="77777777" w:rsidTr="00D3254A">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35B8F99C"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MTN3Y</w:t>
                  </w:r>
                </w:p>
              </w:tc>
              <w:tc>
                <w:tcPr>
                  <w:tcW w:w="943" w:type="dxa"/>
                  <w:tcBorders>
                    <w:top w:val="nil"/>
                    <w:left w:val="nil"/>
                    <w:bottom w:val="single" w:sz="8" w:space="0" w:color="FFFFFF"/>
                    <w:right w:val="single" w:sz="8" w:space="0" w:color="FFFFFF"/>
                  </w:tcBorders>
                  <w:shd w:val="clear" w:color="000000" w:fill="FDE9D9"/>
                  <w:noWrap/>
                  <w:vAlign w:val="center"/>
                  <w:hideMark/>
                </w:tcPr>
                <w:p w14:paraId="144C96F0"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22%</w:t>
                  </w:r>
                </w:p>
              </w:tc>
              <w:tc>
                <w:tcPr>
                  <w:tcW w:w="943" w:type="dxa"/>
                  <w:tcBorders>
                    <w:top w:val="nil"/>
                    <w:left w:val="nil"/>
                    <w:bottom w:val="single" w:sz="8" w:space="0" w:color="FFFFFF"/>
                    <w:right w:val="single" w:sz="8" w:space="0" w:color="FFFFFF"/>
                  </w:tcBorders>
                  <w:shd w:val="clear" w:color="000000" w:fill="FDE9D9"/>
                  <w:noWrap/>
                  <w:vAlign w:val="center"/>
                  <w:hideMark/>
                </w:tcPr>
                <w:p w14:paraId="594730AE"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16%</w:t>
                  </w:r>
                </w:p>
              </w:tc>
              <w:tc>
                <w:tcPr>
                  <w:tcW w:w="943" w:type="dxa"/>
                  <w:tcBorders>
                    <w:top w:val="nil"/>
                    <w:left w:val="nil"/>
                    <w:bottom w:val="single" w:sz="8" w:space="0" w:color="FFFFFF"/>
                    <w:right w:val="single" w:sz="8" w:space="0" w:color="FFFFFF"/>
                  </w:tcBorders>
                  <w:shd w:val="clear" w:color="000000" w:fill="FDE9D9"/>
                  <w:noWrap/>
                  <w:vAlign w:val="center"/>
                  <w:hideMark/>
                </w:tcPr>
                <w:p w14:paraId="1B236598"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18%</w:t>
                  </w:r>
                </w:p>
              </w:tc>
              <w:tc>
                <w:tcPr>
                  <w:tcW w:w="943" w:type="dxa"/>
                  <w:tcBorders>
                    <w:top w:val="nil"/>
                    <w:left w:val="nil"/>
                    <w:bottom w:val="single" w:sz="8" w:space="0" w:color="FFFFFF"/>
                    <w:right w:val="single" w:sz="8" w:space="0" w:color="FFFFFF"/>
                  </w:tcBorders>
                  <w:shd w:val="clear" w:color="000000" w:fill="FDE9D9"/>
                  <w:noWrap/>
                  <w:vAlign w:val="center"/>
                  <w:hideMark/>
                </w:tcPr>
                <w:p w14:paraId="37FD3EA7"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57%</w:t>
                  </w:r>
                </w:p>
              </w:tc>
              <w:tc>
                <w:tcPr>
                  <w:tcW w:w="1179" w:type="dxa"/>
                  <w:tcBorders>
                    <w:top w:val="nil"/>
                    <w:left w:val="nil"/>
                    <w:bottom w:val="single" w:sz="8" w:space="0" w:color="FFFFFF"/>
                    <w:right w:val="single" w:sz="8" w:space="0" w:color="FFFFFF"/>
                  </w:tcBorders>
                  <w:shd w:val="clear" w:color="000000" w:fill="FDE9D9"/>
                  <w:noWrap/>
                  <w:vAlign w:val="center"/>
                  <w:hideMark/>
                </w:tcPr>
                <w:p w14:paraId="09595C9F"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MTN3Y</w:t>
                  </w:r>
                </w:p>
              </w:tc>
              <w:tc>
                <w:tcPr>
                  <w:tcW w:w="943" w:type="dxa"/>
                  <w:tcBorders>
                    <w:top w:val="nil"/>
                    <w:left w:val="nil"/>
                    <w:bottom w:val="single" w:sz="8" w:space="0" w:color="FFFFFF"/>
                    <w:right w:val="single" w:sz="8" w:space="0" w:color="FFFFFF"/>
                  </w:tcBorders>
                  <w:shd w:val="clear" w:color="000000" w:fill="FDE9D9"/>
                  <w:noWrap/>
                  <w:vAlign w:val="center"/>
                  <w:hideMark/>
                </w:tcPr>
                <w:p w14:paraId="4442EBF8"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14%</w:t>
                  </w:r>
                </w:p>
              </w:tc>
              <w:tc>
                <w:tcPr>
                  <w:tcW w:w="943" w:type="dxa"/>
                  <w:tcBorders>
                    <w:top w:val="nil"/>
                    <w:left w:val="nil"/>
                    <w:bottom w:val="single" w:sz="8" w:space="0" w:color="FFFFFF"/>
                    <w:right w:val="single" w:sz="8" w:space="0" w:color="FFFFFF"/>
                  </w:tcBorders>
                  <w:shd w:val="clear" w:color="000000" w:fill="FDE9D9"/>
                  <w:noWrap/>
                  <w:vAlign w:val="center"/>
                  <w:hideMark/>
                </w:tcPr>
                <w:p w14:paraId="56636960"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10%</w:t>
                  </w:r>
                </w:p>
              </w:tc>
              <w:tc>
                <w:tcPr>
                  <w:tcW w:w="943" w:type="dxa"/>
                  <w:tcBorders>
                    <w:top w:val="nil"/>
                    <w:left w:val="nil"/>
                    <w:bottom w:val="single" w:sz="8" w:space="0" w:color="FFFFFF"/>
                    <w:right w:val="single" w:sz="8" w:space="0" w:color="FFFFFF"/>
                  </w:tcBorders>
                  <w:shd w:val="clear" w:color="000000" w:fill="FDE9D9"/>
                  <w:noWrap/>
                  <w:vAlign w:val="center"/>
                  <w:hideMark/>
                </w:tcPr>
                <w:p w14:paraId="3ECE7160"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14%</w:t>
                  </w:r>
                </w:p>
              </w:tc>
              <w:tc>
                <w:tcPr>
                  <w:tcW w:w="943" w:type="dxa"/>
                  <w:tcBorders>
                    <w:top w:val="nil"/>
                    <w:left w:val="nil"/>
                    <w:bottom w:val="single" w:sz="8" w:space="0" w:color="FFFFFF"/>
                    <w:right w:val="single" w:sz="8" w:space="0" w:color="FFFFFF"/>
                  </w:tcBorders>
                  <w:shd w:val="clear" w:color="000000" w:fill="FDE9D9"/>
                  <w:noWrap/>
                  <w:vAlign w:val="center"/>
                  <w:hideMark/>
                </w:tcPr>
                <w:p w14:paraId="10E04020"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66%</w:t>
                  </w:r>
                </w:p>
              </w:tc>
            </w:tr>
            <w:tr w:rsidR="00D3254A" w:rsidRPr="00D3254A" w14:paraId="7712DA5B" w14:textId="77777777" w:rsidTr="00D3254A">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1BAE968E"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MTN5Y</w:t>
                  </w:r>
                </w:p>
              </w:tc>
              <w:tc>
                <w:tcPr>
                  <w:tcW w:w="943" w:type="dxa"/>
                  <w:tcBorders>
                    <w:top w:val="nil"/>
                    <w:left w:val="nil"/>
                    <w:bottom w:val="single" w:sz="8" w:space="0" w:color="FFFFFF"/>
                    <w:right w:val="single" w:sz="8" w:space="0" w:color="FFFFFF"/>
                  </w:tcBorders>
                  <w:shd w:val="clear" w:color="000000" w:fill="FCD5B4"/>
                  <w:noWrap/>
                  <w:vAlign w:val="center"/>
                  <w:hideMark/>
                </w:tcPr>
                <w:p w14:paraId="13D28A39"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17%</w:t>
                  </w:r>
                </w:p>
              </w:tc>
              <w:tc>
                <w:tcPr>
                  <w:tcW w:w="943" w:type="dxa"/>
                  <w:tcBorders>
                    <w:top w:val="nil"/>
                    <w:left w:val="nil"/>
                    <w:bottom w:val="single" w:sz="8" w:space="0" w:color="FFFFFF"/>
                    <w:right w:val="single" w:sz="8" w:space="0" w:color="FFFFFF"/>
                  </w:tcBorders>
                  <w:shd w:val="clear" w:color="000000" w:fill="FCD5B4"/>
                  <w:noWrap/>
                  <w:vAlign w:val="center"/>
                  <w:hideMark/>
                </w:tcPr>
                <w:p w14:paraId="0F0D6EDF"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11%</w:t>
                  </w:r>
                </w:p>
              </w:tc>
              <w:tc>
                <w:tcPr>
                  <w:tcW w:w="943" w:type="dxa"/>
                  <w:tcBorders>
                    <w:top w:val="nil"/>
                    <w:left w:val="nil"/>
                    <w:bottom w:val="single" w:sz="8" w:space="0" w:color="FFFFFF"/>
                    <w:right w:val="single" w:sz="8" w:space="0" w:color="FFFFFF"/>
                  </w:tcBorders>
                  <w:shd w:val="clear" w:color="000000" w:fill="FCD5B4"/>
                  <w:noWrap/>
                  <w:vAlign w:val="center"/>
                  <w:hideMark/>
                </w:tcPr>
                <w:p w14:paraId="11632367"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15%</w:t>
                  </w:r>
                </w:p>
              </w:tc>
              <w:tc>
                <w:tcPr>
                  <w:tcW w:w="943" w:type="dxa"/>
                  <w:tcBorders>
                    <w:top w:val="nil"/>
                    <w:left w:val="nil"/>
                    <w:bottom w:val="single" w:sz="8" w:space="0" w:color="FFFFFF"/>
                    <w:right w:val="single" w:sz="8" w:space="0" w:color="FFFFFF"/>
                  </w:tcBorders>
                  <w:shd w:val="clear" w:color="000000" w:fill="FCD5B4"/>
                  <w:noWrap/>
                  <w:vAlign w:val="center"/>
                  <w:hideMark/>
                </w:tcPr>
                <w:p w14:paraId="2351D759"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53%</w:t>
                  </w:r>
                </w:p>
              </w:tc>
              <w:tc>
                <w:tcPr>
                  <w:tcW w:w="1179" w:type="dxa"/>
                  <w:tcBorders>
                    <w:top w:val="nil"/>
                    <w:left w:val="nil"/>
                    <w:bottom w:val="single" w:sz="8" w:space="0" w:color="FFFFFF"/>
                    <w:right w:val="single" w:sz="8" w:space="0" w:color="FFFFFF"/>
                  </w:tcBorders>
                  <w:shd w:val="clear" w:color="000000" w:fill="FCD5B4"/>
                  <w:noWrap/>
                  <w:vAlign w:val="center"/>
                  <w:hideMark/>
                </w:tcPr>
                <w:p w14:paraId="15BF3C43"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MTN5Y</w:t>
                  </w:r>
                </w:p>
              </w:tc>
              <w:tc>
                <w:tcPr>
                  <w:tcW w:w="943" w:type="dxa"/>
                  <w:tcBorders>
                    <w:top w:val="nil"/>
                    <w:left w:val="nil"/>
                    <w:bottom w:val="single" w:sz="8" w:space="0" w:color="FFFFFF"/>
                    <w:right w:val="single" w:sz="8" w:space="0" w:color="FFFFFF"/>
                  </w:tcBorders>
                  <w:shd w:val="clear" w:color="000000" w:fill="FCD5B4"/>
                  <w:noWrap/>
                  <w:vAlign w:val="center"/>
                  <w:hideMark/>
                </w:tcPr>
                <w:p w14:paraId="6477A264"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13%</w:t>
                  </w:r>
                </w:p>
              </w:tc>
              <w:tc>
                <w:tcPr>
                  <w:tcW w:w="943" w:type="dxa"/>
                  <w:tcBorders>
                    <w:top w:val="nil"/>
                    <w:left w:val="nil"/>
                    <w:bottom w:val="single" w:sz="8" w:space="0" w:color="FFFFFF"/>
                    <w:right w:val="single" w:sz="8" w:space="0" w:color="FFFFFF"/>
                  </w:tcBorders>
                  <w:shd w:val="clear" w:color="000000" w:fill="FCD5B4"/>
                  <w:noWrap/>
                  <w:vAlign w:val="center"/>
                  <w:hideMark/>
                </w:tcPr>
                <w:p w14:paraId="5C9DBE2D"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6%</w:t>
                  </w:r>
                </w:p>
              </w:tc>
              <w:tc>
                <w:tcPr>
                  <w:tcW w:w="943" w:type="dxa"/>
                  <w:tcBorders>
                    <w:top w:val="nil"/>
                    <w:left w:val="nil"/>
                    <w:bottom w:val="single" w:sz="8" w:space="0" w:color="FFFFFF"/>
                    <w:right w:val="single" w:sz="8" w:space="0" w:color="FFFFFF"/>
                  </w:tcBorders>
                  <w:shd w:val="clear" w:color="000000" w:fill="FCD5B4"/>
                  <w:noWrap/>
                  <w:vAlign w:val="center"/>
                  <w:hideMark/>
                </w:tcPr>
                <w:p w14:paraId="2A95BB1C"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11%</w:t>
                  </w:r>
                </w:p>
              </w:tc>
              <w:tc>
                <w:tcPr>
                  <w:tcW w:w="943" w:type="dxa"/>
                  <w:tcBorders>
                    <w:top w:val="nil"/>
                    <w:left w:val="nil"/>
                    <w:bottom w:val="single" w:sz="8" w:space="0" w:color="FFFFFF"/>
                    <w:right w:val="single" w:sz="8" w:space="0" w:color="FFFFFF"/>
                  </w:tcBorders>
                  <w:shd w:val="clear" w:color="000000" w:fill="FCD5B4"/>
                  <w:noWrap/>
                  <w:vAlign w:val="center"/>
                  <w:hideMark/>
                </w:tcPr>
                <w:p w14:paraId="4D37F730"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63%</w:t>
                  </w:r>
                </w:p>
              </w:tc>
            </w:tr>
            <w:tr w:rsidR="00D3254A" w:rsidRPr="00D3254A" w14:paraId="23E98B5F" w14:textId="77777777" w:rsidTr="00D3254A">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294FC0CF"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企业债3Y</w:t>
                  </w:r>
                </w:p>
              </w:tc>
              <w:tc>
                <w:tcPr>
                  <w:tcW w:w="943" w:type="dxa"/>
                  <w:tcBorders>
                    <w:top w:val="nil"/>
                    <w:left w:val="nil"/>
                    <w:bottom w:val="single" w:sz="8" w:space="0" w:color="FFFFFF"/>
                    <w:right w:val="single" w:sz="8" w:space="0" w:color="FFFFFF"/>
                  </w:tcBorders>
                  <w:shd w:val="clear" w:color="000000" w:fill="FDE9D9"/>
                  <w:noWrap/>
                  <w:vAlign w:val="center"/>
                  <w:hideMark/>
                </w:tcPr>
                <w:p w14:paraId="73A48077"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19%</w:t>
                  </w:r>
                </w:p>
              </w:tc>
              <w:tc>
                <w:tcPr>
                  <w:tcW w:w="943" w:type="dxa"/>
                  <w:tcBorders>
                    <w:top w:val="nil"/>
                    <w:left w:val="nil"/>
                    <w:bottom w:val="single" w:sz="8" w:space="0" w:color="FFFFFF"/>
                    <w:right w:val="single" w:sz="8" w:space="0" w:color="FFFFFF"/>
                  </w:tcBorders>
                  <w:shd w:val="clear" w:color="000000" w:fill="FDE9D9"/>
                  <w:noWrap/>
                  <w:vAlign w:val="center"/>
                  <w:hideMark/>
                </w:tcPr>
                <w:p w14:paraId="08E14913"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17%</w:t>
                  </w:r>
                </w:p>
              </w:tc>
              <w:tc>
                <w:tcPr>
                  <w:tcW w:w="943" w:type="dxa"/>
                  <w:tcBorders>
                    <w:top w:val="nil"/>
                    <w:left w:val="nil"/>
                    <w:bottom w:val="single" w:sz="8" w:space="0" w:color="FFFFFF"/>
                    <w:right w:val="single" w:sz="8" w:space="0" w:color="FFFFFF"/>
                  </w:tcBorders>
                  <w:shd w:val="clear" w:color="000000" w:fill="FDE9D9"/>
                  <w:noWrap/>
                  <w:vAlign w:val="center"/>
                  <w:hideMark/>
                </w:tcPr>
                <w:p w14:paraId="45BD0A7C"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17%</w:t>
                  </w:r>
                </w:p>
              </w:tc>
              <w:tc>
                <w:tcPr>
                  <w:tcW w:w="943" w:type="dxa"/>
                  <w:tcBorders>
                    <w:top w:val="nil"/>
                    <w:left w:val="nil"/>
                    <w:bottom w:val="single" w:sz="8" w:space="0" w:color="FFFFFF"/>
                    <w:right w:val="single" w:sz="8" w:space="0" w:color="FFFFFF"/>
                  </w:tcBorders>
                  <w:shd w:val="clear" w:color="000000" w:fill="FDE9D9"/>
                  <w:noWrap/>
                  <w:vAlign w:val="center"/>
                  <w:hideMark/>
                </w:tcPr>
                <w:p w14:paraId="004813D0"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54%</w:t>
                  </w:r>
                </w:p>
              </w:tc>
              <w:tc>
                <w:tcPr>
                  <w:tcW w:w="1179" w:type="dxa"/>
                  <w:tcBorders>
                    <w:top w:val="nil"/>
                    <w:left w:val="nil"/>
                    <w:bottom w:val="single" w:sz="8" w:space="0" w:color="FFFFFF"/>
                    <w:right w:val="single" w:sz="8" w:space="0" w:color="FFFFFF"/>
                  </w:tcBorders>
                  <w:shd w:val="clear" w:color="000000" w:fill="FDE9D9"/>
                  <w:noWrap/>
                  <w:vAlign w:val="center"/>
                  <w:hideMark/>
                </w:tcPr>
                <w:p w14:paraId="682CC117"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企业债3Y</w:t>
                  </w:r>
                </w:p>
              </w:tc>
              <w:tc>
                <w:tcPr>
                  <w:tcW w:w="943" w:type="dxa"/>
                  <w:tcBorders>
                    <w:top w:val="nil"/>
                    <w:left w:val="nil"/>
                    <w:bottom w:val="single" w:sz="8" w:space="0" w:color="FFFFFF"/>
                    <w:right w:val="single" w:sz="8" w:space="0" w:color="FFFFFF"/>
                  </w:tcBorders>
                  <w:shd w:val="clear" w:color="000000" w:fill="FDE9D9"/>
                  <w:noWrap/>
                  <w:vAlign w:val="center"/>
                  <w:hideMark/>
                </w:tcPr>
                <w:p w14:paraId="17F887D8"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9%</w:t>
                  </w:r>
                </w:p>
              </w:tc>
              <w:tc>
                <w:tcPr>
                  <w:tcW w:w="943" w:type="dxa"/>
                  <w:tcBorders>
                    <w:top w:val="nil"/>
                    <w:left w:val="nil"/>
                    <w:bottom w:val="single" w:sz="8" w:space="0" w:color="FFFFFF"/>
                    <w:right w:val="single" w:sz="8" w:space="0" w:color="FFFFFF"/>
                  </w:tcBorders>
                  <w:shd w:val="clear" w:color="000000" w:fill="FDE9D9"/>
                  <w:noWrap/>
                  <w:vAlign w:val="center"/>
                  <w:hideMark/>
                </w:tcPr>
                <w:p w14:paraId="34802E54"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12%</w:t>
                  </w:r>
                </w:p>
              </w:tc>
              <w:tc>
                <w:tcPr>
                  <w:tcW w:w="943" w:type="dxa"/>
                  <w:tcBorders>
                    <w:top w:val="nil"/>
                    <w:left w:val="nil"/>
                    <w:bottom w:val="single" w:sz="8" w:space="0" w:color="FFFFFF"/>
                    <w:right w:val="single" w:sz="8" w:space="0" w:color="FFFFFF"/>
                  </w:tcBorders>
                  <w:shd w:val="clear" w:color="000000" w:fill="FDE9D9"/>
                  <w:noWrap/>
                  <w:vAlign w:val="center"/>
                  <w:hideMark/>
                </w:tcPr>
                <w:p w14:paraId="347E2395"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14%</w:t>
                  </w:r>
                </w:p>
              </w:tc>
              <w:tc>
                <w:tcPr>
                  <w:tcW w:w="943" w:type="dxa"/>
                  <w:tcBorders>
                    <w:top w:val="nil"/>
                    <w:left w:val="nil"/>
                    <w:bottom w:val="single" w:sz="8" w:space="0" w:color="FFFFFF"/>
                    <w:right w:val="single" w:sz="8" w:space="0" w:color="FFFFFF"/>
                  </w:tcBorders>
                  <w:shd w:val="clear" w:color="000000" w:fill="FDE9D9"/>
                  <w:noWrap/>
                  <w:vAlign w:val="center"/>
                  <w:hideMark/>
                </w:tcPr>
                <w:p w14:paraId="6627E783"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65%</w:t>
                  </w:r>
                </w:p>
              </w:tc>
            </w:tr>
            <w:tr w:rsidR="00D3254A" w:rsidRPr="00D3254A" w14:paraId="1E9DDEF1" w14:textId="77777777" w:rsidTr="00D3254A">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51947BE0"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企业债5Y</w:t>
                  </w:r>
                </w:p>
              </w:tc>
              <w:tc>
                <w:tcPr>
                  <w:tcW w:w="943" w:type="dxa"/>
                  <w:tcBorders>
                    <w:top w:val="nil"/>
                    <w:left w:val="nil"/>
                    <w:bottom w:val="single" w:sz="8" w:space="0" w:color="FFFFFF"/>
                    <w:right w:val="single" w:sz="8" w:space="0" w:color="FFFFFF"/>
                  </w:tcBorders>
                  <w:shd w:val="clear" w:color="000000" w:fill="FCD5B4"/>
                  <w:noWrap/>
                  <w:vAlign w:val="center"/>
                  <w:hideMark/>
                </w:tcPr>
                <w:p w14:paraId="48611B56"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14%</w:t>
                  </w:r>
                </w:p>
              </w:tc>
              <w:tc>
                <w:tcPr>
                  <w:tcW w:w="943" w:type="dxa"/>
                  <w:tcBorders>
                    <w:top w:val="nil"/>
                    <w:left w:val="nil"/>
                    <w:bottom w:val="single" w:sz="8" w:space="0" w:color="FFFFFF"/>
                    <w:right w:val="single" w:sz="8" w:space="0" w:color="FFFFFF"/>
                  </w:tcBorders>
                  <w:shd w:val="clear" w:color="000000" w:fill="FCD5B4"/>
                  <w:noWrap/>
                  <w:vAlign w:val="center"/>
                  <w:hideMark/>
                </w:tcPr>
                <w:p w14:paraId="50629FB6"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10%</w:t>
                  </w:r>
                </w:p>
              </w:tc>
              <w:tc>
                <w:tcPr>
                  <w:tcW w:w="943" w:type="dxa"/>
                  <w:tcBorders>
                    <w:top w:val="nil"/>
                    <w:left w:val="nil"/>
                    <w:bottom w:val="single" w:sz="8" w:space="0" w:color="FFFFFF"/>
                    <w:right w:val="single" w:sz="8" w:space="0" w:color="FFFFFF"/>
                  </w:tcBorders>
                  <w:shd w:val="clear" w:color="000000" w:fill="FCD5B4"/>
                  <w:noWrap/>
                  <w:vAlign w:val="center"/>
                  <w:hideMark/>
                </w:tcPr>
                <w:p w14:paraId="7295F16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15%</w:t>
                  </w:r>
                </w:p>
              </w:tc>
              <w:tc>
                <w:tcPr>
                  <w:tcW w:w="943" w:type="dxa"/>
                  <w:tcBorders>
                    <w:top w:val="nil"/>
                    <w:left w:val="nil"/>
                    <w:bottom w:val="single" w:sz="8" w:space="0" w:color="FFFFFF"/>
                    <w:right w:val="single" w:sz="8" w:space="0" w:color="FFFFFF"/>
                  </w:tcBorders>
                  <w:shd w:val="clear" w:color="000000" w:fill="FCD5B4"/>
                  <w:noWrap/>
                  <w:vAlign w:val="center"/>
                  <w:hideMark/>
                </w:tcPr>
                <w:p w14:paraId="7D5B69B6"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50%</w:t>
                  </w:r>
                </w:p>
              </w:tc>
              <w:tc>
                <w:tcPr>
                  <w:tcW w:w="1179" w:type="dxa"/>
                  <w:tcBorders>
                    <w:top w:val="nil"/>
                    <w:left w:val="nil"/>
                    <w:bottom w:val="single" w:sz="8" w:space="0" w:color="FFFFFF"/>
                    <w:right w:val="single" w:sz="8" w:space="0" w:color="FFFFFF"/>
                  </w:tcBorders>
                  <w:shd w:val="clear" w:color="000000" w:fill="FCD5B4"/>
                  <w:noWrap/>
                  <w:vAlign w:val="center"/>
                  <w:hideMark/>
                </w:tcPr>
                <w:p w14:paraId="36F37536"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企业债5Y</w:t>
                  </w:r>
                </w:p>
              </w:tc>
              <w:tc>
                <w:tcPr>
                  <w:tcW w:w="943" w:type="dxa"/>
                  <w:tcBorders>
                    <w:top w:val="nil"/>
                    <w:left w:val="nil"/>
                    <w:bottom w:val="single" w:sz="8" w:space="0" w:color="FFFFFF"/>
                    <w:right w:val="single" w:sz="8" w:space="0" w:color="FFFFFF"/>
                  </w:tcBorders>
                  <w:shd w:val="clear" w:color="000000" w:fill="FCD5B4"/>
                  <w:noWrap/>
                  <w:vAlign w:val="center"/>
                  <w:hideMark/>
                </w:tcPr>
                <w:p w14:paraId="34E46977"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7%</w:t>
                  </w:r>
                </w:p>
              </w:tc>
              <w:tc>
                <w:tcPr>
                  <w:tcW w:w="943" w:type="dxa"/>
                  <w:tcBorders>
                    <w:top w:val="nil"/>
                    <w:left w:val="nil"/>
                    <w:bottom w:val="single" w:sz="8" w:space="0" w:color="FFFFFF"/>
                    <w:right w:val="single" w:sz="8" w:space="0" w:color="FFFFFF"/>
                  </w:tcBorders>
                  <w:shd w:val="clear" w:color="000000" w:fill="FCD5B4"/>
                  <w:noWrap/>
                  <w:vAlign w:val="center"/>
                  <w:hideMark/>
                </w:tcPr>
                <w:p w14:paraId="39AED3B2"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4%</w:t>
                  </w:r>
                </w:p>
              </w:tc>
              <w:tc>
                <w:tcPr>
                  <w:tcW w:w="943" w:type="dxa"/>
                  <w:tcBorders>
                    <w:top w:val="nil"/>
                    <w:left w:val="nil"/>
                    <w:bottom w:val="single" w:sz="8" w:space="0" w:color="FFFFFF"/>
                    <w:right w:val="single" w:sz="8" w:space="0" w:color="FFFFFF"/>
                  </w:tcBorders>
                  <w:shd w:val="clear" w:color="000000" w:fill="FCD5B4"/>
                  <w:noWrap/>
                  <w:vAlign w:val="center"/>
                  <w:hideMark/>
                </w:tcPr>
                <w:p w14:paraId="02FC28DD"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10%</w:t>
                  </w:r>
                </w:p>
              </w:tc>
              <w:tc>
                <w:tcPr>
                  <w:tcW w:w="943" w:type="dxa"/>
                  <w:tcBorders>
                    <w:top w:val="nil"/>
                    <w:left w:val="nil"/>
                    <w:bottom w:val="single" w:sz="8" w:space="0" w:color="FFFFFF"/>
                    <w:right w:val="single" w:sz="8" w:space="0" w:color="FFFFFF"/>
                  </w:tcBorders>
                  <w:shd w:val="clear" w:color="000000" w:fill="FCD5B4"/>
                  <w:noWrap/>
                  <w:vAlign w:val="center"/>
                  <w:hideMark/>
                </w:tcPr>
                <w:p w14:paraId="1EB8478E"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62%</w:t>
                  </w:r>
                </w:p>
              </w:tc>
            </w:tr>
            <w:tr w:rsidR="00D3254A" w:rsidRPr="00D3254A" w14:paraId="2A8308B2" w14:textId="77777777" w:rsidTr="00D3254A">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297E918E"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企业债7Y</w:t>
                  </w:r>
                </w:p>
              </w:tc>
              <w:tc>
                <w:tcPr>
                  <w:tcW w:w="943" w:type="dxa"/>
                  <w:tcBorders>
                    <w:top w:val="nil"/>
                    <w:left w:val="nil"/>
                    <w:bottom w:val="single" w:sz="8" w:space="0" w:color="FFFFFF"/>
                    <w:right w:val="single" w:sz="8" w:space="0" w:color="FFFFFF"/>
                  </w:tcBorders>
                  <w:shd w:val="clear" w:color="000000" w:fill="FDE9D9"/>
                  <w:noWrap/>
                  <w:vAlign w:val="center"/>
                  <w:hideMark/>
                </w:tcPr>
                <w:p w14:paraId="77A2AB6E"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12%</w:t>
                  </w:r>
                </w:p>
              </w:tc>
              <w:tc>
                <w:tcPr>
                  <w:tcW w:w="943" w:type="dxa"/>
                  <w:tcBorders>
                    <w:top w:val="nil"/>
                    <w:left w:val="nil"/>
                    <w:bottom w:val="single" w:sz="8" w:space="0" w:color="FFFFFF"/>
                    <w:right w:val="single" w:sz="8" w:space="0" w:color="FFFFFF"/>
                  </w:tcBorders>
                  <w:shd w:val="clear" w:color="000000" w:fill="FDE9D9"/>
                  <w:noWrap/>
                  <w:vAlign w:val="center"/>
                  <w:hideMark/>
                </w:tcPr>
                <w:p w14:paraId="369799A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6%</w:t>
                  </w:r>
                </w:p>
              </w:tc>
              <w:tc>
                <w:tcPr>
                  <w:tcW w:w="943" w:type="dxa"/>
                  <w:tcBorders>
                    <w:top w:val="nil"/>
                    <w:left w:val="nil"/>
                    <w:bottom w:val="single" w:sz="8" w:space="0" w:color="FFFFFF"/>
                    <w:right w:val="single" w:sz="8" w:space="0" w:color="FFFFFF"/>
                  </w:tcBorders>
                  <w:shd w:val="clear" w:color="000000" w:fill="FDE9D9"/>
                  <w:noWrap/>
                  <w:vAlign w:val="center"/>
                  <w:hideMark/>
                </w:tcPr>
                <w:p w14:paraId="70EEEE97"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9%</w:t>
                  </w:r>
                </w:p>
              </w:tc>
              <w:tc>
                <w:tcPr>
                  <w:tcW w:w="943" w:type="dxa"/>
                  <w:tcBorders>
                    <w:top w:val="nil"/>
                    <w:left w:val="nil"/>
                    <w:bottom w:val="single" w:sz="8" w:space="0" w:color="FFFFFF"/>
                    <w:right w:val="single" w:sz="8" w:space="0" w:color="FFFFFF"/>
                  </w:tcBorders>
                  <w:shd w:val="clear" w:color="000000" w:fill="FDE9D9"/>
                  <w:noWrap/>
                  <w:vAlign w:val="center"/>
                  <w:hideMark/>
                </w:tcPr>
                <w:p w14:paraId="1943FCE9"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40%</w:t>
                  </w:r>
                </w:p>
              </w:tc>
              <w:tc>
                <w:tcPr>
                  <w:tcW w:w="1179" w:type="dxa"/>
                  <w:tcBorders>
                    <w:top w:val="nil"/>
                    <w:left w:val="nil"/>
                    <w:bottom w:val="single" w:sz="8" w:space="0" w:color="FFFFFF"/>
                    <w:right w:val="single" w:sz="8" w:space="0" w:color="FFFFFF"/>
                  </w:tcBorders>
                  <w:shd w:val="clear" w:color="000000" w:fill="FDE9D9"/>
                  <w:noWrap/>
                  <w:vAlign w:val="center"/>
                  <w:hideMark/>
                </w:tcPr>
                <w:p w14:paraId="604A3967" w14:textId="77777777" w:rsidR="00D3254A" w:rsidRPr="00D3254A" w:rsidRDefault="00D3254A" w:rsidP="00D3254A">
                  <w:pPr>
                    <w:widowControl/>
                    <w:jc w:val="center"/>
                    <w:rPr>
                      <w:rFonts w:ascii="楷体" w:eastAsia="楷体" w:hAnsi="楷体" w:cs="宋体"/>
                      <w:color w:val="000000"/>
                      <w:kern w:val="0"/>
                      <w:sz w:val="20"/>
                      <w:szCs w:val="20"/>
                    </w:rPr>
                  </w:pPr>
                  <w:r w:rsidRPr="00D3254A">
                    <w:rPr>
                      <w:rFonts w:ascii="楷体" w:eastAsia="楷体" w:hAnsi="楷体" w:cs="宋体" w:hint="eastAsia"/>
                      <w:color w:val="000000"/>
                      <w:kern w:val="0"/>
                      <w:sz w:val="20"/>
                      <w:szCs w:val="20"/>
                    </w:rPr>
                    <w:t>企业债7Y</w:t>
                  </w:r>
                </w:p>
              </w:tc>
              <w:tc>
                <w:tcPr>
                  <w:tcW w:w="943" w:type="dxa"/>
                  <w:tcBorders>
                    <w:top w:val="nil"/>
                    <w:left w:val="nil"/>
                    <w:bottom w:val="single" w:sz="8" w:space="0" w:color="FFFFFF"/>
                    <w:right w:val="single" w:sz="8" w:space="0" w:color="FFFFFF"/>
                  </w:tcBorders>
                  <w:shd w:val="clear" w:color="000000" w:fill="FDE9D9"/>
                  <w:noWrap/>
                  <w:vAlign w:val="center"/>
                  <w:hideMark/>
                </w:tcPr>
                <w:p w14:paraId="1A891E8E"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11%</w:t>
                  </w:r>
                </w:p>
              </w:tc>
              <w:tc>
                <w:tcPr>
                  <w:tcW w:w="943" w:type="dxa"/>
                  <w:tcBorders>
                    <w:top w:val="nil"/>
                    <w:left w:val="nil"/>
                    <w:bottom w:val="single" w:sz="8" w:space="0" w:color="FFFFFF"/>
                    <w:right w:val="single" w:sz="8" w:space="0" w:color="FFFFFF"/>
                  </w:tcBorders>
                  <w:shd w:val="clear" w:color="000000" w:fill="FDE9D9"/>
                  <w:noWrap/>
                  <w:vAlign w:val="center"/>
                  <w:hideMark/>
                </w:tcPr>
                <w:p w14:paraId="1965E3E9"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5%</w:t>
                  </w:r>
                </w:p>
              </w:tc>
              <w:tc>
                <w:tcPr>
                  <w:tcW w:w="943" w:type="dxa"/>
                  <w:tcBorders>
                    <w:top w:val="nil"/>
                    <w:left w:val="nil"/>
                    <w:bottom w:val="single" w:sz="8" w:space="0" w:color="FFFFFF"/>
                    <w:right w:val="single" w:sz="8" w:space="0" w:color="FFFFFF"/>
                  </w:tcBorders>
                  <w:shd w:val="clear" w:color="000000" w:fill="FDE9D9"/>
                  <w:noWrap/>
                  <w:vAlign w:val="center"/>
                  <w:hideMark/>
                </w:tcPr>
                <w:p w14:paraId="74E52F91"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9%</w:t>
                  </w:r>
                </w:p>
              </w:tc>
              <w:tc>
                <w:tcPr>
                  <w:tcW w:w="943" w:type="dxa"/>
                  <w:tcBorders>
                    <w:top w:val="nil"/>
                    <w:left w:val="nil"/>
                    <w:bottom w:val="single" w:sz="8" w:space="0" w:color="FFFFFF"/>
                    <w:right w:val="single" w:sz="8" w:space="0" w:color="FFFFFF"/>
                  </w:tcBorders>
                  <w:shd w:val="clear" w:color="000000" w:fill="FDE9D9"/>
                  <w:noWrap/>
                  <w:vAlign w:val="center"/>
                  <w:hideMark/>
                </w:tcPr>
                <w:p w14:paraId="175ECA49"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54%</w:t>
                  </w:r>
                </w:p>
              </w:tc>
            </w:tr>
            <w:tr w:rsidR="00D3254A" w:rsidRPr="00D3254A" w14:paraId="1D9C53A1" w14:textId="77777777" w:rsidTr="00D3254A">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7FF154A6" w14:textId="77777777" w:rsidR="00D3254A" w:rsidRPr="00D3254A" w:rsidRDefault="00D3254A" w:rsidP="00D3254A">
                  <w:pPr>
                    <w:widowControl/>
                    <w:jc w:val="center"/>
                    <w:rPr>
                      <w:rFonts w:ascii="楷体" w:eastAsia="楷体" w:hAnsi="楷体" w:cs="宋体"/>
                      <w:color w:val="000000"/>
                      <w:kern w:val="0"/>
                      <w:sz w:val="20"/>
                      <w:szCs w:val="20"/>
                    </w:rPr>
                  </w:pPr>
                  <w:proofErr w:type="gramStart"/>
                  <w:r w:rsidRPr="00D3254A">
                    <w:rPr>
                      <w:rFonts w:ascii="楷体" w:eastAsia="楷体" w:hAnsi="楷体" w:cs="宋体" w:hint="eastAsia"/>
                      <w:color w:val="000000"/>
                      <w:kern w:val="0"/>
                      <w:sz w:val="20"/>
                      <w:szCs w:val="20"/>
                    </w:rPr>
                    <w:t>城投债</w:t>
                  </w:r>
                  <w:proofErr w:type="gramEnd"/>
                  <w:r w:rsidRPr="00D3254A">
                    <w:rPr>
                      <w:rFonts w:ascii="楷体" w:eastAsia="楷体" w:hAnsi="楷体" w:cs="宋体" w:hint="eastAsia"/>
                      <w:color w:val="000000"/>
                      <w:kern w:val="0"/>
                      <w:sz w:val="20"/>
                      <w:szCs w:val="20"/>
                    </w:rPr>
                    <w:t>3Y</w:t>
                  </w:r>
                </w:p>
              </w:tc>
              <w:tc>
                <w:tcPr>
                  <w:tcW w:w="943" w:type="dxa"/>
                  <w:tcBorders>
                    <w:top w:val="nil"/>
                    <w:left w:val="nil"/>
                    <w:bottom w:val="single" w:sz="8" w:space="0" w:color="FFFFFF"/>
                    <w:right w:val="single" w:sz="8" w:space="0" w:color="FFFFFF"/>
                  </w:tcBorders>
                  <w:shd w:val="clear" w:color="000000" w:fill="FCD5B4"/>
                  <w:noWrap/>
                  <w:vAlign w:val="center"/>
                  <w:hideMark/>
                </w:tcPr>
                <w:p w14:paraId="68496927"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15%</w:t>
                  </w:r>
                </w:p>
              </w:tc>
              <w:tc>
                <w:tcPr>
                  <w:tcW w:w="943" w:type="dxa"/>
                  <w:tcBorders>
                    <w:top w:val="nil"/>
                    <w:left w:val="nil"/>
                    <w:bottom w:val="single" w:sz="8" w:space="0" w:color="FFFFFF"/>
                    <w:right w:val="single" w:sz="8" w:space="0" w:color="FFFFFF"/>
                  </w:tcBorders>
                  <w:shd w:val="clear" w:color="000000" w:fill="FCD5B4"/>
                  <w:noWrap/>
                  <w:vAlign w:val="center"/>
                  <w:hideMark/>
                </w:tcPr>
                <w:p w14:paraId="6353D8F4"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14%</w:t>
                  </w:r>
                </w:p>
              </w:tc>
              <w:tc>
                <w:tcPr>
                  <w:tcW w:w="943" w:type="dxa"/>
                  <w:tcBorders>
                    <w:top w:val="nil"/>
                    <w:left w:val="nil"/>
                    <w:bottom w:val="single" w:sz="8" w:space="0" w:color="FFFFFF"/>
                    <w:right w:val="single" w:sz="8" w:space="0" w:color="FFFFFF"/>
                  </w:tcBorders>
                  <w:shd w:val="clear" w:color="000000" w:fill="FCD5B4"/>
                  <w:noWrap/>
                  <w:vAlign w:val="center"/>
                  <w:hideMark/>
                </w:tcPr>
                <w:p w14:paraId="22B6F60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12%</w:t>
                  </w:r>
                </w:p>
              </w:tc>
              <w:tc>
                <w:tcPr>
                  <w:tcW w:w="943" w:type="dxa"/>
                  <w:tcBorders>
                    <w:top w:val="nil"/>
                    <w:left w:val="nil"/>
                    <w:bottom w:val="single" w:sz="8" w:space="0" w:color="FFFFFF"/>
                    <w:right w:val="single" w:sz="8" w:space="0" w:color="FFFFFF"/>
                  </w:tcBorders>
                  <w:shd w:val="clear" w:color="000000" w:fill="FCD5B4"/>
                  <w:noWrap/>
                  <w:vAlign w:val="center"/>
                  <w:hideMark/>
                </w:tcPr>
                <w:p w14:paraId="6009989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64%</w:t>
                  </w:r>
                </w:p>
              </w:tc>
              <w:tc>
                <w:tcPr>
                  <w:tcW w:w="1179" w:type="dxa"/>
                  <w:tcBorders>
                    <w:top w:val="nil"/>
                    <w:left w:val="nil"/>
                    <w:bottom w:val="single" w:sz="8" w:space="0" w:color="FFFFFF"/>
                    <w:right w:val="single" w:sz="8" w:space="0" w:color="FFFFFF"/>
                  </w:tcBorders>
                  <w:shd w:val="clear" w:color="000000" w:fill="FCD5B4"/>
                  <w:noWrap/>
                  <w:vAlign w:val="center"/>
                  <w:hideMark/>
                </w:tcPr>
                <w:p w14:paraId="6B3023E9" w14:textId="77777777" w:rsidR="00D3254A" w:rsidRPr="00D3254A" w:rsidRDefault="00D3254A" w:rsidP="00D3254A">
                  <w:pPr>
                    <w:widowControl/>
                    <w:jc w:val="center"/>
                    <w:rPr>
                      <w:rFonts w:ascii="楷体" w:eastAsia="楷体" w:hAnsi="楷体" w:cs="宋体"/>
                      <w:color w:val="000000"/>
                      <w:kern w:val="0"/>
                      <w:sz w:val="20"/>
                      <w:szCs w:val="20"/>
                    </w:rPr>
                  </w:pPr>
                  <w:proofErr w:type="gramStart"/>
                  <w:r w:rsidRPr="00D3254A">
                    <w:rPr>
                      <w:rFonts w:ascii="楷体" w:eastAsia="楷体" w:hAnsi="楷体" w:cs="宋体" w:hint="eastAsia"/>
                      <w:color w:val="000000"/>
                      <w:kern w:val="0"/>
                      <w:sz w:val="20"/>
                      <w:szCs w:val="20"/>
                    </w:rPr>
                    <w:t>城投债</w:t>
                  </w:r>
                  <w:proofErr w:type="gramEnd"/>
                  <w:r w:rsidRPr="00D3254A">
                    <w:rPr>
                      <w:rFonts w:ascii="楷体" w:eastAsia="楷体" w:hAnsi="楷体" w:cs="宋体" w:hint="eastAsia"/>
                      <w:color w:val="000000"/>
                      <w:kern w:val="0"/>
                      <w:sz w:val="20"/>
                      <w:szCs w:val="20"/>
                    </w:rPr>
                    <w:t>3Y</w:t>
                  </w:r>
                </w:p>
              </w:tc>
              <w:tc>
                <w:tcPr>
                  <w:tcW w:w="943" w:type="dxa"/>
                  <w:tcBorders>
                    <w:top w:val="nil"/>
                    <w:left w:val="nil"/>
                    <w:bottom w:val="single" w:sz="8" w:space="0" w:color="FFFFFF"/>
                    <w:right w:val="single" w:sz="8" w:space="0" w:color="FFFFFF"/>
                  </w:tcBorders>
                  <w:shd w:val="clear" w:color="000000" w:fill="FCD5B4"/>
                  <w:noWrap/>
                  <w:vAlign w:val="center"/>
                  <w:hideMark/>
                </w:tcPr>
                <w:p w14:paraId="30DE84ED"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8%</w:t>
                  </w:r>
                </w:p>
              </w:tc>
              <w:tc>
                <w:tcPr>
                  <w:tcW w:w="943" w:type="dxa"/>
                  <w:tcBorders>
                    <w:top w:val="nil"/>
                    <w:left w:val="nil"/>
                    <w:bottom w:val="single" w:sz="8" w:space="0" w:color="FFFFFF"/>
                    <w:right w:val="single" w:sz="8" w:space="0" w:color="FFFFFF"/>
                  </w:tcBorders>
                  <w:shd w:val="clear" w:color="000000" w:fill="FCD5B4"/>
                  <w:noWrap/>
                  <w:vAlign w:val="center"/>
                  <w:hideMark/>
                </w:tcPr>
                <w:p w14:paraId="639E457F"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13%</w:t>
                  </w:r>
                </w:p>
              </w:tc>
              <w:tc>
                <w:tcPr>
                  <w:tcW w:w="943" w:type="dxa"/>
                  <w:tcBorders>
                    <w:top w:val="nil"/>
                    <w:left w:val="nil"/>
                    <w:bottom w:val="single" w:sz="8" w:space="0" w:color="FFFFFF"/>
                    <w:right w:val="single" w:sz="8" w:space="0" w:color="FFFFFF"/>
                  </w:tcBorders>
                  <w:shd w:val="clear" w:color="000000" w:fill="FCD5B4"/>
                  <w:noWrap/>
                  <w:vAlign w:val="center"/>
                  <w:hideMark/>
                </w:tcPr>
                <w:p w14:paraId="49DD0B54"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11%</w:t>
                  </w:r>
                </w:p>
              </w:tc>
              <w:tc>
                <w:tcPr>
                  <w:tcW w:w="943" w:type="dxa"/>
                  <w:tcBorders>
                    <w:top w:val="nil"/>
                    <w:left w:val="nil"/>
                    <w:bottom w:val="single" w:sz="8" w:space="0" w:color="FFFFFF"/>
                    <w:right w:val="single" w:sz="8" w:space="0" w:color="FFFFFF"/>
                  </w:tcBorders>
                  <w:shd w:val="clear" w:color="000000" w:fill="FCD5B4"/>
                  <w:noWrap/>
                  <w:vAlign w:val="center"/>
                  <w:hideMark/>
                </w:tcPr>
                <w:p w14:paraId="40086876"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79%</w:t>
                  </w:r>
                </w:p>
              </w:tc>
            </w:tr>
            <w:tr w:rsidR="00D3254A" w:rsidRPr="00D3254A" w14:paraId="00EC1017" w14:textId="77777777" w:rsidTr="00D3254A">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11411C63" w14:textId="77777777" w:rsidR="00D3254A" w:rsidRPr="00D3254A" w:rsidRDefault="00D3254A" w:rsidP="00D3254A">
                  <w:pPr>
                    <w:widowControl/>
                    <w:jc w:val="center"/>
                    <w:rPr>
                      <w:rFonts w:ascii="楷体" w:eastAsia="楷体" w:hAnsi="楷体" w:cs="宋体"/>
                      <w:color w:val="000000"/>
                      <w:kern w:val="0"/>
                      <w:sz w:val="20"/>
                      <w:szCs w:val="20"/>
                    </w:rPr>
                  </w:pPr>
                  <w:proofErr w:type="gramStart"/>
                  <w:r w:rsidRPr="00D3254A">
                    <w:rPr>
                      <w:rFonts w:ascii="楷体" w:eastAsia="楷体" w:hAnsi="楷体" w:cs="宋体" w:hint="eastAsia"/>
                      <w:color w:val="000000"/>
                      <w:kern w:val="0"/>
                      <w:sz w:val="20"/>
                      <w:szCs w:val="20"/>
                    </w:rPr>
                    <w:t>城投债</w:t>
                  </w:r>
                  <w:proofErr w:type="gramEnd"/>
                  <w:r w:rsidRPr="00D3254A">
                    <w:rPr>
                      <w:rFonts w:ascii="楷体" w:eastAsia="楷体" w:hAnsi="楷体" w:cs="宋体" w:hint="eastAsia"/>
                      <w:color w:val="000000"/>
                      <w:kern w:val="0"/>
                      <w:sz w:val="20"/>
                      <w:szCs w:val="20"/>
                    </w:rPr>
                    <w:t>5Y</w:t>
                  </w:r>
                </w:p>
              </w:tc>
              <w:tc>
                <w:tcPr>
                  <w:tcW w:w="943" w:type="dxa"/>
                  <w:tcBorders>
                    <w:top w:val="nil"/>
                    <w:left w:val="nil"/>
                    <w:bottom w:val="single" w:sz="8" w:space="0" w:color="FFFFFF"/>
                    <w:right w:val="single" w:sz="8" w:space="0" w:color="FFFFFF"/>
                  </w:tcBorders>
                  <w:shd w:val="clear" w:color="000000" w:fill="FDE9D9"/>
                  <w:noWrap/>
                  <w:vAlign w:val="center"/>
                  <w:hideMark/>
                </w:tcPr>
                <w:p w14:paraId="09EAADB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11%</w:t>
                  </w:r>
                </w:p>
              </w:tc>
              <w:tc>
                <w:tcPr>
                  <w:tcW w:w="943" w:type="dxa"/>
                  <w:tcBorders>
                    <w:top w:val="nil"/>
                    <w:left w:val="nil"/>
                    <w:bottom w:val="single" w:sz="8" w:space="0" w:color="FFFFFF"/>
                    <w:right w:val="single" w:sz="8" w:space="0" w:color="FFFFFF"/>
                  </w:tcBorders>
                  <w:shd w:val="clear" w:color="000000" w:fill="FDE9D9"/>
                  <w:noWrap/>
                  <w:vAlign w:val="center"/>
                  <w:hideMark/>
                </w:tcPr>
                <w:p w14:paraId="0B176F0C"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13%</w:t>
                  </w:r>
                </w:p>
              </w:tc>
              <w:tc>
                <w:tcPr>
                  <w:tcW w:w="943" w:type="dxa"/>
                  <w:tcBorders>
                    <w:top w:val="nil"/>
                    <w:left w:val="nil"/>
                    <w:bottom w:val="single" w:sz="8" w:space="0" w:color="FFFFFF"/>
                    <w:right w:val="single" w:sz="8" w:space="0" w:color="FFFFFF"/>
                  </w:tcBorders>
                  <w:shd w:val="clear" w:color="000000" w:fill="FDE9D9"/>
                  <w:noWrap/>
                  <w:vAlign w:val="center"/>
                  <w:hideMark/>
                </w:tcPr>
                <w:p w14:paraId="1D0BD4DC"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16%</w:t>
                  </w:r>
                </w:p>
              </w:tc>
              <w:tc>
                <w:tcPr>
                  <w:tcW w:w="943" w:type="dxa"/>
                  <w:tcBorders>
                    <w:top w:val="nil"/>
                    <w:left w:val="nil"/>
                    <w:bottom w:val="single" w:sz="8" w:space="0" w:color="FFFFFF"/>
                    <w:right w:val="single" w:sz="8" w:space="0" w:color="FFFFFF"/>
                  </w:tcBorders>
                  <w:shd w:val="clear" w:color="000000" w:fill="FDE9D9"/>
                  <w:noWrap/>
                  <w:vAlign w:val="center"/>
                  <w:hideMark/>
                </w:tcPr>
                <w:p w14:paraId="69F1C9EC"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80%</w:t>
                  </w:r>
                </w:p>
              </w:tc>
              <w:tc>
                <w:tcPr>
                  <w:tcW w:w="1179" w:type="dxa"/>
                  <w:tcBorders>
                    <w:top w:val="nil"/>
                    <w:left w:val="nil"/>
                    <w:bottom w:val="single" w:sz="8" w:space="0" w:color="FFFFFF"/>
                    <w:right w:val="single" w:sz="8" w:space="0" w:color="FFFFFF"/>
                  </w:tcBorders>
                  <w:shd w:val="clear" w:color="000000" w:fill="FDE9D9"/>
                  <w:noWrap/>
                  <w:vAlign w:val="center"/>
                  <w:hideMark/>
                </w:tcPr>
                <w:p w14:paraId="7BDC3FF1" w14:textId="77777777" w:rsidR="00D3254A" w:rsidRPr="00D3254A" w:rsidRDefault="00D3254A" w:rsidP="00D3254A">
                  <w:pPr>
                    <w:widowControl/>
                    <w:jc w:val="center"/>
                    <w:rPr>
                      <w:rFonts w:ascii="楷体" w:eastAsia="楷体" w:hAnsi="楷体" w:cs="宋体"/>
                      <w:color w:val="000000"/>
                      <w:kern w:val="0"/>
                      <w:sz w:val="20"/>
                      <w:szCs w:val="20"/>
                    </w:rPr>
                  </w:pPr>
                  <w:proofErr w:type="gramStart"/>
                  <w:r w:rsidRPr="00D3254A">
                    <w:rPr>
                      <w:rFonts w:ascii="楷体" w:eastAsia="楷体" w:hAnsi="楷体" w:cs="宋体" w:hint="eastAsia"/>
                      <w:color w:val="000000"/>
                      <w:kern w:val="0"/>
                      <w:sz w:val="20"/>
                      <w:szCs w:val="20"/>
                    </w:rPr>
                    <w:t>城投债</w:t>
                  </w:r>
                  <w:proofErr w:type="gramEnd"/>
                  <w:r w:rsidRPr="00D3254A">
                    <w:rPr>
                      <w:rFonts w:ascii="楷体" w:eastAsia="楷体" w:hAnsi="楷体" w:cs="宋体" w:hint="eastAsia"/>
                      <w:color w:val="000000"/>
                      <w:kern w:val="0"/>
                      <w:sz w:val="20"/>
                      <w:szCs w:val="20"/>
                    </w:rPr>
                    <w:t>5Y</w:t>
                  </w:r>
                </w:p>
              </w:tc>
              <w:tc>
                <w:tcPr>
                  <w:tcW w:w="943" w:type="dxa"/>
                  <w:tcBorders>
                    <w:top w:val="nil"/>
                    <w:left w:val="nil"/>
                    <w:bottom w:val="single" w:sz="8" w:space="0" w:color="FFFFFF"/>
                    <w:right w:val="single" w:sz="8" w:space="0" w:color="FFFFFF"/>
                  </w:tcBorders>
                  <w:shd w:val="clear" w:color="000000" w:fill="FDE9D9"/>
                  <w:noWrap/>
                  <w:vAlign w:val="center"/>
                  <w:hideMark/>
                </w:tcPr>
                <w:p w14:paraId="4B8DFF41"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7%</w:t>
                  </w:r>
                </w:p>
              </w:tc>
              <w:tc>
                <w:tcPr>
                  <w:tcW w:w="943" w:type="dxa"/>
                  <w:tcBorders>
                    <w:top w:val="nil"/>
                    <w:left w:val="nil"/>
                    <w:bottom w:val="single" w:sz="8" w:space="0" w:color="FFFFFF"/>
                    <w:right w:val="single" w:sz="8" w:space="0" w:color="FFFFFF"/>
                  </w:tcBorders>
                  <w:shd w:val="clear" w:color="000000" w:fill="FDE9D9"/>
                  <w:noWrap/>
                  <w:vAlign w:val="center"/>
                  <w:hideMark/>
                </w:tcPr>
                <w:p w14:paraId="21864073"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10%</w:t>
                  </w:r>
                </w:p>
              </w:tc>
              <w:tc>
                <w:tcPr>
                  <w:tcW w:w="943" w:type="dxa"/>
                  <w:tcBorders>
                    <w:top w:val="nil"/>
                    <w:left w:val="nil"/>
                    <w:bottom w:val="single" w:sz="8" w:space="0" w:color="FFFFFF"/>
                    <w:right w:val="single" w:sz="8" w:space="0" w:color="FFFFFF"/>
                  </w:tcBorders>
                  <w:shd w:val="clear" w:color="000000" w:fill="FDE9D9"/>
                  <w:noWrap/>
                  <w:vAlign w:val="center"/>
                  <w:hideMark/>
                </w:tcPr>
                <w:p w14:paraId="36633B78"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16%</w:t>
                  </w:r>
                </w:p>
              </w:tc>
              <w:tc>
                <w:tcPr>
                  <w:tcW w:w="943" w:type="dxa"/>
                  <w:tcBorders>
                    <w:top w:val="nil"/>
                    <w:left w:val="nil"/>
                    <w:bottom w:val="single" w:sz="8" w:space="0" w:color="FFFFFF"/>
                    <w:right w:val="single" w:sz="8" w:space="0" w:color="FFFFFF"/>
                  </w:tcBorders>
                  <w:shd w:val="clear" w:color="000000" w:fill="FFC7CE"/>
                  <w:noWrap/>
                  <w:vAlign w:val="center"/>
                  <w:hideMark/>
                </w:tcPr>
                <w:p w14:paraId="17ED2D35" w14:textId="77777777" w:rsidR="00D3254A" w:rsidRPr="00D3254A" w:rsidRDefault="00D3254A" w:rsidP="00D3254A">
                  <w:pPr>
                    <w:widowControl/>
                    <w:jc w:val="center"/>
                    <w:rPr>
                      <w:rFonts w:eastAsia="等线" w:cs="Calibri"/>
                      <w:color w:val="9C0006"/>
                      <w:kern w:val="0"/>
                      <w:szCs w:val="21"/>
                    </w:rPr>
                  </w:pPr>
                  <w:r w:rsidRPr="00D3254A">
                    <w:rPr>
                      <w:rFonts w:eastAsia="等线" w:cs="Calibri"/>
                      <w:color w:val="9C0006"/>
                      <w:kern w:val="0"/>
                      <w:szCs w:val="21"/>
                    </w:rPr>
                    <w:t>91%</w:t>
                  </w:r>
                </w:p>
              </w:tc>
            </w:tr>
            <w:tr w:rsidR="00D3254A" w:rsidRPr="00D3254A" w14:paraId="5B83FFF9" w14:textId="77777777" w:rsidTr="00D3254A">
              <w:trPr>
                <w:trHeight w:val="300"/>
              </w:trPr>
              <w:tc>
                <w:tcPr>
                  <w:tcW w:w="1151" w:type="dxa"/>
                  <w:tcBorders>
                    <w:top w:val="nil"/>
                    <w:left w:val="nil"/>
                    <w:bottom w:val="nil"/>
                    <w:right w:val="nil"/>
                  </w:tcBorders>
                  <w:shd w:val="clear" w:color="000000" w:fill="FCD5B4"/>
                  <w:noWrap/>
                  <w:vAlign w:val="center"/>
                  <w:hideMark/>
                </w:tcPr>
                <w:p w14:paraId="7B3200EB" w14:textId="77777777" w:rsidR="00D3254A" w:rsidRPr="00D3254A" w:rsidRDefault="00D3254A" w:rsidP="00D3254A">
                  <w:pPr>
                    <w:widowControl/>
                    <w:jc w:val="center"/>
                    <w:rPr>
                      <w:rFonts w:ascii="楷体" w:eastAsia="楷体" w:hAnsi="楷体" w:cs="宋体"/>
                      <w:color w:val="000000"/>
                      <w:kern w:val="0"/>
                      <w:sz w:val="20"/>
                      <w:szCs w:val="20"/>
                    </w:rPr>
                  </w:pPr>
                  <w:proofErr w:type="gramStart"/>
                  <w:r w:rsidRPr="00D3254A">
                    <w:rPr>
                      <w:rFonts w:ascii="楷体" w:eastAsia="楷体" w:hAnsi="楷体" w:cs="宋体" w:hint="eastAsia"/>
                      <w:color w:val="000000"/>
                      <w:kern w:val="0"/>
                      <w:sz w:val="20"/>
                      <w:szCs w:val="20"/>
                    </w:rPr>
                    <w:t>城投债</w:t>
                  </w:r>
                  <w:proofErr w:type="gramEnd"/>
                  <w:r w:rsidRPr="00D3254A">
                    <w:rPr>
                      <w:rFonts w:ascii="楷体" w:eastAsia="楷体" w:hAnsi="楷体" w:cs="宋体" w:hint="eastAsia"/>
                      <w:color w:val="000000"/>
                      <w:kern w:val="0"/>
                      <w:sz w:val="20"/>
                      <w:szCs w:val="20"/>
                    </w:rPr>
                    <w:t>7Y</w:t>
                  </w:r>
                </w:p>
              </w:tc>
              <w:tc>
                <w:tcPr>
                  <w:tcW w:w="943" w:type="dxa"/>
                  <w:tcBorders>
                    <w:top w:val="nil"/>
                    <w:left w:val="nil"/>
                    <w:bottom w:val="single" w:sz="8" w:space="0" w:color="FFFFFF"/>
                    <w:right w:val="single" w:sz="8" w:space="0" w:color="FFFFFF"/>
                  </w:tcBorders>
                  <w:shd w:val="clear" w:color="000000" w:fill="FCD5B4"/>
                  <w:noWrap/>
                  <w:vAlign w:val="center"/>
                  <w:hideMark/>
                </w:tcPr>
                <w:p w14:paraId="485A2AE9"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11%</w:t>
                  </w:r>
                </w:p>
              </w:tc>
              <w:tc>
                <w:tcPr>
                  <w:tcW w:w="943" w:type="dxa"/>
                  <w:tcBorders>
                    <w:top w:val="nil"/>
                    <w:left w:val="nil"/>
                    <w:bottom w:val="single" w:sz="8" w:space="0" w:color="FFFFFF"/>
                    <w:right w:val="single" w:sz="8" w:space="0" w:color="FFFFFF"/>
                  </w:tcBorders>
                  <w:shd w:val="clear" w:color="000000" w:fill="FCD5B4"/>
                  <w:noWrap/>
                  <w:vAlign w:val="center"/>
                  <w:hideMark/>
                </w:tcPr>
                <w:p w14:paraId="462D1578"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11%</w:t>
                  </w:r>
                </w:p>
              </w:tc>
              <w:tc>
                <w:tcPr>
                  <w:tcW w:w="943" w:type="dxa"/>
                  <w:tcBorders>
                    <w:top w:val="nil"/>
                    <w:left w:val="nil"/>
                    <w:bottom w:val="single" w:sz="8" w:space="0" w:color="FFFFFF"/>
                    <w:right w:val="single" w:sz="8" w:space="0" w:color="FFFFFF"/>
                  </w:tcBorders>
                  <w:shd w:val="clear" w:color="000000" w:fill="FCD5B4"/>
                  <w:noWrap/>
                  <w:vAlign w:val="center"/>
                  <w:hideMark/>
                </w:tcPr>
                <w:p w14:paraId="4A9D7ADA"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14%</w:t>
                  </w:r>
                </w:p>
              </w:tc>
              <w:tc>
                <w:tcPr>
                  <w:tcW w:w="943" w:type="dxa"/>
                  <w:tcBorders>
                    <w:top w:val="nil"/>
                    <w:left w:val="nil"/>
                    <w:bottom w:val="single" w:sz="8" w:space="0" w:color="FFFFFF"/>
                    <w:right w:val="single" w:sz="8" w:space="0" w:color="FFFFFF"/>
                  </w:tcBorders>
                  <w:shd w:val="clear" w:color="000000" w:fill="FCD5B4"/>
                  <w:noWrap/>
                  <w:vAlign w:val="center"/>
                  <w:hideMark/>
                </w:tcPr>
                <w:p w14:paraId="167EEA5E"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75%</w:t>
                  </w:r>
                </w:p>
              </w:tc>
              <w:tc>
                <w:tcPr>
                  <w:tcW w:w="1179" w:type="dxa"/>
                  <w:tcBorders>
                    <w:top w:val="nil"/>
                    <w:left w:val="nil"/>
                    <w:bottom w:val="nil"/>
                    <w:right w:val="nil"/>
                  </w:tcBorders>
                  <w:shd w:val="clear" w:color="000000" w:fill="FCD5B4"/>
                  <w:noWrap/>
                  <w:vAlign w:val="center"/>
                  <w:hideMark/>
                </w:tcPr>
                <w:p w14:paraId="1DF1E494" w14:textId="77777777" w:rsidR="00D3254A" w:rsidRPr="00D3254A" w:rsidRDefault="00D3254A" w:rsidP="00D3254A">
                  <w:pPr>
                    <w:widowControl/>
                    <w:jc w:val="center"/>
                    <w:rPr>
                      <w:rFonts w:ascii="楷体" w:eastAsia="楷体" w:hAnsi="楷体" w:cs="宋体"/>
                      <w:color w:val="000000"/>
                      <w:kern w:val="0"/>
                      <w:sz w:val="20"/>
                      <w:szCs w:val="20"/>
                    </w:rPr>
                  </w:pPr>
                  <w:proofErr w:type="gramStart"/>
                  <w:r w:rsidRPr="00D3254A">
                    <w:rPr>
                      <w:rFonts w:ascii="楷体" w:eastAsia="楷体" w:hAnsi="楷体" w:cs="宋体" w:hint="eastAsia"/>
                      <w:color w:val="000000"/>
                      <w:kern w:val="0"/>
                      <w:sz w:val="20"/>
                      <w:szCs w:val="20"/>
                    </w:rPr>
                    <w:t>城投债</w:t>
                  </w:r>
                  <w:proofErr w:type="gramEnd"/>
                  <w:r w:rsidRPr="00D3254A">
                    <w:rPr>
                      <w:rFonts w:ascii="楷体" w:eastAsia="楷体" w:hAnsi="楷体" w:cs="宋体" w:hint="eastAsia"/>
                      <w:color w:val="000000"/>
                      <w:kern w:val="0"/>
                      <w:sz w:val="20"/>
                      <w:szCs w:val="20"/>
                    </w:rPr>
                    <w:t>7Y</w:t>
                  </w:r>
                </w:p>
              </w:tc>
              <w:tc>
                <w:tcPr>
                  <w:tcW w:w="943" w:type="dxa"/>
                  <w:tcBorders>
                    <w:top w:val="nil"/>
                    <w:left w:val="nil"/>
                    <w:bottom w:val="single" w:sz="8" w:space="0" w:color="FFFFFF"/>
                    <w:right w:val="single" w:sz="8" w:space="0" w:color="FFFFFF"/>
                  </w:tcBorders>
                  <w:shd w:val="clear" w:color="000000" w:fill="FCD5B4"/>
                  <w:noWrap/>
                  <w:vAlign w:val="center"/>
                  <w:hideMark/>
                </w:tcPr>
                <w:p w14:paraId="63DABFBB"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10%</w:t>
                  </w:r>
                </w:p>
              </w:tc>
              <w:tc>
                <w:tcPr>
                  <w:tcW w:w="943" w:type="dxa"/>
                  <w:tcBorders>
                    <w:top w:val="nil"/>
                    <w:left w:val="nil"/>
                    <w:bottom w:val="single" w:sz="8" w:space="0" w:color="FFFFFF"/>
                    <w:right w:val="single" w:sz="8" w:space="0" w:color="FFFFFF"/>
                  </w:tcBorders>
                  <w:shd w:val="clear" w:color="000000" w:fill="FCD5B4"/>
                  <w:noWrap/>
                  <w:vAlign w:val="center"/>
                  <w:hideMark/>
                </w:tcPr>
                <w:p w14:paraId="59FA4B17"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7%</w:t>
                  </w:r>
                </w:p>
              </w:tc>
              <w:tc>
                <w:tcPr>
                  <w:tcW w:w="943" w:type="dxa"/>
                  <w:tcBorders>
                    <w:top w:val="nil"/>
                    <w:left w:val="nil"/>
                    <w:bottom w:val="single" w:sz="8" w:space="0" w:color="FFFFFF"/>
                    <w:right w:val="single" w:sz="8" w:space="0" w:color="FFFFFF"/>
                  </w:tcBorders>
                  <w:shd w:val="clear" w:color="000000" w:fill="FCD5B4"/>
                  <w:noWrap/>
                  <w:vAlign w:val="center"/>
                  <w:hideMark/>
                </w:tcPr>
                <w:p w14:paraId="721F893E" w14:textId="77777777" w:rsidR="00D3254A" w:rsidRPr="00D3254A" w:rsidRDefault="00D3254A" w:rsidP="00D3254A">
                  <w:pPr>
                    <w:widowControl/>
                    <w:jc w:val="center"/>
                    <w:rPr>
                      <w:rFonts w:eastAsia="等线" w:cs="Calibri"/>
                      <w:color w:val="000000"/>
                      <w:kern w:val="0"/>
                      <w:szCs w:val="21"/>
                    </w:rPr>
                  </w:pPr>
                  <w:r w:rsidRPr="00D3254A">
                    <w:rPr>
                      <w:rFonts w:eastAsia="等线" w:cs="Calibri"/>
                      <w:color w:val="000000"/>
                      <w:kern w:val="0"/>
                      <w:szCs w:val="21"/>
                    </w:rPr>
                    <w:t>17%</w:t>
                  </w:r>
                </w:p>
              </w:tc>
              <w:tc>
                <w:tcPr>
                  <w:tcW w:w="943" w:type="dxa"/>
                  <w:tcBorders>
                    <w:top w:val="nil"/>
                    <w:left w:val="nil"/>
                    <w:bottom w:val="single" w:sz="8" w:space="0" w:color="FFFFFF"/>
                    <w:right w:val="single" w:sz="8" w:space="0" w:color="FFFFFF"/>
                  </w:tcBorders>
                  <w:shd w:val="clear" w:color="000000" w:fill="FFC7CE"/>
                  <w:noWrap/>
                  <w:vAlign w:val="center"/>
                  <w:hideMark/>
                </w:tcPr>
                <w:p w14:paraId="3EE11233" w14:textId="77777777" w:rsidR="00D3254A" w:rsidRPr="00D3254A" w:rsidRDefault="00D3254A" w:rsidP="00D3254A">
                  <w:pPr>
                    <w:widowControl/>
                    <w:jc w:val="center"/>
                    <w:rPr>
                      <w:rFonts w:eastAsia="等线" w:cs="Calibri"/>
                      <w:color w:val="9C0006"/>
                      <w:kern w:val="0"/>
                      <w:szCs w:val="21"/>
                    </w:rPr>
                  </w:pPr>
                  <w:r w:rsidRPr="00D3254A">
                    <w:rPr>
                      <w:rFonts w:eastAsia="等线" w:cs="Calibri"/>
                      <w:color w:val="9C0006"/>
                      <w:kern w:val="0"/>
                      <w:szCs w:val="21"/>
                    </w:rPr>
                    <w:t>88%</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033F03D5"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5437B0">
        <w:rPr>
          <w:rFonts w:ascii="华文楷体" w:hAnsi="华文楷体" w:hint="eastAsia"/>
          <w:sz w:val="24"/>
          <w:szCs w:val="24"/>
          <w:lang w:eastAsia="zh-CN"/>
        </w:rPr>
        <w:t>，</w:t>
      </w:r>
      <w:r w:rsidR="00980B5C" w:rsidRPr="00980B5C">
        <w:rPr>
          <w:rFonts w:ascii="华文楷体" w:hAnsi="华文楷体" w:hint="eastAsia"/>
          <w:sz w:val="24"/>
          <w:szCs w:val="24"/>
          <w:lang w:eastAsia="zh-CN"/>
        </w:rPr>
        <w:t>各主要板块指数</w:t>
      </w:r>
      <w:r w:rsidR="00D3254A">
        <w:rPr>
          <w:rFonts w:ascii="华文楷体" w:hAnsi="华文楷体" w:hint="eastAsia"/>
          <w:sz w:val="24"/>
          <w:szCs w:val="24"/>
          <w:lang w:eastAsia="zh-CN"/>
        </w:rPr>
        <w:t>适度上行</w:t>
      </w:r>
      <w:r w:rsidR="00657F44">
        <w:rPr>
          <w:rFonts w:ascii="华文楷体" w:hAnsi="华文楷体" w:hint="eastAsia"/>
          <w:sz w:val="24"/>
          <w:szCs w:val="24"/>
          <w:lang w:eastAsia="zh-CN"/>
        </w:rPr>
        <w:t>，多数成交量小幅上涨</w:t>
      </w:r>
      <w:r w:rsidR="00980B5C" w:rsidRPr="00980B5C">
        <w:rPr>
          <w:rFonts w:ascii="华文楷体" w:hAnsi="华文楷体" w:hint="eastAsia"/>
          <w:sz w:val="24"/>
          <w:szCs w:val="24"/>
          <w:lang w:eastAsia="zh-CN"/>
        </w:rPr>
        <w:t>。</w:t>
      </w:r>
      <w:r w:rsidR="00705D32">
        <w:rPr>
          <w:rFonts w:ascii="华文楷体" w:hAnsi="华文楷体" w:hint="eastAsia"/>
          <w:sz w:val="24"/>
          <w:szCs w:val="24"/>
          <w:lang w:eastAsia="zh-CN"/>
        </w:rPr>
        <w:t>市场表现</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D3254A">
        <w:rPr>
          <w:rFonts w:ascii="华文楷体" w:hAnsi="华文楷体" w:hint="eastAsia"/>
          <w:sz w:val="24"/>
          <w:szCs w:val="24"/>
          <w:lang w:eastAsia="zh-CN"/>
        </w:rPr>
        <w:t>+2.3</w:t>
      </w:r>
      <w:r w:rsidR="00AC28BB">
        <w:rPr>
          <w:rFonts w:ascii="华文楷体" w:hAnsi="华文楷体"/>
          <w:sz w:val="24"/>
          <w:szCs w:val="24"/>
          <w:lang w:eastAsia="zh-CN"/>
        </w:rPr>
        <w:t>%、</w:t>
      </w:r>
      <w:r w:rsidR="00D3254A">
        <w:rPr>
          <w:rFonts w:ascii="华文楷体" w:hAnsi="华文楷体" w:hint="eastAsia"/>
          <w:sz w:val="24"/>
          <w:szCs w:val="24"/>
          <w:lang w:eastAsia="zh-CN"/>
        </w:rPr>
        <w:t>+3.3</w:t>
      </w:r>
      <w:r w:rsidR="00AC28BB">
        <w:rPr>
          <w:rFonts w:ascii="华文楷体" w:hAnsi="华文楷体"/>
          <w:sz w:val="24"/>
          <w:szCs w:val="24"/>
          <w:lang w:eastAsia="zh-CN"/>
        </w:rPr>
        <w:t>%、</w:t>
      </w:r>
      <w:r w:rsidR="00D3254A">
        <w:rPr>
          <w:rFonts w:ascii="华文楷体" w:hAnsi="华文楷体" w:hint="eastAsia"/>
          <w:sz w:val="24"/>
          <w:szCs w:val="24"/>
          <w:lang w:eastAsia="zh-CN"/>
        </w:rPr>
        <w:t>+2.3</w:t>
      </w:r>
      <w:r w:rsidR="00307DB0">
        <w:rPr>
          <w:rFonts w:ascii="华文楷体" w:hAnsi="华文楷体" w:hint="eastAsia"/>
          <w:sz w:val="24"/>
          <w:szCs w:val="24"/>
          <w:lang w:eastAsia="zh-CN"/>
        </w:rPr>
        <w:t>%</w:t>
      </w:r>
      <w:r w:rsidR="00AC28BB">
        <w:rPr>
          <w:rFonts w:ascii="华文楷体" w:hAnsi="华文楷体" w:hint="eastAsia"/>
          <w:sz w:val="24"/>
          <w:szCs w:val="24"/>
          <w:lang w:eastAsia="zh-CN"/>
        </w:rPr>
        <w:t>和</w:t>
      </w:r>
      <w:r w:rsidR="00D3254A">
        <w:rPr>
          <w:rFonts w:ascii="华文楷体" w:hAnsi="华文楷体" w:hint="eastAsia"/>
          <w:sz w:val="24"/>
          <w:szCs w:val="24"/>
          <w:lang w:eastAsia="zh-CN"/>
        </w:rPr>
        <w:t>+</w:t>
      </w:r>
      <w:bookmarkStart w:id="1" w:name="_GoBack"/>
      <w:bookmarkEnd w:id="1"/>
      <w:r w:rsidR="00D3254A">
        <w:rPr>
          <w:rFonts w:ascii="华文楷体" w:hAnsi="华文楷体" w:hint="eastAsia"/>
          <w:sz w:val="24"/>
          <w:szCs w:val="24"/>
          <w:lang w:eastAsia="zh-CN"/>
        </w:rPr>
        <w:t>2.7</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A91F3A">
        <w:rPr>
          <w:rFonts w:ascii="华文楷体" w:hAnsi="华文楷体" w:hint="eastAsia"/>
          <w:sz w:val="24"/>
          <w:szCs w:val="24"/>
          <w:lang w:eastAsia="zh-CN"/>
        </w:rPr>
        <w:t>上周表现强劲</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D3254A">
        <w:rPr>
          <w:rFonts w:ascii="华文楷体" w:hAnsi="华文楷体" w:hint="eastAsia"/>
          <w:sz w:val="24"/>
          <w:szCs w:val="24"/>
          <w:lang w:eastAsia="zh-CN"/>
        </w:rPr>
        <w:t>上行2.0</w:t>
      </w:r>
      <w:r w:rsidR="00DE343B" w:rsidRPr="00DE343B">
        <w:rPr>
          <w:rFonts w:ascii="华文楷体" w:hAnsi="华文楷体" w:hint="eastAsia"/>
          <w:sz w:val="24"/>
          <w:szCs w:val="24"/>
          <w:lang w:eastAsia="zh-CN"/>
        </w:rPr>
        <w:t>%</w:t>
      </w:r>
      <w:r w:rsidR="00D86E50">
        <w:rPr>
          <w:rFonts w:ascii="华文楷体" w:hAnsi="华文楷体" w:hint="eastAsia"/>
          <w:sz w:val="24"/>
          <w:szCs w:val="24"/>
          <w:lang w:eastAsia="zh-CN"/>
        </w:rPr>
        <w:t>。</w:t>
      </w:r>
      <w:r w:rsidR="00A045C5">
        <w:rPr>
          <w:rFonts w:ascii="华文楷体" w:hAnsi="华文楷体" w:hint="eastAsia"/>
          <w:sz w:val="24"/>
          <w:szCs w:val="24"/>
          <w:lang w:eastAsia="zh-CN"/>
        </w:rPr>
        <w:t>行业上，关注</w:t>
      </w:r>
      <w:r w:rsidR="00A045C5" w:rsidRPr="00A045C5">
        <w:rPr>
          <w:rFonts w:ascii="华文楷体" w:hAnsi="华文楷体" w:hint="eastAsia"/>
          <w:sz w:val="24"/>
          <w:szCs w:val="24"/>
          <w:lang w:eastAsia="zh-CN"/>
        </w:rPr>
        <w:t>估值匹配度修复</w:t>
      </w:r>
      <w:r w:rsidR="00A045C5">
        <w:rPr>
          <w:rFonts w:ascii="华文楷体" w:hAnsi="华文楷体" w:hint="eastAsia"/>
          <w:sz w:val="24"/>
          <w:szCs w:val="24"/>
          <w:lang w:eastAsia="zh-CN"/>
        </w:rPr>
        <w:t>板块，适度关注</w:t>
      </w:r>
      <w:r w:rsidR="00A045C5" w:rsidRPr="00A045C5">
        <w:rPr>
          <w:rFonts w:ascii="华文楷体" w:hAnsi="华文楷体" w:hint="eastAsia"/>
          <w:sz w:val="24"/>
          <w:szCs w:val="24"/>
          <w:lang w:eastAsia="zh-CN"/>
        </w:rPr>
        <w:t>消费、低估值科技</w:t>
      </w:r>
      <w:r w:rsidR="00A045C5">
        <w:rPr>
          <w:rFonts w:ascii="华文楷体" w:hAnsi="华文楷体" w:hint="eastAsia"/>
          <w:sz w:val="24"/>
          <w:szCs w:val="24"/>
          <w:lang w:eastAsia="zh-CN"/>
        </w:rPr>
        <w:t>板块</w:t>
      </w:r>
      <w:r w:rsidR="00A045C5" w:rsidRPr="00A045C5">
        <w:rPr>
          <w:rFonts w:ascii="华文楷体" w:hAnsi="华文楷体" w:hint="eastAsia"/>
          <w:sz w:val="24"/>
          <w:szCs w:val="24"/>
          <w:lang w:eastAsia="zh-CN"/>
        </w:rPr>
        <w:t>等结构机会</w:t>
      </w:r>
      <w:r w:rsidR="00A045C5">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D3254A">
        <w:tblPrEx>
          <w:tblCellMar>
            <w:left w:w="108" w:type="dxa"/>
            <w:right w:w="108" w:type="dxa"/>
          </w:tblCellMar>
        </w:tblPrEx>
        <w:trPr>
          <w:trHeight w:val="2921"/>
          <w:jc w:val="center"/>
        </w:trPr>
        <w:tc>
          <w:tcPr>
            <w:tcW w:w="4939" w:type="dxa"/>
            <w:vAlign w:val="center"/>
          </w:tcPr>
          <w:p w14:paraId="5C83721A" w14:textId="14C2FD30" w:rsidR="00E0626C" w:rsidRPr="00345C30" w:rsidRDefault="00D3254A" w:rsidP="00345C30">
            <w:pPr>
              <w:widowControl/>
              <w:jc w:val="left"/>
              <w:rPr>
                <w:rFonts w:ascii="宋体" w:hAnsi="宋体" w:cs="宋体"/>
                <w:kern w:val="0"/>
                <w:sz w:val="24"/>
                <w:szCs w:val="24"/>
              </w:rPr>
            </w:pPr>
            <w:r w:rsidRPr="00D3254A">
              <w:rPr>
                <w:rFonts w:ascii="宋体" w:hAnsi="宋体" w:cs="宋体"/>
                <w:noProof/>
                <w:kern w:val="0"/>
                <w:sz w:val="24"/>
                <w:szCs w:val="24"/>
              </w:rPr>
              <w:drawing>
                <wp:inline distT="0" distB="0" distL="0" distR="0" wp14:anchorId="5E190F3A" wp14:editId="65841F7C">
                  <wp:extent cx="3108960" cy="1963420"/>
                  <wp:effectExtent l="0" t="0" r="0" b="0"/>
                  <wp:docPr id="7" name="图片 7" descr="C:\Users\Tang\AppData\Local\Temp\1624790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g\AppData\Local\Temp\1624790035.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37217" cy="1981265"/>
                          </a:xfrm>
                          <a:prstGeom prst="rect">
                            <a:avLst/>
                          </a:prstGeom>
                          <a:noFill/>
                          <a:ln>
                            <a:noFill/>
                          </a:ln>
                        </pic:spPr>
                      </pic:pic>
                    </a:graphicData>
                  </a:graphic>
                </wp:inline>
              </w:drawing>
            </w:r>
          </w:p>
        </w:tc>
        <w:tc>
          <w:tcPr>
            <w:tcW w:w="4938" w:type="dxa"/>
            <w:vAlign w:val="center"/>
          </w:tcPr>
          <w:p w14:paraId="39BD4383" w14:textId="160C5331" w:rsidR="00E0626C" w:rsidRPr="007E0340" w:rsidRDefault="00D3254A" w:rsidP="009A2BA0">
            <w:pPr>
              <w:jc w:val="center"/>
              <w:rPr>
                <w:noProof/>
                <w:szCs w:val="18"/>
              </w:rPr>
            </w:pPr>
            <w:r>
              <w:rPr>
                <w:noProof/>
              </w:rPr>
              <w:drawing>
                <wp:inline distT="0" distB="0" distL="0" distR="0" wp14:anchorId="71E02F47" wp14:editId="6511F239">
                  <wp:extent cx="2998470" cy="1908341"/>
                  <wp:effectExtent l="0" t="0" r="0" b="0"/>
                  <wp:docPr id="8" name="图表 8">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xdr="http://schemas.openxmlformats.org/drawingml/2006/spreadsheetDrawing" xmlns:a16="http://schemas.microsoft.com/office/drawing/2014/main" xmlns="" xmlns:lc="http://schemas.openxmlformats.org/drawingml/2006/lockedCanvas" xmlns:w15="http://schemas.microsoft.com/office/word/2012/wordml"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6A1FA8FF" w:rsidR="00882FA5" w:rsidRPr="003E42BE" w:rsidRDefault="00E34B22" w:rsidP="0048786B">
      <w:pPr>
        <w:pStyle w:val="Body-text"/>
        <w:ind w:firstLineChars="200" w:firstLine="480"/>
        <w:jc w:val="center"/>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65093D">
        <w:rPr>
          <w:rFonts w:ascii="华文楷体" w:hAnsi="华文楷体" w:hint="eastAsia"/>
          <w:sz w:val="24"/>
          <w:szCs w:val="24"/>
          <w:lang w:eastAsia="zh-CN"/>
        </w:rPr>
        <w:t>上</w:t>
      </w:r>
      <w:r w:rsidR="00D3254A" w:rsidRPr="00D3254A">
        <w:rPr>
          <w:rFonts w:ascii="华文楷体" w:hAnsi="华文楷体" w:hint="eastAsia"/>
          <w:sz w:val="24"/>
          <w:szCs w:val="24"/>
          <w:lang w:eastAsia="zh-CN"/>
        </w:rPr>
        <w:t>周主要港口动力煤平均价环比上涨3.74%，涨幅较上</w:t>
      </w:r>
      <w:r w:rsidR="0065093D">
        <w:rPr>
          <w:rFonts w:ascii="华文楷体" w:hAnsi="华文楷体" w:hint="eastAsia"/>
          <w:sz w:val="24"/>
          <w:szCs w:val="24"/>
          <w:lang w:eastAsia="zh-CN"/>
        </w:rPr>
        <w:t>一</w:t>
      </w:r>
      <w:r w:rsidR="00D3254A" w:rsidRPr="00D3254A">
        <w:rPr>
          <w:rFonts w:ascii="华文楷体" w:hAnsi="华文楷体" w:hint="eastAsia"/>
          <w:sz w:val="24"/>
          <w:szCs w:val="24"/>
          <w:lang w:eastAsia="zh-CN"/>
        </w:rPr>
        <w:t>周继续扩大。PTA产业链负荷率上升1.2个百分点至85.6%。南华玻璃指数均值在3586.6，环比上升3.9%。</w:t>
      </w:r>
      <w:proofErr w:type="spellStart"/>
      <w:r w:rsidR="00D3254A" w:rsidRPr="00D3254A">
        <w:rPr>
          <w:rFonts w:ascii="华文楷体" w:hAnsi="华文楷体" w:hint="eastAsia"/>
          <w:sz w:val="24"/>
          <w:szCs w:val="24"/>
          <w:lang w:eastAsia="zh-CN"/>
        </w:rPr>
        <w:t>Myspic</w:t>
      </w:r>
      <w:proofErr w:type="spellEnd"/>
      <w:r w:rsidR="00D3254A" w:rsidRPr="00D3254A">
        <w:rPr>
          <w:rFonts w:ascii="华文楷体" w:hAnsi="华文楷体" w:hint="eastAsia"/>
          <w:sz w:val="24"/>
          <w:szCs w:val="24"/>
          <w:lang w:eastAsia="zh-CN"/>
        </w:rPr>
        <w:t>综合全国钢铁价格指数下行2.58%，主要钢材品种价格环比回调2.5%-3%左右，跌幅走扩。按品种看，螺纹钢、热卷、高线价格分别跌3.3%、2.7%、2.8%，跌幅走扩；库存方面，主要钢材整体继续累库，环比增加1.5%，其中，螺纹钢、热卷、线材总库存分别变化+1.4%、+3.6%、-1.8%。</w:t>
      </w:r>
    </w:p>
    <w:p w14:paraId="21425444" w14:textId="47AF978E"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F704B5">
        <w:rPr>
          <w:rFonts w:ascii="华文楷体" w:hAnsi="华文楷体" w:hint="eastAsia"/>
          <w:b/>
          <w:bCs/>
          <w:sz w:val="24"/>
          <w:szCs w:val="24"/>
          <w:lang w:eastAsia="zh-CN"/>
        </w:rPr>
        <w:t>：</w:t>
      </w:r>
      <w:r w:rsidR="00D3254A" w:rsidRPr="00D3254A">
        <w:rPr>
          <w:rFonts w:ascii="华文楷体" w:hAnsi="华文楷体" w:hint="eastAsia"/>
          <w:sz w:val="24"/>
          <w:szCs w:val="24"/>
          <w:lang w:eastAsia="zh-CN"/>
        </w:rPr>
        <w:t>30大中城市商品房平均成交</w:t>
      </w:r>
      <w:proofErr w:type="gramStart"/>
      <w:r w:rsidR="00D3254A" w:rsidRPr="00D3254A">
        <w:rPr>
          <w:rFonts w:ascii="华文楷体" w:hAnsi="华文楷体" w:hint="eastAsia"/>
          <w:sz w:val="24"/>
          <w:szCs w:val="24"/>
          <w:lang w:eastAsia="zh-CN"/>
        </w:rPr>
        <w:t>面积环</w:t>
      </w:r>
      <w:proofErr w:type="gramEnd"/>
      <w:r w:rsidR="00D3254A" w:rsidRPr="00D3254A">
        <w:rPr>
          <w:rFonts w:ascii="华文楷体" w:hAnsi="华文楷体" w:hint="eastAsia"/>
          <w:sz w:val="24"/>
          <w:szCs w:val="24"/>
          <w:lang w:eastAsia="zh-CN"/>
        </w:rPr>
        <w:t>比回落18%，一、二、三线城市分别下降8.6%、15.2%、31.8%，二手房成交规模持续收窄。拿地方面，上周100大中城市土地成交</w:t>
      </w:r>
      <w:proofErr w:type="gramStart"/>
      <w:r w:rsidR="00D3254A" w:rsidRPr="00D3254A">
        <w:rPr>
          <w:rFonts w:ascii="华文楷体" w:hAnsi="华文楷体" w:hint="eastAsia"/>
          <w:sz w:val="24"/>
          <w:szCs w:val="24"/>
          <w:lang w:eastAsia="zh-CN"/>
        </w:rPr>
        <w:t>面积环</w:t>
      </w:r>
      <w:proofErr w:type="gramEnd"/>
      <w:r w:rsidR="00D3254A" w:rsidRPr="00D3254A">
        <w:rPr>
          <w:rFonts w:ascii="华文楷体" w:hAnsi="华文楷体" w:hint="eastAsia"/>
          <w:sz w:val="24"/>
          <w:szCs w:val="24"/>
          <w:lang w:eastAsia="zh-CN"/>
        </w:rPr>
        <w:t>比下降约60%，一、二、三线分别减少83%、63%、56%。</w:t>
      </w:r>
    </w:p>
    <w:p w14:paraId="77CCCEDF" w14:textId="1BC3886D"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1F098C" w:rsidRPr="001F098C">
        <w:rPr>
          <w:rFonts w:ascii="华文楷体" w:hAnsi="华文楷体" w:hint="eastAsia"/>
          <w:sz w:val="24"/>
          <w:szCs w:val="24"/>
          <w:lang w:eastAsia="zh-CN"/>
        </w:rPr>
        <w:t>出口方面，</w:t>
      </w:r>
      <w:r w:rsidR="00D3254A" w:rsidRPr="00D3254A">
        <w:rPr>
          <w:rFonts w:ascii="华文楷体" w:hAnsi="华文楷体" w:hint="eastAsia"/>
          <w:bCs/>
          <w:sz w:val="24"/>
          <w:szCs w:val="24"/>
          <w:lang w:eastAsia="zh-CN"/>
        </w:rPr>
        <w:t>上海出口集装箱指数（SCFI）</w:t>
      </w:r>
      <w:r w:rsidR="0065093D">
        <w:rPr>
          <w:rFonts w:ascii="华文楷体" w:hAnsi="华文楷体" w:hint="eastAsia"/>
          <w:bCs/>
          <w:sz w:val="24"/>
          <w:szCs w:val="24"/>
          <w:lang w:eastAsia="zh-CN"/>
        </w:rPr>
        <w:t>上</w:t>
      </w:r>
      <w:r w:rsidR="00D3254A" w:rsidRPr="00D3254A">
        <w:rPr>
          <w:rFonts w:ascii="华文楷体" w:hAnsi="华文楷体" w:hint="eastAsia"/>
          <w:bCs/>
          <w:sz w:val="24"/>
          <w:szCs w:val="24"/>
          <w:lang w:eastAsia="zh-CN"/>
        </w:rPr>
        <w:t>周环比回升0.99%，中国出口集装箱运价指数（CCFI）上行2.56%</w:t>
      </w:r>
      <w:r w:rsidR="003B19EF" w:rsidRPr="003B19EF">
        <w:rPr>
          <w:rFonts w:ascii="华文楷体" w:hAnsi="华文楷体" w:hint="eastAsia"/>
          <w:bCs/>
          <w:sz w:val="24"/>
          <w:szCs w:val="24"/>
          <w:lang w:eastAsia="zh-CN"/>
        </w:rPr>
        <w:t>。</w:t>
      </w:r>
      <w:r w:rsidR="001F098C">
        <w:rPr>
          <w:rFonts w:ascii="华文楷体" w:hAnsi="华文楷体" w:hint="eastAsia"/>
          <w:bCs/>
          <w:sz w:val="24"/>
          <w:szCs w:val="24"/>
          <w:lang w:eastAsia="zh-CN"/>
        </w:rPr>
        <w:t>进口方面，</w:t>
      </w:r>
      <w:r w:rsidR="00D3254A" w:rsidRPr="00D3254A">
        <w:rPr>
          <w:rFonts w:ascii="华文楷体" w:hAnsi="华文楷体" w:hint="eastAsia"/>
          <w:bCs/>
          <w:sz w:val="24"/>
          <w:szCs w:val="24"/>
          <w:lang w:eastAsia="zh-CN"/>
        </w:rPr>
        <w:t>波罗的海干散货</w:t>
      </w:r>
      <w:proofErr w:type="gramStart"/>
      <w:r w:rsidR="00D3254A" w:rsidRPr="00D3254A">
        <w:rPr>
          <w:rFonts w:ascii="华文楷体" w:hAnsi="华文楷体" w:hint="eastAsia"/>
          <w:bCs/>
          <w:sz w:val="24"/>
          <w:szCs w:val="24"/>
          <w:lang w:eastAsia="zh-CN"/>
        </w:rPr>
        <w:t>指数环</w:t>
      </w:r>
      <w:proofErr w:type="gramEnd"/>
      <w:r w:rsidR="00D3254A" w:rsidRPr="00D3254A">
        <w:rPr>
          <w:rFonts w:ascii="华文楷体" w:hAnsi="华文楷体" w:hint="eastAsia"/>
          <w:bCs/>
          <w:sz w:val="24"/>
          <w:szCs w:val="24"/>
          <w:lang w:eastAsia="zh-CN"/>
        </w:rPr>
        <w:t>比上行1.64%，中国进口干散货运价</w:t>
      </w:r>
      <w:proofErr w:type="gramStart"/>
      <w:r w:rsidR="00D3254A" w:rsidRPr="00D3254A">
        <w:rPr>
          <w:rFonts w:ascii="华文楷体" w:hAnsi="华文楷体" w:hint="eastAsia"/>
          <w:bCs/>
          <w:sz w:val="24"/>
          <w:szCs w:val="24"/>
          <w:lang w:eastAsia="zh-CN"/>
        </w:rPr>
        <w:t>指数环</w:t>
      </w:r>
      <w:proofErr w:type="gramEnd"/>
      <w:r w:rsidR="00D3254A" w:rsidRPr="00D3254A">
        <w:rPr>
          <w:rFonts w:ascii="华文楷体" w:hAnsi="华文楷体" w:hint="eastAsia"/>
          <w:bCs/>
          <w:sz w:val="24"/>
          <w:szCs w:val="24"/>
          <w:lang w:eastAsia="zh-CN"/>
        </w:rPr>
        <w:t>比下滑2%</w:t>
      </w:r>
      <w:r w:rsidR="00A20244" w:rsidRPr="00A20244">
        <w:rPr>
          <w:rFonts w:ascii="华文楷体" w:hAnsi="华文楷体" w:hint="eastAsia"/>
          <w:bCs/>
          <w:sz w:val="24"/>
          <w:szCs w:val="24"/>
          <w:lang w:eastAsia="zh-CN"/>
        </w:rPr>
        <w:t>。</w:t>
      </w:r>
    </w:p>
    <w:p w14:paraId="50CC8233" w14:textId="3612A19B" w:rsidR="00065754"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65093D">
        <w:rPr>
          <w:rFonts w:ascii="华文楷体" w:hAnsi="华文楷体" w:hint="eastAsia"/>
          <w:bCs/>
          <w:sz w:val="24"/>
          <w:szCs w:val="24"/>
          <w:lang w:eastAsia="zh-CN"/>
        </w:rPr>
        <w:t>上</w:t>
      </w:r>
      <w:r w:rsidR="003B19EF" w:rsidRPr="003B19EF">
        <w:rPr>
          <w:rFonts w:ascii="华文楷体" w:hAnsi="华文楷体" w:hint="eastAsia"/>
          <w:bCs/>
          <w:sz w:val="24"/>
          <w:szCs w:val="24"/>
          <w:lang w:eastAsia="zh-CN"/>
        </w:rPr>
        <w:t>周</w:t>
      </w:r>
      <w:r w:rsidR="001F098C" w:rsidRPr="001F098C">
        <w:rPr>
          <w:rFonts w:ascii="华文楷体" w:hAnsi="华文楷体" w:hint="eastAsia"/>
          <w:bCs/>
          <w:sz w:val="24"/>
          <w:szCs w:val="24"/>
          <w:lang w:eastAsia="zh-CN"/>
        </w:rPr>
        <w:t>猪价方面，</w:t>
      </w:r>
      <w:r w:rsidR="00D3254A" w:rsidRPr="00D3254A">
        <w:rPr>
          <w:rFonts w:ascii="华文楷体" w:hAnsi="华文楷体" w:hint="eastAsia"/>
          <w:bCs/>
          <w:sz w:val="24"/>
          <w:szCs w:val="24"/>
          <w:lang w:eastAsia="zh-CN"/>
        </w:rPr>
        <w:t>农业部公布的全国平均批发价下降至21.93元/公斤，环比下跌4.28%</w:t>
      </w:r>
      <w:r w:rsidR="00D3254A">
        <w:rPr>
          <w:rFonts w:ascii="华文楷体" w:hAnsi="华文楷体" w:hint="eastAsia"/>
          <w:bCs/>
          <w:sz w:val="24"/>
          <w:szCs w:val="24"/>
          <w:lang w:eastAsia="zh-CN"/>
        </w:rPr>
        <w:t>。</w:t>
      </w:r>
      <w:r w:rsidR="00D3254A" w:rsidRPr="00D3254A">
        <w:rPr>
          <w:rFonts w:ascii="华文楷体" w:hAnsi="华文楷体" w:hint="eastAsia"/>
          <w:bCs/>
          <w:sz w:val="24"/>
          <w:szCs w:val="24"/>
          <w:lang w:eastAsia="zh-CN"/>
        </w:rPr>
        <w:t>农产品和菜篮子批发价格200指数分别下降0.96%和1.07%，食品</w:t>
      </w:r>
      <w:proofErr w:type="gramStart"/>
      <w:r w:rsidR="00D3254A" w:rsidRPr="00D3254A">
        <w:rPr>
          <w:rFonts w:ascii="华文楷体" w:hAnsi="华文楷体" w:hint="eastAsia"/>
          <w:bCs/>
          <w:sz w:val="24"/>
          <w:szCs w:val="24"/>
          <w:lang w:eastAsia="zh-CN"/>
        </w:rPr>
        <w:t>项价格</w:t>
      </w:r>
      <w:proofErr w:type="gramEnd"/>
      <w:r w:rsidR="00D3254A" w:rsidRPr="00D3254A">
        <w:rPr>
          <w:rFonts w:ascii="华文楷体" w:hAnsi="华文楷体" w:hint="eastAsia"/>
          <w:bCs/>
          <w:sz w:val="24"/>
          <w:szCs w:val="24"/>
          <w:lang w:eastAsia="zh-CN"/>
        </w:rPr>
        <w:t>整体延续季节性下滑。</w:t>
      </w:r>
      <w:r w:rsidR="003B19EF" w:rsidRPr="003B19EF">
        <w:rPr>
          <w:rFonts w:ascii="华文楷体" w:hAnsi="华文楷体" w:hint="eastAsia"/>
          <w:bCs/>
          <w:sz w:val="24"/>
          <w:szCs w:val="24"/>
          <w:lang w:eastAsia="zh-CN"/>
        </w:rPr>
        <w:t>工业品价格方面，</w:t>
      </w:r>
      <w:r w:rsidR="00D3254A" w:rsidRPr="00D3254A">
        <w:rPr>
          <w:rFonts w:ascii="华文楷体" w:hAnsi="华文楷体" w:hint="eastAsia"/>
          <w:bCs/>
          <w:sz w:val="24"/>
          <w:szCs w:val="24"/>
          <w:lang w:eastAsia="zh-CN"/>
        </w:rPr>
        <w:t>国内长江有色市场铜价下跌1.6%，环比跌幅收窄，铝、铅、锌价分别变化 -0.7%、+1.5%、-3%；海外方面，LME铜、铝、铅、</w:t>
      </w:r>
      <w:proofErr w:type="gramStart"/>
      <w:r w:rsidR="00D3254A" w:rsidRPr="00D3254A">
        <w:rPr>
          <w:rFonts w:ascii="华文楷体" w:hAnsi="华文楷体" w:hint="eastAsia"/>
          <w:bCs/>
          <w:sz w:val="24"/>
          <w:szCs w:val="24"/>
          <w:lang w:eastAsia="zh-CN"/>
        </w:rPr>
        <w:t>锌环比</w:t>
      </w:r>
      <w:proofErr w:type="gramEnd"/>
      <w:r w:rsidR="00D3254A" w:rsidRPr="00D3254A">
        <w:rPr>
          <w:rFonts w:ascii="华文楷体" w:hAnsi="华文楷体" w:hint="eastAsia"/>
          <w:bCs/>
          <w:sz w:val="24"/>
          <w:szCs w:val="24"/>
          <w:lang w:eastAsia="zh-CN"/>
        </w:rPr>
        <w:t>分别变化-2.6%、-0.7%、+0.8%、-3.5%。</w:t>
      </w:r>
    </w:p>
    <w:p w14:paraId="3425BC76" w14:textId="67ADC827" w:rsidR="00095AFC"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2" w:name="_Hlk21205334"/>
      <w:r w:rsidR="00AE5690" w:rsidRPr="00AE5690">
        <w:rPr>
          <w:rFonts w:ascii="华文楷体" w:hAnsi="华文楷体" w:hint="eastAsia"/>
          <w:bCs/>
          <w:sz w:val="24"/>
          <w:szCs w:val="24"/>
          <w:lang w:eastAsia="zh-CN"/>
        </w:rPr>
        <w:t>乘联会最新数据显示，</w:t>
      </w:r>
      <w:r w:rsidR="00D3254A" w:rsidRPr="00D3254A">
        <w:rPr>
          <w:rFonts w:ascii="华文楷体" w:hAnsi="华文楷体" w:hint="eastAsia"/>
          <w:bCs/>
          <w:sz w:val="24"/>
          <w:szCs w:val="24"/>
          <w:lang w:eastAsia="zh-CN"/>
        </w:rPr>
        <w:t>6月第三周日均零售在4.2万辆左右，环比5月增3%，同比下降7%，表现恢复平稳。批发方面，当周主要厂商批发销量为日均2.5万辆，环比降45%，同比降51%</w:t>
      </w:r>
      <w:r w:rsidR="005E049B">
        <w:rPr>
          <w:rFonts w:ascii="华文楷体" w:hAnsi="华文楷体" w:hint="eastAsia"/>
          <w:bCs/>
          <w:sz w:val="24"/>
          <w:szCs w:val="24"/>
          <w:lang w:eastAsia="zh-CN"/>
        </w:rPr>
        <w:t>。</w:t>
      </w:r>
    </w:p>
    <w:p w14:paraId="6C0621FD" w14:textId="03CE8D08"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D3254A" w:rsidRPr="00D3254A">
        <w:rPr>
          <w:rFonts w:ascii="华文楷体" w:hAnsi="华文楷体" w:hint="eastAsia"/>
          <w:bCs/>
          <w:sz w:val="24"/>
          <w:szCs w:val="24"/>
          <w:lang w:eastAsia="zh-CN"/>
        </w:rPr>
        <w:t>布伦</w:t>
      </w:r>
      <w:proofErr w:type="gramStart"/>
      <w:r w:rsidR="00D3254A" w:rsidRPr="00D3254A">
        <w:rPr>
          <w:rFonts w:ascii="华文楷体" w:hAnsi="华文楷体" w:hint="eastAsia"/>
          <w:bCs/>
          <w:sz w:val="24"/>
          <w:szCs w:val="24"/>
          <w:lang w:eastAsia="zh-CN"/>
        </w:rPr>
        <w:t>特</w:t>
      </w:r>
      <w:proofErr w:type="gramEnd"/>
      <w:r w:rsidR="00D3254A" w:rsidRPr="00D3254A">
        <w:rPr>
          <w:rFonts w:ascii="华文楷体" w:hAnsi="华文楷体" w:hint="eastAsia"/>
          <w:bCs/>
          <w:sz w:val="24"/>
          <w:szCs w:val="24"/>
          <w:lang w:eastAsia="zh-CN"/>
        </w:rPr>
        <w:t>原油环比上</w:t>
      </w:r>
      <w:r w:rsidR="0065093D">
        <w:rPr>
          <w:rFonts w:ascii="华文楷体" w:hAnsi="华文楷体" w:hint="eastAsia"/>
          <w:bCs/>
          <w:sz w:val="24"/>
          <w:szCs w:val="24"/>
          <w:lang w:eastAsia="zh-CN"/>
        </w:rPr>
        <w:t>一</w:t>
      </w:r>
      <w:r w:rsidR="00D3254A" w:rsidRPr="00D3254A">
        <w:rPr>
          <w:rFonts w:ascii="华文楷体" w:hAnsi="华文楷体" w:hint="eastAsia"/>
          <w:bCs/>
          <w:sz w:val="24"/>
          <w:szCs w:val="24"/>
          <w:lang w:eastAsia="zh-CN"/>
        </w:rPr>
        <w:t>周五涨3.63%至76.18美元/桶；WTI原油价格涨3.36%至74.05美元/桶</w:t>
      </w:r>
      <w:r w:rsidR="005E049B" w:rsidRPr="005E049B">
        <w:rPr>
          <w:rFonts w:ascii="华文楷体" w:hAnsi="华文楷体" w:hint="eastAsia"/>
          <w:bCs/>
          <w:sz w:val="24"/>
          <w:szCs w:val="24"/>
          <w:lang w:eastAsia="zh-CN"/>
        </w:rPr>
        <w:t>。</w:t>
      </w:r>
    </w:p>
    <w:p w14:paraId="35D3E229" w14:textId="0FFD8485" w:rsidR="00DA6262"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752E9D" w:rsidRPr="00752E9D">
        <w:rPr>
          <w:rFonts w:ascii="华文楷体" w:hAnsi="华文楷体" w:hint="eastAsia"/>
          <w:sz w:val="24"/>
          <w:szCs w:val="24"/>
          <w:lang w:eastAsia="zh-CN"/>
        </w:rPr>
        <w:t>国内官方PMI数据，美国就业数据，OPEC会议。</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2"/>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lastRenderedPageBreak/>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2C633BCF"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C931F2" w:rsidRPr="00C931F2">
        <w:rPr>
          <w:rFonts w:ascii="华文楷体" w:hAnsi="华文楷体" w:hint="eastAsia"/>
          <w:sz w:val="24"/>
          <w:szCs w:val="24"/>
          <w:lang w:eastAsia="zh-CN"/>
        </w:rPr>
        <w:t>宏观数据方面，5月经济数据显示当前</w:t>
      </w:r>
      <w:r w:rsidR="0065093D" w:rsidRPr="00C931F2">
        <w:rPr>
          <w:rFonts w:ascii="华文楷体" w:hAnsi="华文楷体" w:hint="eastAsia"/>
          <w:sz w:val="24"/>
          <w:szCs w:val="24"/>
          <w:lang w:eastAsia="zh-CN"/>
        </w:rPr>
        <w:t>仍</w:t>
      </w:r>
      <w:r w:rsidR="00C931F2" w:rsidRPr="00C931F2">
        <w:rPr>
          <w:rFonts w:ascii="华文楷体" w:hAnsi="华文楷体" w:hint="eastAsia"/>
          <w:sz w:val="24"/>
          <w:szCs w:val="24"/>
          <w:lang w:eastAsia="zh-CN"/>
        </w:rPr>
        <w:t>处于内需修复延续态势，实际数据和市场预期大体相当，总量和结构变化相对平稳，债市情绪更多受机构自身资产负债配置需求驱动。通胀压力持续性目前看有限，政策层和监管层对PPI和CPI都持续较强关注，使得工业品价格调控政策仍在延续，叠加猪肉价格回落、居民消费动力不强</w:t>
      </w:r>
      <w:r w:rsidR="00964117">
        <w:rPr>
          <w:rFonts w:ascii="华文楷体" w:hAnsi="华文楷体" w:hint="eastAsia"/>
          <w:sz w:val="24"/>
          <w:szCs w:val="24"/>
          <w:lang w:eastAsia="zh-CN"/>
        </w:rPr>
        <w:t>，</w:t>
      </w:r>
      <w:r w:rsidR="00C931F2" w:rsidRPr="00C931F2">
        <w:rPr>
          <w:rFonts w:ascii="华文楷体" w:hAnsi="华文楷体" w:hint="eastAsia"/>
          <w:sz w:val="24"/>
          <w:szCs w:val="24"/>
          <w:lang w:eastAsia="zh-CN"/>
        </w:rPr>
        <w:t>整体CPI目前也较平稳。债市方面，下半年适度关注出口、基建和地产的放缓是否会对政策产生边际压力。目前看债市短期曲线适度走平，中长期收益率适度下行。</w:t>
      </w:r>
    </w:p>
    <w:p w14:paraId="2C3F4BD1" w14:textId="75FA3024"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C931F2" w:rsidRPr="00C931F2">
        <w:rPr>
          <w:rFonts w:ascii="华文楷体" w:hAnsi="华文楷体" w:hint="eastAsia"/>
          <w:sz w:val="24"/>
          <w:szCs w:val="24"/>
          <w:lang w:eastAsia="zh-CN"/>
        </w:rPr>
        <w:t>信用债方面，前期部分敏感区域信用债利好落地，市场更多关注城投隐性债务问题</w:t>
      </w:r>
      <w:r w:rsidR="00964117">
        <w:rPr>
          <w:rFonts w:ascii="华文楷体" w:hAnsi="华文楷体" w:hint="eastAsia"/>
          <w:sz w:val="24"/>
          <w:szCs w:val="24"/>
          <w:lang w:eastAsia="zh-CN"/>
        </w:rPr>
        <w:t>，</w:t>
      </w:r>
      <w:r w:rsidR="00C931F2" w:rsidRPr="00C931F2">
        <w:rPr>
          <w:rFonts w:ascii="华文楷体" w:hAnsi="华文楷体" w:hint="eastAsia"/>
          <w:sz w:val="24"/>
          <w:szCs w:val="24"/>
          <w:lang w:eastAsia="zh-CN"/>
        </w:rPr>
        <w:t>下半年监管政策进一步加强。</w:t>
      </w:r>
    </w:p>
    <w:p w14:paraId="4C893BAE" w14:textId="575870C3"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C931F2" w:rsidRPr="00C931F2">
        <w:rPr>
          <w:rFonts w:ascii="华文楷体" w:hAnsi="华文楷体" w:hint="eastAsia"/>
          <w:sz w:val="24"/>
          <w:szCs w:val="24"/>
          <w:lang w:eastAsia="zh-CN"/>
        </w:rPr>
        <w:t>权益市场近一周表现良好，转债伴随权益市场适</w:t>
      </w:r>
      <w:r w:rsidR="00964117">
        <w:rPr>
          <w:rFonts w:ascii="华文楷体" w:hAnsi="华文楷体" w:hint="eastAsia"/>
          <w:sz w:val="24"/>
          <w:szCs w:val="24"/>
          <w:lang w:eastAsia="zh-CN"/>
        </w:rPr>
        <w:t>度调整，转债供求继续平衡，转债估值保持稳定。适度关注估值回调后</w:t>
      </w:r>
      <w:r w:rsidR="00C931F2" w:rsidRPr="00C931F2">
        <w:rPr>
          <w:rFonts w:ascii="华文楷体" w:hAnsi="华文楷体" w:hint="eastAsia"/>
          <w:sz w:val="24"/>
          <w:szCs w:val="24"/>
          <w:lang w:eastAsia="zh-CN"/>
        </w:rPr>
        <w:t>与正股盈利能力匹配</w:t>
      </w:r>
      <w:proofErr w:type="gramStart"/>
      <w:r w:rsidR="00C931F2" w:rsidRPr="00C931F2">
        <w:rPr>
          <w:rFonts w:ascii="华文楷体" w:hAnsi="华文楷体" w:hint="eastAsia"/>
          <w:sz w:val="24"/>
          <w:szCs w:val="24"/>
          <w:lang w:eastAsia="zh-CN"/>
        </w:rPr>
        <w:t>度显著</w:t>
      </w:r>
      <w:proofErr w:type="gramEnd"/>
      <w:r w:rsidR="00C931F2" w:rsidRPr="00C931F2">
        <w:rPr>
          <w:rFonts w:ascii="华文楷体" w:hAnsi="华文楷体" w:hint="eastAsia"/>
          <w:sz w:val="24"/>
          <w:szCs w:val="24"/>
          <w:lang w:eastAsia="zh-CN"/>
        </w:rPr>
        <w:t>修复的板块。</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69AAB729" w:rsidR="001D35B3" w:rsidRPr="006A5F34" w:rsidRDefault="001D35B3" w:rsidP="001858A9">
            <w:pPr>
              <w:pStyle w:val="ChartHeading"/>
              <w:jc w:val="both"/>
            </w:pPr>
            <w:r w:rsidRPr="006A5F34">
              <w:rPr>
                <w:rFonts w:hint="eastAsia"/>
              </w:rPr>
              <w:t>图表</w:t>
            </w:r>
            <w:r w:rsidRPr="006A5F34">
              <w:t>.</w:t>
            </w:r>
            <w:r w:rsidR="00FF26B0">
              <w:rPr>
                <w:rFonts w:hint="eastAsia"/>
              </w:rPr>
              <w:t xml:space="preserve"> </w:t>
            </w:r>
            <w:r w:rsidR="00FF26B0">
              <w:rPr>
                <w:rFonts w:hint="eastAsia"/>
              </w:rPr>
              <w:t>南华工业品指数</w:t>
            </w:r>
            <w:r w:rsidR="00752E9D">
              <w:rPr>
                <w:rFonts w:hint="eastAsia"/>
              </w:rPr>
              <w:t>震荡走势为主</w:t>
            </w:r>
          </w:p>
        </w:tc>
        <w:tc>
          <w:tcPr>
            <w:tcW w:w="4938" w:type="dxa"/>
            <w:vAlign w:val="center"/>
          </w:tcPr>
          <w:p w14:paraId="02A10F26" w14:textId="6D2F1475"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203843">
              <w:rPr>
                <w:rFonts w:hint="eastAsia"/>
              </w:rPr>
              <w:t>持续</w:t>
            </w:r>
            <w:r w:rsidR="00AE643A">
              <w:rPr>
                <w:rFonts w:hint="eastAsia"/>
              </w:rPr>
              <w:t>回调</w:t>
            </w:r>
          </w:p>
        </w:tc>
      </w:tr>
      <w:tr w:rsidR="001D35B3" w:rsidRPr="006A5F34" w14:paraId="205667F1" w14:textId="77777777" w:rsidTr="00752E9D">
        <w:tblPrEx>
          <w:tblCellMar>
            <w:left w:w="108" w:type="dxa"/>
            <w:right w:w="108" w:type="dxa"/>
          </w:tblCellMar>
        </w:tblPrEx>
        <w:trPr>
          <w:jc w:val="center"/>
        </w:trPr>
        <w:tc>
          <w:tcPr>
            <w:tcW w:w="4939" w:type="dxa"/>
            <w:vAlign w:val="center"/>
          </w:tcPr>
          <w:p w14:paraId="56C782C2" w14:textId="00DC40D4" w:rsidR="001D35B3" w:rsidRPr="007E0340" w:rsidRDefault="00752E9D" w:rsidP="009A2BA0">
            <w:pPr>
              <w:jc w:val="center"/>
              <w:rPr>
                <w:noProof/>
              </w:rPr>
            </w:pPr>
            <w:r>
              <w:rPr>
                <w:noProof/>
              </w:rPr>
              <w:drawing>
                <wp:inline distT="0" distB="0" distL="0" distR="0" wp14:anchorId="1CAFC8D4" wp14:editId="1F54B968">
                  <wp:extent cx="2999105" cy="1944287"/>
                  <wp:effectExtent l="0" t="0" r="0" b="0"/>
                  <wp:docPr id="2" name="图表 2">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xdr="http://schemas.openxmlformats.org/drawingml/2006/spreadsheetDrawing" xmlns:a16="http://schemas.microsoft.com/office/drawing/2014/main" xmlns="" xmlns:lc="http://schemas.openxmlformats.org/drawingml/2006/lockedCanvas" xmlns:w15="http://schemas.microsoft.com/office/word/2012/wordml"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2377CD54" w:rsidR="001D35B3" w:rsidRPr="007E0340" w:rsidRDefault="00752E9D" w:rsidP="009A2BA0">
            <w:pPr>
              <w:jc w:val="center"/>
              <w:rPr>
                <w:noProof/>
                <w:szCs w:val="18"/>
              </w:rPr>
            </w:pPr>
            <w:r>
              <w:rPr>
                <w:noProof/>
              </w:rPr>
              <w:drawing>
                <wp:inline distT="0" distB="0" distL="0" distR="0" wp14:anchorId="460CCDEE" wp14:editId="7A6DA747">
                  <wp:extent cx="2998470" cy="1945309"/>
                  <wp:effectExtent l="0" t="0" r="0" b="0"/>
                  <wp:docPr id="3" name="图表 3">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xdr="http://schemas.openxmlformats.org/drawingml/2006/spreadsheetDrawing" xmlns:a16="http://schemas.microsoft.com/office/drawing/2014/main" xmlns="" xmlns:lc="http://schemas.openxmlformats.org/drawingml/2006/lockedCanvas" xmlns:w15="http://schemas.microsoft.com/office/word/2012/wordml"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65093D" w:rsidRPr="006A5F34" w14:paraId="639F6F3B" w14:textId="77777777" w:rsidTr="00752E9D">
        <w:tblPrEx>
          <w:tblCellMar>
            <w:left w:w="108" w:type="dxa"/>
            <w:right w:w="108" w:type="dxa"/>
          </w:tblCellMar>
        </w:tblPrEx>
        <w:trPr>
          <w:jc w:val="center"/>
        </w:trPr>
        <w:tc>
          <w:tcPr>
            <w:tcW w:w="4939" w:type="dxa"/>
            <w:vAlign w:val="center"/>
          </w:tcPr>
          <w:p w14:paraId="7F14CD83" w14:textId="77777777" w:rsidR="0065093D" w:rsidRDefault="0065093D" w:rsidP="009A2BA0">
            <w:pPr>
              <w:jc w:val="center"/>
              <w:rPr>
                <w:noProof/>
              </w:rPr>
            </w:pPr>
          </w:p>
        </w:tc>
        <w:tc>
          <w:tcPr>
            <w:tcW w:w="4938" w:type="dxa"/>
            <w:vAlign w:val="center"/>
          </w:tcPr>
          <w:p w14:paraId="5C1D1AF1" w14:textId="77777777" w:rsidR="0065093D" w:rsidRDefault="0065093D" w:rsidP="009A2BA0">
            <w:pPr>
              <w:jc w:val="center"/>
              <w:rPr>
                <w:noProof/>
              </w:rPr>
            </w:pP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3D8CDC64" w:rsidR="001D35B3" w:rsidRPr="006A5F34" w:rsidRDefault="001D35B3" w:rsidP="00966A21">
            <w:pPr>
              <w:pStyle w:val="ChartHeading"/>
              <w:jc w:val="both"/>
            </w:pPr>
            <w:r w:rsidRPr="006A5F34">
              <w:rPr>
                <w:rFonts w:hint="eastAsia"/>
              </w:rPr>
              <w:t>图表</w:t>
            </w:r>
            <w:r w:rsidRPr="006A5F34">
              <w:t>.</w:t>
            </w:r>
            <w:r>
              <w:t xml:space="preserve"> </w:t>
            </w:r>
            <w:r w:rsidR="00FF26B0">
              <w:rPr>
                <w:rFonts w:hint="eastAsia"/>
              </w:rPr>
              <w:t>人民币汇率</w:t>
            </w:r>
            <w:r w:rsidR="0060714E">
              <w:rPr>
                <w:rFonts w:hint="eastAsia"/>
              </w:rPr>
              <w:t>持续小幅贬值</w:t>
            </w:r>
          </w:p>
        </w:tc>
        <w:tc>
          <w:tcPr>
            <w:tcW w:w="4938" w:type="dxa"/>
            <w:vAlign w:val="center"/>
          </w:tcPr>
          <w:p w14:paraId="07575C0F" w14:textId="1F52F3D5"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DE343B">
              <w:rPr>
                <w:rFonts w:hint="eastAsia"/>
              </w:rPr>
              <w:t>持续</w:t>
            </w:r>
            <w:r w:rsidR="003300DB">
              <w:rPr>
                <w:rFonts w:hint="eastAsia"/>
              </w:rPr>
              <w:t>回落</w:t>
            </w:r>
          </w:p>
        </w:tc>
      </w:tr>
      <w:tr w:rsidR="001D35B3" w:rsidRPr="006A5F34" w14:paraId="49BBD33E" w14:textId="77777777" w:rsidTr="00752E9D">
        <w:tblPrEx>
          <w:tblCellMar>
            <w:left w:w="108" w:type="dxa"/>
            <w:right w:w="108" w:type="dxa"/>
          </w:tblCellMar>
        </w:tblPrEx>
        <w:trPr>
          <w:trHeight w:val="2987"/>
          <w:jc w:val="center"/>
        </w:trPr>
        <w:tc>
          <w:tcPr>
            <w:tcW w:w="4939" w:type="dxa"/>
            <w:vAlign w:val="center"/>
          </w:tcPr>
          <w:p w14:paraId="0BAC1731" w14:textId="47A0FCB5" w:rsidR="001D35B3" w:rsidRPr="007E0340" w:rsidRDefault="00752E9D" w:rsidP="009A2BA0">
            <w:pPr>
              <w:jc w:val="center"/>
              <w:rPr>
                <w:noProof/>
              </w:rPr>
            </w:pPr>
            <w:r>
              <w:rPr>
                <w:noProof/>
              </w:rPr>
              <w:drawing>
                <wp:inline distT="0" distB="0" distL="0" distR="0" wp14:anchorId="060B98C7" wp14:editId="503201FC">
                  <wp:extent cx="2999105" cy="1948456"/>
                  <wp:effectExtent l="0" t="0" r="10795" b="0"/>
                  <wp:docPr id="4" name="图表 4">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xdr="http://schemas.openxmlformats.org/drawingml/2006/spreadsheetDrawing" xmlns:a16="http://schemas.microsoft.com/office/drawing/2014/main" xmlns="" xmlns:lc="http://schemas.openxmlformats.org/drawingml/2006/lockedCanvas" xmlns:w15="http://schemas.microsoft.com/office/word/2012/wordml"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1B2E3DEA" w:rsidR="001D35B3" w:rsidRPr="007E0340" w:rsidRDefault="00752E9D" w:rsidP="009A2BA0">
            <w:pPr>
              <w:jc w:val="center"/>
              <w:rPr>
                <w:noProof/>
                <w:szCs w:val="18"/>
              </w:rPr>
            </w:pPr>
            <w:r>
              <w:rPr>
                <w:noProof/>
              </w:rPr>
              <w:drawing>
                <wp:inline distT="0" distB="0" distL="0" distR="0" wp14:anchorId="580A0130" wp14:editId="43DB8CB4">
                  <wp:extent cx="2998470" cy="1918114"/>
                  <wp:effectExtent l="0" t="0" r="0" b="6350"/>
                  <wp:docPr id="6" name="图表 6">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xdr="http://schemas.openxmlformats.org/drawingml/2006/spreadsheetDrawing" xmlns:a16="http://schemas.microsoft.com/office/drawing/2014/main" xmlns="" xmlns:lc="http://schemas.openxmlformats.org/drawingml/2006/lockedCanvas" xmlns:w15="http://schemas.microsoft.com/office/word/2012/wordml"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669439AD" w14:textId="77777777" w:rsidR="00594303" w:rsidRDefault="00594303">
      <w:pPr>
        <w:widowControl/>
        <w:jc w:val="left"/>
        <w:rPr>
          <w:rFonts w:ascii="华文楷体" w:eastAsia="华文楷体" w:hAnsi="华文楷体"/>
          <w:kern w:val="0"/>
          <w:sz w:val="24"/>
          <w:szCs w:val="24"/>
        </w:rPr>
      </w:pPr>
      <w:r>
        <w:rPr>
          <w:rFonts w:ascii="华文楷体" w:hAnsi="华文楷体"/>
          <w:sz w:val="24"/>
          <w:szCs w:val="24"/>
        </w:rPr>
        <w:br w:type="page"/>
      </w:r>
    </w:p>
    <w:p w14:paraId="236E8CBA" w14:textId="77777777" w:rsidR="00EA1966" w:rsidRDefault="00EA1966" w:rsidP="009A2BA0">
      <w:pPr>
        <w:pStyle w:val="Body-text"/>
        <w:spacing w:after="0"/>
        <w:rPr>
          <w:rFonts w:ascii="华文楷体" w:hAnsi="华文楷体"/>
          <w:sz w:val="24"/>
          <w:szCs w:val="24"/>
          <w:lang w:eastAsia="zh-CN"/>
        </w:rPr>
      </w:pPr>
    </w:p>
    <w:p w14:paraId="1EF1A1F1" w14:textId="210C87C2" w:rsidR="0028459A" w:rsidRPr="001A1299" w:rsidRDefault="00964117" w:rsidP="00964117">
      <w:pPr>
        <w:pStyle w:val="Body-text"/>
        <w:ind w:firstLineChars="200" w:firstLine="400"/>
        <w:rPr>
          <w:rFonts w:ascii="华文楷体" w:hAnsi="华文楷体"/>
          <w:sz w:val="24"/>
          <w:szCs w:val="24"/>
          <w:lang w:eastAsia="zh-CN"/>
        </w:rPr>
      </w:pPr>
      <w:r>
        <w:rPr>
          <w:rFonts w:ascii="微软雅黑" w:eastAsia="微软雅黑" w:hAnsi="微软雅黑" w:hint="eastAsia"/>
          <w:color w:val="474747"/>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001EF1" w14:textId="77777777" w:rsidR="00BE2C9F" w:rsidRDefault="00BE2C9F">
      <w:r>
        <w:separator/>
      </w:r>
    </w:p>
  </w:endnote>
  <w:endnote w:type="continuationSeparator" w:id="0">
    <w:p w14:paraId="0E32097F" w14:textId="77777777" w:rsidR="00BE2C9F" w:rsidRDefault="00BE2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FC3B6C" w:rsidRDefault="00FC3B6C">
        <w:pPr>
          <w:pStyle w:val="a4"/>
          <w:jc w:val="right"/>
        </w:pPr>
        <w:r>
          <w:fldChar w:fldCharType="begin"/>
        </w:r>
        <w:r>
          <w:instrText>PAGE   \* MERGEFORMAT</w:instrText>
        </w:r>
        <w:r>
          <w:fldChar w:fldCharType="separate"/>
        </w:r>
        <w:r w:rsidR="00E36DF7" w:rsidRPr="00E36DF7">
          <w:rPr>
            <w:noProof/>
            <w:lang w:val="zh-CN"/>
          </w:rPr>
          <w:t>4</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95BF88" w14:textId="77777777" w:rsidR="00BE2C9F" w:rsidRDefault="00BE2C9F">
      <w:r>
        <w:separator/>
      </w:r>
    </w:p>
  </w:footnote>
  <w:footnote w:type="continuationSeparator" w:id="0">
    <w:p w14:paraId="71A45793" w14:textId="77777777" w:rsidR="00BE2C9F" w:rsidRDefault="00BE2C9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FC3B6C" w:rsidRDefault="00FC3B6C"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0E9E65D6"/>
    <w:multiLevelType w:val="multilevel"/>
    <w:tmpl w:val="39BA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1">
    <w:nsid w:val="273729AD"/>
    <w:multiLevelType w:val="multilevel"/>
    <w:tmpl w:val="2A42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5">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6">
    <w:nsid w:val="39E00319"/>
    <w:multiLevelType w:val="multilevel"/>
    <w:tmpl w:val="278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57513A"/>
    <w:multiLevelType w:val="multilevel"/>
    <w:tmpl w:val="D40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9">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2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22">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23">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6">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8">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6"/>
  </w:num>
  <w:num w:numId="7">
    <w:abstractNumId w:val="18"/>
  </w:num>
  <w:num w:numId="8">
    <w:abstractNumId w:val="15"/>
  </w:num>
  <w:num w:numId="9">
    <w:abstractNumId w:val="6"/>
  </w:num>
  <w:num w:numId="10">
    <w:abstractNumId w:val="21"/>
  </w:num>
  <w:num w:numId="11">
    <w:abstractNumId w:val="25"/>
  </w:num>
  <w:num w:numId="12">
    <w:abstractNumId w:val="19"/>
  </w:num>
  <w:num w:numId="13">
    <w:abstractNumId w:val="27"/>
  </w:num>
  <w:num w:numId="14">
    <w:abstractNumId w:val="28"/>
  </w:num>
  <w:num w:numId="15">
    <w:abstractNumId w:val="22"/>
  </w:num>
  <w:num w:numId="16">
    <w:abstractNumId w:val="14"/>
  </w:num>
  <w:num w:numId="17">
    <w:abstractNumId w:val="10"/>
  </w:num>
  <w:num w:numId="18">
    <w:abstractNumId w:val="24"/>
  </w:num>
  <w:num w:numId="19">
    <w:abstractNumId w:val="12"/>
  </w:num>
  <w:num w:numId="20">
    <w:abstractNumId w:val="23"/>
  </w:num>
  <w:num w:numId="21">
    <w:abstractNumId w:val="7"/>
  </w:num>
  <w:num w:numId="22">
    <w:abstractNumId w:val="20"/>
  </w:num>
  <w:num w:numId="23">
    <w:abstractNumId w:val="5"/>
  </w:num>
  <w:num w:numId="24">
    <w:abstractNumId w:val="13"/>
  </w:num>
  <w:num w:numId="25">
    <w:abstractNumId w:val="9"/>
  </w:num>
  <w:num w:numId="26">
    <w:abstractNumId w:val="17"/>
  </w:num>
  <w:num w:numId="27">
    <w:abstractNumId w:val="11"/>
  </w:num>
  <w:num w:numId="28">
    <w:abstractNumId w:val="8"/>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D9D"/>
    <w:rsid w:val="00023E14"/>
    <w:rsid w:val="0002431B"/>
    <w:rsid w:val="00025073"/>
    <w:rsid w:val="00025B9D"/>
    <w:rsid w:val="00025F12"/>
    <w:rsid w:val="00026193"/>
    <w:rsid w:val="00026E14"/>
    <w:rsid w:val="000270FF"/>
    <w:rsid w:val="000274EB"/>
    <w:rsid w:val="000275C9"/>
    <w:rsid w:val="0002765B"/>
    <w:rsid w:val="00027744"/>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8ED"/>
    <w:rsid w:val="00061C3C"/>
    <w:rsid w:val="00061D9E"/>
    <w:rsid w:val="000620E2"/>
    <w:rsid w:val="0006250F"/>
    <w:rsid w:val="00062981"/>
    <w:rsid w:val="000629A2"/>
    <w:rsid w:val="00062E89"/>
    <w:rsid w:val="0006364B"/>
    <w:rsid w:val="00063EF1"/>
    <w:rsid w:val="00064007"/>
    <w:rsid w:val="000643F4"/>
    <w:rsid w:val="0006472D"/>
    <w:rsid w:val="00064DDC"/>
    <w:rsid w:val="00065754"/>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3DC4"/>
    <w:rsid w:val="000C3E92"/>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9A6"/>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4AF9"/>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8A9"/>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3843"/>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ECA"/>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4AC8"/>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77FA3"/>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EFE"/>
    <w:rsid w:val="00297FBC"/>
    <w:rsid w:val="002A000F"/>
    <w:rsid w:val="002A08C3"/>
    <w:rsid w:val="002A0FA8"/>
    <w:rsid w:val="002A111A"/>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1BBF"/>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75"/>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54D"/>
    <w:rsid w:val="002D361C"/>
    <w:rsid w:val="002D3BDB"/>
    <w:rsid w:val="002D3DEE"/>
    <w:rsid w:val="002D44EF"/>
    <w:rsid w:val="002D521C"/>
    <w:rsid w:val="002D5222"/>
    <w:rsid w:val="002D525F"/>
    <w:rsid w:val="002D5CA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0210"/>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5B1"/>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31C"/>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86B"/>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1C03"/>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9FC"/>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9DA"/>
    <w:rsid w:val="00570DBD"/>
    <w:rsid w:val="0057151F"/>
    <w:rsid w:val="005715B5"/>
    <w:rsid w:val="005715FD"/>
    <w:rsid w:val="00571840"/>
    <w:rsid w:val="0057185D"/>
    <w:rsid w:val="005718BC"/>
    <w:rsid w:val="00571977"/>
    <w:rsid w:val="00571EF7"/>
    <w:rsid w:val="0057268E"/>
    <w:rsid w:val="00572CB3"/>
    <w:rsid w:val="0057315D"/>
    <w:rsid w:val="00573C78"/>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49B"/>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4BA"/>
    <w:rsid w:val="00604528"/>
    <w:rsid w:val="00604D15"/>
    <w:rsid w:val="006050AB"/>
    <w:rsid w:val="0060524A"/>
    <w:rsid w:val="006052B5"/>
    <w:rsid w:val="006059D2"/>
    <w:rsid w:val="006067A9"/>
    <w:rsid w:val="00606C55"/>
    <w:rsid w:val="00606CB9"/>
    <w:rsid w:val="00606FD4"/>
    <w:rsid w:val="0060705C"/>
    <w:rsid w:val="0060714E"/>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51B"/>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93D"/>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44"/>
    <w:rsid w:val="00657F57"/>
    <w:rsid w:val="00660E0E"/>
    <w:rsid w:val="00660F91"/>
    <w:rsid w:val="00660FB6"/>
    <w:rsid w:val="006613C1"/>
    <w:rsid w:val="00661D14"/>
    <w:rsid w:val="006629A0"/>
    <w:rsid w:val="0066321A"/>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3FA8"/>
    <w:rsid w:val="006C425F"/>
    <w:rsid w:val="006C470F"/>
    <w:rsid w:val="006C47C9"/>
    <w:rsid w:val="006C503D"/>
    <w:rsid w:val="006C51C0"/>
    <w:rsid w:val="006C52B5"/>
    <w:rsid w:val="006C5320"/>
    <w:rsid w:val="006C5372"/>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B59"/>
    <w:rsid w:val="006E4C06"/>
    <w:rsid w:val="006E559F"/>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3FD"/>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9D"/>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5AFD"/>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080"/>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1F8"/>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1D0A"/>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6CF5"/>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1A52"/>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8C5"/>
    <w:rsid w:val="008C79B4"/>
    <w:rsid w:val="008C7F90"/>
    <w:rsid w:val="008D00B5"/>
    <w:rsid w:val="008D0180"/>
    <w:rsid w:val="008D0721"/>
    <w:rsid w:val="008D09A9"/>
    <w:rsid w:val="008D0A2E"/>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039B"/>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3FB"/>
    <w:rsid w:val="00937436"/>
    <w:rsid w:val="0094023F"/>
    <w:rsid w:val="00940723"/>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117"/>
    <w:rsid w:val="00964348"/>
    <w:rsid w:val="00964CE2"/>
    <w:rsid w:val="00964D3E"/>
    <w:rsid w:val="00964D4F"/>
    <w:rsid w:val="00964EDC"/>
    <w:rsid w:val="0096570A"/>
    <w:rsid w:val="0096597E"/>
    <w:rsid w:val="00965FE4"/>
    <w:rsid w:val="009665FF"/>
    <w:rsid w:val="0096687C"/>
    <w:rsid w:val="00966A21"/>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7C1"/>
    <w:rsid w:val="009779F4"/>
    <w:rsid w:val="00977F1B"/>
    <w:rsid w:val="00980013"/>
    <w:rsid w:val="00980B5C"/>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386"/>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5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5C5"/>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244"/>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1F3A"/>
    <w:rsid w:val="00A9219F"/>
    <w:rsid w:val="00A92BCC"/>
    <w:rsid w:val="00A932E8"/>
    <w:rsid w:val="00A93955"/>
    <w:rsid w:val="00A93B28"/>
    <w:rsid w:val="00A93CDD"/>
    <w:rsid w:val="00A93D07"/>
    <w:rsid w:val="00A941DD"/>
    <w:rsid w:val="00A9435D"/>
    <w:rsid w:val="00A94D25"/>
    <w:rsid w:val="00A94F84"/>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690"/>
    <w:rsid w:val="00AE57B3"/>
    <w:rsid w:val="00AE57F5"/>
    <w:rsid w:val="00AE5DF2"/>
    <w:rsid w:val="00AE612E"/>
    <w:rsid w:val="00AE643A"/>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1EFE"/>
    <w:rsid w:val="00B12437"/>
    <w:rsid w:val="00B1313A"/>
    <w:rsid w:val="00B13675"/>
    <w:rsid w:val="00B1368E"/>
    <w:rsid w:val="00B150CF"/>
    <w:rsid w:val="00B1574A"/>
    <w:rsid w:val="00B16344"/>
    <w:rsid w:val="00B16E5A"/>
    <w:rsid w:val="00B17B47"/>
    <w:rsid w:val="00B17D03"/>
    <w:rsid w:val="00B20080"/>
    <w:rsid w:val="00B20149"/>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1DC1"/>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A7FFE"/>
    <w:rsid w:val="00BB04DE"/>
    <w:rsid w:val="00BB05CF"/>
    <w:rsid w:val="00BB0B30"/>
    <w:rsid w:val="00BB0E41"/>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2C9F"/>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1F2"/>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0AC"/>
    <w:rsid w:val="00CD630E"/>
    <w:rsid w:val="00CD7D7A"/>
    <w:rsid w:val="00CE0946"/>
    <w:rsid w:val="00CE0C38"/>
    <w:rsid w:val="00CE0D51"/>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130"/>
    <w:rsid w:val="00D14B59"/>
    <w:rsid w:val="00D155AA"/>
    <w:rsid w:val="00D15646"/>
    <w:rsid w:val="00D1591C"/>
    <w:rsid w:val="00D15958"/>
    <w:rsid w:val="00D15B30"/>
    <w:rsid w:val="00D15EA9"/>
    <w:rsid w:val="00D16090"/>
    <w:rsid w:val="00D16295"/>
    <w:rsid w:val="00D162CD"/>
    <w:rsid w:val="00D16571"/>
    <w:rsid w:val="00D168B2"/>
    <w:rsid w:val="00D175B7"/>
    <w:rsid w:val="00D17748"/>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54A"/>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BF0"/>
    <w:rsid w:val="00D51DFD"/>
    <w:rsid w:val="00D51E62"/>
    <w:rsid w:val="00D522B1"/>
    <w:rsid w:val="00D52DAF"/>
    <w:rsid w:val="00D53B48"/>
    <w:rsid w:val="00D53DFA"/>
    <w:rsid w:val="00D5436D"/>
    <w:rsid w:val="00D54378"/>
    <w:rsid w:val="00D54865"/>
    <w:rsid w:val="00D54889"/>
    <w:rsid w:val="00D54CC8"/>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9DA"/>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B15"/>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3B3"/>
    <w:rsid w:val="00DD0678"/>
    <w:rsid w:val="00DD14FE"/>
    <w:rsid w:val="00DD15D2"/>
    <w:rsid w:val="00DD187B"/>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B2E"/>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6DF7"/>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D6B"/>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3AD6"/>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2E3"/>
    <w:rsid w:val="00EA43DF"/>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816"/>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0EA2"/>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431"/>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B87"/>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B6C"/>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4152484">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08768525">
      <w:bodyDiv w:val="1"/>
      <w:marLeft w:val="0"/>
      <w:marRight w:val="0"/>
      <w:marTop w:val="0"/>
      <w:marBottom w:val="0"/>
      <w:divBdr>
        <w:top w:val="none" w:sz="0" w:space="0" w:color="auto"/>
        <w:left w:val="none" w:sz="0" w:space="0" w:color="auto"/>
        <w:bottom w:val="none" w:sz="0" w:space="0" w:color="auto"/>
        <w:right w:val="none" w:sz="0" w:space="0" w:color="auto"/>
      </w:divBdr>
      <w:divsChild>
        <w:div w:id="89787644">
          <w:marLeft w:val="0"/>
          <w:marRight w:val="0"/>
          <w:marTop w:val="0"/>
          <w:marBottom w:val="0"/>
          <w:divBdr>
            <w:top w:val="none" w:sz="0" w:space="0" w:color="auto"/>
            <w:left w:val="none" w:sz="0" w:space="0" w:color="auto"/>
            <w:bottom w:val="none" w:sz="0" w:space="0" w:color="auto"/>
            <w:right w:val="none" w:sz="0" w:space="0" w:color="auto"/>
          </w:divBdr>
        </w:div>
      </w:divsChild>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86284636">
      <w:bodyDiv w:val="1"/>
      <w:marLeft w:val="0"/>
      <w:marRight w:val="0"/>
      <w:marTop w:val="0"/>
      <w:marBottom w:val="0"/>
      <w:divBdr>
        <w:top w:val="none" w:sz="0" w:space="0" w:color="auto"/>
        <w:left w:val="none" w:sz="0" w:space="0" w:color="auto"/>
        <w:bottom w:val="none" w:sz="0" w:space="0" w:color="auto"/>
        <w:right w:val="none" w:sz="0" w:space="0" w:color="auto"/>
      </w:divBdr>
    </w:div>
    <w:div w:id="494417478">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35331640">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894007863">
      <w:bodyDiv w:val="1"/>
      <w:marLeft w:val="0"/>
      <w:marRight w:val="0"/>
      <w:marTop w:val="0"/>
      <w:marBottom w:val="0"/>
      <w:divBdr>
        <w:top w:val="none" w:sz="0" w:space="0" w:color="auto"/>
        <w:left w:val="none" w:sz="0" w:space="0" w:color="auto"/>
        <w:bottom w:val="none" w:sz="0" w:space="0" w:color="auto"/>
        <w:right w:val="none" w:sz="0" w:space="0" w:color="auto"/>
      </w:divBdr>
      <w:divsChild>
        <w:div w:id="962273013">
          <w:marLeft w:val="0"/>
          <w:marRight w:val="0"/>
          <w:marTop w:val="0"/>
          <w:marBottom w:val="0"/>
          <w:divBdr>
            <w:top w:val="none" w:sz="0" w:space="0" w:color="auto"/>
            <w:left w:val="none" w:sz="0" w:space="0" w:color="auto"/>
            <w:bottom w:val="none" w:sz="0" w:space="0" w:color="auto"/>
            <w:right w:val="none" w:sz="0" w:space="0" w:color="auto"/>
          </w:divBdr>
        </w:div>
      </w:divsChild>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094664281">
      <w:bodyDiv w:val="1"/>
      <w:marLeft w:val="0"/>
      <w:marRight w:val="0"/>
      <w:marTop w:val="0"/>
      <w:marBottom w:val="0"/>
      <w:divBdr>
        <w:top w:val="none" w:sz="0" w:space="0" w:color="auto"/>
        <w:left w:val="none" w:sz="0" w:space="0" w:color="auto"/>
        <w:bottom w:val="none" w:sz="0" w:space="0" w:color="auto"/>
        <w:right w:val="none" w:sz="0" w:space="0" w:color="auto"/>
      </w:divBdr>
      <w:divsChild>
        <w:div w:id="382607494">
          <w:marLeft w:val="0"/>
          <w:marRight w:val="0"/>
          <w:marTop w:val="0"/>
          <w:marBottom w:val="0"/>
          <w:divBdr>
            <w:top w:val="none" w:sz="0" w:space="0" w:color="auto"/>
            <w:left w:val="none" w:sz="0" w:space="0" w:color="auto"/>
            <w:bottom w:val="none" w:sz="0" w:space="0" w:color="auto"/>
            <w:right w:val="none" w:sz="0" w:space="0" w:color="auto"/>
          </w:divBdr>
        </w:div>
      </w:divsChild>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06272689">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8599151">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456924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70067966">
      <w:bodyDiv w:val="1"/>
      <w:marLeft w:val="0"/>
      <w:marRight w:val="0"/>
      <w:marTop w:val="0"/>
      <w:marBottom w:val="0"/>
      <w:divBdr>
        <w:top w:val="none" w:sz="0" w:space="0" w:color="auto"/>
        <w:left w:val="none" w:sz="0" w:space="0" w:color="auto"/>
        <w:bottom w:val="none" w:sz="0" w:space="0" w:color="auto"/>
        <w:right w:val="none" w:sz="0" w:space="0" w:color="auto"/>
      </w:divBdr>
      <w:divsChild>
        <w:div w:id="524945384">
          <w:marLeft w:val="0"/>
          <w:marRight w:val="0"/>
          <w:marTop w:val="0"/>
          <w:marBottom w:val="0"/>
          <w:divBdr>
            <w:top w:val="none" w:sz="0" w:space="0" w:color="auto"/>
            <w:left w:val="none" w:sz="0" w:space="0" w:color="auto"/>
            <w:bottom w:val="none" w:sz="0" w:space="0" w:color="auto"/>
            <w:right w:val="none" w:sz="0" w:space="0" w:color="auto"/>
          </w:divBdr>
        </w:div>
      </w:divsChild>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32708267">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3133059">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H:\&#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44218</c:v>
                </c:pt>
                <c:pt idx="1">
                  <c:v>44225</c:v>
                </c:pt>
                <c:pt idx="2">
                  <c:v>44232</c:v>
                </c:pt>
                <c:pt idx="3">
                  <c:v>44239</c:v>
                </c:pt>
                <c:pt idx="4">
                  <c:v>44246</c:v>
                </c:pt>
                <c:pt idx="5">
                  <c:v>44253</c:v>
                </c:pt>
                <c:pt idx="6">
                  <c:v>44260</c:v>
                </c:pt>
                <c:pt idx="7">
                  <c:v>44267</c:v>
                </c:pt>
                <c:pt idx="8">
                  <c:v>44274</c:v>
                </c:pt>
                <c:pt idx="9">
                  <c:v>44281</c:v>
                </c:pt>
                <c:pt idx="10">
                  <c:v>44288</c:v>
                </c:pt>
                <c:pt idx="11">
                  <c:v>44295</c:v>
                </c:pt>
                <c:pt idx="12">
                  <c:v>44302</c:v>
                </c:pt>
                <c:pt idx="13">
                  <c:v>44309</c:v>
                </c:pt>
                <c:pt idx="14">
                  <c:v>44316</c:v>
                </c:pt>
                <c:pt idx="15">
                  <c:v>44323</c:v>
                </c:pt>
                <c:pt idx="16">
                  <c:v>44330</c:v>
                </c:pt>
                <c:pt idx="17">
                  <c:v>44337</c:v>
                </c:pt>
                <c:pt idx="18">
                  <c:v>44344</c:v>
                </c:pt>
                <c:pt idx="19">
                  <c:v>44351</c:v>
                </c:pt>
                <c:pt idx="20">
                  <c:v>44358</c:v>
                </c:pt>
                <c:pt idx="21">
                  <c:v>44365</c:v>
                </c:pt>
                <c:pt idx="22">
                  <c:v>44372</c:v>
                </c:pt>
              </c:numCache>
            </c:numRef>
          </c:cat>
          <c:val>
            <c:numRef>
              <c:f>央行!$B$5:$B$27</c:f>
              <c:numCache>
                <c:formatCode>###,###,###,###,##0.00</c:formatCode>
                <c:ptCount val="23"/>
                <c:pt idx="0">
                  <c:v>6140</c:v>
                </c:pt>
                <c:pt idx="1">
                  <c:v>3890</c:v>
                </c:pt>
                <c:pt idx="2">
                  <c:v>4800</c:v>
                </c:pt>
                <c:pt idx="3">
                  <c:v>2300</c:v>
                </c:pt>
                <c:pt idx="4">
                  <c:v>400</c:v>
                </c:pt>
                <c:pt idx="5">
                  <c:v>800</c:v>
                </c:pt>
                <c:pt idx="6">
                  <c:v>550</c:v>
                </c:pt>
                <c:pt idx="7">
                  <c:v>500</c:v>
                </c:pt>
                <c:pt idx="8">
                  <c:v>500</c:v>
                </c:pt>
                <c:pt idx="9">
                  <c:v>550</c:v>
                </c:pt>
                <c:pt idx="10">
                  <c:v>500</c:v>
                </c:pt>
                <c:pt idx="11">
                  <c:v>400</c:v>
                </c:pt>
                <c:pt idx="12">
                  <c:v>500</c:v>
                </c:pt>
                <c:pt idx="13">
                  <c:v>500</c:v>
                </c:pt>
                <c:pt idx="14">
                  <c:v>650</c:v>
                </c:pt>
                <c:pt idx="15">
                  <c:v>200</c:v>
                </c:pt>
                <c:pt idx="16">
                  <c:v>600</c:v>
                </c:pt>
                <c:pt idx="17">
                  <c:v>500</c:v>
                </c:pt>
                <c:pt idx="18">
                  <c:v>550</c:v>
                </c:pt>
                <c:pt idx="19">
                  <c:v>500</c:v>
                </c:pt>
                <c:pt idx="20">
                  <c:v>500</c:v>
                </c:pt>
                <c:pt idx="21">
                  <c:v>400</c:v>
                </c:pt>
                <c:pt idx="22">
                  <c:v>900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44218</c:v>
                </c:pt>
                <c:pt idx="1">
                  <c:v>44225</c:v>
                </c:pt>
                <c:pt idx="2">
                  <c:v>44232</c:v>
                </c:pt>
                <c:pt idx="3">
                  <c:v>44239</c:v>
                </c:pt>
                <c:pt idx="4">
                  <c:v>44246</c:v>
                </c:pt>
                <c:pt idx="5">
                  <c:v>44253</c:v>
                </c:pt>
                <c:pt idx="6">
                  <c:v>44260</c:v>
                </c:pt>
                <c:pt idx="7">
                  <c:v>44267</c:v>
                </c:pt>
                <c:pt idx="8">
                  <c:v>44274</c:v>
                </c:pt>
                <c:pt idx="9">
                  <c:v>44281</c:v>
                </c:pt>
                <c:pt idx="10">
                  <c:v>44288</c:v>
                </c:pt>
                <c:pt idx="11">
                  <c:v>44295</c:v>
                </c:pt>
                <c:pt idx="12">
                  <c:v>44302</c:v>
                </c:pt>
                <c:pt idx="13">
                  <c:v>44309</c:v>
                </c:pt>
                <c:pt idx="14">
                  <c:v>44316</c:v>
                </c:pt>
                <c:pt idx="15">
                  <c:v>44323</c:v>
                </c:pt>
                <c:pt idx="16">
                  <c:v>44330</c:v>
                </c:pt>
                <c:pt idx="17">
                  <c:v>44337</c:v>
                </c:pt>
                <c:pt idx="18">
                  <c:v>44344</c:v>
                </c:pt>
                <c:pt idx="19">
                  <c:v>44351</c:v>
                </c:pt>
                <c:pt idx="20">
                  <c:v>44358</c:v>
                </c:pt>
                <c:pt idx="21">
                  <c:v>44365</c:v>
                </c:pt>
                <c:pt idx="22">
                  <c:v>44372</c:v>
                </c:pt>
              </c:numCache>
            </c:numRef>
          </c:cat>
          <c:val>
            <c:numRef>
              <c:f>央行!$C$5:$C$27</c:f>
              <c:numCache>
                <c:formatCode>###,###,###,###,##0.00</c:formatCode>
                <c:ptCount val="23"/>
                <c:pt idx="0">
                  <c:v>-160</c:v>
                </c:pt>
                <c:pt idx="1">
                  <c:v>-6190</c:v>
                </c:pt>
                <c:pt idx="2">
                  <c:v>-3840</c:v>
                </c:pt>
                <c:pt idx="3">
                  <c:v>-2800</c:v>
                </c:pt>
                <c:pt idx="4">
                  <c:v>-3800</c:v>
                </c:pt>
                <c:pt idx="5">
                  <c:v>-950</c:v>
                </c:pt>
                <c:pt idx="6">
                  <c:v>-800</c:v>
                </c:pt>
                <c:pt idx="7">
                  <c:v>-500</c:v>
                </c:pt>
                <c:pt idx="8">
                  <c:v>-500</c:v>
                </c:pt>
                <c:pt idx="9">
                  <c:v>-550</c:v>
                </c:pt>
                <c:pt idx="10">
                  <c:v>-500</c:v>
                </c:pt>
                <c:pt idx="11">
                  <c:v>-500</c:v>
                </c:pt>
                <c:pt idx="12">
                  <c:v>-400</c:v>
                </c:pt>
                <c:pt idx="13">
                  <c:v>-500</c:v>
                </c:pt>
                <c:pt idx="14">
                  <c:v>-550</c:v>
                </c:pt>
                <c:pt idx="15">
                  <c:v>-600</c:v>
                </c:pt>
                <c:pt idx="16">
                  <c:v>-200</c:v>
                </c:pt>
                <c:pt idx="17">
                  <c:v>-600</c:v>
                </c:pt>
                <c:pt idx="18">
                  <c:v>-550</c:v>
                </c:pt>
                <c:pt idx="19">
                  <c:v>-500</c:v>
                </c:pt>
                <c:pt idx="20">
                  <c:v>-500</c:v>
                </c:pt>
                <c:pt idx="21">
                  <c:v>-500</c:v>
                </c:pt>
                <c:pt idx="22">
                  <c:v>-450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445552512"/>
        <c:axId val="446464000"/>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44218</c:v>
                </c:pt>
                <c:pt idx="1">
                  <c:v>44225</c:v>
                </c:pt>
                <c:pt idx="2">
                  <c:v>44232</c:v>
                </c:pt>
                <c:pt idx="3">
                  <c:v>44239</c:v>
                </c:pt>
                <c:pt idx="4">
                  <c:v>44246</c:v>
                </c:pt>
                <c:pt idx="5">
                  <c:v>44253</c:v>
                </c:pt>
                <c:pt idx="6">
                  <c:v>44260</c:v>
                </c:pt>
                <c:pt idx="7">
                  <c:v>44267</c:v>
                </c:pt>
                <c:pt idx="8">
                  <c:v>44274</c:v>
                </c:pt>
                <c:pt idx="9">
                  <c:v>44281</c:v>
                </c:pt>
                <c:pt idx="10">
                  <c:v>44288</c:v>
                </c:pt>
                <c:pt idx="11">
                  <c:v>44295</c:v>
                </c:pt>
                <c:pt idx="12">
                  <c:v>44302</c:v>
                </c:pt>
                <c:pt idx="13">
                  <c:v>44309</c:v>
                </c:pt>
                <c:pt idx="14">
                  <c:v>44316</c:v>
                </c:pt>
                <c:pt idx="15">
                  <c:v>44323</c:v>
                </c:pt>
                <c:pt idx="16">
                  <c:v>44330</c:v>
                </c:pt>
                <c:pt idx="17">
                  <c:v>44337</c:v>
                </c:pt>
                <c:pt idx="18">
                  <c:v>44344</c:v>
                </c:pt>
                <c:pt idx="19">
                  <c:v>44351</c:v>
                </c:pt>
                <c:pt idx="20">
                  <c:v>44358</c:v>
                </c:pt>
                <c:pt idx="21">
                  <c:v>44365</c:v>
                </c:pt>
                <c:pt idx="22">
                  <c:v>44372</c:v>
                </c:pt>
              </c:numCache>
            </c:numRef>
          </c:cat>
          <c:val>
            <c:numRef>
              <c:f>央行!$D$5:$D$27</c:f>
              <c:numCache>
                <c:formatCode>###,###,###,###,##0.00</c:formatCode>
                <c:ptCount val="23"/>
                <c:pt idx="0">
                  <c:v>5980</c:v>
                </c:pt>
                <c:pt idx="1">
                  <c:v>-2300</c:v>
                </c:pt>
                <c:pt idx="2">
                  <c:v>960</c:v>
                </c:pt>
                <c:pt idx="3">
                  <c:v>-500</c:v>
                </c:pt>
                <c:pt idx="4">
                  <c:v>-3400</c:v>
                </c:pt>
                <c:pt idx="5">
                  <c:v>-150</c:v>
                </c:pt>
                <c:pt idx="6">
                  <c:v>-250</c:v>
                </c:pt>
                <c:pt idx="7">
                  <c:v>0</c:v>
                </c:pt>
                <c:pt idx="8">
                  <c:v>0</c:v>
                </c:pt>
                <c:pt idx="9">
                  <c:v>0</c:v>
                </c:pt>
                <c:pt idx="10">
                  <c:v>0</c:v>
                </c:pt>
                <c:pt idx="11">
                  <c:v>-100</c:v>
                </c:pt>
                <c:pt idx="12">
                  <c:v>100</c:v>
                </c:pt>
                <c:pt idx="13">
                  <c:v>0</c:v>
                </c:pt>
                <c:pt idx="14">
                  <c:v>100</c:v>
                </c:pt>
                <c:pt idx="15">
                  <c:v>-400</c:v>
                </c:pt>
                <c:pt idx="16">
                  <c:v>400</c:v>
                </c:pt>
                <c:pt idx="17">
                  <c:v>-100</c:v>
                </c:pt>
                <c:pt idx="18">
                  <c:v>0</c:v>
                </c:pt>
                <c:pt idx="19">
                  <c:v>0</c:v>
                </c:pt>
                <c:pt idx="20">
                  <c:v>0</c:v>
                </c:pt>
                <c:pt idx="21">
                  <c:v>-100</c:v>
                </c:pt>
                <c:pt idx="22">
                  <c:v>450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445552512"/>
        <c:axId val="446464000"/>
      </c:lineChart>
      <c:catAx>
        <c:axId val="44555251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6464000"/>
        <c:crosses val="autoZero"/>
        <c:auto val="0"/>
        <c:lblAlgn val="ctr"/>
        <c:lblOffset val="0"/>
        <c:tickMarkSkip val="2"/>
        <c:noMultiLvlLbl val="0"/>
      </c:catAx>
      <c:valAx>
        <c:axId val="44646400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5552512"/>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7289189954196922"/>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44372</c:v>
                </c:pt>
                <c:pt idx="1">
                  <c:v>44371</c:v>
                </c:pt>
                <c:pt idx="2">
                  <c:v>44370</c:v>
                </c:pt>
                <c:pt idx="3">
                  <c:v>44369</c:v>
                </c:pt>
                <c:pt idx="4">
                  <c:v>44368</c:v>
                </c:pt>
                <c:pt idx="5">
                  <c:v>44365</c:v>
                </c:pt>
                <c:pt idx="6">
                  <c:v>44364</c:v>
                </c:pt>
                <c:pt idx="7">
                  <c:v>44363</c:v>
                </c:pt>
                <c:pt idx="8">
                  <c:v>44362</c:v>
                </c:pt>
                <c:pt idx="9">
                  <c:v>44358</c:v>
                </c:pt>
                <c:pt idx="10">
                  <c:v>44357</c:v>
                </c:pt>
                <c:pt idx="11">
                  <c:v>44356</c:v>
                </c:pt>
                <c:pt idx="12">
                  <c:v>44355</c:v>
                </c:pt>
                <c:pt idx="13">
                  <c:v>44354</c:v>
                </c:pt>
                <c:pt idx="14">
                  <c:v>44351</c:v>
                </c:pt>
                <c:pt idx="15">
                  <c:v>44350</c:v>
                </c:pt>
                <c:pt idx="16">
                  <c:v>44349</c:v>
                </c:pt>
                <c:pt idx="17">
                  <c:v>44348</c:v>
                </c:pt>
                <c:pt idx="18">
                  <c:v>44347</c:v>
                </c:pt>
                <c:pt idx="19">
                  <c:v>44344</c:v>
                </c:pt>
                <c:pt idx="20">
                  <c:v>44343</c:v>
                </c:pt>
                <c:pt idx="21">
                  <c:v>44342</c:v>
                </c:pt>
                <c:pt idx="22">
                  <c:v>44341</c:v>
                </c:pt>
                <c:pt idx="23">
                  <c:v>44340</c:v>
                </c:pt>
                <c:pt idx="24">
                  <c:v>44337</c:v>
                </c:pt>
                <c:pt idx="25">
                  <c:v>44336</c:v>
                </c:pt>
                <c:pt idx="26">
                  <c:v>44335</c:v>
                </c:pt>
                <c:pt idx="27">
                  <c:v>44334</c:v>
                </c:pt>
                <c:pt idx="28">
                  <c:v>44333</c:v>
                </c:pt>
                <c:pt idx="29">
                  <c:v>44330</c:v>
                </c:pt>
                <c:pt idx="30">
                  <c:v>44329</c:v>
                </c:pt>
                <c:pt idx="31">
                  <c:v>44328</c:v>
                </c:pt>
                <c:pt idx="32">
                  <c:v>44327</c:v>
                </c:pt>
                <c:pt idx="33">
                  <c:v>44326</c:v>
                </c:pt>
                <c:pt idx="34">
                  <c:v>44324</c:v>
                </c:pt>
                <c:pt idx="35">
                  <c:v>44323</c:v>
                </c:pt>
                <c:pt idx="36">
                  <c:v>44322</c:v>
                </c:pt>
                <c:pt idx="37">
                  <c:v>44316</c:v>
                </c:pt>
                <c:pt idx="38">
                  <c:v>44315</c:v>
                </c:pt>
                <c:pt idx="39">
                  <c:v>44314</c:v>
                </c:pt>
                <c:pt idx="40">
                  <c:v>44313</c:v>
                </c:pt>
                <c:pt idx="41">
                  <c:v>44312</c:v>
                </c:pt>
                <c:pt idx="42">
                  <c:v>44311</c:v>
                </c:pt>
                <c:pt idx="43">
                  <c:v>44309</c:v>
                </c:pt>
                <c:pt idx="44">
                  <c:v>44308</c:v>
                </c:pt>
                <c:pt idx="45">
                  <c:v>44307</c:v>
                </c:pt>
                <c:pt idx="46">
                  <c:v>44306</c:v>
                </c:pt>
                <c:pt idx="47">
                  <c:v>44305</c:v>
                </c:pt>
                <c:pt idx="48">
                  <c:v>44302</c:v>
                </c:pt>
                <c:pt idx="49">
                  <c:v>44301</c:v>
                </c:pt>
                <c:pt idx="50">
                  <c:v>44300</c:v>
                </c:pt>
                <c:pt idx="51">
                  <c:v>44299</c:v>
                </c:pt>
                <c:pt idx="52">
                  <c:v>44298</c:v>
                </c:pt>
                <c:pt idx="53">
                  <c:v>44295</c:v>
                </c:pt>
                <c:pt idx="54">
                  <c:v>44294</c:v>
                </c:pt>
                <c:pt idx="55">
                  <c:v>44293</c:v>
                </c:pt>
                <c:pt idx="56">
                  <c:v>44292</c:v>
                </c:pt>
                <c:pt idx="57">
                  <c:v>44288</c:v>
                </c:pt>
                <c:pt idx="58">
                  <c:v>44287</c:v>
                </c:pt>
              </c:numCache>
            </c:numRef>
          </c:cat>
          <c:val>
            <c:numRef>
              <c:f>资金!$B$3:$B$61</c:f>
              <c:numCache>
                <c:formatCode>###,###,###,###,##0.0000</c:formatCode>
                <c:ptCount val="59"/>
                <c:pt idx="0">
                  <c:v>1.5741000000000001</c:v>
                </c:pt>
                <c:pt idx="1">
                  <c:v>1.8687</c:v>
                </c:pt>
                <c:pt idx="2">
                  <c:v>2.2334999999999998</c:v>
                </c:pt>
                <c:pt idx="3">
                  <c:v>2.3925999999999998</c:v>
                </c:pt>
                <c:pt idx="4">
                  <c:v>2.2985000000000002</c:v>
                </c:pt>
                <c:pt idx="5">
                  <c:v>2.0535000000000001</c:v>
                </c:pt>
                <c:pt idx="6">
                  <c:v>1.9017999999999999</c:v>
                </c:pt>
                <c:pt idx="7">
                  <c:v>2.0264000000000002</c:v>
                </c:pt>
                <c:pt idx="8">
                  <c:v>2.1314000000000002</c:v>
                </c:pt>
                <c:pt idx="9">
                  <c:v>2.0297000000000001</c:v>
                </c:pt>
                <c:pt idx="10">
                  <c:v>1.9117</c:v>
                </c:pt>
                <c:pt idx="11">
                  <c:v>2.194</c:v>
                </c:pt>
                <c:pt idx="12">
                  <c:v>2.2252000000000001</c:v>
                </c:pt>
                <c:pt idx="13">
                  <c:v>2.3681000000000001</c:v>
                </c:pt>
                <c:pt idx="14">
                  <c:v>2.2187999999999999</c:v>
                </c:pt>
                <c:pt idx="15">
                  <c:v>1.8841000000000001</c:v>
                </c:pt>
                <c:pt idx="16">
                  <c:v>2.0444</c:v>
                </c:pt>
                <c:pt idx="17">
                  <c:v>2.2265999999999999</c:v>
                </c:pt>
                <c:pt idx="18">
                  <c:v>2.5068999999999999</c:v>
                </c:pt>
                <c:pt idx="19">
                  <c:v>2.2092000000000001</c:v>
                </c:pt>
                <c:pt idx="20">
                  <c:v>2.1524000000000001</c:v>
                </c:pt>
                <c:pt idx="21">
                  <c:v>2.0261</c:v>
                </c:pt>
                <c:pt idx="22">
                  <c:v>2.2078000000000002</c:v>
                </c:pt>
                <c:pt idx="23">
                  <c:v>2.2084999999999999</c:v>
                </c:pt>
                <c:pt idx="24">
                  <c:v>2.0007000000000001</c:v>
                </c:pt>
                <c:pt idx="25">
                  <c:v>2.1055999999999999</c:v>
                </c:pt>
                <c:pt idx="26">
                  <c:v>2.0579999999999998</c:v>
                </c:pt>
                <c:pt idx="27">
                  <c:v>2.1303999999999998</c:v>
                </c:pt>
                <c:pt idx="28">
                  <c:v>2.1846000000000001</c:v>
                </c:pt>
                <c:pt idx="29">
                  <c:v>1.8376999999999999</c:v>
                </c:pt>
                <c:pt idx="30">
                  <c:v>1.9856</c:v>
                </c:pt>
                <c:pt idx="31">
                  <c:v>1.9772000000000001</c:v>
                </c:pt>
                <c:pt idx="32">
                  <c:v>1.9589000000000001</c:v>
                </c:pt>
                <c:pt idx="33">
                  <c:v>1.6997</c:v>
                </c:pt>
                <c:pt idx="34">
                  <c:v>1.4749000000000001</c:v>
                </c:pt>
                <c:pt idx="35">
                  <c:v>1.7567999999999999</c:v>
                </c:pt>
                <c:pt idx="36">
                  <c:v>2.1004999999999998</c:v>
                </c:pt>
                <c:pt idx="37">
                  <c:v>2.3130000000000002</c:v>
                </c:pt>
                <c:pt idx="38">
                  <c:v>1.8532</c:v>
                </c:pt>
                <c:pt idx="39">
                  <c:v>1.8116000000000001</c:v>
                </c:pt>
                <c:pt idx="40">
                  <c:v>1.8314999999999999</c:v>
                </c:pt>
                <c:pt idx="41">
                  <c:v>2.0872999999999999</c:v>
                </c:pt>
                <c:pt idx="42">
                  <c:v>2.0192000000000001</c:v>
                </c:pt>
                <c:pt idx="43">
                  <c:v>1.9596</c:v>
                </c:pt>
                <c:pt idx="44">
                  <c:v>2.1551999999999998</c:v>
                </c:pt>
                <c:pt idx="45">
                  <c:v>1.9048</c:v>
                </c:pt>
                <c:pt idx="46">
                  <c:v>1.873</c:v>
                </c:pt>
                <c:pt idx="47">
                  <c:v>2.1116999999999999</c:v>
                </c:pt>
                <c:pt idx="48">
                  <c:v>1.9665999999999999</c:v>
                </c:pt>
                <c:pt idx="49">
                  <c:v>1.8460000000000001</c:v>
                </c:pt>
                <c:pt idx="50">
                  <c:v>1.8394999999999999</c:v>
                </c:pt>
                <c:pt idx="51">
                  <c:v>1.8163</c:v>
                </c:pt>
                <c:pt idx="52">
                  <c:v>1.8184</c:v>
                </c:pt>
                <c:pt idx="53">
                  <c:v>1.8128</c:v>
                </c:pt>
                <c:pt idx="54">
                  <c:v>1.7882</c:v>
                </c:pt>
                <c:pt idx="55">
                  <c:v>1.8531</c:v>
                </c:pt>
                <c:pt idx="56">
                  <c:v>1.8081</c:v>
                </c:pt>
                <c:pt idx="57">
                  <c:v>1.7512000000000001</c:v>
                </c:pt>
                <c:pt idx="58">
                  <c:v>2.1960000000000002</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44372</c:v>
                </c:pt>
                <c:pt idx="1">
                  <c:v>44371</c:v>
                </c:pt>
                <c:pt idx="2">
                  <c:v>44370</c:v>
                </c:pt>
                <c:pt idx="3">
                  <c:v>44369</c:v>
                </c:pt>
                <c:pt idx="4">
                  <c:v>44368</c:v>
                </c:pt>
                <c:pt idx="5">
                  <c:v>44365</c:v>
                </c:pt>
                <c:pt idx="6">
                  <c:v>44364</c:v>
                </c:pt>
                <c:pt idx="7">
                  <c:v>44363</c:v>
                </c:pt>
                <c:pt idx="8">
                  <c:v>44362</c:v>
                </c:pt>
                <c:pt idx="9">
                  <c:v>44358</c:v>
                </c:pt>
                <c:pt idx="10">
                  <c:v>44357</c:v>
                </c:pt>
                <c:pt idx="11">
                  <c:v>44356</c:v>
                </c:pt>
                <c:pt idx="12">
                  <c:v>44355</c:v>
                </c:pt>
                <c:pt idx="13">
                  <c:v>44354</c:v>
                </c:pt>
                <c:pt idx="14">
                  <c:v>44351</c:v>
                </c:pt>
                <c:pt idx="15">
                  <c:v>44350</c:v>
                </c:pt>
                <c:pt idx="16">
                  <c:v>44349</c:v>
                </c:pt>
                <c:pt idx="17">
                  <c:v>44348</c:v>
                </c:pt>
                <c:pt idx="18">
                  <c:v>44347</c:v>
                </c:pt>
                <c:pt idx="19">
                  <c:v>44344</c:v>
                </c:pt>
                <c:pt idx="20">
                  <c:v>44343</c:v>
                </c:pt>
                <c:pt idx="21">
                  <c:v>44342</c:v>
                </c:pt>
                <c:pt idx="22">
                  <c:v>44341</c:v>
                </c:pt>
                <c:pt idx="23">
                  <c:v>44340</c:v>
                </c:pt>
                <c:pt idx="24">
                  <c:v>44337</c:v>
                </c:pt>
                <c:pt idx="25">
                  <c:v>44336</c:v>
                </c:pt>
                <c:pt idx="26">
                  <c:v>44335</c:v>
                </c:pt>
                <c:pt idx="27">
                  <c:v>44334</c:v>
                </c:pt>
                <c:pt idx="28">
                  <c:v>44333</c:v>
                </c:pt>
                <c:pt idx="29">
                  <c:v>44330</c:v>
                </c:pt>
                <c:pt idx="30">
                  <c:v>44329</c:v>
                </c:pt>
                <c:pt idx="31">
                  <c:v>44328</c:v>
                </c:pt>
                <c:pt idx="32">
                  <c:v>44327</c:v>
                </c:pt>
                <c:pt idx="33">
                  <c:v>44326</c:v>
                </c:pt>
                <c:pt idx="34">
                  <c:v>44324</c:v>
                </c:pt>
                <c:pt idx="35">
                  <c:v>44323</c:v>
                </c:pt>
                <c:pt idx="36">
                  <c:v>44322</c:v>
                </c:pt>
                <c:pt idx="37">
                  <c:v>44316</c:v>
                </c:pt>
                <c:pt idx="38">
                  <c:v>44315</c:v>
                </c:pt>
                <c:pt idx="39">
                  <c:v>44314</c:v>
                </c:pt>
                <c:pt idx="40">
                  <c:v>44313</c:v>
                </c:pt>
                <c:pt idx="41">
                  <c:v>44312</c:v>
                </c:pt>
                <c:pt idx="42">
                  <c:v>44311</c:v>
                </c:pt>
                <c:pt idx="43">
                  <c:v>44309</c:v>
                </c:pt>
                <c:pt idx="44">
                  <c:v>44308</c:v>
                </c:pt>
                <c:pt idx="45">
                  <c:v>44307</c:v>
                </c:pt>
                <c:pt idx="46">
                  <c:v>44306</c:v>
                </c:pt>
                <c:pt idx="47">
                  <c:v>44305</c:v>
                </c:pt>
                <c:pt idx="48">
                  <c:v>44302</c:v>
                </c:pt>
                <c:pt idx="49">
                  <c:v>44301</c:v>
                </c:pt>
                <c:pt idx="50">
                  <c:v>44300</c:v>
                </c:pt>
                <c:pt idx="51">
                  <c:v>44299</c:v>
                </c:pt>
                <c:pt idx="52">
                  <c:v>44298</c:v>
                </c:pt>
                <c:pt idx="53">
                  <c:v>44295</c:v>
                </c:pt>
                <c:pt idx="54">
                  <c:v>44294</c:v>
                </c:pt>
                <c:pt idx="55">
                  <c:v>44293</c:v>
                </c:pt>
                <c:pt idx="56">
                  <c:v>44292</c:v>
                </c:pt>
                <c:pt idx="57">
                  <c:v>44288</c:v>
                </c:pt>
                <c:pt idx="58">
                  <c:v>44287</c:v>
                </c:pt>
              </c:numCache>
            </c:numRef>
          </c:cat>
          <c:val>
            <c:numRef>
              <c:f>资金!$C$3:$C$61</c:f>
              <c:numCache>
                <c:formatCode>###,###,###,###,##0.0000</c:formatCode>
                <c:ptCount val="59"/>
                <c:pt idx="0">
                  <c:v>2.7275999999999998</c:v>
                </c:pt>
                <c:pt idx="1">
                  <c:v>2.7907000000000002</c:v>
                </c:pt>
                <c:pt idx="2">
                  <c:v>2.3719000000000001</c:v>
                </c:pt>
                <c:pt idx="3">
                  <c:v>2.4222000000000001</c:v>
                </c:pt>
                <c:pt idx="4">
                  <c:v>2.3371</c:v>
                </c:pt>
                <c:pt idx="5">
                  <c:v>2.2141999999999999</c:v>
                </c:pt>
                <c:pt idx="6">
                  <c:v>2.2254999999999998</c:v>
                </c:pt>
                <c:pt idx="7">
                  <c:v>2.2517999999999998</c:v>
                </c:pt>
                <c:pt idx="8">
                  <c:v>2.2555999999999998</c:v>
                </c:pt>
                <c:pt idx="9">
                  <c:v>2.1131000000000002</c:v>
                </c:pt>
                <c:pt idx="10">
                  <c:v>2.1677</c:v>
                </c:pt>
                <c:pt idx="11">
                  <c:v>2.2887</c:v>
                </c:pt>
                <c:pt idx="12">
                  <c:v>2.3472</c:v>
                </c:pt>
                <c:pt idx="13">
                  <c:v>2.3174000000000001</c:v>
                </c:pt>
                <c:pt idx="14">
                  <c:v>2.1429</c:v>
                </c:pt>
                <c:pt idx="15">
                  <c:v>2.1086999999999998</c:v>
                </c:pt>
                <c:pt idx="16">
                  <c:v>2.2256</c:v>
                </c:pt>
                <c:pt idx="17">
                  <c:v>2.29</c:v>
                </c:pt>
                <c:pt idx="18">
                  <c:v>2.7025999999999999</c:v>
                </c:pt>
                <c:pt idx="19">
                  <c:v>2.4354</c:v>
                </c:pt>
                <c:pt idx="20">
                  <c:v>2.3687999999999998</c:v>
                </c:pt>
                <c:pt idx="21">
                  <c:v>2.3936999999999999</c:v>
                </c:pt>
                <c:pt idx="22">
                  <c:v>2.4274</c:v>
                </c:pt>
                <c:pt idx="23">
                  <c:v>2.1537999999999999</c:v>
                </c:pt>
                <c:pt idx="24">
                  <c:v>2.1427</c:v>
                </c:pt>
                <c:pt idx="25">
                  <c:v>2.2088000000000001</c:v>
                </c:pt>
                <c:pt idx="26">
                  <c:v>2.1913</c:v>
                </c:pt>
                <c:pt idx="27">
                  <c:v>2.2437</c:v>
                </c:pt>
                <c:pt idx="28">
                  <c:v>2.1873999999999998</c:v>
                </c:pt>
                <c:pt idx="29">
                  <c:v>2.0255000000000001</c:v>
                </c:pt>
                <c:pt idx="30">
                  <c:v>2.0687000000000002</c:v>
                </c:pt>
                <c:pt idx="31">
                  <c:v>1.9994000000000001</c:v>
                </c:pt>
                <c:pt idx="32">
                  <c:v>1.9733000000000001</c:v>
                </c:pt>
                <c:pt idx="33">
                  <c:v>1.9528000000000001</c:v>
                </c:pt>
                <c:pt idx="34">
                  <c:v>1.821</c:v>
                </c:pt>
                <c:pt idx="35">
                  <c:v>1.9728000000000001</c:v>
                </c:pt>
                <c:pt idx="36">
                  <c:v>2.1395</c:v>
                </c:pt>
                <c:pt idx="37">
                  <c:v>2.3769</c:v>
                </c:pt>
                <c:pt idx="38">
                  <c:v>2.3264999999999998</c:v>
                </c:pt>
                <c:pt idx="39">
                  <c:v>2.2690000000000001</c:v>
                </c:pt>
                <c:pt idx="40">
                  <c:v>2.2949999999999999</c:v>
                </c:pt>
                <c:pt idx="41">
                  <c:v>2.3549000000000002</c:v>
                </c:pt>
                <c:pt idx="42">
                  <c:v>2.2372000000000001</c:v>
                </c:pt>
                <c:pt idx="43">
                  <c:v>2.1141000000000001</c:v>
                </c:pt>
                <c:pt idx="44">
                  <c:v>2.1456</c:v>
                </c:pt>
                <c:pt idx="45">
                  <c:v>2.0910000000000002</c:v>
                </c:pt>
                <c:pt idx="46">
                  <c:v>2.2360000000000002</c:v>
                </c:pt>
                <c:pt idx="47">
                  <c:v>2.3254000000000001</c:v>
                </c:pt>
                <c:pt idx="48">
                  <c:v>2.1677</c:v>
                </c:pt>
                <c:pt idx="49">
                  <c:v>2.0480999999999998</c:v>
                </c:pt>
                <c:pt idx="50">
                  <c:v>1.9805999999999999</c:v>
                </c:pt>
                <c:pt idx="51">
                  <c:v>1.9778</c:v>
                </c:pt>
                <c:pt idx="52">
                  <c:v>1.982</c:v>
                </c:pt>
                <c:pt idx="53">
                  <c:v>1.9272</c:v>
                </c:pt>
                <c:pt idx="54">
                  <c:v>1.9629000000000001</c:v>
                </c:pt>
                <c:pt idx="55">
                  <c:v>1.9476</c:v>
                </c:pt>
                <c:pt idx="56">
                  <c:v>1.9693000000000001</c:v>
                </c:pt>
                <c:pt idx="57">
                  <c:v>2.0823999999999998</c:v>
                </c:pt>
                <c:pt idx="58">
                  <c:v>2.2355999999999998</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471636992"/>
        <c:axId val="471663360"/>
      </c:lineChart>
      <c:dateAx>
        <c:axId val="47163699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71663360"/>
        <c:crosses val="autoZero"/>
        <c:auto val="0"/>
        <c:lblOffset val="0"/>
        <c:baseTimeUnit val="days"/>
        <c:majorUnit val="14"/>
        <c:majorTimeUnit val="days"/>
        <c:minorUnit val="7"/>
        <c:minorTimeUnit val="days"/>
      </c:dateAx>
      <c:valAx>
        <c:axId val="471663360"/>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71636992"/>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-3.9999999999995595E-2</c:v>
                </c:pt>
                <c:pt idx="1">
                  <c:v>-4.170000000000007</c:v>
                </c:pt>
                <c:pt idx="2">
                  <c:v>-8.3699999999999886</c:v>
                </c:pt>
                <c:pt idx="3">
                  <c:v>-7.9199999999999715</c:v>
                </c:pt>
                <c:pt idx="4">
                  <c:v>-3.6099999999999799</c:v>
                </c:pt>
                <c:pt idx="5">
                  <c:v>-3.2599999999999962</c:v>
                </c:pt>
                <c:pt idx="6">
                  <c:v>-3.7500000000000089</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477433856"/>
        <c:axId val="477435776"/>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B-F10F-4D2D-834C-E6E69D663A7D}"/>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A-F10F-4D2D-834C-E6E69D663A7D}"/>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9-F10F-4D2D-834C-E6E69D663A7D}"/>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8-F10F-4D2D-834C-E6E69D663A7D}"/>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7-F10F-4D2D-834C-E6E69D663A7D}"/>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F10F-4D2D-834C-E6E69D663A7D}"/>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1.8826000000000001</c:v>
                </c:pt>
                <c:pt idx="1">
                  <c:v>1.9151</c:v>
                </c:pt>
                <c:pt idx="2">
                  <c:v>2.4437000000000002</c:v>
                </c:pt>
                <c:pt idx="3">
                  <c:v>2.7614000000000001</c:v>
                </c:pt>
                <c:pt idx="4">
                  <c:v>2.9506000000000001</c:v>
                </c:pt>
                <c:pt idx="5">
                  <c:v>3.0783</c:v>
                </c:pt>
                <c:pt idx="6">
                  <c:v>3.0827</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1.883</c:v>
                </c:pt>
                <c:pt idx="1">
                  <c:v>1.9568000000000001</c:v>
                </c:pt>
                <c:pt idx="2">
                  <c:v>2.5274000000000001</c:v>
                </c:pt>
                <c:pt idx="3">
                  <c:v>2.8405999999999998</c:v>
                </c:pt>
                <c:pt idx="4">
                  <c:v>2.9866999999999999</c:v>
                </c:pt>
                <c:pt idx="5">
                  <c:v>3.1109</c:v>
                </c:pt>
                <c:pt idx="6">
                  <c:v>3.1202000000000001</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478618752"/>
        <c:axId val="477437312"/>
      </c:lineChart>
      <c:dateAx>
        <c:axId val="47743385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77435776"/>
        <c:crosses val="autoZero"/>
        <c:auto val="0"/>
        <c:lblOffset val="0"/>
        <c:baseTimeUnit val="days"/>
      </c:dateAx>
      <c:valAx>
        <c:axId val="477435776"/>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77433856"/>
        <c:crosses val="autoZero"/>
        <c:crossBetween val="between"/>
      </c:valAx>
      <c:valAx>
        <c:axId val="477437312"/>
        <c:scaling>
          <c:orientation val="minMax"/>
        </c:scaling>
        <c:delete val="0"/>
        <c:axPos val="r"/>
        <c:numFmt formatCode="#,##0.0_);[Red]\(#,##0.0\)" sourceLinked="0"/>
        <c:majorTickMark val="out"/>
        <c:minorTickMark val="none"/>
        <c:tickLblPos val="nextTo"/>
        <c:spPr>
          <a:ln w="3175">
            <a:solidFill>
              <a:sysClr val="windowText" lastClr="000000"/>
            </a:solidFill>
          </a:ln>
        </c:spPr>
        <c:crossAx val="478618752"/>
        <c:crosses val="max"/>
        <c:crossBetween val="between"/>
      </c:valAx>
      <c:dateAx>
        <c:axId val="478618752"/>
        <c:scaling>
          <c:orientation val="minMax"/>
        </c:scaling>
        <c:delete val="1"/>
        <c:axPos val="b"/>
        <c:numFmt formatCode="General" sourceLinked="1"/>
        <c:majorTickMark val="out"/>
        <c:minorTickMark val="none"/>
        <c:tickLblPos val="nextTo"/>
        <c:crossAx val="477437312"/>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3.3700000000000063</c:v>
                </c:pt>
                <c:pt idx="1">
                  <c:v>-0.70000000000001172</c:v>
                </c:pt>
                <c:pt idx="2">
                  <c:v>-4.6400000000000219</c:v>
                </c:pt>
                <c:pt idx="3">
                  <c:v>-10.999999999999988</c:v>
                </c:pt>
                <c:pt idx="4">
                  <c:v>-7.4199999999999822</c:v>
                </c:pt>
                <c:pt idx="5">
                  <c:v>-1.3000000000000345</c:v>
                </c:pt>
                <c:pt idx="6">
                  <c:v>-2.4900000000000144</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478921856"/>
        <c:axId val="478923776"/>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1-0319-4AA3-8886-0F871A1F4B20}"/>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2-0319-4AA3-8886-0F871A1F4B20}"/>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3-0319-4AA3-8886-0F871A1F4B20}"/>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4-0319-4AA3-8886-0F871A1F4B20}"/>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5-0319-4AA3-8886-0F871A1F4B20}"/>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0319-4AA3-8886-0F871A1F4B20}"/>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1.9415</c:v>
                </c:pt>
                <c:pt idx="1">
                  <c:v>1.9502999999999999</c:v>
                </c:pt>
                <c:pt idx="2">
                  <c:v>2.5122</c:v>
                </c:pt>
                <c:pt idx="3">
                  <c:v>3.0287999999999999</c:v>
                </c:pt>
                <c:pt idx="4">
                  <c:v>3.2561</c:v>
                </c:pt>
                <c:pt idx="5">
                  <c:v>3.4554999999999998</c:v>
                </c:pt>
                <c:pt idx="6">
                  <c:v>3.4901</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1.9077999999999999</c:v>
                </c:pt>
                <c:pt idx="1">
                  <c:v>1.9573</c:v>
                </c:pt>
                <c:pt idx="2">
                  <c:v>2.5586000000000002</c:v>
                </c:pt>
                <c:pt idx="3">
                  <c:v>3.1387999999999998</c:v>
                </c:pt>
                <c:pt idx="4">
                  <c:v>3.3302999999999998</c:v>
                </c:pt>
                <c:pt idx="5">
                  <c:v>3.4685000000000001</c:v>
                </c:pt>
                <c:pt idx="6">
                  <c:v>3.5150000000000001</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478927104"/>
        <c:axId val="478925568"/>
      </c:lineChart>
      <c:dateAx>
        <c:axId val="47892185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78923776"/>
        <c:crosses val="autoZero"/>
        <c:auto val="0"/>
        <c:lblOffset val="0"/>
        <c:baseTimeUnit val="days"/>
      </c:dateAx>
      <c:valAx>
        <c:axId val="478923776"/>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78921856"/>
        <c:crosses val="autoZero"/>
        <c:crossBetween val="between"/>
      </c:valAx>
      <c:valAx>
        <c:axId val="478925568"/>
        <c:scaling>
          <c:orientation val="minMax"/>
        </c:scaling>
        <c:delete val="0"/>
        <c:axPos val="r"/>
        <c:numFmt formatCode="#,##0.0_);[Red]\(#,##0.0\)" sourceLinked="0"/>
        <c:majorTickMark val="out"/>
        <c:minorTickMark val="none"/>
        <c:tickLblPos val="nextTo"/>
        <c:spPr>
          <a:ln w="3175">
            <a:solidFill>
              <a:sysClr val="windowText" lastClr="000000"/>
            </a:solidFill>
          </a:ln>
        </c:spPr>
        <c:crossAx val="478927104"/>
        <c:crosses val="max"/>
        <c:crossBetween val="between"/>
      </c:valAx>
      <c:dateAx>
        <c:axId val="478927104"/>
        <c:scaling>
          <c:orientation val="minMax"/>
        </c:scaling>
        <c:delete val="1"/>
        <c:axPos val="b"/>
        <c:numFmt formatCode="General" sourceLinked="1"/>
        <c:majorTickMark val="out"/>
        <c:minorTickMark val="none"/>
        <c:tickLblPos val="nextTo"/>
        <c:crossAx val="478925568"/>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44372</c:v>
                </c:pt>
                <c:pt idx="1">
                  <c:v>44365</c:v>
                </c:pt>
                <c:pt idx="2">
                  <c:v>44358</c:v>
                </c:pt>
                <c:pt idx="3">
                  <c:v>44351</c:v>
                </c:pt>
                <c:pt idx="4">
                  <c:v>44344</c:v>
                </c:pt>
                <c:pt idx="5">
                  <c:v>44337</c:v>
                </c:pt>
                <c:pt idx="6">
                  <c:v>44330</c:v>
                </c:pt>
                <c:pt idx="7">
                  <c:v>44323</c:v>
                </c:pt>
                <c:pt idx="8">
                  <c:v>44316</c:v>
                </c:pt>
                <c:pt idx="9">
                  <c:v>44309</c:v>
                </c:pt>
                <c:pt idx="10">
                  <c:v>44302</c:v>
                </c:pt>
                <c:pt idx="11">
                  <c:v>44295</c:v>
                </c:pt>
                <c:pt idx="12">
                  <c:v>44288</c:v>
                </c:pt>
                <c:pt idx="13">
                  <c:v>44281</c:v>
                </c:pt>
                <c:pt idx="14">
                  <c:v>44274</c:v>
                </c:pt>
                <c:pt idx="15">
                  <c:v>44267</c:v>
                </c:pt>
                <c:pt idx="16">
                  <c:v>44260</c:v>
                </c:pt>
                <c:pt idx="17">
                  <c:v>44253</c:v>
                </c:pt>
                <c:pt idx="18">
                  <c:v>44246</c:v>
                </c:pt>
                <c:pt idx="19">
                  <c:v>44237</c:v>
                </c:pt>
                <c:pt idx="20">
                  <c:v>44232</c:v>
                </c:pt>
                <c:pt idx="21">
                  <c:v>44225</c:v>
                </c:pt>
                <c:pt idx="22">
                  <c:v>44218</c:v>
                </c:pt>
                <c:pt idx="23">
                  <c:v>44211</c:v>
                </c:pt>
              </c:numCache>
            </c:numRef>
          </c:cat>
          <c:val>
            <c:numRef>
              <c:f>转债!$H$5:$H$28</c:f>
              <c:numCache>
                <c:formatCode>General</c:formatCode>
                <c:ptCount val="24"/>
                <c:pt idx="0">
                  <c:v>2.6302479585087246</c:v>
                </c:pt>
                <c:pt idx="1">
                  <c:v>0.6198227190409078</c:v>
                </c:pt>
                <c:pt idx="2">
                  <c:v>2.3016943086986652</c:v>
                </c:pt>
                <c:pt idx="3">
                  <c:v>2.4704912872033358</c:v>
                </c:pt>
                <c:pt idx="4">
                  <c:v>2.3903588600761028</c:v>
                </c:pt>
                <c:pt idx="5">
                  <c:v>0.72801219425107089</c:v>
                </c:pt>
                <c:pt idx="6">
                  <c:v>0.50393026018165088</c:v>
                </c:pt>
                <c:pt idx="7">
                  <c:v>-0.37610887525473258</c:v>
                </c:pt>
                <c:pt idx="8">
                  <c:v>-0.65729452491714024</c:v>
                </c:pt>
                <c:pt idx="9">
                  <c:v>-0.65542227194688163</c:v>
                </c:pt>
                <c:pt idx="10">
                  <c:v>-1.3668249077046113</c:v>
                </c:pt>
                <c:pt idx="11">
                  <c:v>-1.086789356295359</c:v>
                </c:pt>
                <c:pt idx="12">
                  <c:v>-1.4553824731980303</c:v>
                </c:pt>
                <c:pt idx="13">
                  <c:v>-2.0294687268225142</c:v>
                </c:pt>
                <c:pt idx="14">
                  <c:v>-1.467150920439686</c:v>
                </c:pt>
                <c:pt idx="15">
                  <c:v>-1.482289423027805</c:v>
                </c:pt>
                <c:pt idx="16">
                  <c:v>-1.7950626549456561</c:v>
                </c:pt>
                <c:pt idx="17">
                  <c:v>-2.256893969767404</c:v>
                </c:pt>
                <c:pt idx="18">
                  <c:v>-0.77053908314702602</c:v>
                </c:pt>
                <c:pt idx="19">
                  <c:v>-2.3990514631523241</c:v>
                </c:pt>
                <c:pt idx="20">
                  <c:v>-5.1146474106340207</c:v>
                </c:pt>
                <c:pt idx="21">
                  <c:v>-2.91715735296596</c:v>
                </c:pt>
                <c:pt idx="22">
                  <c:v>0.91825984250073489</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44372</c:v>
                </c:pt>
                <c:pt idx="1">
                  <c:v>44365</c:v>
                </c:pt>
                <c:pt idx="2">
                  <c:v>44358</c:v>
                </c:pt>
                <c:pt idx="3">
                  <c:v>44351</c:v>
                </c:pt>
                <c:pt idx="4">
                  <c:v>44344</c:v>
                </c:pt>
                <c:pt idx="5">
                  <c:v>44337</c:v>
                </c:pt>
                <c:pt idx="6">
                  <c:v>44330</c:v>
                </c:pt>
                <c:pt idx="7">
                  <c:v>44323</c:v>
                </c:pt>
                <c:pt idx="8">
                  <c:v>44316</c:v>
                </c:pt>
                <c:pt idx="9">
                  <c:v>44309</c:v>
                </c:pt>
                <c:pt idx="10">
                  <c:v>44302</c:v>
                </c:pt>
                <c:pt idx="11">
                  <c:v>44295</c:v>
                </c:pt>
                <c:pt idx="12">
                  <c:v>44288</c:v>
                </c:pt>
                <c:pt idx="13">
                  <c:v>44281</c:v>
                </c:pt>
                <c:pt idx="14">
                  <c:v>44274</c:v>
                </c:pt>
                <c:pt idx="15">
                  <c:v>44267</c:v>
                </c:pt>
                <c:pt idx="16">
                  <c:v>44260</c:v>
                </c:pt>
                <c:pt idx="17">
                  <c:v>44253</c:v>
                </c:pt>
                <c:pt idx="18">
                  <c:v>44246</c:v>
                </c:pt>
                <c:pt idx="19">
                  <c:v>44237</c:v>
                </c:pt>
                <c:pt idx="20">
                  <c:v>44232</c:v>
                </c:pt>
                <c:pt idx="21">
                  <c:v>44225</c:v>
                </c:pt>
                <c:pt idx="22">
                  <c:v>44218</c:v>
                </c:pt>
                <c:pt idx="23">
                  <c:v>44211</c:v>
                </c:pt>
              </c:numCache>
            </c:numRef>
          </c:cat>
          <c:val>
            <c:numRef>
              <c:f>转债!$I$5:$I$28</c:f>
              <c:numCache>
                <c:formatCode>General</c:formatCode>
                <c:ptCount val="24"/>
                <c:pt idx="0">
                  <c:v>0.34651146212052453</c:v>
                </c:pt>
                <c:pt idx="1">
                  <c:v>0.14028494902895705</c:v>
                </c:pt>
                <c:pt idx="2">
                  <c:v>0.21776840847447243</c:v>
                </c:pt>
                <c:pt idx="3">
                  <c:v>0.43290594373666114</c:v>
                </c:pt>
                <c:pt idx="4">
                  <c:v>0.53016338571316712</c:v>
                </c:pt>
                <c:pt idx="5">
                  <c:v>0.59423787846384357</c:v>
                </c:pt>
                <c:pt idx="6">
                  <c:v>0.32571907705574166</c:v>
                </c:pt>
                <c:pt idx="7">
                  <c:v>0.23601478720480795</c:v>
                </c:pt>
                <c:pt idx="8">
                  <c:v>0.17872964467935404</c:v>
                </c:pt>
                <c:pt idx="9">
                  <c:v>0.21819274286354329</c:v>
                </c:pt>
                <c:pt idx="10">
                  <c:v>9.089242614035431E-2</c:v>
                </c:pt>
                <c:pt idx="11">
                  <c:v>-0.202831837978934</c:v>
                </c:pt>
                <c:pt idx="12">
                  <c:v>-0.17491063517764971</c:v>
                </c:pt>
                <c:pt idx="13">
                  <c:v>-0.20181343544515284</c:v>
                </c:pt>
                <c:pt idx="14">
                  <c:v>-0.36984985351976585</c:v>
                </c:pt>
                <c:pt idx="15">
                  <c:v>-0.45548053323556381</c:v>
                </c:pt>
                <c:pt idx="16">
                  <c:v>-0.46557969169560565</c:v>
                </c:pt>
                <c:pt idx="17">
                  <c:v>-0.61418159475047363</c:v>
                </c:pt>
                <c:pt idx="18">
                  <c:v>-0.58744852823860993</c:v>
                </c:pt>
                <c:pt idx="19">
                  <c:v>-0.51293540951663497</c:v>
                </c:pt>
                <c:pt idx="20">
                  <c:v>-0.49715017024295483</c:v>
                </c:pt>
                <c:pt idx="21">
                  <c:v>-0.30399315633496959</c:v>
                </c:pt>
                <c:pt idx="22">
                  <c:v>7.4682852477603312E-2</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44372</c:v>
                </c:pt>
                <c:pt idx="1">
                  <c:v>44365</c:v>
                </c:pt>
                <c:pt idx="2">
                  <c:v>44358</c:v>
                </c:pt>
                <c:pt idx="3">
                  <c:v>44351</c:v>
                </c:pt>
                <c:pt idx="4">
                  <c:v>44344</c:v>
                </c:pt>
                <c:pt idx="5">
                  <c:v>44337</c:v>
                </c:pt>
                <c:pt idx="6">
                  <c:v>44330</c:v>
                </c:pt>
                <c:pt idx="7">
                  <c:v>44323</c:v>
                </c:pt>
                <c:pt idx="8">
                  <c:v>44316</c:v>
                </c:pt>
                <c:pt idx="9">
                  <c:v>44309</c:v>
                </c:pt>
                <c:pt idx="10">
                  <c:v>44302</c:v>
                </c:pt>
                <c:pt idx="11">
                  <c:v>44295</c:v>
                </c:pt>
                <c:pt idx="12">
                  <c:v>44288</c:v>
                </c:pt>
                <c:pt idx="13">
                  <c:v>44281</c:v>
                </c:pt>
                <c:pt idx="14">
                  <c:v>44274</c:v>
                </c:pt>
                <c:pt idx="15">
                  <c:v>44267</c:v>
                </c:pt>
                <c:pt idx="16">
                  <c:v>44260</c:v>
                </c:pt>
                <c:pt idx="17">
                  <c:v>44253</c:v>
                </c:pt>
                <c:pt idx="18">
                  <c:v>44246</c:v>
                </c:pt>
                <c:pt idx="19">
                  <c:v>44237</c:v>
                </c:pt>
                <c:pt idx="20">
                  <c:v>44232</c:v>
                </c:pt>
                <c:pt idx="21">
                  <c:v>44225</c:v>
                </c:pt>
                <c:pt idx="22">
                  <c:v>44218</c:v>
                </c:pt>
                <c:pt idx="23">
                  <c:v>44211</c:v>
                </c:pt>
              </c:numCache>
            </c:numRef>
          </c:cat>
          <c:val>
            <c:numRef>
              <c:f>转债!$J$5:$J$28</c:f>
              <c:numCache>
                <c:formatCode>General</c:formatCode>
                <c:ptCount val="24"/>
                <c:pt idx="0">
                  <c:v>-3.9961442860175778</c:v>
                </c:pt>
                <c:pt idx="1">
                  <c:v>-6.5153940912421771</c:v>
                </c:pt>
                <c:pt idx="2">
                  <c:v>-4.275828655682135</c:v>
                </c:pt>
                <c:pt idx="3">
                  <c:v>-3.2209854261603721</c:v>
                </c:pt>
                <c:pt idx="4">
                  <c:v>-2.5099040300096576</c:v>
                </c:pt>
                <c:pt idx="5">
                  <c:v>-5.9349226977421949</c:v>
                </c:pt>
                <c:pt idx="6">
                  <c:v>-6.3665432460037312</c:v>
                </c:pt>
                <c:pt idx="7">
                  <c:v>-8.4650352948211776</c:v>
                </c:pt>
                <c:pt idx="8">
                  <c:v>-6.130216604326078</c:v>
                </c:pt>
                <c:pt idx="9">
                  <c:v>-5.9110113642134809</c:v>
                </c:pt>
                <c:pt idx="10">
                  <c:v>-9.0123265296969119</c:v>
                </c:pt>
                <c:pt idx="11">
                  <c:v>-7.7452823530730797</c:v>
                </c:pt>
                <c:pt idx="12">
                  <c:v>-5.4327572114537208</c:v>
                </c:pt>
                <c:pt idx="13">
                  <c:v>-7.6966846883846252</c:v>
                </c:pt>
                <c:pt idx="14">
                  <c:v>-8.2628030524719893</c:v>
                </c:pt>
                <c:pt idx="15">
                  <c:v>-5.7108457822137133</c:v>
                </c:pt>
                <c:pt idx="16">
                  <c:v>-3.5779130585305241</c:v>
                </c:pt>
                <c:pt idx="17">
                  <c:v>-2.2227646594924155</c:v>
                </c:pt>
                <c:pt idx="18">
                  <c:v>5.8768052039973373</c:v>
                </c:pt>
                <c:pt idx="19">
                  <c:v>6.4058757498880903</c:v>
                </c:pt>
                <c:pt idx="20">
                  <c:v>0.46413380585104136</c:v>
                </c:pt>
                <c:pt idx="21">
                  <c:v>-1.9442107237246598</c:v>
                </c:pt>
                <c:pt idx="22">
                  <c:v>2.0464114751535867</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482168832"/>
        <c:axId val="482170368"/>
      </c:lineChart>
      <c:dateAx>
        <c:axId val="48216883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482170368"/>
        <c:crosses val="autoZero"/>
        <c:auto val="0"/>
        <c:lblOffset val="0"/>
        <c:baseTimeUnit val="days"/>
        <c:majorUnit val="14"/>
        <c:majorTimeUnit val="days"/>
      </c:dateAx>
      <c:valAx>
        <c:axId val="48217036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82168832"/>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2879.6</c:v>
                </c:pt>
                <c:pt idx="65">
                  <c:v>#N/A</c:v>
                </c:pt>
                <c:pt idx="66">
                  <c:v>#N/A</c:v>
                </c:pt>
                <c:pt idx="67">
                  <c:v>#N/A</c:v>
                </c:pt>
                <c:pt idx="68">
                  <c:v>#N/A</c:v>
                </c:pt>
                <c:pt idx="69">
                  <c:v>#N/A</c:v>
                </c:pt>
                <c:pt idx="70">
                  <c:v>#N/A</c:v>
                </c:pt>
                <c:pt idx="71">
                  <c:v>2846.88</c:v>
                </c:pt>
                <c:pt idx="72">
                  <c:v>#N/A</c:v>
                </c:pt>
                <c:pt idx="73">
                  <c:v>#N/A</c:v>
                </c:pt>
                <c:pt idx="74">
                  <c:v>#N/A</c:v>
                </c:pt>
                <c:pt idx="75">
                  <c:v>#N/A</c:v>
                </c:pt>
                <c:pt idx="76">
                  <c:v>#N/A</c:v>
                </c:pt>
                <c:pt idx="77">
                  <c:v>#N/A</c:v>
                </c:pt>
                <c:pt idx="78">
                  <c:v>2748.48</c:v>
                </c:pt>
                <c:pt idx="79">
                  <c:v>#N/A</c:v>
                </c:pt>
                <c:pt idx="80">
                  <c:v>#N/A</c:v>
                </c:pt>
                <c:pt idx="81">
                  <c:v>#N/A</c:v>
                </c:pt>
                <c:pt idx="82">
                  <c:v>#N/A</c:v>
                </c:pt>
                <c:pt idx="83">
                  <c:v>#N/A</c:v>
                </c:pt>
                <c:pt idx="84">
                  <c:v>#N/A</c:v>
                </c:pt>
                <c:pt idx="85">
                  <c:v>2784.75</c:v>
                </c:pt>
                <c:pt idx="86">
                  <c:v>#N/A</c:v>
                </c:pt>
                <c:pt idx="87">
                  <c:v>#N/A</c:v>
                </c:pt>
                <c:pt idx="88">
                  <c:v>#N/A</c:v>
                </c:pt>
                <c:pt idx="89">
                  <c:v>#N/A</c:v>
                </c:pt>
                <c:pt idx="90">
                  <c:v>#N/A</c:v>
                </c:pt>
                <c:pt idx="91">
                  <c:v>#N/A</c:v>
                </c:pt>
                <c:pt idx="92">
                  <c:v>2871.89</c:v>
                </c:pt>
                <c:pt idx="93">
                  <c:v>#N/A</c:v>
                </c:pt>
                <c:pt idx="94">
                  <c:v>#N/A</c:v>
                </c:pt>
                <c:pt idx="95">
                  <c:v>#N/A</c:v>
                </c:pt>
                <c:pt idx="96">
                  <c:v>#N/A</c:v>
                </c:pt>
                <c:pt idx="97">
                  <c:v>#N/A</c:v>
                </c:pt>
                <c:pt idx="98">
                  <c:v>#N/A</c:v>
                </c:pt>
                <c:pt idx="99">
                  <c:v>2818</c:v>
                </c:pt>
                <c:pt idx="100">
                  <c:v>#N/A</c:v>
                </c:pt>
                <c:pt idx="101">
                  <c:v>#N/A</c:v>
                </c:pt>
                <c:pt idx="102">
                  <c:v>#N/A</c:v>
                </c:pt>
                <c:pt idx="103">
                  <c:v>#N/A</c:v>
                </c:pt>
                <c:pt idx="104">
                  <c:v>#N/A</c:v>
                </c:pt>
                <c:pt idx="105">
                  <c:v>#N/A</c:v>
                </c:pt>
                <c:pt idx="106">
                  <c:v>2926.49</c:v>
                </c:pt>
                <c:pt idx="107">
                  <c:v>#N/A</c:v>
                </c:pt>
                <c:pt idx="108">
                  <c:v>#N/A</c:v>
                </c:pt>
                <c:pt idx="109">
                  <c:v>#N/A</c:v>
                </c:pt>
                <c:pt idx="110">
                  <c:v>#N/A</c:v>
                </c:pt>
                <c:pt idx="111">
                  <c:v>#N/A</c:v>
                </c:pt>
                <c:pt idx="112">
                  <c:v>#N/A</c:v>
                </c:pt>
                <c:pt idx="113">
                  <c:v>2921.81</c:v>
                </c:pt>
                <c:pt idx="114">
                  <c:v>#N/A</c:v>
                </c:pt>
                <c:pt idx="115">
                  <c:v>#N/A</c:v>
                </c:pt>
                <c:pt idx="116">
                  <c:v>#N/A</c:v>
                </c:pt>
                <c:pt idx="117">
                  <c:v>#N/A</c:v>
                </c:pt>
                <c:pt idx="118">
                  <c:v>#N/A</c:v>
                </c:pt>
                <c:pt idx="119">
                  <c:v>#N/A</c:v>
                </c:pt>
                <c:pt idx="120">
                  <c:v>2997.89</c:v>
                </c:pt>
                <c:pt idx="121">
                  <c:v>#N/A</c:v>
                </c:pt>
                <c:pt idx="122">
                  <c:v>#N/A</c:v>
                </c:pt>
                <c:pt idx="123">
                  <c:v>#N/A</c:v>
                </c:pt>
                <c:pt idx="124">
                  <c:v>#N/A</c:v>
                </c:pt>
                <c:pt idx="125">
                  <c:v>#N/A</c:v>
                </c:pt>
                <c:pt idx="126">
                  <c:v>#N/A</c:v>
                </c:pt>
                <c:pt idx="127">
                  <c:v>3144.5</c:v>
                </c:pt>
                <c:pt idx="128">
                  <c:v>#N/A</c:v>
                </c:pt>
                <c:pt idx="129">
                  <c:v>#N/A</c:v>
                </c:pt>
                <c:pt idx="130">
                  <c:v>#N/A</c:v>
                </c:pt>
                <c:pt idx="131">
                  <c:v>#N/A</c:v>
                </c:pt>
                <c:pt idx="132">
                  <c:v>#N/A</c:v>
                </c:pt>
                <c:pt idx="133">
                  <c:v>#N/A</c:v>
                </c:pt>
                <c:pt idx="134">
                  <c:v>3052.2</c:v>
                </c:pt>
                <c:pt idx="135">
                  <c:v>#N/A</c:v>
                </c:pt>
                <c:pt idx="136">
                  <c:v>#N/A</c:v>
                </c:pt>
                <c:pt idx="137">
                  <c:v>#N/A</c:v>
                </c:pt>
                <c:pt idx="138">
                  <c:v>#N/A</c:v>
                </c:pt>
                <c:pt idx="139">
                  <c:v>#N/A</c:v>
                </c:pt>
                <c:pt idx="140">
                  <c:v>#N/A</c:v>
                </c:pt>
                <c:pt idx="141">
                  <c:v>2914.64</c:v>
                </c:pt>
                <c:pt idx="142">
                  <c:v>#N/A</c:v>
                </c:pt>
                <c:pt idx="143">
                  <c:v>#N/A</c:v>
                </c:pt>
                <c:pt idx="144">
                  <c:v>#N/A</c:v>
                </c:pt>
                <c:pt idx="145">
                  <c:v>#N/A</c:v>
                </c:pt>
                <c:pt idx="146">
                  <c:v>#N/A</c:v>
                </c:pt>
                <c:pt idx="147">
                  <c:v>#N/A</c:v>
                </c:pt>
                <c:pt idx="148">
                  <c:v>2972.27</c:v>
                </c:pt>
                <c:pt idx="149">
                  <c:v>#N/A</c:v>
                </c:pt>
                <c:pt idx="150">
                  <c:v>#N/A</c:v>
                </c:pt>
                <c:pt idx="151">
                  <c:v>#N/A</c:v>
                </c:pt>
                <c:pt idx="152">
                  <c:v>#N/A</c:v>
                </c:pt>
                <c:pt idx="153">
                  <c:v>#N/A</c:v>
                </c:pt>
                <c:pt idx="154">
                  <c:v>#N/A</c:v>
                </c:pt>
                <c:pt idx="155">
                  <c:v>3038.36</c:v>
                </c:pt>
                <c:pt idx="156">
                  <c:v>#N/A</c:v>
                </c:pt>
                <c:pt idx="157">
                  <c:v>#N/A</c:v>
                </c:pt>
                <c:pt idx="158">
                  <c:v>#N/A</c:v>
                </c:pt>
                <c:pt idx="159">
                  <c:v>#N/A</c:v>
                </c:pt>
                <c:pt idx="160">
                  <c:v>#N/A</c:v>
                </c:pt>
                <c:pt idx="161">
                  <c:v>#N/A</c:v>
                </c:pt>
                <c:pt idx="162">
                  <c:v>3115.05</c:v>
                </c:pt>
                <c:pt idx="163">
                  <c:v>#N/A</c:v>
                </c:pt>
                <c:pt idx="164">
                  <c:v>#N/A</c:v>
                </c:pt>
                <c:pt idx="165">
                  <c:v>#N/A</c:v>
                </c:pt>
                <c:pt idx="166">
                  <c:v>#N/A</c:v>
                </c:pt>
                <c:pt idx="167">
                  <c:v>#N/A</c:v>
                </c:pt>
                <c:pt idx="168">
                  <c:v>#N/A</c:v>
                </c:pt>
                <c:pt idx="169">
                  <c:v>3043.07</c:v>
                </c:pt>
                <c:pt idx="170">
                  <c:v>#N/A</c:v>
                </c:pt>
                <c:pt idx="171">
                  <c:v>#N/A</c:v>
                </c:pt>
                <c:pt idx="172">
                  <c:v>#N/A</c:v>
                </c:pt>
                <c:pt idx="173">
                  <c:v>#N/A</c:v>
                </c:pt>
                <c:pt idx="174">
                  <c:v>#N/A</c:v>
                </c:pt>
                <c:pt idx="175">
                  <c:v>#N/A</c:v>
                </c:pt>
                <c:pt idx="176">
                  <c:v>3139.09</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482191232"/>
        <c:axId val="482192768"/>
      </c:lineChart>
      <c:dateAx>
        <c:axId val="48219123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82192768"/>
        <c:crosses val="autoZero"/>
        <c:auto val="0"/>
        <c:lblOffset val="0"/>
        <c:baseTimeUnit val="days"/>
        <c:majorUnit val="1"/>
        <c:majorTimeUnit val="months"/>
      </c:dateAx>
      <c:valAx>
        <c:axId val="482192768"/>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8219123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146.13</c:v>
                </c:pt>
                <c:pt idx="60">
                  <c:v>146.04</c:v>
                </c:pt>
                <c:pt idx="61">
                  <c:v>146.02000000000001</c:v>
                </c:pt>
                <c:pt idx="62">
                  <c:v>146.02000000000001</c:v>
                </c:pt>
                <c:pt idx="63">
                  <c:v>145.46</c:v>
                </c:pt>
                <c:pt idx="64">
                  <c:v>#N/A</c:v>
                </c:pt>
                <c:pt idx="65">
                  <c:v>#N/A</c:v>
                </c:pt>
                <c:pt idx="66">
                  <c:v>145.5</c:v>
                </c:pt>
                <c:pt idx="67">
                  <c:v>145.35</c:v>
                </c:pt>
                <c:pt idx="68">
                  <c:v>145.12</c:v>
                </c:pt>
                <c:pt idx="69">
                  <c:v>145.21</c:v>
                </c:pt>
                <c:pt idx="70">
                  <c:v>144.78</c:v>
                </c:pt>
                <c:pt idx="71">
                  <c:v>#N/A</c:v>
                </c:pt>
                <c:pt idx="72">
                  <c:v>#N/A</c:v>
                </c:pt>
                <c:pt idx="73">
                  <c:v>144.74</c:v>
                </c:pt>
                <c:pt idx="74">
                  <c:v>144.78</c:v>
                </c:pt>
                <c:pt idx="75">
                  <c:v>144.82</c:v>
                </c:pt>
                <c:pt idx="76">
                  <c:v>144.82</c:v>
                </c:pt>
                <c:pt idx="77">
                  <c:v>144.86000000000001</c:v>
                </c:pt>
                <c:pt idx="78">
                  <c:v>#N/A</c:v>
                </c:pt>
                <c:pt idx="79">
                  <c:v>#N/A</c:v>
                </c:pt>
                <c:pt idx="80">
                  <c:v>146.4</c:v>
                </c:pt>
                <c:pt idx="81">
                  <c:v>146.54</c:v>
                </c:pt>
                <c:pt idx="82">
                  <c:v>146.44999999999999</c:v>
                </c:pt>
                <c:pt idx="83">
                  <c:v>147.52000000000001</c:v>
                </c:pt>
                <c:pt idx="84">
                  <c:v>148.02000000000001</c:v>
                </c:pt>
                <c:pt idx="85">
                  <c:v>#N/A</c:v>
                </c:pt>
                <c:pt idx="86">
                  <c:v>#N/A</c:v>
                </c:pt>
                <c:pt idx="87">
                  <c:v>148.41999999999999</c:v>
                </c:pt>
                <c:pt idx="88">
                  <c:v>148.56</c:v>
                </c:pt>
                <c:pt idx="89">
                  <c:v>149.21</c:v>
                </c:pt>
                <c:pt idx="90">
                  <c:v>149.47</c:v>
                </c:pt>
                <c:pt idx="91">
                  <c:v>149.88</c:v>
                </c:pt>
                <c:pt idx="92">
                  <c:v>#N/A</c:v>
                </c:pt>
                <c:pt idx="93">
                  <c:v>#N/A</c:v>
                </c:pt>
                <c:pt idx="94">
                  <c:v>#N/A</c:v>
                </c:pt>
                <c:pt idx="95">
                  <c:v>150.34</c:v>
                </c:pt>
                <c:pt idx="96">
                  <c:v>150.25</c:v>
                </c:pt>
                <c:pt idx="97">
                  <c:v>150.66999999999999</c:v>
                </c:pt>
                <c:pt idx="98">
                  <c:v>150.84</c:v>
                </c:pt>
                <c:pt idx="99">
                  <c:v>#N/A</c:v>
                </c:pt>
                <c:pt idx="100">
                  <c:v>#N/A</c:v>
                </c:pt>
                <c:pt idx="101">
                  <c:v>152.19</c:v>
                </c:pt>
                <c:pt idx="102">
                  <c:v>152.47999999999999</c:v>
                </c:pt>
                <c:pt idx="103">
                  <c:v>153.24</c:v>
                </c:pt>
                <c:pt idx="104">
                  <c:v>153.57</c:v>
                </c:pt>
                <c:pt idx="105">
                  <c:v>153.81</c:v>
                </c:pt>
                <c:pt idx="106">
                  <c:v>#N/A</c:v>
                </c:pt>
                <c:pt idx="107">
                  <c:v>#N/A</c:v>
                </c:pt>
                <c:pt idx="108">
                  <c:v>154.16</c:v>
                </c:pt>
                <c:pt idx="109">
                  <c:v>154.68</c:v>
                </c:pt>
                <c:pt idx="110">
                  <c:v>154.94</c:v>
                </c:pt>
                <c:pt idx="111">
                  <c:v>154.94</c:v>
                </c:pt>
                <c:pt idx="112">
                  <c:v>154.97999999999999</c:v>
                </c:pt>
                <c:pt idx="113">
                  <c:v>#N/A</c:v>
                </c:pt>
                <c:pt idx="114">
                  <c:v>155.56</c:v>
                </c:pt>
                <c:pt idx="115">
                  <c:v>156.24</c:v>
                </c:pt>
                <c:pt idx="116">
                  <c:v>157</c:v>
                </c:pt>
                <c:pt idx="117">
                  <c:v>157.51</c:v>
                </c:pt>
                <c:pt idx="118">
                  <c:v>157.88999999999999</c:v>
                </c:pt>
                <c:pt idx="119">
                  <c:v>157.44</c:v>
                </c:pt>
                <c:pt idx="120">
                  <c:v>#N/A</c:v>
                </c:pt>
                <c:pt idx="121">
                  <c:v>#N/A</c:v>
                </c:pt>
                <c:pt idx="122">
                  <c:v>#N/A</c:v>
                </c:pt>
                <c:pt idx="123">
                  <c:v>#N/A</c:v>
                </c:pt>
                <c:pt idx="124">
                  <c:v>#N/A</c:v>
                </c:pt>
                <c:pt idx="125">
                  <c:v>157.91999999999999</c:v>
                </c:pt>
                <c:pt idx="126">
                  <c:v>158.16</c:v>
                </c:pt>
                <c:pt idx="127">
                  <c:v>158.22</c:v>
                </c:pt>
                <c:pt idx="128">
                  <c:v>#N/A</c:v>
                </c:pt>
                <c:pt idx="129">
                  <c:v>158.97</c:v>
                </c:pt>
                <c:pt idx="130">
                  <c:v>159.03</c:v>
                </c:pt>
                <c:pt idx="131">
                  <c:v>159.01</c:v>
                </c:pt>
                <c:pt idx="132">
                  <c:v>158.81</c:v>
                </c:pt>
                <c:pt idx="133">
                  <c:v>158.79</c:v>
                </c:pt>
                <c:pt idx="134">
                  <c:v>#N/A</c:v>
                </c:pt>
                <c:pt idx="135">
                  <c:v>#N/A</c:v>
                </c:pt>
                <c:pt idx="136">
                  <c:v>159.13</c:v>
                </c:pt>
                <c:pt idx="137">
                  <c:v>159.12</c:v>
                </c:pt>
                <c:pt idx="138">
                  <c:v>159.13</c:v>
                </c:pt>
                <c:pt idx="139">
                  <c:v>159.34</c:v>
                </c:pt>
                <c:pt idx="140">
                  <c:v>159.29</c:v>
                </c:pt>
                <c:pt idx="141">
                  <c:v>#N/A</c:v>
                </c:pt>
                <c:pt idx="142">
                  <c:v>#N/A</c:v>
                </c:pt>
                <c:pt idx="143">
                  <c:v>159.02000000000001</c:v>
                </c:pt>
                <c:pt idx="144">
                  <c:v>158.94999999999999</c:v>
                </c:pt>
                <c:pt idx="145">
                  <c:v>158.96</c:v>
                </c:pt>
                <c:pt idx="146">
                  <c:v>158.75</c:v>
                </c:pt>
                <c:pt idx="147">
                  <c:v>158.43</c:v>
                </c:pt>
                <c:pt idx="148">
                  <c:v>#N/A</c:v>
                </c:pt>
                <c:pt idx="149">
                  <c:v>#N/A</c:v>
                </c:pt>
                <c:pt idx="150">
                  <c:v>157.58000000000001</c:v>
                </c:pt>
                <c:pt idx="151">
                  <c:v>156.63</c:v>
                </c:pt>
                <c:pt idx="152">
                  <c:v>156.71</c:v>
                </c:pt>
                <c:pt idx="153">
                  <c:v>156.83000000000001</c:v>
                </c:pt>
                <c:pt idx="154">
                  <c:v>155.80000000000001</c:v>
                </c:pt>
                <c:pt idx="155">
                  <c:v>#N/A</c:v>
                </c:pt>
                <c:pt idx="156">
                  <c:v>#N/A</c:v>
                </c:pt>
                <c:pt idx="157">
                  <c:v>155.07</c:v>
                </c:pt>
                <c:pt idx="158">
                  <c:v>154.6</c:v>
                </c:pt>
                <c:pt idx="159">
                  <c:v>154.07</c:v>
                </c:pt>
                <c:pt idx="160">
                  <c:v>153.33000000000001</c:v>
                </c:pt>
                <c:pt idx="161">
                  <c:v>153.19999999999999</c:v>
                </c:pt>
                <c:pt idx="162">
                  <c:v>#N/A</c:v>
                </c:pt>
                <c:pt idx="163">
                  <c:v>#N/A</c:v>
                </c:pt>
                <c:pt idx="164">
                  <c:v>#N/A</c:v>
                </c:pt>
                <c:pt idx="165">
                  <c:v>153.16999999999999</c:v>
                </c:pt>
                <c:pt idx="166">
                  <c:v>152.41999999999999</c:v>
                </c:pt>
                <c:pt idx="167">
                  <c:v>152.01</c:v>
                </c:pt>
                <c:pt idx="168">
                  <c:v>150.75</c:v>
                </c:pt>
                <c:pt idx="169">
                  <c:v>#N/A</c:v>
                </c:pt>
                <c:pt idx="170">
                  <c:v>#N/A</c:v>
                </c:pt>
                <c:pt idx="171">
                  <c:v>148.87</c:v>
                </c:pt>
                <c:pt idx="172">
                  <c:v>148.43</c:v>
                </c:pt>
                <c:pt idx="173">
                  <c:v>148.09</c:v>
                </c:pt>
                <c:pt idx="174">
                  <c:v>147.71</c:v>
                </c:pt>
                <c:pt idx="175">
                  <c:v>147.4</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482240384"/>
        <c:axId val="482241920"/>
      </c:lineChart>
      <c:dateAx>
        <c:axId val="48224038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82241920"/>
        <c:crosses val="autoZero"/>
        <c:auto val="0"/>
        <c:lblOffset val="0"/>
        <c:baseTimeUnit val="days"/>
        <c:majorUnit val="1"/>
        <c:majorTimeUnit val="months"/>
      </c:dateAx>
      <c:valAx>
        <c:axId val="482241920"/>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8224038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44373</c:v>
                </c:pt>
                <c:pt idx="1">
                  <c:v>44366</c:v>
                </c:pt>
                <c:pt idx="2">
                  <c:v>44359</c:v>
                </c:pt>
                <c:pt idx="3">
                  <c:v>44352</c:v>
                </c:pt>
                <c:pt idx="4">
                  <c:v>44345</c:v>
                </c:pt>
                <c:pt idx="5">
                  <c:v>44338</c:v>
                </c:pt>
                <c:pt idx="6">
                  <c:v>44331</c:v>
                </c:pt>
                <c:pt idx="7">
                  <c:v>44324</c:v>
                </c:pt>
                <c:pt idx="8">
                  <c:v>44317</c:v>
                </c:pt>
                <c:pt idx="9">
                  <c:v>44310</c:v>
                </c:pt>
                <c:pt idx="10">
                  <c:v>44303</c:v>
                </c:pt>
                <c:pt idx="11">
                  <c:v>44296</c:v>
                </c:pt>
                <c:pt idx="12">
                  <c:v>44289</c:v>
                </c:pt>
                <c:pt idx="13">
                  <c:v>44282</c:v>
                </c:pt>
                <c:pt idx="14">
                  <c:v>44275</c:v>
                </c:pt>
                <c:pt idx="15">
                  <c:v>44268</c:v>
                </c:pt>
                <c:pt idx="16">
                  <c:v>44261</c:v>
                </c:pt>
                <c:pt idx="17">
                  <c:v>44254</c:v>
                </c:pt>
                <c:pt idx="18">
                  <c:v>44247</c:v>
                </c:pt>
                <c:pt idx="19">
                  <c:v>44240</c:v>
                </c:pt>
                <c:pt idx="20">
                  <c:v>44233</c:v>
                </c:pt>
                <c:pt idx="21">
                  <c:v>44226</c:v>
                </c:pt>
                <c:pt idx="22">
                  <c:v>44219</c:v>
                </c:pt>
                <c:pt idx="23">
                  <c:v>44212</c:v>
                </c:pt>
                <c:pt idx="24">
                  <c:v>44205</c:v>
                </c:pt>
                <c:pt idx="25">
                  <c:v>44198</c:v>
                </c:pt>
              </c:numCache>
            </c:numRef>
          </c:cat>
          <c:val>
            <c:numRef>
              <c:f>汇率!$B$3:$B$28</c:f>
              <c:numCache>
                <c:formatCode>###,###,###,###,##0.00</c:formatCode>
                <c:ptCount val="26"/>
                <c:pt idx="0">
                  <c:v>6.4553000000000003</c:v>
                </c:pt>
                <c:pt idx="1">
                  <c:v>6.4408000000000003</c:v>
                </c:pt>
                <c:pt idx="2">
                  <c:v>6.3914</c:v>
                </c:pt>
                <c:pt idx="3">
                  <c:v>6.4092000000000002</c:v>
                </c:pt>
                <c:pt idx="4">
                  <c:v>6.3654000000000002</c:v>
                </c:pt>
                <c:pt idx="5">
                  <c:v>6.4337</c:v>
                </c:pt>
                <c:pt idx="6">
                  <c:v>6.4347000000000003</c:v>
                </c:pt>
                <c:pt idx="7">
                  <c:v>6.4588999999999999</c:v>
                </c:pt>
                <c:pt idx="8">
                  <c:v>6.4715999999999996</c:v>
                </c:pt>
                <c:pt idx="9">
                  <c:v>6.4935999999999998</c:v>
                </c:pt>
                <c:pt idx="10">
                  <c:v>6.5228000000000002</c:v>
                </c:pt>
                <c:pt idx="11">
                  <c:v>6.5589000000000004</c:v>
                </c:pt>
                <c:pt idx="12">
                  <c:v>6.5612000000000004</c:v>
                </c:pt>
                <c:pt idx="13">
                  <c:v>6.5407000000000002</c:v>
                </c:pt>
                <c:pt idx="14">
                  <c:v>6.5045000000000002</c:v>
                </c:pt>
                <c:pt idx="15">
                  <c:v>6.5035999999999996</c:v>
                </c:pt>
                <c:pt idx="16">
                  <c:v>6.4767999999999999</c:v>
                </c:pt>
                <c:pt idx="17">
                  <c:v>6.4589999999999996</c:v>
                </c:pt>
                <c:pt idx="18">
                  <c:v>6.4574999999999996</c:v>
                </c:pt>
                <c:pt idx="19">
                  <c:v>6.4379999999999997</c:v>
                </c:pt>
                <c:pt idx="20">
                  <c:v>6.4809999999999999</c:v>
                </c:pt>
                <c:pt idx="21">
                  <c:v>6.4611999999999998</c:v>
                </c:pt>
                <c:pt idx="22">
                  <c:v>6.4776999999999996</c:v>
                </c:pt>
                <c:pt idx="23">
                  <c:v>6.4752000000000001</c:v>
                </c:pt>
                <c:pt idx="24">
                  <c:v>6.4718999999999998</c:v>
                </c:pt>
                <c:pt idx="25">
                  <c:v>6.5397999999999996</c:v>
                </c:pt>
              </c:numCache>
            </c:numRef>
          </c:val>
          <c:smooth val="1"/>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marker val="1"/>
        <c:smooth val="0"/>
        <c:axId val="479201152"/>
        <c:axId val="479202688"/>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44373</c:v>
                </c:pt>
                <c:pt idx="1">
                  <c:v>44366</c:v>
                </c:pt>
                <c:pt idx="2">
                  <c:v>44359</c:v>
                </c:pt>
                <c:pt idx="3">
                  <c:v>44352</c:v>
                </c:pt>
                <c:pt idx="4">
                  <c:v>44345</c:v>
                </c:pt>
                <c:pt idx="5">
                  <c:v>44338</c:v>
                </c:pt>
                <c:pt idx="6">
                  <c:v>44331</c:v>
                </c:pt>
                <c:pt idx="7">
                  <c:v>44324</c:v>
                </c:pt>
                <c:pt idx="8">
                  <c:v>44317</c:v>
                </c:pt>
                <c:pt idx="9">
                  <c:v>44310</c:v>
                </c:pt>
                <c:pt idx="10">
                  <c:v>44303</c:v>
                </c:pt>
                <c:pt idx="11">
                  <c:v>44296</c:v>
                </c:pt>
                <c:pt idx="12">
                  <c:v>44289</c:v>
                </c:pt>
                <c:pt idx="13">
                  <c:v>44282</c:v>
                </c:pt>
                <c:pt idx="14">
                  <c:v>44275</c:v>
                </c:pt>
                <c:pt idx="15">
                  <c:v>44268</c:v>
                </c:pt>
                <c:pt idx="16">
                  <c:v>44261</c:v>
                </c:pt>
                <c:pt idx="17">
                  <c:v>44254</c:v>
                </c:pt>
                <c:pt idx="18">
                  <c:v>44247</c:v>
                </c:pt>
                <c:pt idx="19">
                  <c:v>44240</c:v>
                </c:pt>
                <c:pt idx="20">
                  <c:v>44233</c:v>
                </c:pt>
                <c:pt idx="21">
                  <c:v>44226</c:v>
                </c:pt>
                <c:pt idx="22">
                  <c:v>44219</c:v>
                </c:pt>
                <c:pt idx="23">
                  <c:v>44212</c:v>
                </c:pt>
                <c:pt idx="24">
                  <c:v>44205</c:v>
                </c:pt>
                <c:pt idx="25">
                  <c:v>44198</c:v>
                </c:pt>
              </c:numCache>
            </c:numRef>
          </c:cat>
          <c:val>
            <c:numRef>
              <c:f>汇率!$C$3:$C$28</c:f>
              <c:numCache>
                <c:formatCode>###,###,###,###,##0.00</c:formatCode>
                <c:ptCount val="26"/>
                <c:pt idx="0">
                  <c:v>154.26999999999998</c:v>
                </c:pt>
                <c:pt idx="1">
                  <c:v>167.02</c:v>
                </c:pt>
                <c:pt idx="2">
                  <c:v>165.76000000000002</c:v>
                </c:pt>
                <c:pt idx="3">
                  <c:v>153.24999999999997</c:v>
                </c:pt>
                <c:pt idx="4">
                  <c:v>150.25</c:v>
                </c:pt>
                <c:pt idx="5">
                  <c:v>145.76000000000002</c:v>
                </c:pt>
                <c:pt idx="6">
                  <c:v>151.22</c:v>
                </c:pt>
                <c:pt idx="7">
                  <c:v>155.88999999999999</c:v>
                </c:pt>
                <c:pt idx="8">
                  <c:v>151.40000000000003</c:v>
                </c:pt>
                <c:pt idx="9">
                  <c:v>159.19</c:v>
                </c:pt>
                <c:pt idx="10">
                  <c:v>157.31</c:v>
                </c:pt>
                <c:pt idx="11">
                  <c:v>154.21</c:v>
                </c:pt>
                <c:pt idx="12">
                  <c:v>148.13</c:v>
                </c:pt>
                <c:pt idx="13">
                  <c:v>152.85000000000002</c:v>
                </c:pt>
                <c:pt idx="14">
                  <c:v>149.64000000000001</c:v>
                </c:pt>
                <c:pt idx="15">
                  <c:v>162.13</c:v>
                </c:pt>
                <c:pt idx="16">
                  <c:v>168.56999999999996</c:v>
                </c:pt>
                <c:pt idx="17">
                  <c:v>183.98</c:v>
                </c:pt>
                <c:pt idx="18">
                  <c:v>191.78</c:v>
                </c:pt>
                <c:pt idx="19">
                  <c:v>209.49</c:v>
                </c:pt>
                <c:pt idx="20">
                  <c:v>202.64000000000001</c:v>
                </c:pt>
                <c:pt idx="21">
                  <c:v>206.86</c:v>
                </c:pt>
                <c:pt idx="22">
                  <c:v>201.85</c:v>
                </c:pt>
                <c:pt idx="23">
                  <c:v>204.07999999999998</c:v>
                </c:pt>
                <c:pt idx="24">
                  <c:v>201.56</c:v>
                </c:pt>
                <c:pt idx="25">
                  <c:v>221.29</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479206016"/>
        <c:axId val="479204480"/>
      </c:lineChart>
      <c:dateAx>
        <c:axId val="47920115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79202688"/>
        <c:crosses val="autoZero"/>
        <c:auto val="0"/>
        <c:lblOffset val="0"/>
        <c:baseTimeUnit val="days"/>
      </c:dateAx>
      <c:valAx>
        <c:axId val="479202688"/>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79201152"/>
        <c:crosses val="autoZero"/>
        <c:crossBetween val="between"/>
      </c:valAx>
      <c:valAx>
        <c:axId val="479204480"/>
        <c:scaling>
          <c:orientation val="minMax"/>
        </c:scaling>
        <c:delete val="0"/>
        <c:axPos val="r"/>
        <c:numFmt formatCode="#,##0_);[Red]\(#,##0\)" sourceLinked="0"/>
        <c:majorTickMark val="out"/>
        <c:minorTickMark val="none"/>
        <c:tickLblPos val="nextTo"/>
        <c:spPr>
          <a:ln w="3175">
            <a:solidFill>
              <a:sysClr val="windowText" lastClr="000000"/>
            </a:solidFill>
          </a:ln>
        </c:spPr>
        <c:crossAx val="479206016"/>
        <c:crosses val="max"/>
        <c:crossBetween val="between"/>
      </c:valAx>
      <c:dateAx>
        <c:axId val="479206016"/>
        <c:scaling>
          <c:orientation val="minMax"/>
        </c:scaling>
        <c:delete val="1"/>
        <c:axPos val="b"/>
        <c:numFmt formatCode="yyyy\-mm\-dd;@" sourceLinked="1"/>
        <c:majorTickMark val="out"/>
        <c:minorTickMark val="none"/>
        <c:tickLblPos val="nextTo"/>
        <c:crossAx val="479204480"/>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9-41E2-9965-8575E7F426CB}"/>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9-41E2-9965-8575E7F426CB}"/>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38.57</c:v>
                </c:pt>
                <c:pt idx="65">
                  <c:v>#N/A</c:v>
                </c:pt>
                <c:pt idx="66">
                  <c:v>#N/A</c:v>
                </c:pt>
                <c:pt idx="67">
                  <c:v>#N/A</c:v>
                </c:pt>
                <c:pt idx="68">
                  <c:v>#N/A</c:v>
                </c:pt>
                <c:pt idx="69">
                  <c:v>#N/A</c:v>
                </c:pt>
                <c:pt idx="70">
                  <c:v>#N/A</c:v>
                </c:pt>
                <c:pt idx="71">
                  <c:v>38</c:v>
                </c:pt>
                <c:pt idx="72">
                  <c:v>#N/A</c:v>
                </c:pt>
                <c:pt idx="73">
                  <c:v>#N/A</c:v>
                </c:pt>
                <c:pt idx="74">
                  <c:v>#N/A</c:v>
                </c:pt>
                <c:pt idx="75">
                  <c:v>#N/A</c:v>
                </c:pt>
                <c:pt idx="76">
                  <c:v>#N/A</c:v>
                </c:pt>
                <c:pt idx="77">
                  <c:v>#N/A</c:v>
                </c:pt>
                <c:pt idx="78">
                  <c:v>37.299999999999997</c:v>
                </c:pt>
                <c:pt idx="79">
                  <c:v>#N/A</c:v>
                </c:pt>
                <c:pt idx="80">
                  <c:v>#N/A</c:v>
                </c:pt>
                <c:pt idx="81">
                  <c:v>#N/A</c:v>
                </c:pt>
                <c:pt idx="82">
                  <c:v>#N/A</c:v>
                </c:pt>
                <c:pt idx="83">
                  <c:v>#N/A</c:v>
                </c:pt>
                <c:pt idx="84">
                  <c:v>#N/A</c:v>
                </c:pt>
                <c:pt idx="85">
                  <c:v>36.33</c:v>
                </c:pt>
                <c:pt idx="86">
                  <c:v>#N/A</c:v>
                </c:pt>
                <c:pt idx="87">
                  <c:v>#N/A</c:v>
                </c:pt>
                <c:pt idx="88">
                  <c:v>#N/A</c:v>
                </c:pt>
                <c:pt idx="89">
                  <c:v>#N/A</c:v>
                </c:pt>
                <c:pt idx="90">
                  <c:v>#N/A</c:v>
                </c:pt>
                <c:pt idx="91">
                  <c:v>#N/A</c:v>
                </c:pt>
                <c:pt idx="92">
                  <c:v>35</c:v>
                </c:pt>
                <c:pt idx="93">
                  <c:v>#N/A</c:v>
                </c:pt>
                <c:pt idx="94">
                  <c:v>#N/A</c:v>
                </c:pt>
                <c:pt idx="95">
                  <c:v>#N/A</c:v>
                </c:pt>
                <c:pt idx="96">
                  <c:v>#N/A</c:v>
                </c:pt>
                <c:pt idx="97">
                  <c:v>#N/A</c:v>
                </c:pt>
                <c:pt idx="98">
                  <c:v>#N/A</c:v>
                </c:pt>
                <c:pt idx="99">
                  <c:v>32.4</c:v>
                </c:pt>
                <c:pt idx="100">
                  <c:v>#N/A</c:v>
                </c:pt>
                <c:pt idx="101">
                  <c:v>#N/A</c:v>
                </c:pt>
                <c:pt idx="102">
                  <c:v>#N/A</c:v>
                </c:pt>
                <c:pt idx="103">
                  <c:v>#N/A</c:v>
                </c:pt>
                <c:pt idx="104">
                  <c:v>#N/A</c:v>
                </c:pt>
                <c:pt idx="105">
                  <c:v>#N/A</c:v>
                </c:pt>
                <c:pt idx="106">
                  <c:v>31.77</c:v>
                </c:pt>
                <c:pt idx="107">
                  <c:v>#N/A</c:v>
                </c:pt>
                <c:pt idx="108">
                  <c:v>#N/A</c:v>
                </c:pt>
                <c:pt idx="109">
                  <c:v>#N/A</c:v>
                </c:pt>
                <c:pt idx="110">
                  <c:v>#N/A</c:v>
                </c:pt>
                <c:pt idx="111">
                  <c:v>#N/A</c:v>
                </c:pt>
                <c:pt idx="112">
                  <c:v>#N/A</c:v>
                </c:pt>
                <c:pt idx="113">
                  <c:v>31.5</c:v>
                </c:pt>
                <c:pt idx="114">
                  <c:v>#N/A</c:v>
                </c:pt>
                <c:pt idx="115">
                  <c:v>#N/A</c:v>
                </c:pt>
                <c:pt idx="116">
                  <c:v>#N/A</c:v>
                </c:pt>
                <c:pt idx="117">
                  <c:v>#N/A</c:v>
                </c:pt>
                <c:pt idx="118">
                  <c:v>#N/A</c:v>
                </c:pt>
                <c:pt idx="119">
                  <c:v>#N/A</c:v>
                </c:pt>
                <c:pt idx="120">
                  <c:v>30.62</c:v>
                </c:pt>
                <c:pt idx="121">
                  <c:v>#N/A</c:v>
                </c:pt>
                <c:pt idx="122">
                  <c:v>#N/A</c:v>
                </c:pt>
                <c:pt idx="123">
                  <c:v>#N/A</c:v>
                </c:pt>
                <c:pt idx="124">
                  <c:v>#N/A</c:v>
                </c:pt>
                <c:pt idx="125">
                  <c:v>#N/A</c:v>
                </c:pt>
                <c:pt idx="126">
                  <c:v>#N/A</c:v>
                </c:pt>
                <c:pt idx="127">
                  <c:v>30.04</c:v>
                </c:pt>
                <c:pt idx="128">
                  <c:v>#N/A</c:v>
                </c:pt>
                <c:pt idx="129">
                  <c:v>#N/A</c:v>
                </c:pt>
                <c:pt idx="130">
                  <c:v>#N/A</c:v>
                </c:pt>
                <c:pt idx="131">
                  <c:v>#N/A</c:v>
                </c:pt>
                <c:pt idx="132">
                  <c:v>#N/A</c:v>
                </c:pt>
                <c:pt idx="133">
                  <c:v>#N/A</c:v>
                </c:pt>
                <c:pt idx="134">
                  <c:v>27.78</c:v>
                </c:pt>
                <c:pt idx="135">
                  <c:v>#N/A</c:v>
                </c:pt>
                <c:pt idx="136">
                  <c:v>#N/A</c:v>
                </c:pt>
                <c:pt idx="137">
                  <c:v>#N/A</c:v>
                </c:pt>
                <c:pt idx="138">
                  <c:v>#N/A</c:v>
                </c:pt>
                <c:pt idx="139">
                  <c:v>#N/A</c:v>
                </c:pt>
                <c:pt idx="140">
                  <c:v>#N/A</c:v>
                </c:pt>
                <c:pt idx="141">
                  <c:v>26.29</c:v>
                </c:pt>
                <c:pt idx="142">
                  <c:v>#N/A</c:v>
                </c:pt>
                <c:pt idx="143">
                  <c:v>#N/A</c:v>
                </c:pt>
                <c:pt idx="144">
                  <c:v>#N/A</c:v>
                </c:pt>
                <c:pt idx="145">
                  <c:v>#N/A</c:v>
                </c:pt>
                <c:pt idx="146">
                  <c:v>#N/A</c:v>
                </c:pt>
                <c:pt idx="147">
                  <c:v>#N/A</c:v>
                </c:pt>
                <c:pt idx="148">
                  <c:v>26.08</c:v>
                </c:pt>
                <c:pt idx="149">
                  <c:v>#N/A</c:v>
                </c:pt>
                <c:pt idx="150">
                  <c:v>#N/A</c:v>
                </c:pt>
                <c:pt idx="151">
                  <c:v>#N/A</c:v>
                </c:pt>
                <c:pt idx="152">
                  <c:v>#N/A</c:v>
                </c:pt>
                <c:pt idx="153">
                  <c:v>#N/A</c:v>
                </c:pt>
                <c:pt idx="154">
                  <c:v>#N/A</c:v>
                </c:pt>
                <c:pt idx="155">
                  <c:v>24.68</c:v>
                </c:pt>
                <c:pt idx="156">
                  <c:v>#N/A</c:v>
                </c:pt>
                <c:pt idx="157">
                  <c:v>#N/A</c:v>
                </c:pt>
                <c:pt idx="158">
                  <c:v>#N/A</c:v>
                </c:pt>
                <c:pt idx="159">
                  <c:v>#N/A</c:v>
                </c:pt>
                <c:pt idx="160">
                  <c:v>#N/A</c:v>
                </c:pt>
                <c:pt idx="161">
                  <c:v>#N/A</c:v>
                </c:pt>
                <c:pt idx="162">
                  <c:v>23.89</c:v>
                </c:pt>
                <c:pt idx="163">
                  <c:v>#N/A</c:v>
                </c:pt>
                <c:pt idx="164">
                  <c:v>#N/A</c:v>
                </c:pt>
                <c:pt idx="165">
                  <c:v>#N/A</c:v>
                </c:pt>
                <c:pt idx="166">
                  <c:v>#N/A</c:v>
                </c:pt>
                <c:pt idx="167">
                  <c:v>#N/A</c:v>
                </c:pt>
                <c:pt idx="168">
                  <c:v>#N/A</c:v>
                </c:pt>
                <c:pt idx="169">
                  <c:v>22.77</c:v>
                </c:pt>
                <c:pt idx="170">
                  <c:v>#N/A</c:v>
                </c:pt>
                <c:pt idx="171">
                  <c:v>#N/A</c:v>
                </c:pt>
                <c:pt idx="172">
                  <c:v>#N/A</c:v>
                </c:pt>
                <c:pt idx="173">
                  <c:v>#N/A</c:v>
                </c:pt>
                <c:pt idx="174">
                  <c:v>#N/A</c:v>
                </c:pt>
                <c:pt idx="175">
                  <c:v>#N/A</c:v>
                </c:pt>
                <c:pt idx="176">
                  <c:v>21.68</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ser>
        <c:dLbls>
          <c:showLegendKey val="0"/>
          <c:showVal val="0"/>
          <c:showCatName val="0"/>
          <c:showSerName val="0"/>
          <c:showPercent val="0"/>
          <c:showBubbleSize val="0"/>
        </c:dLbls>
        <c:marker val="1"/>
        <c:smooth val="0"/>
        <c:axId val="479237248"/>
        <c:axId val="479238784"/>
      </c:lineChart>
      <c:dateAx>
        <c:axId val="479237248"/>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479238784"/>
        <c:crosses val="autoZero"/>
        <c:auto val="0"/>
        <c:lblOffset val="0"/>
        <c:baseTimeUnit val="days"/>
        <c:majorUnit val="1"/>
        <c:majorTimeUnit val="months"/>
      </c:dateAx>
      <c:valAx>
        <c:axId val="479238784"/>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479237248"/>
        <c:crosses val="autoZero"/>
        <c:crossBetween val="between"/>
      </c:valAx>
      <c:spPr>
        <a:solidFill>
          <a:schemeClr val="bg1"/>
        </a:solidFill>
        <a:ln>
          <a:noFill/>
        </a:ln>
        <a:effectLst/>
      </c:spPr>
    </c:plotArea>
    <c:legend>
      <c:legendPos val="r"/>
      <c:layout>
        <c:manualLayout>
          <c:xMode val="edge"/>
          <c:yMode val="edge"/>
          <c:x val="0.15225"/>
          <c:y val="2.3337707786526686E-3"/>
          <c:w val="0.7344372296537901"/>
          <c:h val="9.9684517912082202E-2"/>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a16="http://schemas.microsoft.com/office/drawing/2014/main" xmlns=""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5.21458E-7</cdr:y>
    </cdr:from>
    <cdr:to>
      <cdr:x>0.12994</cdr:x>
      <cdr:y>0.09122</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389614" cy="17492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27F970-6299-4A28-81AB-A4ECBD4053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6</Pages>
  <Words>759</Words>
  <Characters>4327</Characters>
  <Application>Microsoft Office Word</Application>
  <DocSecurity>0</DocSecurity>
  <Lines>36</Lines>
  <Paragraphs>10</Paragraphs>
  <ScaleCrop>false</ScaleCrop>
  <Company>Microsoft</Company>
  <LinksUpToDate>false</LinksUpToDate>
  <CharactersWithSpaces>5076</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3</cp:revision>
  <cp:lastPrinted>2019-06-26T06:05:00Z</cp:lastPrinted>
  <dcterms:created xsi:type="dcterms:W3CDTF">2021-06-28T01:42:00Z</dcterms:created>
  <dcterms:modified xsi:type="dcterms:W3CDTF">2021-06-28T05:41:00Z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