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78AAFD35"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bookmarkStart w:id="0" w:name="_GoBack"/>
      <w:r w:rsidR="0040426C">
        <w:rPr>
          <w:rFonts w:ascii="楷体" w:eastAsia="楷体" w:hAnsi="楷体" w:hint="eastAsia"/>
          <w:sz w:val="28"/>
          <w:szCs w:val="28"/>
        </w:rPr>
        <w:t>央行适时呵护流动性，债市延续震荡行情</w:t>
      </w:r>
      <w:r w:rsidR="009F1386" w:rsidRPr="00541553">
        <w:rPr>
          <w:rFonts w:ascii="楷体" w:eastAsia="楷体" w:hAnsi="楷体"/>
          <w:sz w:val="28"/>
          <w:szCs w:val="28"/>
        </w:rPr>
        <w:t xml:space="preserve"> </w:t>
      </w:r>
      <w:bookmarkEnd w:id="0"/>
    </w:p>
    <w:p w14:paraId="1B2C4A22" w14:textId="0BA85F85" w:rsidR="005E5CB1" w:rsidRPr="00711EF1" w:rsidRDefault="005E5CB1" w:rsidP="005E5CB1">
      <w:pPr>
        <w:pStyle w:val="Header1"/>
        <w:spacing w:before="240"/>
        <w:rPr>
          <w:rFonts w:ascii="华文楷体" w:hAnsi="华文楷体"/>
          <w:b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40AF4CA3" w14:textId="46EFBAFE" w:rsidR="00695DD9" w:rsidRPr="00DF6DF8" w:rsidRDefault="007F3080" w:rsidP="00695DD9">
      <w:pPr>
        <w:pStyle w:val="Header1"/>
        <w:spacing w:before="240"/>
        <w:ind w:firstLine="480"/>
        <w:rPr>
          <w:rFonts w:ascii="华文楷体" w:hAnsi="华文楷体"/>
          <w:b w:val="0"/>
          <w:color w:val="auto"/>
          <w:sz w:val="24"/>
          <w:szCs w:val="24"/>
        </w:rPr>
      </w:pPr>
      <w:r w:rsidRPr="007F3080">
        <w:rPr>
          <w:rFonts w:ascii="华文楷体" w:hAnsi="华文楷体" w:hint="eastAsia"/>
          <w:b w:val="0"/>
          <w:color w:val="auto"/>
          <w:sz w:val="24"/>
          <w:szCs w:val="24"/>
        </w:rPr>
        <w:t>近期</w:t>
      </w:r>
      <w:r>
        <w:rPr>
          <w:rFonts w:ascii="华文楷体" w:hAnsi="华文楷体" w:hint="eastAsia"/>
          <w:b w:val="0"/>
          <w:color w:val="auto"/>
          <w:sz w:val="24"/>
          <w:szCs w:val="24"/>
        </w:rPr>
        <w:t>，</w:t>
      </w:r>
      <w:r w:rsidRPr="007F3080">
        <w:rPr>
          <w:rFonts w:ascii="华文楷体" w:hAnsi="华文楷体" w:hint="eastAsia"/>
          <w:b w:val="0"/>
          <w:color w:val="auto"/>
          <w:sz w:val="24"/>
          <w:szCs w:val="24"/>
        </w:rPr>
        <w:t>公布</w:t>
      </w:r>
      <w:r w:rsidR="009776A9">
        <w:rPr>
          <w:rFonts w:ascii="华文楷体" w:hAnsi="华文楷体" w:hint="eastAsia"/>
          <w:b w:val="0"/>
          <w:color w:val="auto"/>
          <w:sz w:val="24"/>
          <w:szCs w:val="24"/>
        </w:rPr>
        <w:t>6月官方PMI数据，</w:t>
      </w:r>
      <w:r w:rsidR="00E06635" w:rsidRPr="00E06635">
        <w:rPr>
          <w:rFonts w:ascii="华文楷体" w:hAnsi="华文楷体" w:hint="eastAsia"/>
          <w:b w:val="0"/>
          <w:color w:val="auto"/>
          <w:sz w:val="24"/>
          <w:szCs w:val="24"/>
        </w:rPr>
        <w:t>2021年6月中国官方制造业PMI</w:t>
      </w:r>
      <w:r w:rsidR="001D05EA">
        <w:rPr>
          <w:rFonts w:ascii="华文楷体" w:hAnsi="华文楷体" w:hint="eastAsia"/>
          <w:b w:val="0"/>
          <w:color w:val="auto"/>
          <w:sz w:val="24"/>
          <w:szCs w:val="24"/>
        </w:rPr>
        <w:t>为</w:t>
      </w:r>
      <w:r w:rsidR="00E06635" w:rsidRPr="00E06635">
        <w:rPr>
          <w:rFonts w:ascii="华文楷体" w:hAnsi="华文楷体" w:hint="eastAsia"/>
          <w:b w:val="0"/>
          <w:color w:val="auto"/>
          <w:sz w:val="24"/>
          <w:szCs w:val="24"/>
        </w:rPr>
        <w:t>50.9%，较5月的51.0%下行0.1个百分点，预期值50.4%；官方非制造业PMI</w:t>
      </w:r>
      <w:r w:rsidR="001D05EA">
        <w:rPr>
          <w:rFonts w:ascii="华文楷体" w:hAnsi="华文楷体" w:hint="eastAsia"/>
          <w:b w:val="0"/>
          <w:color w:val="auto"/>
          <w:sz w:val="24"/>
          <w:szCs w:val="24"/>
        </w:rPr>
        <w:t>为</w:t>
      </w:r>
      <w:r w:rsidR="00E06635" w:rsidRPr="00E06635">
        <w:rPr>
          <w:rFonts w:ascii="华文楷体" w:hAnsi="华文楷体" w:hint="eastAsia"/>
          <w:b w:val="0"/>
          <w:color w:val="auto"/>
          <w:sz w:val="24"/>
          <w:szCs w:val="24"/>
        </w:rPr>
        <w:t>53.5%，较5月</w:t>
      </w:r>
      <w:r w:rsidR="001D05EA">
        <w:rPr>
          <w:rFonts w:ascii="华文楷体" w:hAnsi="华文楷体" w:hint="eastAsia"/>
          <w:b w:val="0"/>
          <w:color w:val="auto"/>
          <w:sz w:val="24"/>
          <w:szCs w:val="24"/>
        </w:rPr>
        <w:t>下行</w:t>
      </w:r>
      <w:r w:rsidR="00E06635" w:rsidRPr="00E06635">
        <w:rPr>
          <w:rFonts w:ascii="华文楷体" w:hAnsi="华文楷体" w:hint="eastAsia"/>
          <w:b w:val="0"/>
          <w:color w:val="auto"/>
          <w:sz w:val="24"/>
          <w:szCs w:val="24"/>
        </w:rPr>
        <w:t>1.7个百分点，预期值55.3%；综合PMI产出指数为52.9%，比5月</w:t>
      </w:r>
      <w:r w:rsidR="001D05EA">
        <w:rPr>
          <w:rFonts w:ascii="华文楷体" w:hAnsi="华文楷体" w:hint="eastAsia"/>
          <w:b w:val="0"/>
          <w:color w:val="auto"/>
          <w:sz w:val="24"/>
          <w:szCs w:val="24"/>
        </w:rPr>
        <w:t>下行</w:t>
      </w:r>
      <w:r w:rsidR="00E06635" w:rsidRPr="00E06635">
        <w:rPr>
          <w:rFonts w:ascii="华文楷体" w:hAnsi="华文楷体" w:hint="eastAsia"/>
          <w:b w:val="0"/>
          <w:color w:val="auto"/>
          <w:sz w:val="24"/>
          <w:szCs w:val="24"/>
        </w:rPr>
        <w:t>1.3个百分点。</w:t>
      </w:r>
      <w:r w:rsidR="009776A9" w:rsidRPr="009776A9">
        <w:rPr>
          <w:rFonts w:ascii="华文楷体" w:hAnsi="华文楷体" w:hint="eastAsia"/>
          <w:b w:val="0"/>
          <w:color w:val="auto"/>
          <w:sz w:val="24"/>
          <w:szCs w:val="24"/>
        </w:rPr>
        <w:t>6月制造业</w:t>
      </w:r>
      <w:r w:rsidR="009776A9">
        <w:rPr>
          <w:rFonts w:ascii="华文楷体" w:hAnsi="华文楷体" w:hint="eastAsia"/>
          <w:b w:val="0"/>
          <w:color w:val="auto"/>
          <w:sz w:val="24"/>
          <w:szCs w:val="24"/>
        </w:rPr>
        <w:t>PMI</w:t>
      </w:r>
      <w:r w:rsidR="009776A9" w:rsidRPr="009776A9">
        <w:rPr>
          <w:rFonts w:ascii="华文楷体" w:hAnsi="华文楷体" w:hint="eastAsia"/>
          <w:b w:val="0"/>
          <w:color w:val="auto"/>
          <w:sz w:val="24"/>
          <w:szCs w:val="24"/>
        </w:rPr>
        <w:t>仍处于景气区间</w:t>
      </w:r>
      <w:r w:rsidR="009776A9">
        <w:rPr>
          <w:rFonts w:ascii="华文楷体" w:hAnsi="华文楷体" w:hint="eastAsia"/>
          <w:b w:val="0"/>
          <w:color w:val="auto"/>
          <w:sz w:val="24"/>
          <w:szCs w:val="24"/>
        </w:rPr>
        <w:t>，但</w:t>
      </w:r>
      <w:r w:rsidR="009776A9" w:rsidRPr="009776A9">
        <w:rPr>
          <w:rFonts w:ascii="华文楷体" w:hAnsi="华文楷体" w:hint="eastAsia"/>
          <w:b w:val="0"/>
          <w:color w:val="auto"/>
          <w:sz w:val="24"/>
          <w:szCs w:val="24"/>
        </w:rPr>
        <w:t>延续小幅下行趋势</w:t>
      </w:r>
      <w:r w:rsidR="009776A9">
        <w:rPr>
          <w:rFonts w:ascii="华文楷体" w:hAnsi="华文楷体" w:hint="eastAsia"/>
          <w:b w:val="0"/>
          <w:color w:val="auto"/>
          <w:sz w:val="24"/>
          <w:szCs w:val="24"/>
        </w:rPr>
        <w:t>。</w:t>
      </w:r>
    </w:p>
    <w:p w14:paraId="3073B9B1" w14:textId="5C00350B" w:rsidR="00CD6876" w:rsidRDefault="006F2495" w:rsidP="00CD6876">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w:t>
      </w:r>
      <w:r w:rsidR="006D22E9">
        <w:rPr>
          <w:rFonts w:ascii="华文楷体" w:hAnsi="华文楷体" w:hint="eastAsia"/>
          <w:b w:val="0"/>
          <w:color w:val="auto"/>
          <w:sz w:val="24"/>
          <w:szCs w:val="24"/>
        </w:rPr>
        <w:t>具体</w:t>
      </w:r>
      <w:r w:rsidR="00FC3B6C">
        <w:rPr>
          <w:rFonts w:ascii="华文楷体" w:hAnsi="华文楷体" w:hint="eastAsia"/>
          <w:b w:val="0"/>
          <w:color w:val="auto"/>
          <w:sz w:val="24"/>
          <w:szCs w:val="24"/>
        </w:rPr>
        <w:t>数据方面，</w:t>
      </w:r>
      <w:r w:rsidR="00CD6876" w:rsidRPr="00CD6876">
        <w:rPr>
          <w:rFonts w:ascii="华文楷体" w:hAnsi="华文楷体" w:hint="eastAsia"/>
          <w:b w:val="0"/>
          <w:color w:val="auto"/>
          <w:sz w:val="24"/>
          <w:szCs w:val="24"/>
        </w:rPr>
        <w:t>2021年6月制造业PMI生产、采购指数分别回落0.8</w:t>
      </w:r>
      <w:r w:rsidR="00E06635">
        <w:rPr>
          <w:rFonts w:ascii="华文楷体" w:hAnsi="华文楷体" w:hint="eastAsia"/>
          <w:b w:val="0"/>
          <w:color w:val="auto"/>
          <w:sz w:val="24"/>
          <w:szCs w:val="24"/>
        </w:rPr>
        <w:t>个百分点和</w:t>
      </w:r>
      <w:r w:rsidR="00CD6876" w:rsidRPr="00CD6876">
        <w:rPr>
          <w:rFonts w:ascii="华文楷体" w:hAnsi="华文楷体" w:hint="eastAsia"/>
          <w:b w:val="0"/>
          <w:color w:val="auto"/>
          <w:sz w:val="24"/>
          <w:szCs w:val="24"/>
        </w:rPr>
        <w:t>0.2</w:t>
      </w:r>
      <w:r w:rsidR="00E06635">
        <w:rPr>
          <w:rFonts w:ascii="华文楷体" w:hAnsi="华文楷体" w:hint="eastAsia"/>
          <w:b w:val="0"/>
          <w:color w:val="auto"/>
          <w:sz w:val="24"/>
          <w:szCs w:val="24"/>
        </w:rPr>
        <w:t>个百分点</w:t>
      </w:r>
      <w:r w:rsidR="00CD6876" w:rsidRPr="00CD6876">
        <w:rPr>
          <w:rFonts w:ascii="华文楷体" w:hAnsi="华文楷体" w:hint="eastAsia"/>
          <w:b w:val="0"/>
          <w:color w:val="auto"/>
          <w:sz w:val="24"/>
          <w:szCs w:val="24"/>
        </w:rPr>
        <w:t>至51.9%</w:t>
      </w:r>
      <w:r w:rsidR="00E06635">
        <w:rPr>
          <w:rFonts w:ascii="华文楷体" w:hAnsi="华文楷体" w:hint="eastAsia"/>
          <w:b w:val="0"/>
          <w:color w:val="auto"/>
          <w:sz w:val="24"/>
          <w:szCs w:val="24"/>
        </w:rPr>
        <w:t>和</w:t>
      </w:r>
      <w:r w:rsidR="00CD6876" w:rsidRPr="00CD6876">
        <w:rPr>
          <w:rFonts w:ascii="华文楷体" w:hAnsi="华文楷体" w:hint="eastAsia"/>
          <w:b w:val="0"/>
          <w:color w:val="auto"/>
          <w:sz w:val="24"/>
          <w:szCs w:val="24"/>
        </w:rPr>
        <w:t>51.7%，工业生产</w:t>
      </w:r>
      <w:r w:rsidR="00E06635">
        <w:rPr>
          <w:rFonts w:ascii="华文楷体" w:hAnsi="华文楷体" w:hint="eastAsia"/>
          <w:b w:val="0"/>
          <w:color w:val="auto"/>
          <w:sz w:val="24"/>
          <w:szCs w:val="24"/>
        </w:rPr>
        <w:t>持续</w:t>
      </w:r>
      <w:r w:rsidR="00CD6876" w:rsidRPr="00CD6876">
        <w:rPr>
          <w:rFonts w:ascii="华文楷体" w:hAnsi="华文楷体" w:hint="eastAsia"/>
          <w:b w:val="0"/>
          <w:color w:val="auto"/>
          <w:sz w:val="24"/>
          <w:szCs w:val="24"/>
        </w:rPr>
        <w:t>修复，但边际</w:t>
      </w:r>
      <w:r w:rsidR="00E06635">
        <w:rPr>
          <w:rFonts w:ascii="华文楷体" w:hAnsi="华文楷体" w:hint="eastAsia"/>
          <w:b w:val="0"/>
          <w:color w:val="auto"/>
          <w:sz w:val="24"/>
          <w:szCs w:val="24"/>
        </w:rPr>
        <w:t>动力有所减弱</w:t>
      </w:r>
      <w:r w:rsidR="00CD6876" w:rsidRPr="00CD6876">
        <w:rPr>
          <w:rFonts w:ascii="华文楷体" w:hAnsi="华文楷体" w:hint="eastAsia"/>
          <w:b w:val="0"/>
          <w:color w:val="auto"/>
          <w:sz w:val="24"/>
          <w:szCs w:val="24"/>
        </w:rPr>
        <w:t>。</w:t>
      </w:r>
    </w:p>
    <w:p w14:paraId="0C615F6F" w14:textId="0EFFDBBD" w:rsidR="006F2495" w:rsidRDefault="006F2495" w:rsidP="00CD6876">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需求方面，</w:t>
      </w:r>
      <w:r w:rsidRPr="006F2495">
        <w:rPr>
          <w:rFonts w:ascii="华文楷体" w:hAnsi="华文楷体" w:hint="eastAsia"/>
          <w:b w:val="0"/>
          <w:color w:val="auto"/>
          <w:sz w:val="24"/>
          <w:szCs w:val="24"/>
        </w:rPr>
        <w:t>新</w:t>
      </w:r>
      <w:proofErr w:type="gramStart"/>
      <w:r w:rsidRPr="006F2495">
        <w:rPr>
          <w:rFonts w:ascii="华文楷体" w:hAnsi="华文楷体" w:hint="eastAsia"/>
          <w:b w:val="0"/>
          <w:color w:val="auto"/>
          <w:sz w:val="24"/>
          <w:szCs w:val="24"/>
        </w:rPr>
        <w:t>订单环</w:t>
      </w:r>
      <w:proofErr w:type="gramEnd"/>
      <w:r w:rsidRPr="006F2495">
        <w:rPr>
          <w:rFonts w:ascii="华文楷体" w:hAnsi="华文楷体" w:hint="eastAsia"/>
          <w:b w:val="0"/>
          <w:color w:val="auto"/>
          <w:sz w:val="24"/>
          <w:szCs w:val="24"/>
        </w:rPr>
        <w:t>比回升0.2</w:t>
      </w:r>
      <w:r>
        <w:rPr>
          <w:rFonts w:ascii="华文楷体" w:hAnsi="华文楷体" w:hint="eastAsia"/>
          <w:b w:val="0"/>
          <w:color w:val="auto"/>
          <w:sz w:val="24"/>
          <w:szCs w:val="24"/>
        </w:rPr>
        <w:t>个百分点</w:t>
      </w:r>
      <w:r w:rsidRPr="006F2495">
        <w:rPr>
          <w:rFonts w:ascii="华文楷体" w:hAnsi="华文楷体" w:hint="eastAsia"/>
          <w:b w:val="0"/>
          <w:color w:val="auto"/>
          <w:sz w:val="24"/>
          <w:szCs w:val="24"/>
        </w:rPr>
        <w:t>，在手订单回升0.7</w:t>
      </w:r>
      <w:r>
        <w:rPr>
          <w:rFonts w:ascii="华文楷体" w:hAnsi="华文楷体" w:hint="eastAsia"/>
          <w:b w:val="0"/>
          <w:color w:val="auto"/>
          <w:sz w:val="24"/>
          <w:szCs w:val="24"/>
        </w:rPr>
        <w:t>个百分点</w:t>
      </w:r>
      <w:r w:rsidRPr="006F2495">
        <w:rPr>
          <w:rFonts w:ascii="华文楷体" w:hAnsi="华文楷体" w:hint="eastAsia"/>
          <w:b w:val="0"/>
          <w:color w:val="auto"/>
          <w:sz w:val="24"/>
          <w:szCs w:val="24"/>
        </w:rPr>
        <w:t>至46.6%，原材料、产成品库存分别上行0.3</w:t>
      </w:r>
      <w:r>
        <w:rPr>
          <w:rFonts w:ascii="华文楷体" w:hAnsi="华文楷体" w:hint="eastAsia"/>
          <w:b w:val="0"/>
          <w:color w:val="auto"/>
          <w:sz w:val="24"/>
          <w:szCs w:val="24"/>
        </w:rPr>
        <w:t>个百分点和</w:t>
      </w:r>
      <w:r w:rsidRPr="006F2495">
        <w:rPr>
          <w:rFonts w:ascii="华文楷体" w:hAnsi="华文楷体" w:hint="eastAsia"/>
          <w:b w:val="0"/>
          <w:color w:val="auto"/>
          <w:sz w:val="24"/>
          <w:szCs w:val="24"/>
        </w:rPr>
        <w:t>0.6</w:t>
      </w:r>
      <w:r>
        <w:rPr>
          <w:rFonts w:ascii="华文楷体" w:hAnsi="华文楷体" w:hint="eastAsia"/>
          <w:b w:val="0"/>
          <w:color w:val="auto"/>
          <w:sz w:val="24"/>
          <w:szCs w:val="24"/>
        </w:rPr>
        <w:t>个百分点</w:t>
      </w:r>
      <w:r w:rsidRPr="006F2495">
        <w:rPr>
          <w:rFonts w:ascii="华文楷体" w:hAnsi="华文楷体" w:hint="eastAsia"/>
          <w:b w:val="0"/>
          <w:color w:val="auto"/>
          <w:sz w:val="24"/>
          <w:szCs w:val="24"/>
        </w:rPr>
        <w:t>至48</w:t>
      </w:r>
      <w:r w:rsidR="006D22E9">
        <w:rPr>
          <w:rFonts w:ascii="华文楷体" w:hAnsi="华文楷体" w:hint="eastAsia"/>
          <w:b w:val="0"/>
          <w:color w:val="auto"/>
          <w:sz w:val="24"/>
          <w:szCs w:val="24"/>
        </w:rPr>
        <w:t>.0</w:t>
      </w:r>
      <w:r w:rsidRPr="006F2495">
        <w:rPr>
          <w:rFonts w:ascii="华文楷体" w:hAnsi="华文楷体" w:hint="eastAsia"/>
          <w:b w:val="0"/>
          <w:color w:val="auto"/>
          <w:sz w:val="24"/>
          <w:szCs w:val="24"/>
        </w:rPr>
        <w:t>%</w:t>
      </w:r>
      <w:r>
        <w:rPr>
          <w:rFonts w:ascii="华文楷体" w:hAnsi="华文楷体" w:hint="eastAsia"/>
          <w:b w:val="0"/>
          <w:color w:val="auto"/>
          <w:sz w:val="24"/>
          <w:szCs w:val="24"/>
        </w:rPr>
        <w:t>和</w:t>
      </w:r>
      <w:r w:rsidRPr="006F2495">
        <w:rPr>
          <w:rFonts w:ascii="华文楷体" w:hAnsi="华文楷体" w:hint="eastAsia"/>
          <w:b w:val="0"/>
          <w:color w:val="auto"/>
          <w:sz w:val="24"/>
          <w:szCs w:val="24"/>
        </w:rPr>
        <w:t>47.1%，生产经营活动预期指数57.9%，</w:t>
      </w:r>
      <w:r>
        <w:rPr>
          <w:rFonts w:ascii="华文楷体" w:hAnsi="华文楷体" w:hint="eastAsia"/>
          <w:b w:val="0"/>
          <w:color w:val="auto"/>
          <w:sz w:val="24"/>
          <w:szCs w:val="24"/>
        </w:rPr>
        <w:t>目前仍维持在荣枯线上方，</w:t>
      </w:r>
      <w:r w:rsidRPr="006F2495">
        <w:rPr>
          <w:rFonts w:ascii="华文楷体" w:hAnsi="华文楷体" w:hint="eastAsia"/>
          <w:b w:val="0"/>
          <w:color w:val="auto"/>
          <w:sz w:val="24"/>
          <w:szCs w:val="24"/>
        </w:rPr>
        <w:t>趋势上</w:t>
      </w:r>
      <w:r>
        <w:rPr>
          <w:rFonts w:ascii="华文楷体" w:hAnsi="华文楷体" w:hint="eastAsia"/>
          <w:b w:val="0"/>
          <w:color w:val="auto"/>
          <w:sz w:val="24"/>
          <w:szCs w:val="24"/>
        </w:rPr>
        <w:t>同样延续</w:t>
      </w:r>
      <w:r w:rsidRPr="006F2495">
        <w:rPr>
          <w:rFonts w:ascii="华文楷体" w:hAnsi="华文楷体" w:hint="eastAsia"/>
          <w:b w:val="0"/>
          <w:color w:val="auto"/>
          <w:sz w:val="24"/>
          <w:szCs w:val="24"/>
        </w:rPr>
        <w:t>3月以来的小幅回落</w:t>
      </w:r>
      <w:r>
        <w:rPr>
          <w:rFonts w:ascii="华文楷体" w:hAnsi="华文楷体" w:hint="eastAsia"/>
          <w:b w:val="0"/>
          <w:color w:val="auto"/>
          <w:sz w:val="24"/>
          <w:szCs w:val="24"/>
        </w:rPr>
        <w:t>态势</w:t>
      </w:r>
      <w:r w:rsidRPr="006F2495">
        <w:rPr>
          <w:rFonts w:ascii="华文楷体" w:hAnsi="华文楷体" w:hint="eastAsia"/>
          <w:b w:val="0"/>
          <w:color w:val="auto"/>
          <w:sz w:val="24"/>
          <w:szCs w:val="24"/>
        </w:rPr>
        <w:t>。6月新出口订单继续回落0.2</w:t>
      </w:r>
      <w:r>
        <w:rPr>
          <w:rFonts w:ascii="华文楷体" w:hAnsi="华文楷体" w:hint="eastAsia"/>
          <w:b w:val="0"/>
          <w:color w:val="auto"/>
          <w:sz w:val="24"/>
          <w:szCs w:val="24"/>
        </w:rPr>
        <w:t>个百分点</w:t>
      </w:r>
      <w:r w:rsidRPr="006F2495">
        <w:rPr>
          <w:rFonts w:ascii="华文楷体" w:hAnsi="华文楷体" w:hint="eastAsia"/>
          <w:b w:val="0"/>
          <w:color w:val="auto"/>
          <w:sz w:val="24"/>
          <w:szCs w:val="24"/>
        </w:rPr>
        <w:t>至48.1%，连续两个月处于收缩区间</w:t>
      </w:r>
      <w:r>
        <w:rPr>
          <w:rFonts w:ascii="华文楷体" w:hAnsi="华文楷体" w:hint="eastAsia"/>
          <w:b w:val="0"/>
          <w:color w:val="auto"/>
          <w:sz w:val="24"/>
          <w:szCs w:val="24"/>
        </w:rPr>
        <w:t>。</w:t>
      </w:r>
      <w:r w:rsidRPr="006F2495">
        <w:rPr>
          <w:rFonts w:ascii="华文楷体" w:hAnsi="华文楷体" w:hint="eastAsia"/>
          <w:b w:val="0"/>
          <w:color w:val="auto"/>
          <w:sz w:val="24"/>
          <w:szCs w:val="24"/>
        </w:rPr>
        <w:t>进口分项环比下行1.2</w:t>
      </w:r>
      <w:r>
        <w:rPr>
          <w:rFonts w:ascii="华文楷体" w:hAnsi="华文楷体" w:hint="eastAsia"/>
          <w:b w:val="0"/>
          <w:color w:val="auto"/>
          <w:sz w:val="24"/>
          <w:szCs w:val="24"/>
        </w:rPr>
        <w:t>个百分点</w:t>
      </w:r>
      <w:r w:rsidRPr="006F2495">
        <w:rPr>
          <w:rFonts w:ascii="华文楷体" w:hAnsi="华文楷体" w:hint="eastAsia"/>
          <w:b w:val="0"/>
          <w:color w:val="auto"/>
          <w:sz w:val="24"/>
          <w:szCs w:val="24"/>
        </w:rPr>
        <w:t>至49.7%</w:t>
      </w:r>
      <w:r>
        <w:rPr>
          <w:rFonts w:ascii="华文楷体" w:hAnsi="华文楷体" w:hint="eastAsia"/>
          <w:b w:val="0"/>
          <w:color w:val="auto"/>
          <w:sz w:val="24"/>
          <w:szCs w:val="24"/>
        </w:rPr>
        <w:t>，降至荣枯线下方。</w:t>
      </w:r>
    </w:p>
    <w:p w14:paraId="1BC5BB40" w14:textId="45ACF766" w:rsidR="006F2495" w:rsidRDefault="007672D4" w:rsidP="00CD6876">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企业类型方面，</w:t>
      </w:r>
      <w:r w:rsidR="006F2495">
        <w:rPr>
          <w:rFonts w:ascii="华文楷体" w:hAnsi="华文楷体"/>
          <w:b w:val="0"/>
          <w:color w:val="auto"/>
          <w:sz w:val="24"/>
          <w:szCs w:val="24"/>
        </w:rPr>
        <w:t xml:space="preserve"> </w:t>
      </w:r>
      <w:r w:rsidRPr="007672D4">
        <w:rPr>
          <w:rFonts w:ascii="华文楷体" w:hAnsi="华文楷体" w:hint="eastAsia"/>
          <w:b w:val="0"/>
          <w:color w:val="auto"/>
          <w:sz w:val="24"/>
          <w:szCs w:val="24"/>
        </w:rPr>
        <w:t>6月小型企业PMI环比回升0.3</w:t>
      </w:r>
      <w:r>
        <w:rPr>
          <w:rFonts w:ascii="华文楷体" w:hAnsi="华文楷体" w:hint="eastAsia"/>
          <w:b w:val="0"/>
          <w:color w:val="auto"/>
          <w:sz w:val="24"/>
          <w:szCs w:val="24"/>
        </w:rPr>
        <w:t>个百分点</w:t>
      </w:r>
      <w:r w:rsidRPr="007672D4">
        <w:rPr>
          <w:rFonts w:ascii="华文楷体" w:hAnsi="华文楷体" w:hint="eastAsia"/>
          <w:b w:val="0"/>
          <w:color w:val="auto"/>
          <w:sz w:val="24"/>
          <w:szCs w:val="24"/>
        </w:rPr>
        <w:t>至49.1%，分项上，新订单、新出口订单以及生产、采购量分项</w:t>
      </w:r>
      <w:proofErr w:type="gramStart"/>
      <w:r w:rsidRPr="007672D4">
        <w:rPr>
          <w:rFonts w:ascii="华文楷体" w:hAnsi="华文楷体" w:hint="eastAsia"/>
          <w:b w:val="0"/>
          <w:color w:val="auto"/>
          <w:sz w:val="24"/>
          <w:szCs w:val="24"/>
        </w:rPr>
        <w:t>均呈环比</w:t>
      </w:r>
      <w:proofErr w:type="gramEnd"/>
      <w:r w:rsidRPr="007672D4">
        <w:rPr>
          <w:rFonts w:ascii="华文楷体" w:hAnsi="华文楷体" w:hint="eastAsia"/>
          <w:b w:val="0"/>
          <w:color w:val="auto"/>
          <w:sz w:val="24"/>
          <w:szCs w:val="24"/>
        </w:rPr>
        <w:t>上行，进口量回升至扩张区间</w:t>
      </w:r>
      <w:r>
        <w:rPr>
          <w:rFonts w:ascii="华文楷体" w:hAnsi="华文楷体" w:hint="eastAsia"/>
          <w:b w:val="0"/>
          <w:color w:val="auto"/>
          <w:sz w:val="24"/>
          <w:szCs w:val="24"/>
        </w:rPr>
        <w:t>。</w:t>
      </w:r>
      <w:r w:rsidRPr="007672D4">
        <w:rPr>
          <w:rFonts w:ascii="华文楷体" w:hAnsi="华文楷体" w:hint="eastAsia"/>
          <w:b w:val="0"/>
          <w:color w:val="auto"/>
          <w:sz w:val="24"/>
          <w:szCs w:val="24"/>
        </w:rPr>
        <w:t>大、中型企业PMI 分别回落0.1</w:t>
      </w:r>
      <w:r>
        <w:rPr>
          <w:rFonts w:ascii="华文楷体" w:hAnsi="华文楷体" w:hint="eastAsia"/>
          <w:b w:val="0"/>
          <w:color w:val="auto"/>
          <w:sz w:val="24"/>
          <w:szCs w:val="24"/>
        </w:rPr>
        <w:t>个百分点和</w:t>
      </w:r>
      <w:r w:rsidRPr="007672D4">
        <w:rPr>
          <w:rFonts w:ascii="华文楷体" w:hAnsi="华文楷体" w:hint="eastAsia"/>
          <w:b w:val="0"/>
          <w:color w:val="auto"/>
          <w:sz w:val="24"/>
          <w:szCs w:val="24"/>
        </w:rPr>
        <w:t>0.3</w:t>
      </w:r>
      <w:r>
        <w:rPr>
          <w:rFonts w:ascii="华文楷体" w:hAnsi="华文楷体" w:hint="eastAsia"/>
          <w:b w:val="0"/>
          <w:color w:val="auto"/>
          <w:sz w:val="24"/>
          <w:szCs w:val="24"/>
        </w:rPr>
        <w:t>个百分点</w:t>
      </w:r>
      <w:r w:rsidRPr="007672D4">
        <w:rPr>
          <w:rFonts w:ascii="华文楷体" w:hAnsi="华文楷体" w:hint="eastAsia"/>
          <w:b w:val="0"/>
          <w:color w:val="auto"/>
          <w:sz w:val="24"/>
          <w:szCs w:val="24"/>
        </w:rPr>
        <w:t>至51.7%</w:t>
      </w:r>
      <w:r>
        <w:rPr>
          <w:rFonts w:ascii="华文楷体" w:hAnsi="华文楷体" w:hint="eastAsia"/>
          <w:b w:val="0"/>
          <w:color w:val="auto"/>
          <w:sz w:val="24"/>
          <w:szCs w:val="24"/>
        </w:rPr>
        <w:t>和</w:t>
      </w:r>
      <w:r w:rsidRPr="007672D4">
        <w:rPr>
          <w:rFonts w:ascii="华文楷体" w:hAnsi="华文楷体" w:hint="eastAsia"/>
          <w:b w:val="0"/>
          <w:color w:val="auto"/>
          <w:sz w:val="24"/>
          <w:szCs w:val="24"/>
        </w:rPr>
        <w:t>50.8%</w:t>
      </w:r>
      <w:r>
        <w:rPr>
          <w:rFonts w:ascii="华文楷体" w:hAnsi="华文楷体" w:hint="eastAsia"/>
          <w:b w:val="0"/>
          <w:color w:val="auto"/>
          <w:sz w:val="24"/>
          <w:szCs w:val="24"/>
        </w:rPr>
        <w:t>。</w:t>
      </w:r>
      <w:r w:rsidRPr="007672D4">
        <w:rPr>
          <w:rFonts w:ascii="华文楷体" w:hAnsi="华文楷体" w:hint="eastAsia"/>
          <w:b w:val="0"/>
          <w:color w:val="auto"/>
          <w:sz w:val="24"/>
          <w:szCs w:val="24"/>
        </w:rPr>
        <w:t>生产转弱</w:t>
      </w:r>
      <w:r>
        <w:rPr>
          <w:rFonts w:ascii="华文楷体" w:hAnsi="华文楷体" w:hint="eastAsia"/>
          <w:b w:val="0"/>
          <w:color w:val="auto"/>
          <w:sz w:val="24"/>
          <w:szCs w:val="24"/>
        </w:rPr>
        <w:t>体现有一定</w:t>
      </w:r>
      <w:r w:rsidRPr="007672D4">
        <w:rPr>
          <w:rFonts w:ascii="华文楷体" w:hAnsi="华文楷体" w:hint="eastAsia"/>
          <w:b w:val="0"/>
          <w:color w:val="auto"/>
          <w:sz w:val="24"/>
          <w:szCs w:val="24"/>
        </w:rPr>
        <w:t>季节性特征</w:t>
      </w:r>
      <w:r>
        <w:rPr>
          <w:rFonts w:ascii="华文楷体" w:hAnsi="华文楷体" w:hint="eastAsia"/>
          <w:b w:val="0"/>
          <w:color w:val="auto"/>
          <w:sz w:val="24"/>
          <w:szCs w:val="24"/>
        </w:rPr>
        <w:t>，</w:t>
      </w:r>
      <w:r w:rsidRPr="007672D4">
        <w:rPr>
          <w:rFonts w:ascii="华文楷体" w:hAnsi="华文楷体" w:hint="eastAsia"/>
          <w:b w:val="0"/>
          <w:color w:val="auto"/>
          <w:sz w:val="24"/>
          <w:szCs w:val="24"/>
        </w:rPr>
        <w:t>需求上，大型企业新订单分项回升，中型企业转为回落，需求扩张</w:t>
      </w:r>
      <w:r>
        <w:rPr>
          <w:rFonts w:ascii="华文楷体" w:hAnsi="华文楷体" w:hint="eastAsia"/>
          <w:b w:val="0"/>
          <w:color w:val="auto"/>
          <w:sz w:val="24"/>
          <w:szCs w:val="24"/>
        </w:rPr>
        <w:t>整体适度</w:t>
      </w:r>
      <w:r w:rsidRPr="007672D4">
        <w:rPr>
          <w:rFonts w:ascii="华文楷体" w:hAnsi="华文楷体" w:hint="eastAsia"/>
          <w:b w:val="0"/>
          <w:color w:val="auto"/>
          <w:sz w:val="24"/>
          <w:szCs w:val="24"/>
        </w:rPr>
        <w:t>放慢。</w:t>
      </w:r>
    </w:p>
    <w:p w14:paraId="64B8DD94" w14:textId="4FAE56FB" w:rsidR="007672D4" w:rsidRDefault="007672D4" w:rsidP="00CD6876">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价格指数方面，</w:t>
      </w:r>
      <w:r w:rsidRPr="007672D4">
        <w:rPr>
          <w:rFonts w:ascii="华文楷体" w:hAnsi="华文楷体" w:hint="eastAsia"/>
          <w:b w:val="0"/>
          <w:color w:val="auto"/>
          <w:sz w:val="24"/>
          <w:szCs w:val="24"/>
        </w:rPr>
        <w:t>6月原材料购进价格分项环比下行11.6</w:t>
      </w:r>
      <w:r>
        <w:rPr>
          <w:rFonts w:ascii="华文楷体" w:hAnsi="华文楷体" w:hint="eastAsia"/>
          <w:b w:val="0"/>
          <w:color w:val="auto"/>
          <w:sz w:val="24"/>
          <w:szCs w:val="24"/>
        </w:rPr>
        <w:t>个百分点</w:t>
      </w:r>
      <w:r w:rsidRPr="007672D4">
        <w:rPr>
          <w:rFonts w:ascii="华文楷体" w:hAnsi="华文楷体" w:hint="eastAsia"/>
          <w:b w:val="0"/>
          <w:color w:val="auto"/>
          <w:sz w:val="24"/>
          <w:szCs w:val="24"/>
        </w:rPr>
        <w:t>至61.2%，出厂价格环比回落9.2</w:t>
      </w:r>
      <w:r>
        <w:rPr>
          <w:rFonts w:ascii="华文楷体" w:hAnsi="华文楷体" w:hint="eastAsia"/>
          <w:b w:val="0"/>
          <w:color w:val="auto"/>
          <w:sz w:val="24"/>
          <w:szCs w:val="24"/>
        </w:rPr>
        <w:t>个百分点</w:t>
      </w:r>
      <w:r w:rsidRPr="007672D4">
        <w:rPr>
          <w:rFonts w:ascii="华文楷体" w:hAnsi="华文楷体" w:hint="eastAsia"/>
          <w:b w:val="0"/>
          <w:color w:val="auto"/>
          <w:sz w:val="24"/>
          <w:szCs w:val="24"/>
        </w:rPr>
        <w:t>至51.4%。</w:t>
      </w:r>
    </w:p>
    <w:p w14:paraId="46B904D8" w14:textId="2D60A472" w:rsidR="006F2495" w:rsidRDefault="007672D4" w:rsidP="00CD6876">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非制造业PMI方面，</w:t>
      </w:r>
      <w:r w:rsidRPr="007672D4">
        <w:rPr>
          <w:rFonts w:ascii="华文楷体" w:hAnsi="华文楷体" w:hint="eastAsia"/>
          <w:b w:val="0"/>
          <w:color w:val="auto"/>
          <w:sz w:val="24"/>
          <w:szCs w:val="24"/>
        </w:rPr>
        <w:t>6月非制造业PMI环比下降1.7</w:t>
      </w:r>
      <w:r>
        <w:rPr>
          <w:rFonts w:ascii="华文楷体" w:hAnsi="华文楷体" w:hint="eastAsia"/>
          <w:b w:val="0"/>
          <w:color w:val="auto"/>
          <w:sz w:val="24"/>
          <w:szCs w:val="24"/>
        </w:rPr>
        <w:t>个百分点</w:t>
      </w:r>
      <w:r w:rsidRPr="007672D4">
        <w:rPr>
          <w:rFonts w:ascii="华文楷体" w:hAnsi="华文楷体" w:hint="eastAsia"/>
          <w:b w:val="0"/>
          <w:color w:val="auto"/>
          <w:sz w:val="24"/>
          <w:szCs w:val="24"/>
        </w:rPr>
        <w:t>至53.5%。其中，服务业商务活动指数52.3%，环比下行2</w:t>
      </w:r>
      <w:r>
        <w:rPr>
          <w:rFonts w:ascii="华文楷体" w:hAnsi="华文楷体" w:hint="eastAsia"/>
          <w:b w:val="0"/>
          <w:color w:val="auto"/>
          <w:sz w:val="24"/>
          <w:szCs w:val="24"/>
        </w:rPr>
        <w:t>个百分点。</w:t>
      </w:r>
      <w:r w:rsidRPr="007672D4">
        <w:rPr>
          <w:rFonts w:ascii="华文楷体" w:hAnsi="华文楷体" w:hint="eastAsia"/>
          <w:b w:val="0"/>
          <w:color w:val="auto"/>
          <w:sz w:val="24"/>
          <w:szCs w:val="24"/>
        </w:rPr>
        <w:t>建筑业PMI持平5月，</w:t>
      </w:r>
      <w:r>
        <w:rPr>
          <w:rFonts w:ascii="华文楷体" w:hAnsi="华文楷体" w:hint="eastAsia"/>
          <w:b w:val="0"/>
          <w:color w:val="auto"/>
          <w:sz w:val="24"/>
          <w:szCs w:val="24"/>
        </w:rPr>
        <w:t>最终为</w:t>
      </w:r>
      <w:r w:rsidRPr="007672D4">
        <w:rPr>
          <w:rFonts w:ascii="华文楷体" w:hAnsi="华文楷体" w:hint="eastAsia"/>
          <w:b w:val="0"/>
          <w:color w:val="auto"/>
          <w:sz w:val="24"/>
          <w:szCs w:val="24"/>
        </w:rPr>
        <w:t>60.1%，</w:t>
      </w:r>
      <w:r>
        <w:rPr>
          <w:rFonts w:ascii="华文楷体" w:hAnsi="华文楷体" w:hint="eastAsia"/>
          <w:b w:val="0"/>
          <w:color w:val="auto"/>
          <w:sz w:val="24"/>
          <w:szCs w:val="24"/>
        </w:rPr>
        <w:t>按分项看，从业人员、新订单和业务活动预期指数全线回落</w:t>
      </w:r>
      <w:r w:rsidRPr="007672D4">
        <w:rPr>
          <w:rFonts w:ascii="华文楷体" w:hAnsi="华文楷体" w:hint="eastAsia"/>
          <w:b w:val="0"/>
          <w:color w:val="auto"/>
          <w:sz w:val="24"/>
          <w:szCs w:val="24"/>
        </w:rPr>
        <w:t>。</w:t>
      </w:r>
    </w:p>
    <w:p w14:paraId="5D530856" w14:textId="63D4BF8B" w:rsidR="00DD187B" w:rsidRPr="003E75B1" w:rsidRDefault="002D5CAF" w:rsidP="006C3FA8">
      <w:pPr>
        <w:pStyle w:val="Header1"/>
        <w:spacing w:before="240"/>
        <w:rPr>
          <w:rFonts w:ascii="华文楷体" w:hAnsi="华文楷体"/>
          <w:b w:val="0"/>
          <w:color w:val="auto"/>
          <w:sz w:val="24"/>
          <w:szCs w:val="24"/>
          <w:u w:val="single"/>
        </w:rPr>
      </w:pPr>
      <w:r>
        <w:rPr>
          <w:rFonts w:ascii="华文楷体" w:hAnsi="华文楷体" w:hint="eastAsia"/>
          <w:b w:val="0"/>
          <w:color w:val="auto"/>
          <w:sz w:val="24"/>
          <w:szCs w:val="24"/>
        </w:rPr>
        <w:t xml:space="preserve">     整体看，</w:t>
      </w:r>
      <w:r w:rsidR="00F956AB">
        <w:rPr>
          <w:rFonts w:ascii="华文楷体" w:hAnsi="华文楷体" w:hint="eastAsia"/>
          <w:b w:val="0"/>
          <w:color w:val="auto"/>
          <w:sz w:val="24"/>
          <w:szCs w:val="24"/>
        </w:rPr>
        <w:t>6月PMI数据整体基本符合预期，生产扩张适度转弱，需求边际有所放缓。受海外疫情修复节奏影响，6</w:t>
      </w:r>
      <w:r w:rsidR="00900FAF">
        <w:rPr>
          <w:rFonts w:ascii="华文楷体" w:hAnsi="华文楷体" w:hint="eastAsia"/>
          <w:b w:val="0"/>
          <w:color w:val="auto"/>
          <w:sz w:val="24"/>
          <w:szCs w:val="24"/>
        </w:rPr>
        <w:t>月新</w:t>
      </w:r>
      <w:r w:rsidR="00F956AB">
        <w:rPr>
          <w:rFonts w:ascii="华文楷体" w:hAnsi="华文楷体" w:hint="eastAsia"/>
          <w:b w:val="0"/>
          <w:color w:val="auto"/>
          <w:sz w:val="24"/>
          <w:szCs w:val="24"/>
        </w:rPr>
        <w:t>出口订单二季度维持持续回落态势，订单增量边际收缩。</w:t>
      </w:r>
      <w:r w:rsidR="005A2DD2">
        <w:rPr>
          <w:rFonts w:ascii="华文楷体" w:hAnsi="华文楷体" w:hint="eastAsia"/>
          <w:b w:val="0"/>
          <w:color w:val="auto"/>
          <w:sz w:val="24"/>
          <w:szCs w:val="24"/>
        </w:rPr>
        <w:t>服务业表现仍不强，消费复苏</w:t>
      </w:r>
      <w:proofErr w:type="gramStart"/>
      <w:r w:rsidR="005A2DD2">
        <w:rPr>
          <w:rFonts w:ascii="华文楷体" w:hAnsi="华文楷体" w:hint="eastAsia"/>
          <w:b w:val="0"/>
          <w:color w:val="auto"/>
          <w:sz w:val="24"/>
          <w:szCs w:val="24"/>
        </w:rPr>
        <w:t>驱动仍</w:t>
      </w:r>
      <w:proofErr w:type="gramEnd"/>
      <w:r w:rsidR="005A2DD2">
        <w:rPr>
          <w:rFonts w:ascii="华文楷体" w:hAnsi="华文楷体" w:hint="eastAsia"/>
          <w:b w:val="0"/>
          <w:color w:val="auto"/>
          <w:sz w:val="24"/>
          <w:szCs w:val="24"/>
        </w:rPr>
        <w:t>相对较弱，前期市场预期二季度多个小长假内需消费是否会有一定</w:t>
      </w:r>
      <w:r w:rsidR="00900FAF">
        <w:rPr>
          <w:rFonts w:ascii="华文楷体" w:hAnsi="华文楷体" w:hint="eastAsia"/>
          <w:b w:val="0"/>
          <w:color w:val="auto"/>
          <w:sz w:val="24"/>
          <w:szCs w:val="24"/>
        </w:rPr>
        <w:t>表现</w:t>
      </w:r>
      <w:r w:rsidR="005A2DD2">
        <w:rPr>
          <w:rFonts w:ascii="华文楷体" w:hAnsi="华文楷体" w:hint="eastAsia"/>
          <w:b w:val="0"/>
          <w:color w:val="auto"/>
          <w:sz w:val="24"/>
          <w:szCs w:val="24"/>
        </w:rPr>
        <w:t>，目前从数据来看表现相对一般</w:t>
      </w:r>
      <w:r w:rsidR="003E75B1">
        <w:rPr>
          <w:rFonts w:ascii="华文楷体" w:hAnsi="华文楷体" w:hint="eastAsia"/>
          <w:b w:val="0"/>
          <w:color w:val="auto"/>
          <w:sz w:val="24"/>
          <w:szCs w:val="24"/>
        </w:rPr>
        <w:t>。</w:t>
      </w:r>
      <w:r w:rsidR="005A2DD2">
        <w:rPr>
          <w:rFonts w:ascii="华文楷体" w:hAnsi="华文楷体" w:hint="eastAsia"/>
          <w:b w:val="0"/>
          <w:color w:val="auto"/>
          <w:sz w:val="24"/>
          <w:szCs w:val="24"/>
        </w:rPr>
        <w:t>后续持续关注制造业表现，下周公布PPI和CPI数据，关注工业品价格变化情况。</w:t>
      </w:r>
    </w:p>
    <w:p w14:paraId="6FCB91BB" w14:textId="77777777" w:rsidR="002D5CAF" w:rsidRPr="00551C03" w:rsidRDefault="002D5CAF" w:rsidP="006C3FA8">
      <w:pPr>
        <w:pStyle w:val="Header1"/>
        <w:spacing w:before="240"/>
        <w:rPr>
          <w:rFonts w:ascii="华文楷体" w:hAnsi="华文楷体"/>
          <w:b w:val="0"/>
          <w:color w:val="auto"/>
          <w:sz w:val="24"/>
          <w:szCs w:val="24"/>
        </w:rPr>
      </w:pP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lastRenderedPageBreak/>
        <w:t>1</w:t>
      </w:r>
      <w:r>
        <w:rPr>
          <w:rFonts w:hint="eastAsia"/>
          <w:sz w:val="28"/>
          <w:szCs w:val="21"/>
          <w:lang w:eastAsia="zh-CN"/>
        </w:rPr>
        <w:t>、</w:t>
      </w:r>
      <w:r>
        <w:rPr>
          <w:rFonts w:hint="eastAsia"/>
          <w:sz w:val="28"/>
          <w:szCs w:val="21"/>
        </w:rPr>
        <w:t>资金面</w:t>
      </w:r>
    </w:p>
    <w:p w14:paraId="5B44DCF6" w14:textId="6CC87664"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A5662C">
        <w:rPr>
          <w:rFonts w:ascii="华文楷体" w:hAnsi="华文楷体" w:hint="eastAsia"/>
          <w:sz w:val="24"/>
          <w:szCs w:val="24"/>
          <w:lang w:eastAsia="zh-CN"/>
        </w:rPr>
        <w:t>净</w:t>
      </w:r>
      <w:r w:rsidR="006C5372">
        <w:rPr>
          <w:rFonts w:ascii="华文楷体" w:hAnsi="华文楷体" w:hint="eastAsia"/>
          <w:sz w:val="24"/>
          <w:szCs w:val="24"/>
          <w:lang w:eastAsia="zh-CN"/>
        </w:rPr>
        <w:t>投放</w:t>
      </w:r>
      <w:r w:rsidR="00115447">
        <w:rPr>
          <w:rFonts w:ascii="华文楷体" w:hAnsi="华文楷体" w:hint="eastAsia"/>
          <w:sz w:val="24"/>
          <w:szCs w:val="24"/>
          <w:lang w:eastAsia="zh-CN"/>
        </w:rPr>
        <w:t>2</w:t>
      </w:r>
      <w:r w:rsidR="006C5372">
        <w:rPr>
          <w:rFonts w:ascii="华文楷体" w:hAnsi="华文楷体" w:hint="eastAsia"/>
          <w:sz w:val="24"/>
          <w:szCs w:val="24"/>
          <w:lang w:eastAsia="zh-CN"/>
        </w:rPr>
        <w:t>50</w:t>
      </w:r>
      <w:r w:rsidR="00C15F3D">
        <w:rPr>
          <w:rFonts w:ascii="华文楷体" w:hAnsi="华文楷体" w:hint="eastAsia"/>
          <w:sz w:val="24"/>
          <w:szCs w:val="24"/>
          <w:lang w:eastAsia="zh-CN"/>
        </w:rPr>
        <w:t>亿</w:t>
      </w:r>
      <w:r w:rsidR="006E4B59">
        <w:rPr>
          <w:rFonts w:ascii="华文楷体" w:hAnsi="华文楷体" w:hint="eastAsia"/>
          <w:sz w:val="24"/>
          <w:szCs w:val="24"/>
          <w:lang w:eastAsia="zh-CN"/>
        </w:rPr>
        <w:t>，</w:t>
      </w:r>
      <w:r w:rsidR="00115447">
        <w:rPr>
          <w:rFonts w:ascii="华文楷体" w:hAnsi="华文楷体" w:hint="eastAsia"/>
          <w:sz w:val="24"/>
          <w:szCs w:val="24"/>
          <w:lang w:eastAsia="zh-CN"/>
        </w:rPr>
        <w:t>受跨季影响资金利率快速上行，跨季结束后逐步回归中枢</w:t>
      </w:r>
      <w:r w:rsidR="00B81E73">
        <w:rPr>
          <w:rFonts w:ascii="华文楷体" w:hAnsi="华文楷体" w:hint="eastAsia"/>
          <w:sz w:val="24"/>
          <w:szCs w:val="24"/>
          <w:lang w:eastAsia="zh-CN"/>
        </w:rPr>
        <w:t>。</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115447">
        <w:rPr>
          <w:rFonts w:ascii="华文楷体" w:hAnsi="华文楷体" w:hint="eastAsia"/>
          <w:sz w:val="24"/>
          <w:szCs w:val="24"/>
          <w:lang w:eastAsia="zh-CN"/>
        </w:rPr>
        <w:t>上行8</w:t>
      </w:r>
      <w:r w:rsidR="002D361C">
        <w:rPr>
          <w:rFonts w:ascii="华文楷体" w:hAnsi="华文楷体" w:hint="eastAsia"/>
          <w:sz w:val="24"/>
          <w:szCs w:val="24"/>
          <w:lang w:eastAsia="zh-CN"/>
        </w:rPr>
        <w:t>BP至</w:t>
      </w:r>
      <w:r w:rsidR="006C5372">
        <w:rPr>
          <w:rFonts w:ascii="华文楷体" w:hAnsi="华文楷体" w:hint="eastAsia"/>
          <w:sz w:val="24"/>
          <w:szCs w:val="24"/>
          <w:lang w:eastAsia="zh-CN"/>
        </w:rPr>
        <w:t>1.</w:t>
      </w:r>
      <w:r w:rsidR="00115447">
        <w:rPr>
          <w:rFonts w:ascii="华文楷体" w:hAnsi="华文楷体" w:hint="eastAsia"/>
          <w:sz w:val="24"/>
          <w:szCs w:val="24"/>
          <w:lang w:eastAsia="zh-CN"/>
        </w:rPr>
        <w:t>65</w:t>
      </w:r>
      <w:r w:rsidR="006C5372">
        <w:rPr>
          <w:rFonts w:ascii="华文楷体" w:hAnsi="华文楷体" w:hint="eastAsia"/>
          <w:sz w:val="24"/>
          <w:szCs w:val="24"/>
          <w:lang w:eastAsia="zh-CN"/>
        </w:rPr>
        <w:t>7</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115447">
        <w:rPr>
          <w:rFonts w:ascii="华文楷体" w:hAnsi="华文楷体" w:hint="eastAsia"/>
          <w:sz w:val="24"/>
          <w:szCs w:val="24"/>
          <w:lang w:eastAsia="zh-CN"/>
        </w:rPr>
        <w:t>下行72</w:t>
      </w:r>
      <w:r w:rsidR="00D9413F">
        <w:rPr>
          <w:rFonts w:ascii="华文楷体" w:hAnsi="华文楷体" w:hint="eastAsia"/>
          <w:sz w:val="24"/>
          <w:szCs w:val="24"/>
          <w:lang w:eastAsia="zh-CN"/>
        </w:rPr>
        <w:t>BP至</w:t>
      </w:r>
      <w:r w:rsidR="00C15F3D">
        <w:rPr>
          <w:rFonts w:ascii="华文楷体" w:hAnsi="华文楷体"/>
          <w:sz w:val="24"/>
          <w:szCs w:val="24"/>
          <w:lang w:eastAsia="zh-CN"/>
        </w:rPr>
        <w:t>2</w:t>
      </w:r>
      <w:r w:rsidR="00515400">
        <w:rPr>
          <w:rFonts w:ascii="华文楷体" w:hAnsi="华文楷体" w:hint="eastAsia"/>
          <w:sz w:val="24"/>
          <w:szCs w:val="24"/>
          <w:lang w:eastAsia="zh-CN"/>
        </w:rPr>
        <w:t>.</w:t>
      </w:r>
      <w:r w:rsidR="00115447">
        <w:rPr>
          <w:rFonts w:ascii="华文楷体" w:hAnsi="华文楷体" w:hint="eastAsia"/>
          <w:sz w:val="24"/>
          <w:szCs w:val="24"/>
          <w:lang w:eastAsia="zh-CN"/>
        </w:rPr>
        <w:t>01</w:t>
      </w:r>
      <w:r>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w:t>
      </w:r>
      <w:r w:rsidR="00DA0B17">
        <w:rPr>
          <w:rFonts w:ascii="华文楷体" w:hAnsi="华文楷体" w:hint="eastAsia"/>
          <w:sz w:val="24"/>
          <w:szCs w:val="24"/>
          <w:lang w:eastAsia="zh-CN"/>
        </w:rPr>
        <w:t>未变化</w:t>
      </w:r>
      <w:r w:rsidR="00847EB6">
        <w:rPr>
          <w:rFonts w:ascii="华文楷体" w:hAnsi="华文楷体" w:hint="eastAsia"/>
          <w:sz w:val="24"/>
          <w:szCs w:val="24"/>
          <w:lang w:eastAsia="zh-CN"/>
        </w:rPr>
        <w:t>，</w:t>
      </w:r>
      <w:r w:rsidR="00ED7CCC">
        <w:rPr>
          <w:rFonts w:ascii="华文楷体" w:hAnsi="华文楷体" w:hint="eastAsia"/>
          <w:sz w:val="24"/>
          <w:szCs w:val="24"/>
          <w:lang w:eastAsia="zh-CN"/>
        </w:rPr>
        <w:t>隔夜利率和</w:t>
      </w:r>
      <w:r w:rsidR="00B92F0A">
        <w:rPr>
          <w:rFonts w:ascii="华文楷体" w:hAnsi="华文楷体" w:hint="eastAsia"/>
          <w:sz w:val="24"/>
          <w:szCs w:val="24"/>
          <w:lang w:eastAsia="zh-CN"/>
        </w:rPr>
        <w:t>7</w:t>
      </w:r>
      <w:r w:rsidR="00ED7CCC">
        <w:rPr>
          <w:rFonts w:ascii="华文楷体" w:hAnsi="华文楷体" w:hint="eastAsia"/>
          <w:sz w:val="24"/>
          <w:szCs w:val="24"/>
          <w:lang w:eastAsia="zh-CN"/>
        </w:rPr>
        <w:t>天利率</w:t>
      </w:r>
      <w:r w:rsidR="00C15F3D">
        <w:rPr>
          <w:rFonts w:ascii="华文楷体" w:hAnsi="华文楷体" w:hint="eastAsia"/>
          <w:sz w:val="24"/>
          <w:szCs w:val="24"/>
          <w:lang w:eastAsia="zh-CN"/>
        </w:rPr>
        <w:t>利差</w:t>
      </w:r>
      <w:r w:rsidR="00115447">
        <w:rPr>
          <w:rFonts w:ascii="华文楷体" w:hAnsi="华文楷体" w:hint="eastAsia"/>
          <w:sz w:val="24"/>
          <w:szCs w:val="24"/>
          <w:lang w:eastAsia="zh-CN"/>
        </w:rPr>
        <w:t>跨季后适度走阔</w:t>
      </w:r>
      <w:r w:rsidR="002D361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1"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115447">
        <w:tblPrEx>
          <w:tblCellMar>
            <w:left w:w="108" w:type="dxa"/>
            <w:right w:w="108" w:type="dxa"/>
          </w:tblCellMar>
        </w:tblPrEx>
        <w:trPr>
          <w:jc w:val="center"/>
        </w:trPr>
        <w:tc>
          <w:tcPr>
            <w:tcW w:w="4939" w:type="dxa"/>
            <w:vAlign w:val="center"/>
          </w:tcPr>
          <w:p w14:paraId="60AEAEDC" w14:textId="1EC1E83F" w:rsidR="00E0626C" w:rsidRPr="003C6AC1" w:rsidRDefault="001D2D9C" w:rsidP="009A2BA0">
            <w:pPr>
              <w:jc w:val="center"/>
              <w:rPr>
                <w:noProof/>
                <w:sz w:val="20"/>
              </w:rPr>
            </w:pPr>
            <w:r>
              <w:rPr>
                <w:noProof/>
              </w:rPr>
              <w:drawing>
                <wp:inline distT="0" distB="0" distL="0" distR="0" wp14:anchorId="0FF76F37" wp14:editId="56EE7010">
                  <wp:extent cx="2999105" cy="1732153"/>
                  <wp:effectExtent l="0" t="0" r="0" b="1905"/>
                  <wp:docPr id="1" name="图表 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lc="http://schemas.openxmlformats.org/drawingml/2006/lockedCanvas" xmlns="" xmlns:a16="http://schemas.microsoft.com/office/drawing/2014/main" xmlns:xdr="http://schemas.openxmlformats.org/drawingml/2006/spreadsheetDrawing" xmlns:arto="http://schemas.microsoft.com/office/word/2006/arto" xmlns:w15="http://schemas.microsoft.com/office/word/2012/wordml"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213385FE" w:rsidR="00E0626C" w:rsidRPr="002A111A" w:rsidRDefault="00115447" w:rsidP="009A2BA0">
            <w:pPr>
              <w:jc w:val="center"/>
              <w:rPr>
                <w:noProof/>
                <w:sz w:val="14"/>
                <w:szCs w:val="14"/>
              </w:rPr>
            </w:pPr>
            <w:r>
              <w:rPr>
                <w:noProof/>
              </w:rPr>
              <w:drawing>
                <wp:inline distT="0" distB="0" distL="0" distR="0" wp14:anchorId="50A81F77" wp14:editId="144DFDF7">
                  <wp:extent cx="3087015" cy="1710055"/>
                  <wp:effectExtent l="0" t="0" r="0" b="4445"/>
                  <wp:docPr id="12" name="图表 12">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lc="http://schemas.openxmlformats.org/drawingml/2006/lockedCanvas" xmlns="" xmlns:a16="http://schemas.microsoft.com/office/drawing/2014/main" xmlns:xdr="http://schemas.openxmlformats.org/drawingml/2006/spreadsheetDrawing" xmlns:arto="http://schemas.microsoft.com/office/word/2006/arto" xmlns:w15="http://schemas.microsoft.com/office/word/2012/wordml"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1"/>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59F7698C" w:rsidR="00A917BC" w:rsidRPr="00A917BC" w:rsidRDefault="0093645F"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利率债</w:t>
      </w:r>
      <w:r w:rsidR="0064451B">
        <w:rPr>
          <w:rFonts w:ascii="华文楷体" w:hAnsi="华文楷体" w:hint="eastAsia"/>
          <w:sz w:val="24"/>
          <w:szCs w:val="24"/>
          <w:lang w:eastAsia="zh-CN"/>
        </w:rPr>
        <w:t>方面，</w:t>
      </w:r>
      <w:r w:rsidR="0090039B">
        <w:rPr>
          <w:rFonts w:ascii="华文楷体" w:hAnsi="华文楷体" w:hint="eastAsia"/>
          <w:sz w:val="24"/>
          <w:szCs w:val="24"/>
          <w:lang w:eastAsia="zh-CN"/>
        </w:rPr>
        <w:t>中长</w:t>
      </w:r>
      <w:proofErr w:type="gramStart"/>
      <w:r w:rsidR="0090039B">
        <w:rPr>
          <w:rFonts w:ascii="华文楷体" w:hAnsi="华文楷体" w:hint="eastAsia"/>
          <w:sz w:val="24"/>
          <w:szCs w:val="24"/>
          <w:lang w:eastAsia="zh-CN"/>
        </w:rPr>
        <w:t>端品种</w:t>
      </w:r>
      <w:proofErr w:type="gramEnd"/>
      <w:r w:rsidR="0090039B">
        <w:rPr>
          <w:rFonts w:ascii="华文楷体" w:hAnsi="华文楷体" w:hint="eastAsia"/>
          <w:sz w:val="24"/>
          <w:szCs w:val="24"/>
          <w:lang w:eastAsia="zh-CN"/>
        </w:rPr>
        <w:t>震荡</w:t>
      </w:r>
      <w:r w:rsidR="00F37490">
        <w:rPr>
          <w:rFonts w:ascii="华文楷体" w:hAnsi="华文楷体" w:hint="eastAsia"/>
          <w:sz w:val="24"/>
          <w:szCs w:val="24"/>
          <w:lang w:eastAsia="zh-CN"/>
        </w:rPr>
        <w:t>为主</w:t>
      </w:r>
      <w:r w:rsidR="00E83AD6">
        <w:rPr>
          <w:rFonts w:ascii="华文楷体" w:hAnsi="华文楷体" w:hint="eastAsia"/>
          <w:sz w:val="24"/>
          <w:szCs w:val="24"/>
          <w:lang w:eastAsia="zh-CN"/>
        </w:rPr>
        <w:t>，</w:t>
      </w:r>
      <w:r w:rsidR="00F37490">
        <w:rPr>
          <w:rFonts w:ascii="华文楷体" w:hAnsi="华文楷体" w:hint="eastAsia"/>
          <w:sz w:val="24"/>
          <w:szCs w:val="24"/>
          <w:lang w:eastAsia="zh-CN"/>
        </w:rPr>
        <w:t>短端跨季结束快速下行</w:t>
      </w:r>
      <w:r w:rsidR="006629A0">
        <w:rPr>
          <w:rFonts w:ascii="华文楷体" w:hAnsi="华文楷体" w:hint="eastAsia"/>
          <w:sz w:val="24"/>
          <w:szCs w:val="24"/>
          <w:lang w:eastAsia="zh-CN"/>
        </w:rPr>
        <w:t>。</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E83AD6">
        <w:rPr>
          <w:rFonts w:ascii="华文楷体" w:hAnsi="华文楷体" w:hint="eastAsia"/>
          <w:sz w:val="24"/>
          <w:szCs w:val="24"/>
          <w:lang w:eastAsia="zh-CN"/>
        </w:rPr>
        <w:t>6</w:t>
      </w:r>
      <w:r w:rsidR="00F37490">
        <w:rPr>
          <w:rFonts w:ascii="华文楷体" w:hAnsi="华文楷体" w:hint="eastAsia"/>
          <w:sz w:val="24"/>
          <w:szCs w:val="24"/>
          <w:lang w:eastAsia="zh-CN"/>
        </w:rPr>
        <w:t>8</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B17B47">
        <w:rPr>
          <w:rFonts w:ascii="华文楷体" w:hAnsi="华文楷体" w:hint="eastAsia"/>
          <w:sz w:val="24"/>
          <w:szCs w:val="24"/>
          <w:lang w:eastAsia="zh-CN"/>
        </w:rPr>
        <w:t>9</w:t>
      </w:r>
      <w:r w:rsidR="00E83AD6">
        <w:rPr>
          <w:rFonts w:ascii="华文楷体" w:hAnsi="华文楷体" w:hint="eastAsia"/>
          <w:sz w:val="24"/>
          <w:szCs w:val="24"/>
          <w:lang w:eastAsia="zh-CN"/>
        </w:rPr>
        <w:t>8</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90039B">
        <w:rPr>
          <w:rFonts w:ascii="华文楷体" w:hAnsi="华文楷体" w:hint="eastAsia"/>
          <w:sz w:val="24"/>
          <w:szCs w:val="24"/>
          <w:lang w:eastAsia="zh-CN"/>
        </w:rPr>
        <w:t>下行</w:t>
      </w:r>
      <w:r w:rsidR="00F37490">
        <w:rPr>
          <w:rFonts w:ascii="华文楷体" w:hAnsi="华文楷体" w:hint="eastAsia"/>
          <w:sz w:val="24"/>
          <w:szCs w:val="24"/>
          <w:lang w:eastAsia="zh-CN"/>
        </w:rPr>
        <w:t>0.2</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sidR="00E83AD6">
        <w:rPr>
          <w:rFonts w:ascii="华文楷体" w:hAnsi="华文楷体" w:hint="eastAsia"/>
          <w:sz w:val="24"/>
          <w:szCs w:val="24"/>
          <w:lang w:eastAsia="zh-CN"/>
        </w:rPr>
        <w:t>下行</w:t>
      </w:r>
      <w:proofErr w:type="gramEnd"/>
      <w:r w:rsidR="00F37490">
        <w:rPr>
          <w:rFonts w:ascii="华文楷体" w:hAnsi="华文楷体" w:hint="eastAsia"/>
          <w:sz w:val="24"/>
          <w:szCs w:val="24"/>
          <w:lang w:eastAsia="zh-CN"/>
        </w:rPr>
        <w:t>1.4</w:t>
      </w:r>
      <w:r w:rsidR="00DD03B3">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B20149">
        <w:rPr>
          <w:rFonts w:ascii="华文楷体" w:hAnsi="华文楷体" w:hint="eastAsia"/>
          <w:sz w:val="24"/>
          <w:szCs w:val="24"/>
          <w:lang w:eastAsia="zh-CN"/>
        </w:rPr>
        <w:t>维持</w:t>
      </w:r>
      <w:proofErr w:type="gramEnd"/>
      <w:r w:rsidR="00B20149">
        <w:rPr>
          <w:rFonts w:ascii="华文楷体" w:hAnsi="华文楷体" w:hint="eastAsia"/>
          <w:sz w:val="24"/>
          <w:szCs w:val="24"/>
          <w:lang w:eastAsia="zh-CN"/>
        </w:rPr>
        <w:t>在</w:t>
      </w:r>
      <w:r w:rsidR="00E83AD6">
        <w:rPr>
          <w:rFonts w:ascii="华文楷体" w:hAnsi="华文楷体" w:hint="eastAsia"/>
          <w:sz w:val="24"/>
          <w:szCs w:val="24"/>
          <w:lang w:eastAsia="zh-CN"/>
        </w:rPr>
        <w:t>4</w:t>
      </w:r>
      <w:r w:rsidR="00F37490">
        <w:rPr>
          <w:rFonts w:ascii="华文楷体" w:hAnsi="华文楷体" w:hint="eastAsia"/>
          <w:sz w:val="24"/>
          <w:szCs w:val="24"/>
          <w:lang w:eastAsia="zh-CN"/>
        </w:rPr>
        <w:t>0</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F37490">
        <w:tblPrEx>
          <w:tblCellMar>
            <w:left w:w="108" w:type="dxa"/>
            <w:right w:w="108" w:type="dxa"/>
          </w:tblCellMar>
        </w:tblPrEx>
        <w:trPr>
          <w:jc w:val="center"/>
        </w:trPr>
        <w:tc>
          <w:tcPr>
            <w:tcW w:w="4939" w:type="dxa"/>
            <w:vAlign w:val="center"/>
          </w:tcPr>
          <w:p w14:paraId="678C97B0" w14:textId="54BA5316" w:rsidR="00E0626C" w:rsidRPr="007E0340" w:rsidRDefault="00F37490" w:rsidP="002104B2">
            <w:pPr>
              <w:rPr>
                <w:noProof/>
              </w:rPr>
            </w:pPr>
            <w:r>
              <w:rPr>
                <w:noProof/>
              </w:rPr>
              <w:drawing>
                <wp:inline distT="0" distB="0" distL="0" distR="0" wp14:anchorId="0B125B72" wp14:editId="0F14B2A4">
                  <wp:extent cx="2999105" cy="1728749"/>
                  <wp:effectExtent l="0" t="0" r="0" b="5080"/>
                  <wp:docPr id="13" name="图表 13">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lc="http://schemas.openxmlformats.org/drawingml/2006/lockedCanvas" xmlns="" xmlns:a16="http://schemas.microsoft.com/office/drawing/2014/main" xmlns:xdr="http://schemas.openxmlformats.org/drawingml/2006/spreadsheetDrawing" xmlns:arto="http://schemas.microsoft.com/office/word/2006/arto" xmlns:w15="http://schemas.microsoft.com/office/word/2012/wordml"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274C8DC7" w:rsidR="00E0626C" w:rsidRPr="007E0340" w:rsidRDefault="00F37490" w:rsidP="009A2BA0">
            <w:pPr>
              <w:jc w:val="center"/>
              <w:rPr>
                <w:noProof/>
                <w:szCs w:val="18"/>
              </w:rPr>
            </w:pPr>
            <w:r>
              <w:rPr>
                <w:noProof/>
              </w:rPr>
              <w:drawing>
                <wp:inline distT="0" distB="0" distL="0" distR="0" wp14:anchorId="3EE7D9BE" wp14:editId="2816031D">
                  <wp:extent cx="2998470" cy="1721333"/>
                  <wp:effectExtent l="0" t="0" r="0" b="0"/>
                  <wp:docPr id="14" name="图表 14">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lc="http://schemas.openxmlformats.org/drawingml/2006/lockedCanvas" xmlns="" xmlns:a16="http://schemas.microsoft.com/office/drawing/2014/main" xmlns:xdr="http://schemas.openxmlformats.org/drawingml/2006/spreadsheetDrawing" xmlns:arto="http://schemas.microsoft.com/office/word/2006/arto" xmlns:w15="http://schemas.microsoft.com/office/word/2012/wordml"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145D2F17"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C230F0">
        <w:rPr>
          <w:rFonts w:ascii="华文楷体" w:hAnsi="华文楷体" w:hint="eastAsia"/>
          <w:sz w:val="24"/>
          <w:szCs w:val="24"/>
          <w:lang w:eastAsia="zh-CN"/>
        </w:rPr>
        <w:t>跨季前短</w:t>
      </w:r>
      <w:proofErr w:type="gramStart"/>
      <w:r w:rsidR="00C230F0">
        <w:rPr>
          <w:rFonts w:ascii="华文楷体" w:hAnsi="华文楷体" w:hint="eastAsia"/>
          <w:sz w:val="24"/>
          <w:szCs w:val="24"/>
          <w:lang w:eastAsia="zh-CN"/>
        </w:rPr>
        <w:t>端利率</w:t>
      </w:r>
      <w:proofErr w:type="gramEnd"/>
      <w:r w:rsidR="00C230F0">
        <w:rPr>
          <w:rFonts w:ascii="华文楷体" w:hAnsi="华文楷体" w:hint="eastAsia"/>
          <w:sz w:val="24"/>
          <w:szCs w:val="24"/>
          <w:lang w:eastAsia="zh-CN"/>
        </w:rPr>
        <w:t>适度调整，跨季结束</w:t>
      </w:r>
      <w:r w:rsidR="00D14130">
        <w:rPr>
          <w:rFonts w:ascii="华文楷体" w:hAnsi="华文楷体" w:hint="eastAsia"/>
          <w:sz w:val="24"/>
          <w:szCs w:val="24"/>
          <w:lang w:eastAsia="zh-CN"/>
        </w:rPr>
        <w:t>各期限收益率</w:t>
      </w:r>
      <w:r w:rsidR="00C230F0">
        <w:rPr>
          <w:rFonts w:ascii="华文楷体" w:hAnsi="华文楷体" w:hint="eastAsia"/>
          <w:sz w:val="24"/>
          <w:szCs w:val="24"/>
          <w:lang w:eastAsia="zh-CN"/>
        </w:rPr>
        <w:t>快速</w:t>
      </w:r>
      <w:r w:rsidR="00EC722C">
        <w:rPr>
          <w:rFonts w:ascii="华文楷体" w:hAnsi="华文楷体" w:hint="eastAsia"/>
          <w:sz w:val="24"/>
          <w:szCs w:val="24"/>
          <w:lang w:eastAsia="zh-CN"/>
        </w:rPr>
        <w:t>下行</w:t>
      </w:r>
      <w:r w:rsidR="008011F8" w:rsidRPr="008011F8">
        <w:rPr>
          <w:rFonts w:ascii="华文楷体" w:hAnsi="华文楷体" w:hint="eastAsia"/>
          <w:sz w:val="24"/>
          <w:szCs w:val="24"/>
          <w:lang w:eastAsia="zh-CN"/>
        </w:rPr>
        <w:t>。1Y</w:t>
      </w:r>
      <w:proofErr w:type="gramStart"/>
      <w:r w:rsidR="00D14130">
        <w:rPr>
          <w:rFonts w:ascii="华文楷体" w:hAnsi="华文楷体" w:hint="eastAsia"/>
          <w:sz w:val="24"/>
          <w:szCs w:val="24"/>
          <w:lang w:eastAsia="zh-CN"/>
        </w:rPr>
        <w:t>期限短融下行</w:t>
      </w:r>
      <w:proofErr w:type="gramEnd"/>
      <w:r w:rsidR="00EC722C">
        <w:rPr>
          <w:rFonts w:ascii="华文楷体" w:hAnsi="华文楷体" w:hint="eastAsia"/>
          <w:sz w:val="24"/>
          <w:szCs w:val="24"/>
          <w:lang w:eastAsia="zh-CN"/>
        </w:rPr>
        <w:t>3-7</w:t>
      </w:r>
      <w:r w:rsidR="008011F8" w:rsidRPr="008011F8">
        <w:rPr>
          <w:rFonts w:ascii="华文楷体" w:hAnsi="华文楷体" w:hint="eastAsia"/>
          <w:sz w:val="24"/>
          <w:szCs w:val="24"/>
          <w:lang w:eastAsia="zh-CN"/>
        </w:rPr>
        <w:t>BP，3年AAA</w:t>
      </w:r>
      <w:r w:rsidR="00D14130">
        <w:rPr>
          <w:rFonts w:ascii="华文楷体" w:hAnsi="华文楷体" w:hint="eastAsia"/>
          <w:sz w:val="24"/>
          <w:szCs w:val="24"/>
          <w:lang w:eastAsia="zh-CN"/>
        </w:rPr>
        <w:t>企业债下行</w:t>
      </w:r>
      <w:r w:rsidR="00D14130">
        <w:rPr>
          <w:rFonts w:ascii="华文楷体" w:hAnsi="华文楷体"/>
          <w:sz w:val="24"/>
          <w:szCs w:val="24"/>
          <w:lang w:eastAsia="zh-CN"/>
        </w:rPr>
        <w:t>4</w:t>
      </w:r>
      <w:r w:rsidR="00EC722C">
        <w:rPr>
          <w:rFonts w:ascii="华文楷体" w:hAnsi="华文楷体" w:hint="eastAsia"/>
          <w:sz w:val="24"/>
          <w:szCs w:val="24"/>
          <w:lang w:eastAsia="zh-CN"/>
        </w:rPr>
        <w:t>-7</w:t>
      </w:r>
      <w:r w:rsidR="008011F8" w:rsidRPr="008011F8">
        <w:rPr>
          <w:rFonts w:ascii="华文楷体" w:hAnsi="华文楷体" w:hint="eastAsia"/>
          <w:sz w:val="24"/>
          <w:szCs w:val="24"/>
          <w:lang w:eastAsia="zh-CN"/>
        </w:rPr>
        <w:t>BP，5Y企业债</w:t>
      </w:r>
      <w:r w:rsidR="00657F44">
        <w:rPr>
          <w:rFonts w:ascii="华文楷体" w:hAnsi="华文楷体" w:hint="eastAsia"/>
          <w:sz w:val="24"/>
          <w:szCs w:val="24"/>
          <w:lang w:eastAsia="zh-CN"/>
        </w:rPr>
        <w:t>下行</w:t>
      </w:r>
      <w:r w:rsidR="00EC722C">
        <w:rPr>
          <w:rFonts w:ascii="华文楷体" w:hAnsi="华文楷体" w:hint="eastAsia"/>
          <w:sz w:val="24"/>
          <w:szCs w:val="24"/>
          <w:lang w:eastAsia="zh-CN"/>
        </w:rPr>
        <w:t>6-8</w:t>
      </w:r>
      <w:r w:rsidR="008011F8" w:rsidRPr="008011F8">
        <w:rPr>
          <w:rFonts w:ascii="华文楷体" w:hAnsi="华文楷体" w:hint="eastAsia"/>
          <w:sz w:val="24"/>
          <w:szCs w:val="24"/>
          <w:lang w:eastAsia="zh-CN"/>
        </w:rPr>
        <w:t>BP</w:t>
      </w:r>
      <w:r w:rsidR="00657F44">
        <w:rPr>
          <w:rFonts w:ascii="华文楷体" w:hAnsi="华文楷体" w:hint="eastAsia"/>
          <w:sz w:val="24"/>
          <w:szCs w:val="24"/>
          <w:lang w:eastAsia="zh-CN"/>
        </w:rPr>
        <w:t>左右</w:t>
      </w:r>
      <w:r w:rsidR="008011F8" w:rsidRPr="008011F8">
        <w:rPr>
          <w:rFonts w:ascii="华文楷体" w:hAnsi="华文楷体" w:hint="eastAsia"/>
          <w:sz w:val="24"/>
          <w:szCs w:val="24"/>
          <w:lang w:eastAsia="zh-CN"/>
        </w:rPr>
        <w:t>，</w:t>
      </w:r>
      <w:proofErr w:type="gramStart"/>
      <w:r w:rsidR="008011F8" w:rsidRPr="008011F8">
        <w:rPr>
          <w:rFonts w:ascii="华文楷体" w:hAnsi="华文楷体" w:hint="eastAsia"/>
          <w:sz w:val="24"/>
          <w:szCs w:val="24"/>
          <w:lang w:eastAsia="zh-CN"/>
        </w:rPr>
        <w:t>城投债</w:t>
      </w:r>
      <w:proofErr w:type="gramEnd"/>
      <w:r w:rsidR="008011F8" w:rsidRPr="008011F8">
        <w:rPr>
          <w:rFonts w:ascii="华文楷体" w:hAnsi="华文楷体" w:hint="eastAsia"/>
          <w:sz w:val="24"/>
          <w:szCs w:val="24"/>
          <w:lang w:eastAsia="zh-CN"/>
        </w:rPr>
        <w:t>3Y期限品种</w:t>
      </w:r>
      <w:r w:rsidR="00D14130">
        <w:rPr>
          <w:rFonts w:ascii="华文楷体" w:hAnsi="华文楷体" w:hint="eastAsia"/>
          <w:sz w:val="24"/>
          <w:szCs w:val="24"/>
          <w:lang w:eastAsia="zh-CN"/>
        </w:rPr>
        <w:t>下行7</w:t>
      </w:r>
      <w:r w:rsidR="00EC722C">
        <w:rPr>
          <w:rFonts w:ascii="华文楷体" w:hAnsi="华文楷体" w:hint="eastAsia"/>
          <w:sz w:val="24"/>
          <w:szCs w:val="24"/>
          <w:lang w:eastAsia="zh-CN"/>
        </w:rPr>
        <w:t>-10</w:t>
      </w:r>
      <w:r w:rsidR="008011F8" w:rsidRPr="008011F8">
        <w:rPr>
          <w:rFonts w:ascii="华文楷体" w:hAnsi="华文楷体" w:hint="eastAsia"/>
          <w:sz w:val="24"/>
          <w:szCs w:val="24"/>
          <w:lang w:eastAsia="zh-CN"/>
        </w:rPr>
        <w:t>BP，5Y品种</w:t>
      </w:r>
      <w:r w:rsidR="00D14130">
        <w:rPr>
          <w:rFonts w:ascii="华文楷体" w:hAnsi="华文楷体" w:hint="eastAsia"/>
          <w:sz w:val="24"/>
          <w:szCs w:val="24"/>
          <w:lang w:eastAsia="zh-CN"/>
        </w:rPr>
        <w:t>下行</w:t>
      </w:r>
      <w:r w:rsidR="00EC722C">
        <w:rPr>
          <w:rFonts w:ascii="华文楷体" w:hAnsi="华文楷体" w:hint="eastAsia"/>
          <w:sz w:val="24"/>
          <w:szCs w:val="24"/>
          <w:lang w:eastAsia="zh-CN"/>
        </w:rPr>
        <w:t>5</w:t>
      </w:r>
      <w:r w:rsidR="00D14130">
        <w:rPr>
          <w:rFonts w:ascii="华文楷体" w:hAnsi="华文楷体"/>
          <w:sz w:val="24"/>
          <w:szCs w:val="24"/>
          <w:lang w:eastAsia="zh-CN"/>
        </w:rPr>
        <w:t>-6</w:t>
      </w:r>
      <w:r w:rsidR="008011F8" w:rsidRPr="008011F8">
        <w:rPr>
          <w:rFonts w:ascii="华文楷体" w:hAnsi="华文楷体" w:hint="eastAsia"/>
          <w:sz w:val="24"/>
          <w:szCs w:val="24"/>
          <w:lang w:eastAsia="zh-CN"/>
        </w:rPr>
        <w:t>BP，7Y品种</w:t>
      </w:r>
      <w:r w:rsidR="00D14130">
        <w:rPr>
          <w:rFonts w:ascii="华文楷体" w:hAnsi="华文楷体" w:hint="eastAsia"/>
          <w:sz w:val="24"/>
          <w:szCs w:val="24"/>
          <w:lang w:eastAsia="zh-CN"/>
        </w:rPr>
        <w:t>下行</w:t>
      </w:r>
      <w:r w:rsidR="00EC722C">
        <w:rPr>
          <w:rFonts w:ascii="华文楷体" w:hAnsi="华文楷体" w:hint="eastAsia"/>
          <w:sz w:val="24"/>
          <w:szCs w:val="24"/>
          <w:lang w:eastAsia="zh-CN"/>
        </w:rPr>
        <w:t>2-3</w:t>
      </w:r>
      <w:r w:rsidR="008011F8" w:rsidRPr="008011F8">
        <w:rPr>
          <w:rFonts w:ascii="华文楷体" w:hAnsi="华文楷体" w:hint="eastAsia"/>
          <w:sz w:val="24"/>
          <w:szCs w:val="24"/>
          <w:lang w:eastAsia="zh-CN"/>
        </w:rPr>
        <w:t>BP左右。</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8011F8">
        <w:rPr>
          <w:rFonts w:ascii="华文楷体" w:hAnsi="华文楷体" w:hint="eastAsia"/>
          <w:sz w:val="24"/>
          <w:szCs w:val="24"/>
          <w:lang w:eastAsia="zh-CN"/>
        </w:rPr>
        <w:t>2</w:t>
      </w:r>
      <w:r w:rsidR="00EC722C">
        <w:rPr>
          <w:rFonts w:ascii="华文楷体" w:hAnsi="华文楷体" w:hint="eastAsia"/>
          <w:sz w:val="24"/>
          <w:szCs w:val="24"/>
          <w:lang w:eastAsia="zh-CN"/>
        </w:rPr>
        <w:t>0-23</w:t>
      </w:r>
      <w:r w:rsidR="00DA6CA4">
        <w:rPr>
          <w:rFonts w:ascii="华文楷体" w:hAnsi="华文楷体" w:hint="eastAsia"/>
          <w:sz w:val="24"/>
          <w:szCs w:val="24"/>
          <w:lang w:eastAsia="zh-CN"/>
        </w:rPr>
        <w:t>%</w:t>
      </w:r>
      <w:r w:rsidR="009111E9">
        <w:rPr>
          <w:rFonts w:ascii="华文楷体" w:hAnsi="华文楷体" w:hint="eastAsia"/>
          <w:sz w:val="24"/>
          <w:szCs w:val="24"/>
          <w:lang w:eastAsia="zh-CN"/>
        </w:rPr>
        <w:t>以内</w:t>
      </w:r>
      <w:r w:rsidR="009929B6">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93645F">
        <w:rPr>
          <w:rFonts w:ascii="华文楷体" w:hAnsi="华文楷体" w:hint="eastAsia"/>
          <w:sz w:val="24"/>
          <w:szCs w:val="24"/>
          <w:lang w:eastAsia="zh-CN"/>
        </w:rPr>
        <w:t>1</w:t>
      </w:r>
      <w:r w:rsidR="00EC722C">
        <w:rPr>
          <w:rFonts w:ascii="华文楷体" w:hAnsi="华文楷体" w:hint="eastAsia"/>
          <w:sz w:val="24"/>
          <w:szCs w:val="24"/>
          <w:lang w:eastAsia="zh-CN"/>
        </w:rPr>
        <w:t>1</w:t>
      </w:r>
      <w:r w:rsidR="00254AC8">
        <w:rPr>
          <w:rFonts w:ascii="华文楷体" w:hAnsi="华文楷体" w:hint="eastAsia"/>
          <w:sz w:val="24"/>
          <w:szCs w:val="24"/>
          <w:lang w:eastAsia="zh-CN"/>
        </w:rPr>
        <w:t>-</w:t>
      </w:r>
      <w:r w:rsidR="00EC722C">
        <w:rPr>
          <w:rFonts w:ascii="华文楷体" w:hAnsi="华文楷体" w:hint="eastAsia"/>
          <w:sz w:val="24"/>
          <w:szCs w:val="24"/>
          <w:lang w:eastAsia="zh-CN"/>
        </w:rPr>
        <w:t>17</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EC722C">
        <w:rPr>
          <w:rFonts w:ascii="华文楷体" w:hAnsi="华文楷体" w:hint="eastAsia"/>
          <w:sz w:val="24"/>
          <w:szCs w:val="24"/>
          <w:lang w:eastAsia="zh-CN"/>
        </w:rPr>
        <w:t>5</w:t>
      </w:r>
      <w:r w:rsidR="001F098C">
        <w:rPr>
          <w:rFonts w:ascii="华文楷体" w:hAnsi="华文楷体" w:hint="eastAsia"/>
          <w:sz w:val="24"/>
          <w:szCs w:val="24"/>
          <w:lang w:eastAsia="zh-CN"/>
        </w:rPr>
        <w:t>-1</w:t>
      </w:r>
      <w:r w:rsidR="00EC722C">
        <w:rPr>
          <w:rFonts w:ascii="华文楷体" w:hAnsi="华文楷体" w:hint="eastAsia"/>
          <w:sz w:val="24"/>
          <w:szCs w:val="24"/>
          <w:lang w:eastAsia="zh-CN"/>
        </w:rPr>
        <w:t>2</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A55DFD">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74" w:type="dxa"/>
              <w:tblLook w:val="04A0" w:firstRow="1" w:lastRow="0" w:firstColumn="1" w:lastColumn="0" w:noHBand="0" w:noVBand="1"/>
            </w:tblPr>
            <w:tblGrid>
              <w:gridCol w:w="1316"/>
              <w:gridCol w:w="899"/>
              <w:gridCol w:w="900"/>
              <w:gridCol w:w="900"/>
              <w:gridCol w:w="899"/>
              <w:gridCol w:w="1128"/>
              <w:gridCol w:w="899"/>
              <w:gridCol w:w="899"/>
              <w:gridCol w:w="899"/>
              <w:gridCol w:w="899"/>
            </w:tblGrid>
            <w:tr w:rsidR="00C230F0" w:rsidRPr="00C230F0" w14:paraId="1E1B5A43" w14:textId="77777777" w:rsidTr="00C230F0">
              <w:trPr>
                <w:trHeight w:val="285"/>
              </w:trPr>
              <w:tc>
                <w:tcPr>
                  <w:tcW w:w="1350" w:type="dxa"/>
                  <w:tcBorders>
                    <w:top w:val="nil"/>
                    <w:left w:val="nil"/>
                    <w:bottom w:val="single" w:sz="12" w:space="0" w:color="FFFFFF"/>
                    <w:right w:val="single" w:sz="8" w:space="0" w:color="FFFFFF"/>
                  </w:tcBorders>
                  <w:shd w:val="clear" w:color="000000" w:fill="F79646"/>
                  <w:noWrap/>
                  <w:vAlign w:val="center"/>
                  <w:hideMark/>
                </w:tcPr>
                <w:p w14:paraId="6BB653D3"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收益率(%)</w:t>
                  </w:r>
                </w:p>
              </w:tc>
              <w:tc>
                <w:tcPr>
                  <w:tcW w:w="920" w:type="dxa"/>
                  <w:tcBorders>
                    <w:top w:val="nil"/>
                    <w:left w:val="nil"/>
                    <w:bottom w:val="single" w:sz="12" w:space="0" w:color="FFFFFF"/>
                    <w:right w:val="single" w:sz="8" w:space="0" w:color="FFFFFF"/>
                  </w:tcBorders>
                  <w:shd w:val="clear" w:color="000000" w:fill="F79646"/>
                  <w:noWrap/>
                  <w:vAlign w:val="center"/>
                  <w:hideMark/>
                </w:tcPr>
                <w:p w14:paraId="4CBAC2A2"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3C999CB"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81DCB86"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A15B82A"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7E46C69F"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7C3EB7C5"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D1D0412"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D31D1A0"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B43AB9B"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w:t>
                  </w:r>
                </w:p>
              </w:tc>
            </w:tr>
            <w:tr w:rsidR="00C230F0" w:rsidRPr="00C230F0" w14:paraId="626C5276" w14:textId="77777777" w:rsidTr="00C230F0">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1A62870C"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50E38E82"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2.94 </w:t>
                  </w:r>
                </w:p>
              </w:tc>
              <w:tc>
                <w:tcPr>
                  <w:tcW w:w="921" w:type="dxa"/>
                  <w:tcBorders>
                    <w:top w:val="nil"/>
                    <w:left w:val="nil"/>
                    <w:bottom w:val="single" w:sz="8" w:space="0" w:color="FFFFFF"/>
                    <w:right w:val="single" w:sz="8" w:space="0" w:color="FFFFFF"/>
                  </w:tcBorders>
                  <w:shd w:val="clear" w:color="000000" w:fill="FCD5B4"/>
                  <w:noWrap/>
                  <w:vAlign w:val="center"/>
                  <w:hideMark/>
                </w:tcPr>
                <w:p w14:paraId="44DEDF14"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3.06 </w:t>
                  </w:r>
                </w:p>
              </w:tc>
              <w:tc>
                <w:tcPr>
                  <w:tcW w:w="921" w:type="dxa"/>
                  <w:tcBorders>
                    <w:top w:val="nil"/>
                    <w:left w:val="nil"/>
                    <w:bottom w:val="single" w:sz="8" w:space="0" w:color="FFFFFF"/>
                    <w:right w:val="single" w:sz="8" w:space="0" w:color="FFFFFF"/>
                  </w:tcBorders>
                  <w:shd w:val="clear" w:color="000000" w:fill="FCD5B4"/>
                  <w:noWrap/>
                  <w:vAlign w:val="center"/>
                  <w:hideMark/>
                </w:tcPr>
                <w:p w14:paraId="3520D18A"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3.29 </w:t>
                  </w:r>
                </w:p>
              </w:tc>
              <w:tc>
                <w:tcPr>
                  <w:tcW w:w="921" w:type="dxa"/>
                  <w:tcBorders>
                    <w:top w:val="nil"/>
                    <w:left w:val="nil"/>
                    <w:bottom w:val="single" w:sz="8" w:space="0" w:color="FFFFFF"/>
                    <w:right w:val="single" w:sz="8" w:space="0" w:color="FFFFFF"/>
                  </w:tcBorders>
                  <w:shd w:val="clear" w:color="000000" w:fill="FCD5B4"/>
                  <w:noWrap/>
                  <w:vAlign w:val="center"/>
                  <w:hideMark/>
                </w:tcPr>
                <w:p w14:paraId="47137BB7"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5.48 </w:t>
                  </w:r>
                </w:p>
              </w:tc>
              <w:tc>
                <w:tcPr>
                  <w:tcW w:w="1157" w:type="dxa"/>
                  <w:tcBorders>
                    <w:top w:val="nil"/>
                    <w:left w:val="nil"/>
                    <w:bottom w:val="single" w:sz="8" w:space="0" w:color="FFFFFF"/>
                    <w:right w:val="single" w:sz="8" w:space="0" w:color="FFFFFF"/>
                  </w:tcBorders>
                  <w:shd w:val="clear" w:color="000000" w:fill="FCD5B4"/>
                  <w:noWrap/>
                  <w:vAlign w:val="center"/>
                  <w:hideMark/>
                </w:tcPr>
                <w:p w14:paraId="517DFA7D"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68FF7389"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0.54 </w:t>
                  </w:r>
                </w:p>
              </w:tc>
              <w:tc>
                <w:tcPr>
                  <w:tcW w:w="921" w:type="dxa"/>
                  <w:tcBorders>
                    <w:top w:val="nil"/>
                    <w:left w:val="nil"/>
                    <w:bottom w:val="single" w:sz="8" w:space="0" w:color="FFFFFF"/>
                    <w:right w:val="single" w:sz="8" w:space="0" w:color="FFFFFF"/>
                  </w:tcBorders>
                  <w:shd w:val="clear" w:color="000000" w:fill="FCD5B4"/>
                  <w:noWrap/>
                  <w:vAlign w:val="center"/>
                  <w:hideMark/>
                </w:tcPr>
                <w:p w14:paraId="2B003EB7"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0.66 </w:t>
                  </w:r>
                </w:p>
              </w:tc>
              <w:tc>
                <w:tcPr>
                  <w:tcW w:w="921" w:type="dxa"/>
                  <w:tcBorders>
                    <w:top w:val="nil"/>
                    <w:left w:val="nil"/>
                    <w:bottom w:val="single" w:sz="8" w:space="0" w:color="FFFFFF"/>
                    <w:right w:val="single" w:sz="8" w:space="0" w:color="FFFFFF"/>
                  </w:tcBorders>
                  <w:shd w:val="clear" w:color="000000" w:fill="FCD5B4"/>
                  <w:noWrap/>
                  <w:vAlign w:val="center"/>
                  <w:hideMark/>
                </w:tcPr>
                <w:p w14:paraId="4372B431"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0.89 </w:t>
                  </w:r>
                </w:p>
              </w:tc>
              <w:tc>
                <w:tcPr>
                  <w:tcW w:w="921" w:type="dxa"/>
                  <w:tcBorders>
                    <w:top w:val="nil"/>
                    <w:left w:val="nil"/>
                    <w:bottom w:val="single" w:sz="8" w:space="0" w:color="FFFFFF"/>
                    <w:right w:val="single" w:sz="8" w:space="0" w:color="FFFFFF"/>
                  </w:tcBorders>
                  <w:shd w:val="clear" w:color="000000" w:fill="FCD5B4"/>
                  <w:noWrap/>
                  <w:vAlign w:val="center"/>
                  <w:hideMark/>
                </w:tcPr>
                <w:p w14:paraId="2277A11B"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3.08 </w:t>
                  </w:r>
                </w:p>
              </w:tc>
            </w:tr>
            <w:tr w:rsidR="00C230F0" w:rsidRPr="00C230F0" w14:paraId="3714E7B4" w14:textId="77777777" w:rsidTr="00C230F0">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0A467E9"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6E3336D3"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3.37 </w:t>
                  </w:r>
                </w:p>
              </w:tc>
              <w:tc>
                <w:tcPr>
                  <w:tcW w:w="921" w:type="dxa"/>
                  <w:tcBorders>
                    <w:top w:val="nil"/>
                    <w:left w:val="nil"/>
                    <w:bottom w:val="single" w:sz="8" w:space="0" w:color="FFFFFF"/>
                    <w:right w:val="single" w:sz="8" w:space="0" w:color="FFFFFF"/>
                  </w:tcBorders>
                  <w:shd w:val="clear" w:color="000000" w:fill="FDE9D9"/>
                  <w:noWrap/>
                  <w:vAlign w:val="center"/>
                  <w:hideMark/>
                </w:tcPr>
                <w:p w14:paraId="3DCB2D1F"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3.55 </w:t>
                  </w:r>
                </w:p>
              </w:tc>
              <w:tc>
                <w:tcPr>
                  <w:tcW w:w="921" w:type="dxa"/>
                  <w:tcBorders>
                    <w:top w:val="nil"/>
                    <w:left w:val="nil"/>
                    <w:bottom w:val="single" w:sz="8" w:space="0" w:color="FFFFFF"/>
                    <w:right w:val="single" w:sz="8" w:space="0" w:color="FFFFFF"/>
                  </w:tcBorders>
                  <w:shd w:val="clear" w:color="000000" w:fill="FDE9D9"/>
                  <w:noWrap/>
                  <w:vAlign w:val="center"/>
                  <w:hideMark/>
                </w:tcPr>
                <w:p w14:paraId="368ECA77"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4.01 </w:t>
                  </w:r>
                </w:p>
              </w:tc>
              <w:tc>
                <w:tcPr>
                  <w:tcW w:w="921" w:type="dxa"/>
                  <w:tcBorders>
                    <w:top w:val="nil"/>
                    <w:left w:val="nil"/>
                    <w:bottom w:val="single" w:sz="8" w:space="0" w:color="FFFFFF"/>
                    <w:right w:val="single" w:sz="8" w:space="0" w:color="FFFFFF"/>
                  </w:tcBorders>
                  <w:shd w:val="clear" w:color="000000" w:fill="FDE9D9"/>
                  <w:noWrap/>
                  <w:vAlign w:val="center"/>
                  <w:hideMark/>
                </w:tcPr>
                <w:p w14:paraId="1EFA06A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6.20 </w:t>
                  </w:r>
                </w:p>
              </w:tc>
              <w:tc>
                <w:tcPr>
                  <w:tcW w:w="1157" w:type="dxa"/>
                  <w:tcBorders>
                    <w:top w:val="nil"/>
                    <w:left w:val="nil"/>
                    <w:bottom w:val="single" w:sz="8" w:space="0" w:color="FFFFFF"/>
                    <w:right w:val="single" w:sz="8" w:space="0" w:color="FFFFFF"/>
                  </w:tcBorders>
                  <w:shd w:val="clear" w:color="000000" w:fill="FDE9D9"/>
                  <w:noWrap/>
                  <w:vAlign w:val="center"/>
                  <w:hideMark/>
                </w:tcPr>
                <w:p w14:paraId="78DE232F"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7CF8BF33"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0.60 </w:t>
                  </w:r>
                </w:p>
              </w:tc>
              <w:tc>
                <w:tcPr>
                  <w:tcW w:w="921" w:type="dxa"/>
                  <w:tcBorders>
                    <w:top w:val="nil"/>
                    <w:left w:val="nil"/>
                    <w:bottom w:val="single" w:sz="8" w:space="0" w:color="FFFFFF"/>
                    <w:right w:val="single" w:sz="8" w:space="0" w:color="FFFFFF"/>
                  </w:tcBorders>
                  <w:shd w:val="clear" w:color="000000" w:fill="FDE9D9"/>
                  <w:noWrap/>
                  <w:vAlign w:val="center"/>
                  <w:hideMark/>
                </w:tcPr>
                <w:p w14:paraId="6DCC14EA"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0.77 </w:t>
                  </w:r>
                </w:p>
              </w:tc>
              <w:tc>
                <w:tcPr>
                  <w:tcW w:w="921" w:type="dxa"/>
                  <w:tcBorders>
                    <w:top w:val="nil"/>
                    <w:left w:val="nil"/>
                    <w:bottom w:val="single" w:sz="8" w:space="0" w:color="FFFFFF"/>
                    <w:right w:val="single" w:sz="8" w:space="0" w:color="FFFFFF"/>
                  </w:tcBorders>
                  <w:shd w:val="clear" w:color="000000" w:fill="FDE9D9"/>
                  <w:noWrap/>
                  <w:vAlign w:val="center"/>
                  <w:hideMark/>
                </w:tcPr>
                <w:p w14:paraId="494B4BEB"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1.23 </w:t>
                  </w:r>
                </w:p>
              </w:tc>
              <w:tc>
                <w:tcPr>
                  <w:tcW w:w="921" w:type="dxa"/>
                  <w:tcBorders>
                    <w:top w:val="nil"/>
                    <w:left w:val="nil"/>
                    <w:bottom w:val="single" w:sz="8" w:space="0" w:color="FFFFFF"/>
                    <w:right w:val="single" w:sz="8" w:space="0" w:color="FFFFFF"/>
                  </w:tcBorders>
                  <w:shd w:val="clear" w:color="000000" w:fill="FDE9D9"/>
                  <w:noWrap/>
                  <w:vAlign w:val="center"/>
                  <w:hideMark/>
                </w:tcPr>
                <w:p w14:paraId="68AC5A66"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3.42 </w:t>
                  </w:r>
                </w:p>
              </w:tc>
            </w:tr>
            <w:tr w:rsidR="00C230F0" w:rsidRPr="00C230F0" w14:paraId="033550E9" w14:textId="77777777" w:rsidTr="00C230F0">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3809A667"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6541983B"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3.66 </w:t>
                  </w:r>
                </w:p>
              </w:tc>
              <w:tc>
                <w:tcPr>
                  <w:tcW w:w="921" w:type="dxa"/>
                  <w:tcBorders>
                    <w:top w:val="nil"/>
                    <w:left w:val="nil"/>
                    <w:bottom w:val="single" w:sz="8" w:space="0" w:color="FFFFFF"/>
                    <w:right w:val="single" w:sz="8" w:space="0" w:color="FFFFFF"/>
                  </w:tcBorders>
                  <w:shd w:val="clear" w:color="000000" w:fill="FCD5B4"/>
                  <w:noWrap/>
                  <w:vAlign w:val="center"/>
                  <w:hideMark/>
                </w:tcPr>
                <w:p w14:paraId="2079EEF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3.88 </w:t>
                  </w:r>
                </w:p>
              </w:tc>
              <w:tc>
                <w:tcPr>
                  <w:tcW w:w="921" w:type="dxa"/>
                  <w:tcBorders>
                    <w:top w:val="nil"/>
                    <w:left w:val="nil"/>
                    <w:bottom w:val="single" w:sz="8" w:space="0" w:color="FFFFFF"/>
                    <w:right w:val="single" w:sz="8" w:space="0" w:color="FFFFFF"/>
                  </w:tcBorders>
                  <w:shd w:val="clear" w:color="000000" w:fill="FCD5B4"/>
                  <w:noWrap/>
                  <w:vAlign w:val="center"/>
                  <w:hideMark/>
                </w:tcPr>
                <w:p w14:paraId="00D16A47"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4.43 </w:t>
                  </w:r>
                </w:p>
              </w:tc>
              <w:tc>
                <w:tcPr>
                  <w:tcW w:w="921" w:type="dxa"/>
                  <w:tcBorders>
                    <w:top w:val="nil"/>
                    <w:left w:val="nil"/>
                    <w:bottom w:val="single" w:sz="8" w:space="0" w:color="FFFFFF"/>
                    <w:right w:val="single" w:sz="8" w:space="0" w:color="FFFFFF"/>
                  </w:tcBorders>
                  <w:shd w:val="clear" w:color="000000" w:fill="FCD5B4"/>
                  <w:noWrap/>
                  <w:vAlign w:val="center"/>
                  <w:hideMark/>
                </w:tcPr>
                <w:p w14:paraId="7CE6D286"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6.61 </w:t>
                  </w:r>
                </w:p>
              </w:tc>
              <w:tc>
                <w:tcPr>
                  <w:tcW w:w="1157" w:type="dxa"/>
                  <w:tcBorders>
                    <w:top w:val="nil"/>
                    <w:left w:val="nil"/>
                    <w:bottom w:val="single" w:sz="8" w:space="0" w:color="FFFFFF"/>
                    <w:right w:val="single" w:sz="8" w:space="0" w:color="FFFFFF"/>
                  </w:tcBorders>
                  <w:shd w:val="clear" w:color="000000" w:fill="FCD5B4"/>
                  <w:noWrap/>
                  <w:vAlign w:val="center"/>
                  <w:hideMark/>
                </w:tcPr>
                <w:p w14:paraId="3E274961"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0436E66F"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0.71 </w:t>
                  </w:r>
                </w:p>
              </w:tc>
              <w:tc>
                <w:tcPr>
                  <w:tcW w:w="921" w:type="dxa"/>
                  <w:tcBorders>
                    <w:top w:val="nil"/>
                    <w:left w:val="nil"/>
                    <w:bottom w:val="single" w:sz="8" w:space="0" w:color="FFFFFF"/>
                    <w:right w:val="single" w:sz="8" w:space="0" w:color="FFFFFF"/>
                  </w:tcBorders>
                  <w:shd w:val="clear" w:color="000000" w:fill="FCD5B4"/>
                  <w:noWrap/>
                  <w:vAlign w:val="center"/>
                  <w:hideMark/>
                </w:tcPr>
                <w:p w14:paraId="4932DBC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0.93 </w:t>
                  </w:r>
                </w:p>
              </w:tc>
              <w:tc>
                <w:tcPr>
                  <w:tcW w:w="921" w:type="dxa"/>
                  <w:tcBorders>
                    <w:top w:val="nil"/>
                    <w:left w:val="nil"/>
                    <w:bottom w:val="single" w:sz="8" w:space="0" w:color="FFFFFF"/>
                    <w:right w:val="single" w:sz="8" w:space="0" w:color="FFFFFF"/>
                  </w:tcBorders>
                  <w:shd w:val="clear" w:color="000000" w:fill="FCD5B4"/>
                  <w:noWrap/>
                  <w:vAlign w:val="center"/>
                  <w:hideMark/>
                </w:tcPr>
                <w:p w14:paraId="3F266EFC"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1.48 </w:t>
                  </w:r>
                </w:p>
              </w:tc>
              <w:tc>
                <w:tcPr>
                  <w:tcW w:w="921" w:type="dxa"/>
                  <w:tcBorders>
                    <w:top w:val="nil"/>
                    <w:left w:val="nil"/>
                    <w:bottom w:val="single" w:sz="8" w:space="0" w:color="FFFFFF"/>
                    <w:right w:val="single" w:sz="8" w:space="0" w:color="FFFFFF"/>
                  </w:tcBorders>
                  <w:shd w:val="clear" w:color="000000" w:fill="FCD5B4"/>
                  <w:noWrap/>
                  <w:vAlign w:val="center"/>
                  <w:hideMark/>
                </w:tcPr>
                <w:p w14:paraId="407C7F8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3.66 </w:t>
                  </w:r>
                </w:p>
              </w:tc>
            </w:tr>
            <w:tr w:rsidR="00C230F0" w:rsidRPr="00C230F0" w14:paraId="2C79D331" w14:textId="77777777" w:rsidTr="00C230F0">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2F6DBF94"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205B6ECE"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3.35 </w:t>
                  </w:r>
                </w:p>
              </w:tc>
              <w:tc>
                <w:tcPr>
                  <w:tcW w:w="921" w:type="dxa"/>
                  <w:tcBorders>
                    <w:top w:val="nil"/>
                    <w:left w:val="nil"/>
                    <w:bottom w:val="single" w:sz="8" w:space="0" w:color="FFFFFF"/>
                    <w:right w:val="single" w:sz="8" w:space="0" w:color="FFFFFF"/>
                  </w:tcBorders>
                  <w:shd w:val="clear" w:color="000000" w:fill="FDE9D9"/>
                  <w:noWrap/>
                  <w:vAlign w:val="center"/>
                  <w:hideMark/>
                </w:tcPr>
                <w:p w14:paraId="6EB69DBD"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3.57 </w:t>
                  </w:r>
                </w:p>
              </w:tc>
              <w:tc>
                <w:tcPr>
                  <w:tcW w:w="921" w:type="dxa"/>
                  <w:tcBorders>
                    <w:top w:val="nil"/>
                    <w:left w:val="nil"/>
                    <w:bottom w:val="single" w:sz="8" w:space="0" w:color="FFFFFF"/>
                    <w:right w:val="single" w:sz="8" w:space="0" w:color="FFFFFF"/>
                  </w:tcBorders>
                  <w:shd w:val="clear" w:color="000000" w:fill="FDE9D9"/>
                  <w:noWrap/>
                  <w:vAlign w:val="center"/>
                  <w:hideMark/>
                </w:tcPr>
                <w:p w14:paraId="6ECE51BF"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3.98 </w:t>
                  </w:r>
                </w:p>
              </w:tc>
              <w:tc>
                <w:tcPr>
                  <w:tcW w:w="921" w:type="dxa"/>
                  <w:tcBorders>
                    <w:top w:val="nil"/>
                    <w:left w:val="nil"/>
                    <w:bottom w:val="single" w:sz="8" w:space="0" w:color="FFFFFF"/>
                    <w:right w:val="single" w:sz="8" w:space="0" w:color="FFFFFF"/>
                  </w:tcBorders>
                  <w:shd w:val="clear" w:color="000000" w:fill="FDE9D9"/>
                  <w:noWrap/>
                  <w:vAlign w:val="center"/>
                  <w:hideMark/>
                </w:tcPr>
                <w:p w14:paraId="7C22F06A"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6.19 </w:t>
                  </w:r>
                </w:p>
              </w:tc>
              <w:tc>
                <w:tcPr>
                  <w:tcW w:w="1157" w:type="dxa"/>
                  <w:tcBorders>
                    <w:top w:val="nil"/>
                    <w:left w:val="nil"/>
                    <w:bottom w:val="single" w:sz="8" w:space="0" w:color="FFFFFF"/>
                    <w:right w:val="single" w:sz="8" w:space="0" w:color="FFFFFF"/>
                  </w:tcBorders>
                  <w:shd w:val="clear" w:color="000000" w:fill="FDE9D9"/>
                  <w:noWrap/>
                  <w:vAlign w:val="center"/>
                  <w:hideMark/>
                </w:tcPr>
                <w:p w14:paraId="636DFF3A"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0DE5437E"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0.58 </w:t>
                  </w:r>
                </w:p>
              </w:tc>
              <w:tc>
                <w:tcPr>
                  <w:tcW w:w="921" w:type="dxa"/>
                  <w:tcBorders>
                    <w:top w:val="nil"/>
                    <w:left w:val="nil"/>
                    <w:bottom w:val="single" w:sz="8" w:space="0" w:color="FFFFFF"/>
                    <w:right w:val="single" w:sz="8" w:space="0" w:color="FFFFFF"/>
                  </w:tcBorders>
                  <w:shd w:val="clear" w:color="000000" w:fill="FDE9D9"/>
                  <w:noWrap/>
                  <w:vAlign w:val="center"/>
                  <w:hideMark/>
                </w:tcPr>
                <w:p w14:paraId="2F5AF012"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0.80 </w:t>
                  </w:r>
                </w:p>
              </w:tc>
              <w:tc>
                <w:tcPr>
                  <w:tcW w:w="921" w:type="dxa"/>
                  <w:tcBorders>
                    <w:top w:val="nil"/>
                    <w:left w:val="nil"/>
                    <w:bottom w:val="single" w:sz="8" w:space="0" w:color="FFFFFF"/>
                    <w:right w:val="single" w:sz="8" w:space="0" w:color="FFFFFF"/>
                  </w:tcBorders>
                  <w:shd w:val="clear" w:color="000000" w:fill="FDE9D9"/>
                  <w:noWrap/>
                  <w:vAlign w:val="center"/>
                  <w:hideMark/>
                </w:tcPr>
                <w:p w14:paraId="4EB8BE53"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1.21 </w:t>
                  </w:r>
                </w:p>
              </w:tc>
              <w:tc>
                <w:tcPr>
                  <w:tcW w:w="921" w:type="dxa"/>
                  <w:tcBorders>
                    <w:top w:val="nil"/>
                    <w:left w:val="nil"/>
                    <w:bottom w:val="single" w:sz="8" w:space="0" w:color="FFFFFF"/>
                    <w:right w:val="single" w:sz="8" w:space="0" w:color="FFFFFF"/>
                  </w:tcBorders>
                  <w:shd w:val="clear" w:color="000000" w:fill="FDE9D9"/>
                  <w:noWrap/>
                  <w:vAlign w:val="center"/>
                  <w:hideMark/>
                </w:tcPr>
                <w:p w14:paraId="206A638D"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3.42 </w:t>
                  </w:r>
                </w:p>
              </w:tc>
            </w:tr>
            <w:tr w:rsidR="00C230F0" w:rsidRPr="00C230F0" w14:paraId="108FE11B" w14:textId="77777777" w:rsidTr="00C230F0">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58A7D6C4"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39E7007C"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3.59 </w:t>
                  </w:r>
                </w:p>
              </w:tc>
              <w:tc>
                <w:tcPr>
                  <w:tcW w:w="921" w:type="dxa"/>
                  <w:tcBorders>
                    <w:top w:val="nil"/>
                    <w:left w:val="nil"/>
                    <w:bottom w:val="single" w:sz="8" w:space="0" w:color="FFFFFF"/>
                    <w:right w:val="single" w:sz="8" w:space="0" w:color="FFFFFF"/>
                  </w:tcBorders>
                  <w:shd w:val="clear" w:color="000000" w:fill="FCD5B4"/>
                  <w:noWrap/>
                  <w:vAlign w:val="center"/>
                  <w:hideMark/>
                </w:tcPr>
                <w:p w14:paraId="6E0A625F"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3.82 </w:t>
                  </w:r>
                </w:p>
              </w:tc>
              <w:tc>
                <w:tcPr>
                  <w:tcW w:w="921" w:type="dxa"/>
                  <w:tcBorders>
                    <w:top w:val="nil"/>
                    <w:left w:val="nil"/>
                    <w:bottom w:val="single" w:sz="8" w:space="0" w:color="FFFFFF"/>
                    <w:right w:val="single" w:sz="8" w:space="0" w:color="FFFFFF"/>
                  </w:tcBorders>
                  <w:shd w:val="clear" w:color="000000" w:fill="FCD5B4"/>
                  <w:noWrap/>
                  <w:vAlign w:val="center"/>
                  <w:hideMark/>
                </w:tcPr>
                <w:p w14:paraId="1F6CC1BD"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4.42 </w:t>
                  </w:r>
                </w:p>
              </w:tc>
              <w:tc>
                <w:tcPr>
                  <w:tcW w:w="921" w:type="dxa"/>
                  <w:tcBorders>
                    <w:top w:val="nil"/>
                    <w:left w:val="nil"/>
                    <w:bottom w:val="single" w:sz="8" w:space="0" w:color="FFFFFF"/>
                    <w:right w:val="single" w:sz="8" w:space="0" w:color="FFFFFF"/>
                  </w:tcBorders>
                  <w:shd w:val="clear" w:color="000000" w:fill="FCD5B4"/>
                  <w:noWrap/>
                  <w:vAlign w:val="center"/>
                  <w:hideMark/>
                </w:tcPr>
                <w:p w14:paraId="2A512071"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6.62 </w:t>
                  </w:r>
                </w:p>
              </w:tc>
              <w:tc>
                <w:tcPr>
                  <w:tcW w:w="1157" w:type="dxa"/>
                  <w:tcBorders>
                    <w:top w:val="nil"/>
                    <w:left w:val="nil"/>
                    <w:bottom w:val="single" w:sz="8" w:space="0" w:color="FFFFFF"/>
                    <w:right w:val="single" w:sz="8" w:space="0" w:color="FFFFFF"/>
                  </w:tcBorders>
                  <w:shd w:val="clear" w:color="000000" w:fill="FCD5B4"/>
                  <w:noWrap/>
                  <w:vAlign w:val="center"/>
                  <w:hideMark/>
                </w:tcPr>
                <w:p w14:paraId="05564C0C"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5AB0164A"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0.64 </w:t>
                  </w:r>
                </w:p>
              </w:tc>
              <w:tc>
                <w:tcPr>
                  <w:tcW w:w="921" w:type="dxa"/>
                  <w:tcBorders>
                    <w:top w:val="nil"/>
                    <w:left w:val="nil"/>
                    <w:bottom w:val="single" w:sz="8" w:space="0" w:color="FFFFFF"/>
                    <w:right w:val="single" w:sz="8" w:space="0" w:color="FFFFFF"/>
                  </w:tcBorders>
                  <w:shd w:val="clear" w:color="000000" w:fill="FCD5B4"/>
                  <w:noWrap/>
                  <w:vAlign w:val="center"/>
                  <w:hideMark/>
                </w:tcPr>
                <w:p w14:paraId="3053FBFC"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0.87 </w:t>
                  </w:r>
                </w:p>
              </w:tc>
              <w:tc>
                <w:tcPr>
                  <w:tcW w:w="921" w:type="dxa"/>
                  <w:tcBorders>
                    <w:top w:val="nil"/>
                    <w:left w:val="nil"/>
                    <w:bottom w:val="single" w:sz="8" w:space="0" w:color="FFFFFF"/>
                    <w:right w:val="single" w:sz="8" w:space="0" w:color="FFFFFF"/>
                  </w:tcBorders>
                  <w:shd w:val="clear" w:color="000000" w:fill="FCD5B4"/>
                  <w:noWrap/>
                  <w:vAlign w:val="center"/>
                  <w:hideMark/>
                </w:tcPr>
                <w:p w14:paraId="20F6C9FE"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1.47 </w:t>
                  </w:r>
                </w:p>
              </w:tc>
              <w:tc>
                <w:tcPr>
                  <w:tcW w:w="921" w:type="dxa"/>
                  <w:tcBorders>
                    <w:top w:val="nil"/>
                    <w:left w:val="nil"/>
                    <w:bottom w:val="single" w:sz="8" w:space="0" w:color="FFFFFF"/>
                    <w:right w:val="single" w:sz="8" w:space="0" w:color="FFFFFF"/>
                  </w:tcBorders>
                  <w:shd w:val="clear" w:color="000000" w:fill="FCD5B4"/>
                  <w:noWrap/>
                  <w:vAlign w:val="center"/>
                  <w:hideMark/>
                </w:tcPr>
                <w:p w14:paraId="36AFC7C7"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3.67 </w:t>
                  </w:r>
                </w:p>
              </w:tc>
            </w:tr>
            <w:tr w:rsidR="00C230F0" w:rsidRPr="00C230F0" w14:paraId="4447C791" w14:textId="77777777" w:rsidTr="00C230F0">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ABB8B0B"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07D214B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3.84 </w:t>
                  </w:r>
                </w:p>
              </w:tc>
              <w:tc>
                <w:tcPr>
                  <w:tcW w:w="921" w:type="dxa"/>
                  <w:tcBorders>
                    <w:top w:val="nil"/>
                    <w:left w:val="nil"/>
                    <w:bottom w:val="single" w:sz="8" w:space="0" w:color="FFFFFF"/>
                    <w:right w:val="single" w:sz="8" w:space="0" w:color="FFFFFF"/>
                  </w:tcBorders>
                  <w:shd w:val="clear" w:color="000000" w:fill="FDE9D9"/>
                  <w:noWrap/>
                  <w:vAlign w:val="center"/>
                  <w:hideMark/>
                </w:tcPr>
                <w:p w14:paraId="217183BA"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4.09 </w:t>
                  </w:r>
                </w:p>
              </w:tc>
              <w:tc>
                <w:tcPr>
                  <w:tcW w:w="921" w:type="dxa"/>
                  <w:tcBorders>
                    <w:top w:val="nil"/>
                    <w:left w:val="nil"/>
                    <w:bottom w:val="single" w:sz="8" w:space="0" w:color="FFFFFF"/>
                    <w:right w:val="single" w:sz="8" w:space="0" w:color="FFFFFF"/>
                  </w:tcBorders>
                  <w:shd w:val="clear" w:color="000000" w:fill="FDE9D9"/>
                  <w:noWrap/>
                  <w:vAlign w:val="center"/>
                  <w:hideMark/>
                </w:tcPr>
                <w:p w14:paraId="1AD748D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4.68 </w:t>
                  </w:r>
                </w:p>
              </w:tc>
              <w:tc>
                <w:tcPr>
                  <w:tcW w:w="921" w:type="dxa"/>
                  <w:tcBorders>
                    <w:top w:val="nil"/>
                    <w:left w:val="nil"/>
                    <w:bottom w:val="single" w:sz="8" w:space="0" w:color="FFFFFF"/>
                    <w:right w:val="single" w:sz="8" w:space="0" w:color="FFFFFF"/>
                  </w:tcBorders>
                  <w:shd w:val="clear" w:color="000000" w:fill="FDE9D9"/>
                  <w:noWrap/>
                  <w:vAlign w:val="center"/>
                  <w:hideMark/>
                </w:tcPr>
                <w:p w14:paraId="50124AE1"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6.88 </w:t>
                  </w:r>
                </w:p>
              </w:tc>
              <w:tc>
                <w:tcPr>
                  <w:tcW w:w="1157" w:type="dxa"/>
                  <w:tcBorders>
                    <w:top w:val="nil"/>
                    <w:left w:val="nil"/>
                    <w:bottom w:val="single" w:sz="8" w:space="0" w:color="FFFFFF"/>
                    <w:right w:val="single" w:sz="8" w:space="0" w:color="FFFFFF"/>
                  </w:tcBorders>
                  <w:shd w:val="clear" w:color="000000" w:fill="FDE9D9"/>
                  <w:noWrap/>
                  <w:vAlign w:val="center"/>
                  <w:hideMark/>
                </w:tcPr>
                <w:p w14:paraId="68CF6D5B"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78A3312B"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0.75 </w:t>
                  </w:r>
                </w:p>
              </w:tc>
              <w:tc>
                <w:tcPr>
                  <w:tcW w:w="921" w:type="dxa"/>
                  <w:tcBorders>
                    <w:top w:val="nil"/>
                    <w:left w:val="nil"/>
                    <w:bottom w:val="single" w:sz="8" w:space="0" w:color="FFFFFF"/>
                    <w:right w:val="single" w:sz="8" w:space="0" w:color="FFFFFF"/>
                  </w:tcBorders>
                  <w:shd w:val="clear" w:color="000000" w:fill="FDE9D9"/>
                  <w:noWrap/>
                  <w:vAlign w:val="center"/>
                  <w:hideMark/>
                </w:tcPr>
                <w:p w14:paraId="27A23B27"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1.00 </w:t>
                  </w:r>
                </w:p>
              </w:tc>
              <w:tc>
                <w:tcPr>
                  <w:tcW w:w="921" w:type="dxa"/>
                  <w:tcBorders>
                    <w:top w:val="nil"/>
                    <w:left w:val="nil"/>
                    <w:bottom w:val="single" w:sz="8" w:space="0" w:color="FFFFFF"/>
                    <w:right w:val="single" w:sz="8" w:space="0" w:color="FFFFFF"/>
                  </w:tcBorders>
                  <w:shd w:val="clear" w:color="000000" w:fill="FDE9D9"/>
                  <w:noWrap/>
                  <w:vAlign w:val="center"/>
                  <w:hideMark/>
                </w:tcPr>
                <w:p w14:paraId="15C41CD0"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1.59 </w:t>
                  </w:r>
                </w:p>
              </w:tc>
              <w:tc>
                <w:tcPr>
                  <w:tcW w:w="921" w:type="dxa"/>
                  <w:tcBorders>
                    <w:top w:val="nil"/>
                    <w:left w:val="nil"/>
                    <w:bottom w:val="single" w:sz="8" w:space="0" w:color="FFFFFF"/>
                    <w:right w:val="single" w:sz="8" w:space="0" w:color="FFFFFF"/>
                  </w:tcBorders>
                  <w:shd w:val="clear" w:color="000000" w:fill="FDE9D9"/>
                  <w:noWrap/>
                  <w:vAlign w:val="center"/>
                  <w:hideMark/>
                </w:tcPr>
                <w:p w14:paraId="1F9222A5"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3.79 </w:t>
                  </w:r>
                </w:p>
              </w:tc>
            </w:tr>
            <w:tr w:rsidR="00C230F0" w:rsidRPr="00C230F0" w14:paraId="3FEAA9DB" w14:textId="77777777" w:rsidTr="00C230F0">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10BFE54A" w14:textId="77777777" w:rsidR="00C230F0" w:rsidRPr="00C230F0" w:rsidRDefault="00C230F0" w:rsidP="00C230F0">
                  <w:pPr>
                    <w:widowControl/>
                    <w:jc w:val="center"/>
                    <w:rPr>
                      <w:rFonts w:ascii="楷体" w:eastAsia="楷体" w:hAnsi="楷体" w:cs="宋体"/>
                      <w:color w:val="000000"/>
                      <w:kern w:val="0"/>
                      <w:sz w:val="20"/>
                      <w:szCs w:val="20"/>
                    </w:rPr>
                  </w:pPr>
                  <w:proofErr w:type="gramStart"/>
                  <w:r w:rsidRPr="00C230F0">
                    <w:rPr>
                      <w:rFonts w:ascii="楷体" w:eastAsia="楷体" w:hAnsi="楷体" w:cs="宋体" w:hint="eastAsia"/>
                      <w:color w:val="000000"/>
                      <w:kern w:val="0"/>
                      <w:sz w:val="20"/>
                      <w:szCs w:val="20"/>
                    </w:rPr>
                    <w:t>城投债</w:t>
                  </w:r>
                  <w:proofErr w:type="gramEnd"/>
                  <w:r w:rsidRPr="00C230F0">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2CCBF2AB"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3.36 </w:t>
                  </w:r>
                </w:p>
              </w:tc>
              <w:tc>
                <w:tcPr>
                  <w:tcW w:w="921" w:type="dxa"/>
                  <w:tcBorders>
                    <w:top w:val="nil"/>
                    <w:left w:val="nil"/>
                    <w:bottom w:val="single" w:sz="8" w:space="0" w:color="FFFFFF"/>
                    <w:right w:val="single" w:sz="8" w:space="0" w:color="FFFFFF"/>
                  </w:tcBorders>
                  <w:shd w:val="clear" w:color="000000" w:fill="FCD5B4"/>
                  <w:noWrap/>
                  <w:vAlign w:val="center"/>
                  <w:hideMark/>
                </w:tcPr>
                <w:p w14:paraId="27295919"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3.54 </w:t>
                  </w:r>
                </w:p>
              </w:tc>
              <w:tc>
                <w:tcPr>
                  <w:tcW w:w="921" w:type="dxa"/>
                  <w:tcBorders>
                    <w:top w:val="nil"/>
                    <w:left w:val="nil"/>
                    <w:bottom w:val="single" w:sz="8" w:space="0" w:color="FFFFFF"/>
                    <w:right w:val="single" w:sz="8" w:space="0" w:color="FFFFFF"/>
                  </w:tcBorders>
                  <w:shd w:val="clear" w:color="000000" w:fill="FCD5B4"/>
                  <w:noWrap/>
                  <w:vAlign w:val="center"/>
                  <w:hideMark/>
                </w:tcPr>
                <w:p w14:paraId="784BD8CA"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3.72 </w:t>
                  </w:r>
                </w:p>
              </w:tc>
              <w:tc>
                <w:tcPr>
                  <w:tcW w:w="921" w:type="dxa"/>
                  <w:tcBorders>
                    <w:top w:val="nil"/>
                    <w:left w:val="nil"/>
                    <w:bottom w:val="single" w:sz="8" w:space="0" w:color="FFFFFF"/>
                    <w:right w:val="single" w:sz="8" w:space="0" w:color="FFFFFF"/>
                  </w:tcBorders>
                  <w:shd w:val="clear" w:color="000000" w:fill="FCD5B4"/>
                  <w:noWrap/>
                  <w:vAlign w:val="center"/>
                  <w:hideMark/>
                </w:tcPr>
                <w:p w14:paraId="10C8ACE1"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6.35 </w:t>
                  </w:r>
                </w:p>
              </w:tc>
              <w:tc>
                <w:tcPr>
                  <w:tcW w:w="1157" w:type="dxa"/>
                  <w:tcBorders>
                    <w:top w:val="nil"/>
                    <w:left w:val="nil"/>
                    <w:bottom w:val="single" w:sz="8" w:space="0" w:color="FFFFFF"/>
                    <w:right w:val="single" w:sz="8" w:space="0" w:color="FFFFFF"/>
                  </w:tcBorders>
                  <w:shd w:val="clear" w:color="000000" w:fill="FCD5B4"/>
                  <w:noWrap/>
                  <w:vAlign w:val="center"/>
                  <w:hideMark/>
                </w:tcPr>
                <w:p w14:paraId="7D9CF200" w14:textId="77777777" w:rsidR="00C230F0" w:rsidRPr="00C230F0" w:rsidRDefault="00C230F0" w:rsidP="00C230F0">
                  <w:pPr>
                    <w:widowControl/>
                    <w:jc w:val="center"/>
                    <w:rPr>
                      <w:rFonts w:ascii="楷体" w:eastAsia="楷体" w:hAnsi="楷体" w:cs="宋体"/>
                      <w:color w:val="000000"/>
                      <w:kern w:val="0"/>
                      <w:sz w:val="20"/>
                      <w:szCs w:val="20"/>
                    </w:rPr>
                  </w:pPr>
                  <w:proofErr w:type="gramStart"/>
                  <w:r w:rsidRPr="00C230F0">
                    <w:rPr>
                      <w:rFonts w:ascii="楷体" w:eastAsia="楷体" w:hAnsi="楷体" w:cs="宋体" w:hint="eastAsia"/>
                      <w:color w:val="000000"/>
                      <w:kern w:val="0"/>
                      <w:sz w:val="20"/>
                      <w:szCs w:val="20"/>
                    </w:rPr>
                    <w:t>城投债</w:t>
                  </w:r>
                  <w:proofErr w:type="gramEnd"/>
                  <w:r w:rsidRPr="00C230F0">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08FCE80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0.59 </w:t>
                  </w:r>
                </w:p>
              </w:tc>
              <w:tc>
                <w:tcPr>
                  <w:tcW w:w="921" w:type="dxa"/>
                  <w:tcBorders>
                    <w:top w:val="nil"/>
                    <w:left w:val="nil"/>
                    <w:bottom w:val="single" w:sz="8" w:space="0" w:color="FFFFFF"/>
                    <w:right w:val="single" w:sz="8" w:space="0" w:color="FFFFFF"/>
                  </w:tcBorders>
                  <w:shd w:val="clear" w:color="000000" w:fill="FCD5B4"/>
                  <w:noWrap/>
                  <w:vAlign w:val="center"/>
                  <w:hideMark/>
                </w:tcPr>
                <w:p w14:paraId="695E4276"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0.77 </w:t>
                  </w:r>
                </w:p>
              </w:tc>
              <w:tc>
                <w:tcPr>
                  <w:tcW w:w="921" w:type="dxa"/>
                  <w:tcBorders>
                    <w:top w:val="nil"/>
                    <w:left w:val="nil"/>
                    <w:bottom w:val="single" w:sz="8" w:space="0" w:color="FFFFFF"/>
                    <w:right w:val="single" w:sz="8" w:space="0" w:color="FFFFFF"/>
                  </w:tcBorders>
                  <w:shd w:val="clear" w:color="000000" w:fill="FCD5B4"/>
                  <w:noWrap/>
                  <w:vAlign w:val="center"/>
                  <w:hideMark/>
                </w:tcPr>
                <w:p w14:paraId="6028949D"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0.95 </w:t>
                  </w:r>
                </w:p>
              </w:tc>
              <w:tc>
                <w:tcPr>
                  <w:tcW w:w="921" w:type="dxa"/>
                  <w:tcBorders>
                    <w:top w:val="nil"/>
                    <w:left w:val="nil"/>
                    <w:bottom w:val="single" w:sz="8" w:space="0" w:color="FFFFFF"/>
                    <w:right w:val="single" w:sz="8" w:space="0" w:color="FFFFFF"/>
                  </w:tcBorders>
                  <w:shd w:val="clear" w:color="000000" w:fill="FCD5B4"/>
                  <w:noWrap/>
                  <w:vAlign w:val="center"/>
                  <w:hideMark/>
                </w:tcPr>
                <w:p w14:paraId="0FDA2C85"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3.58 </w:t>
                  </w:r>
                </w:p>
              </w:tc>
            </w:tr>
            <w:tr w:rsidR="00C230F0" w:rsidRPr="00C230F0" w14:paraId="7CBB66C4" w14:textId="77777777" w:rsidTr="00C230F0">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28831199" w14:textId="77777777" w:rsidR="00C230F0" w:rsidRPr="00C230F0" w:rsidRDefault="00C230F0" w:rsidP="00C230F0">
                  <w:pPr>
                    <w:widowControl/>
                    <w:jc w:val="center"/>
                    <w:rPr>
                      <w:rFonts w:ascii="楷体" w:eastAsia="楷体" w:hAnsi="楷体" w:cs="宋体"/>
                      <w:color w:val="000000"/>
                      <w:kern w:val="0"/>
                      <w:sz w:val="20"/>
                      <w:szCs w:val="20"/>
                    </w:rPr>
                  </w:pPr>
                  <w:proofErr w:type="gramStart"/>
                  <w:r w:rsidRPr="00C230F0">
                    <w:rPr>
                      <w:rFonts w:ascii="楷体" w:eastAsia="楷体" w:hAnsi="楷体" w:cs="宋体" w:hint="eastAsia"/>
                      <w:color w:val="000000"/>
                      <w:kern w:val="0"/>
                      <w:sz w:val="20"/>
                      <w:szCs w:val="20"/>
                    </w:rPr>
                    <w:t>城投债</w:t>
                  </w:r>
                  <w:proofErr w:type="gramEnd"/>
                  <w:r w:rsidRPr="00C230F0">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4746E8A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3.68 </w:t>
                  </w:r>
                </w:p>
              </w:tc>
              <w:tc>
                <w:tcPr>
                  <w:tcW w:w="921" w:type="dxa"/>
                  <w:tcBorders>
                    <w:top w:val="nil"/>
                    <w:left w:val="nil"/>
                    <w:bottom w:val="single" w:sz="8" w:space="0" w:color="FFFFFF"/>
                    <w:right w:val="single" w:sz="8" w:space="0" w:color="FFFFFF"/>
                  </w:tcBorders>
                  <w:shd w:val="clear" w:color="000000" w:fill="FDE9D9"/>
                  <w:noWrap/>
                  <w:vAlign w:val="center"/>
                  <w:hideMark/>
                </w:tcPr>
                <w:p w14:paraId="06585937"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3.88 </w:t>
                  </w:r>
                </w:p>
              </w:tc>
              <w:tc>
                <w:tcPr>
                  <w:tcW w:w="921" w:type="dxa"/>
                  <w:tcBorders>
                    <w:top w:val="nil"/>
                    <w:left w:val="nil"/>
                    <w:bottom w:val="single" w:sz="8" w:space="0" w:color="FFFFFF"/>
                    <w:right w:val="single" w:sz="8" w:space="0" w:color="FFFFFF"/>
                  </w:tcBorders>
                  <w:shd w:val="clear" w:color="000000" w:fill="FDE9D9"/>
                  <w:noWrap/>
                  <w:vAlign w:val="center"/>
                  <w:hideMark/>
                </w:tcPr>
                <w:p w14:paraId="066340D7"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4.26 </w:t>
                  </w:r>
                </w:p>
              </w:tc>
              <w:tc>
                <w:tcPr>
                  <w:tcW w:w="921" w:type="dxa"/>
                  <w:tcBorders>
                    <w:top w:val="nil"/>
                    <w:left w:val="nil"/>
                    <w:bottom w:val="single" w:sz="8" w:space="0" w:color="FFFFFF"/>
                    <w:right w:val="single" w:sz="8" w:space="0" w:color="FFFFFF"/>
                  </w:tcBorders>
                  <w:shd w:val="clear" w:color="000000" w:fill="FDE9D9"/>
                  <w:noWrap/>
                  <w:vAlign w:val="center"/>
                  <w:hideMark/>
                </w:tcPr>
                <w:p w14:paraId="28BB31E0"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7.21 </w:t>
                  </w:r>
                </w:p>
              </w:tc>
              <w:tc>
                <w:tcPr>
                  <w:tcW w:w="1157" w:type="dxa"/>
                  <w:tcBorders>
                    <w:top w:val="nil"/>
                    <w:left w:val="nil"/>
                    <w:bottom w:val="single" w:sz="8" w:space="0" w:color="FFFFFF"/>
                    <w:right w:val="single" w:sz="8" w:space="0" w:color="FFFFFF"/>
                  </w:tcBorders>
                  <w:shd w:val="clear" w:color="000000" w:fill="FDE9D9"/>
                  <w:noWrap/>
                  <w:vAlign w:val="center"/>
                  <w:hideMark/>
                </w:tcPr>
                <w:p w14:paraId="307539F0" w14:textId="77777777" w:rsidR="00C230F0" w:rsidRPr="00C230F0" w:rsidRDefault="00C230F0" w:rsidP="00C230F0">
                  <w:pPr>
                    <w:widowControl/>
                    <w:jc w:val="center"/>
                    <w:rPr>
                      <w:rFonts w:ascii="楷体" w:eastAsia="楷体" w:hAnsi="楷体" w:cs="宋体"/>
                      <w:color w:val="000000"/>
                      <w:kern w:val="0"/>
                      <w:sz w:val="20"/>
                      <w:szCs w:val="20"/>
                    </w:rPr>
                  </w:pPr>
                  <w:proofErr w:type="gramStart"/>
                  <w:r w:rsidRPr="00C230F0">
                    <w:rPr>
                      <w:rFonts w:ascii="楷体" w:eastAsia="楷体" w:hAnsi="楷体" w:cs="宋体" w:hint="eastAsia"/>
                      <w:color w:val="000000"/>
                      <w:kern w:val="0"/>
                      <w:sz w:val="20"/>
                      <w:szCs w:val="20"/>
                    </w:rPr>
                    <w:t>城投债</w:t>
                  </w:r>
                  <w:proofErr w:type="gramEnd"/>
                  <w:r w:rsidRPr="00C230F0">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1C3C84AE"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0.73 </w:t>
                  </w:r>
                </w:p>
              </w:tc>
              <w:tc>
                <w:tcPr>
                  <w:tcW w:w="921" w:type="dxa"/>
                  <w:tcBorders>
                    <w:top w:val="nil"/>
                    <w:left w:val="nil"/>
                    <w:bottom w:val="single" w:sz="8" w:space="0" w:color="FFFFFF"/>
                    <w:right w:val="single" w:sz="8" w:space="0" w:color="FFFFFF"/>
                  </w:tcBorders>
                  <w:shd w:val="clear" w:color="000000" w:fill="FDE9D9"/>
                  <w:noWrap/>
                  <w:vAlign w:val="center"/>
                  <w:hideMark/>
                </w:tcPr>
                <w:p w14:paraId="58BACE8B"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0.93 </w:t>
                  </w:r>
                </w:p>
              </w:tc>
              <w:tc>
                <w:tcPr>
                  <w:tcW w:w="921" w:type="dxa"/>
                  <w:tcBorders>
                    <w:top w:val="nil"/>
                    <w:left w:val="nil"/>
                    <w:bottom w:val="single" w:sz="8" w:space="0" w:color="FFFFFF"/>
                    <w:right w:val="single" w:sz="8" w:space="0" w:color="FFFFFF"/>
                  </w:tcBorders>
                  <w:shd w:val="clear" w:color="000000" w:fill="FDE9D9"/>
                  <w:noWrap/>
                  <w:vAlign w:val="center"/>
                  <w:hideMark/>
                </w:tcPr>
                <w:p w14:paraId="11928157"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1.31 </w:t>
                  </w:r>
                </w:p>
              </w:tc>
              <w:tc>
                <w:tcPr>
                  <w:tcW w:w="921" w:type="dxa"/>
                  <w:tcBorders>
                    <w:top w:val="nil"/>
                    <w:left w:val="nil"/>
                    <w:bottom w:val="single" w:sz="8" w:space="0" w:color="FFFFFF"/>
                    <w:right w:val="single" w:sz="8" w:space="0" w:color="FFFFFF"/>
                  </w:tcBorders>
                  <w:shd w:val="clear" w:color="000000" w:fill="FDE9D9"/>
                  <w:noWrap/>
                  <w:vAlign w:val="center"/>
                  <w:hideMark/>
                </w:tcPr>
                <w:p w14:paraId="3C78AE16"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4.26 </w:t>
                  </w:r>
                </w:p>
              </w:tc>
            </w:tr>
            <w:tr w:rsidR="00C230F0" w:rsidRPr="00C230F0" w14:paraId="67197874" w14:textId="77777777" w:rsidTr="00C230F0">
              <w:trPr>
                <w:trHeight w:val="300"/>
              </w:trPr>
              <w:tc>
                <w:tcPr>
                  <w:tcW w:w="1350" w:type="dxa"/>
                  <w:tcBorders>
                    <w:top w:val="nil"/>
                    <w:left w:val="nil"/>
                    <w:bottom w:val="nil"/>
                    <w:right w:val="nil"/>
                  </w:tcBorders>
                  <w:shd w:val="clear" w:color="000000" w:fill="FCD5B4"/>
                  <w:noWrap/>
                  <w:vAlign w:val="center"/>
                  <w:hideMark/>
                </w:tcPr>
                <w:p w14:paraId="3C62792B" w14:textId="77777777" w:rsidR="00C230F0" w:rsidRPr="00C230F0" w:rsidRDefault="00C230F0" w:rsidP="00C230F0">
                  <w:pPr>
                    <w:widowControl/>
                    <w:jc w:val="center"/>
                    <w:rPr>
                      <w:rFonts w:ascii="楷体" w:eastAsia="楷体" w:hAnsi="楷体" w:cs="宋体"/>
                      <w:color w:val="000000"/>
                      <w:kern w:val="0"/>
                      <w:sz w:val="20"/>
                      <w:szCs w:val="20"/>
                    </w:rPr>
                  </w:pPr>
                  <w:proofErr w:type="gramStart"/>
                  <w:r w:rsidRPr="00C230F0">
                    <w:rPr>
                      <w:rFonts w:ascii="楷体" w:eastAsia="楷体" w:hAnsi="楷体" w:cs="宋体" w:hint="eastAsia"/>
                      <w:color w:val="000000"/>
                      <w:kern w:val="0"/>
                      <w:sz w:val="20"/>
                      <w:szCs w:val="20"/>
                    </w:rPr>
                    <w:t>城投债</w:t>
                  </w:r>
                  <w:proofErr w:type="gramEnd"/>
                  <w:r w:rsidRPr="00C230F0">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28CF4C27"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3.93 </w:t>
                  </w:r>
                </w:p>
              </w:tc>
              <w:tc>
                <w:tcPr>
                  <w:tcW w:w="921" w:type="dxa"/>
                  <w:tcBorders>
                    <w:top w:val="nil"/>
                    <w:left w:val="nil"/>
                    <w:bottom w:val="single" w:sz="8" w:space="0" w:color="FFFFFF"/>
                    <w:right w:val="single" w:sz="8" w:space="0" w:color="FFFFFF"/>
                  </w:tcBorders>
                  <w:shd w:val="clear" w:color="000000" w:fill="FCD5B4"/>
                  <w:noWrap/>
                  <w:vAlign w:val="center"/>
                  <w:hideMark/>
                </w:tcPr>
                <w:p w14:paraId="33A92C5E"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4.14 </w:t>
                  </w:r>
                </w:p>
              </w:tc>
              <w:tc>
                <w:tcPr>
                  <w:tcW w:w="921" w:type="dxa"/>
                  <w:tcBorders>
                    <w:top w:val="nil"/>
                    <w:left w:val="nil"/>
                    <w:bottom w:val="single" w:sz="8" w:space="0" w:color="FFFFFF"/>
                    <w:right w:val="single" w:sz="8" w:space="0" w:color="FFFFFF"/>
                  </w:tcBorders>
                  <w:shd w:val="clear" w:color="000000" w:fill="FCD5B4"/>
                  <w:noWrap/>
                  <w:vAlign w:val="center"/>
                  <w:hideMark/>
                </w:tcPr>
                <w:p w14:paraId="7C17CE76"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4.63 </w:t>
                  </w:r>
                </w:p>
              </w:tc>
              <w:tc>
                <w:tcPr>
                  <w:tcW w:w="921" w:type="dxa"/>
                  <w:tcBorders>
                    <w:top w:val="nil"/>
                    <w:left w:val="nil"/>
                    <w:bottom w:val="single" w:sz="8" w:space="0" w:color="FFFFFF"/>
                    <w:right w:val="single" w:sz="8" w:space="0" w:color="FFFFFF"/>
                  </w:tcBorders>
                  <w:shd w:val="clear" w:color="000000" w:fill="FCD5B4"/>
                  <w:noWrap/>
                  <w:vAlign w:val="center"/>
                  <w:hideMark/>
                </w:tcPr>
                <w:p w14:paraId="38588D8A"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7.58 </w:t>
                  </w:r>
                </w:p>
              </w:tc>
              <w:tc>
                <w:tcPr>
                  <w:tcW w:w="1157" w:type="dxa"/>
                  <w:tcBorders>
                    <w:top w:val="nil"/>
                    <w:left w:val="nil"/>
                    <w:bottom w:val="nil"/>
                    <w:right w:val="nil"/>
                  </w:tcBorders>
                  <w:shd w:val="clear" w:color="000000" w:fill="FCD5B4"/>
                  <w:noWrap/>
                  <w:vAlign w:val="center"/>
                  <w:hideMark/>
                </w:tcPr>
                <w:p w14:paraId="383AA699" w14:textId="77777777" w:rsidR="00C230F0" w:rsidRPr="00C230F0" w:rsidRDefault="00C230F0" w:rsidP="00C230F0">
                  <w:pPr>
                    <w:widowControl/>
                    <w:jc w:val="center"/>
                    <w:rPr>
                      <w:rFonts w:ascii="楷体" w:eastAsia="楷体" w:hAnsi="楷体" w:cs="宋体"/>
                      <w:color w:val="000000"/>
                      <w:kern w:val="0"/>
                      <w:sz w:val="20"/>
                      <w:szCs w:val="20"/>
                    </w:rPr>
                  </w:pPr>
                  <w:proofErr w:type="gramStart"/>
                  <w:r w:rsidRPr="00C230F0">
                    <w:rPr>
                      <w:rFonts w:ascii="楷体" w:eastAsia="楷体" w:hAnsi="楷体" w:cs="宋体" w:hint="eastAsia"/>
                      <w:color w:val="000000"/>
                      <w:kern w:val="0"/>
                      <w:sz w:val="20"/>
                      <w:szCs w:val="20"/>
                    </w:rPr>
                    <w:t>城投债</w:t>
                  </w:r>
                  <w:proofErr w:type="gramEnd"/>
                  <w:r w:rsidRPr="00C230F0">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3D160FA7"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0.83 </w:t>
                  </w:r>
                </w:p>
              </w:tc>
              <w:tc>
                <w:tcPr>
                  <w:tcW w:w="921" w:type="dxa"/>
                  <w:tcBorders>
                    <w:top w:val="nil"/>
                    <w:left w:val="nil"/>
                    <w:bottom w:val="single" w:sz="8" w:space="0" w:color="FFFFFF"/>
                    <w:right w:val="single" w:sz="8" w:space="0" w:color="FFFFFF"/>
                  </w:tcBorders>
                  <w:shd w:val="clear" w:color="000000" w:fill="FCD5B4"/>
                  <w:noWrap/>
                  <w:vAlign w:val="center"/>
                  <w:hideMark/>
                </w:tcPr>
                <w:p w14:paraId="12634BDE"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1.04 </w:t>
                  </w:r>
                </w:p>
              </w:tc>
              <w:tc>
                <w:tcPr>
                  <w:tcW w:w="921" w:type="dxa"/>
                  <w:tcBorders>
                    <w:top w:val="nil"/>
                    <w:left w:val="nil"/>
                    <w:bottom w:val="single" w:sz="8" w:space="0" w:color="FFFFFF"/>
                    <w:right w:val="single" w:sz="8" w:space="0" w:color="FFFFFF"/>
                  </w:tcBorders>
                  <w:shd w:val="clear" w:color="000000" w:fill="FCD5B4"/>
                  <w:noWrap/>
                  <w:vAlign w:val="center"/>
                  <w:hideMark/>
                </w:tcPr>
                <w:p w14:paraId="0662411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1.53 </w:t>
                  </w:r>
                </w:p>
              </w:tc>
              <w:tc>
                <w:tcPr>
                  <w:tcW w:w="921" w:type="dxa"/>
                  <w:tcBorders>
                    <w:top w:val="nil"/>
                    <w:left w:val="nil"/>
                    <w:bottom w:val="single" w:sz="8" w:space="0" w:color="FFFFFF"/>
                    <w:right w:val="single" w:sz="8" w:space="0" w:color="FFFFFF"/>
                  </w:tcBorders>
                  <w:shd w:val="clear" w:color="000000" w:fill="FCD5B4"/>
                  <w:noWrap/>
                  <w:vAlign w:val="center"/>
                  <w:hideMark/>
                </w:tcPr>
                <w:p w14:paraId="0267E71A"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4.48 </w:t>
                  </w:r>
                </w:p>
              </w:tc>
            </w:tr>
            <w:tr w:rsidR="00C230F0" w:rsidRPr="00C230F0" w14:paraId="7B91A545" w14:textId="77777777" w:rsidTr="00C230F0">
              <w:trPr>
                <w:trHeight w:val="150"/>
              </w:trPr>
              <w:tc>
                <w:tcPr>
                  <w:tcW w:w="1350" w:type="dxa"/>
                  <w:tcBorders>
                    <w:top w:val="nil"/>
                    <w:left w:val="nil"/>
                    <w:bottom w:val="nil"/>
                    <w:right w:val="nil"/>
                  </w:tcBorders>
                  <w:shd w:val="clear" w:color="auto" w:fill="auto"/>
                  <w:noWrap/>
                  <w:vAlign w:val="center"/>
                  <w:hideMark/>
                </w:tcPr>
                <w:p w14:paraId="572EFA32" w14:textId="77777777" w:rsidR="00C230F0" w:rsidRPr="00C230F0" w:rsidRDefault="00C230F0" w:rsidP="00C230F0">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40412AE7" w14:textId="77777777" w:rsidR="00C230F0" w:rsidRPr="00C230F0" w:rsidRDefault="00C230F0" w:rsidP="00C230F0">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F17B87C" w14:textId="77777777" w:rsidR="00C230F0" w:rsidRPr="00C230F0" w:rsidRDefault="00C230F0" w:rsidP="00C230F0">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6C0D3B58" w14:textId="77777777" w:rsidR="00C230F0" w:rsidRPr="00C230F0" w:rsidRDefault="00C230F0" w:rsidP="00C230F0">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52AA980D" w14:textId="77777777" w:rsidR="00C230F0" w:rsidRPr="00C230F0" w:rsidRDefault="00C230F0" w:rsidP="00C230F0">
                  <w:pPr>
                    <w:widowControl/>
                    <w:jc w:val="center"/>
                    <w:rPr>
                      <w:rFonts w:ascii="Times New Roman" w:eastAsia="Times New Roman" w:hAnsi="Times New Roman"/>
                      <w:kern w:val="0"/>
                      <w:sz w:val="20"/>
                      <w:szCs w:val="20"/>
                    </w:rPr>
                  </w:pPr>
                </w:p>
              </w:tc>
              <w:tc>
                <w:tcPr>
                  <w:tcW w:w="1157" w:type="dxa"/>
                  <w:tcBorders>
                    <w:top w:val="nil"/>
                    <w:left w:val="nil"/>
                    <w:bottom w:val="nil"/>
                    <w:right w:val="nil"/>
                  </w:tcBorders>
                  <w:shd w:val="clear" w:color="auto" w:fill="auto"/>
                  <w:noWrap/>
                  <w:vAlign w:val="center"/>
                  <w:hideMark/>
                </w:tcPr>
                <w:p w14:paraId="759818F0" w14:textId="77777777" w:rsidR="00C230F0" w:rsidRPr="00C230F0" w:rsidRDefault="00C230F0" w:rsidP="00C230F0">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6701B6CE" w14:textId="77777777" w:rsidR="00C230F0" w:rsidRPr="00C230F0" w:rsidRDefault="00C230F0" w:rsidP="00C230F0">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47CEF459" w14:textId="77777777" w:rsidR="00C230F0" w:rsidRPr="00C230F0" w:rsidRDefault="00C230F0" w:rsidP="00C230F0">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6980C94E" w14:textId="77777777" w:rsidR="00C230F0" w:rsidRPr="00C230F0" w:rsidRDefault="00C230F0" w:rsidP="00C230F0">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0CB7A069" w14:textId="77777777" w:rsidR="00C230F0" w:rsidRPr="00C230F0" w:rsidRDefault="00C230F0" w:rsidP="00C230F0">
                  <w:pPr>
                    <w:widowControl/>
                    <w:jc w:val="center"/>
                    <w:rPr>
                      <w:rFonts w:ascii="Times New Roman" w:eastAsia="Times New Roman" w:hAnsi="Times New Roman"/>
                      <w:kern w:val="0"/>
                      <w:sz w:val="20"/>
                      <w:szCs w:val="20"/>
                    </w:rPr>
                  </w:pPr>
                </w:p>
              </w:tc>
            </w:tr>
            <w:tr w:rsidR="00C230F0" w:rsidRPr="00C230F0" w14:paraId="40BE4B80" w14:textId="77777777" w:rsidTr="00C230F0">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1D7E5310" w14:textId="77777777" w:rsidR="00C230F0" w:rsidRPr="00C230F0" w:rsidRDefault="00C230F0" w:rsidP="00C230F0">
                  <w:pPr>
                    <w:widowControl/>
                    <w:jc w:val="center"/>
                    <w:rPr>
                      <w:rFonts w:ascii="楷体" w:eastAsia="楷体" w:hAnsi="楷体" w:cs="宋体"/>
                      <w:b/>
                      <w:bCs/>
                      <w:color w:val="FFFFFF"/>
                      <w:kern w:val="0"/>
                      <w:sz w:val="20"/>
                      <w:szCs w:val="20"/>
                    </w:rPr>
                  </w:pPr>
                  <w:proofErr w:type="gramStart"/>
                  <w:r w:rsidRPr="00C230F0">
                    <w:rPr>
                      <w:rFonts w:ascii="楷体" w:eastAsia="楷体" w:hAnsi="楷体" w:cs="宋体" w:hint="eastAsia"/>
                      <w:b/>
                      <w:bCs/>
                      <w:color w:val="FFFFFF"/>
                      <w:kern w:val="0"/>
                      <w:sz w:val="20"/>
                      <w:szCs w:val="20"/>
                    </w:rPr>
                    <w:t>周变化</w:t>
                  </w:r>
                  <w:proofErr w:type="gramEnd"/>
                  <w:r w:rsidRPr="00C230F0">
                    <w:rPr>
                      <w:rFonts w:ascii="楷体" w:eastAsia="楷体" w:hAnsi="楷体" w:cs="宋体" w:hint="eastAsia"/>
                      <w:b/>
                      <w:bCs/>
                      <w:color w:val="FFFFFF"/>
                      <w:kern w:val="0"/>
                      <w:sz w:val="20"/>
                      <w:szCs w:val="20"/>
                    </w:rPr>
                    <w:t>(BP)</w:t>
                  </w:r>
                </w:p>
              </w:tc>
              <w:tc>
                <w:tcPr>
                  <w:tcW w:w="920" w:type="dxa"/>
                  <w:tcBorders>
                    <w:top w:val="nil"/>
                    <w:left w:val="nil"/>
                    <w:bottom w:val="single" w:sz="12" w:space="0" w:color="FFFFFF"/>
                    <w:right w:val="single" w:sz="8" w:space="0" w:color="FFFFFF"/>
                  </w:tcBorders>
                  <w:shd w:val="clear" w:color="000000" w:fill="F79646"/>
                  <w:noWrap/>
                  <w:vAlign w:val="center"/>
                  <w:hideMark/>
                </w:tcPr>
                <w:p w14:paraId="12453E32"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56FAC2E"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82D140A"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466875E"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4C6402C8"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33CB8022"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0FF6B26"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1BE5FA2"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F67809F"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w:t>
                  </w:r>
                </w:p>
              </w:tc>
            </w:tr>
            <w:tr w:rsidR="00C230F0" w:rsidRPr="00C230F0" w14:paraId="58C638C1" w14:textId="77777777" w:rsidTr="00C230F0">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5F634218"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7DEB6F54"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-6.8 </w:t>
                  </w:r>
                </w:p>
              </w:tc>
              <w:tc>
                <w:tcPr>
                  <w:tcW w:w="921" w:type="dxa"/>
                  <w:tcBorders>
                    <w:top w:val="nil"/>
                    <w:left w:val="nil"/>
                    <w:bottom w:val="single" w:sz="8" w:space="0" w:color="FFFFFF"/>
                    <w:right w:val="single" w:sz="8" w:space="0" w:color="FFFFFF"/>
                  </w:tcBorders>
                  <w:shd w:val="clear" w:color="000000" w:fill="FCD5B4"/>
                  <w:noWrap/>
                  <w:vAlign w:val="center"/>
                  <w:hideMark/>
                </w:tcPr>
                <w:p w14:paraId="4C1AD6D6"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-3.8 </w:t>
                  </w:r>
                </w:p>
              </w:tc>
              <w:tc>
                <w:tcPr>
                  <w:tcW w:w="921" w:type="dxa"/>
                  <w:tcBorders>
                    <w:top w:val="nil"/>
                    <w:left w:val="nil"/>
                    <w:bottom w:val="single" w:sz="8" w:space="0" w:color="FFFFFF"/>
                    <w:right w:val="single" w:sz="8" w:space="0" w:color="FFFFFF"/>
                  </w:tcBorders>
                  <w:shd w:val="clear" w:color="000000" w:fill="FCD5B4"/>
                  <w:noWrap/>
                  <w:vAlign w:val="center"/>
                  <w:hideMark/>
                </w:tcPr>
                <w:p w14:paraId="3CB0AA2E"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-2.8 </w:t>
                  </w:r>
                </w:p>
              </w:tc>
              <w:tc>
                <w:tcPr>
                  <w:tcW w:w="921" w:type="dxa"/>
                  <w:tcBorders>
                    <w:top w:val="nil"/>
                    <w:left w:val="nil"/>
                    <w:bottom w:val="single" w:sz="8" w:space="0" w:color="FFFFFF"/>
                    <w:right w:val="single" w:sz="8" w:space="0" w:color="FFFFFF"/>
                  </w:tcBorders>
                  <w:shd w:val="clear" w:color="000000" w:fill="FCD5B4"/>
                  <w:noWrap/>
                  <w:vAlign w:val="center"/>
                  <w:hideMark/>
                </w:tcPr>
                <w:p w14:paraId="607D89C4"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-2.8 </w:t>
                  </w:r>
                </w:p>
              </w:tc>
              <w:tc>
                <w:tcPr>
                  <w:tcW w:w="1157" w:type="dxa"/>
                  <w:tcBorders>
                    <w:top w:val="nil"/>
                    <w:left w:val="nil"/>
                    <w:bottom w:val="single" w:sz="8" w:space="0" w:color="FFFFFF"/>
                    <w:right w:val="single" w:sz="8" w:space="0" w:color="FFFFFF"/>
                  </w:tcBorders>
                  <w:shd w:val="clear" w:color="000000" w:fill="FCD5B4"/>
                  <w:noWrap/>
                  <w:vAlign w:val="center"/>
                  <w:hideMark/>
                </w:tcPr>
                <w:p w14:paraId="4B1B02FD"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664E7521"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-2.4 </w:t>
                  </w:r>
                </w:p>
              </w:tc>
              <w:tc>
                <w:tcPr>
                  <w:tcW w:w="921" w:type="dxa"/>
                  <w:tcBorders>
                    <w:top w:val="nil"/>
                    <w:left w:val="nil"/>
                    <w:bottom w:val="single" w:sz="8" w:space="0" w:color="FFFFFF"/>
                    <w:right w:val="single" w:sz="8" w:space="0" w:color="FFFFFF"/>
                  </w:tcBorders>
                  <w:shd w:val="clear" w:color="000000" w:fill="FCD5B4"/>
                  <w:noWrap/>
                  <w:vAlign w:val="center"/>
                  <w:hideMark/>
                </w:tcPr>
                <w:p w14:paraId="6AF06F4B"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0.6 </w:t>
                  </w:r>
                </w:p>
              </w:tc>
              <w:tc>
                <w:tcPr>
                  <w:tcW w:w="921" w:type="dxa"/>
                  <w:tcBorders>
                    <w:top w:val="nil"/>
                    <w:left w:val="nil"/>
                    <w:bottom w:val="single" w:sz="8" w:space="0" w:color="FFFFFF"/>
                    <w:right w:val="single" w:sz="8" w:space="0" w:color="FFFFFF"/>
                  </w:tcBorders>
                  <w:shd w:val="clear" w:color="000000" w:fill="FCD5B4"/>
                  <w:noWrap/>
                  <w:vAlign w:val="center"/>
                  <w:hideMark/>
                </w:tcPr>
                <w:p w14:paraId="24EA7733"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1.6 </w:t>
                  </w:r>
                </w:p>
              </w:tc>
              <w:tc>
                <w:tcPr>
                  <w:tcW w:w="921" w:type="dxa"/>
                  <w:tcBorders>
                    <w:top w:val="nil"/>
                    <w:left w:val="nil"/>
                    <w:bottom w:val="single" w:sz="8" w:space="0" w:color="FFFFFF"/>
                    <w:right w:val="single" w:sz="8" w:space="0" w:color="FFFFFF"/>
                  </w:tcBorders>
                  <w:shd w:val="clear" w:color="000000" w:fill="FCD5B4"/>
                  <w:noWrap/>
                  <w:vAlign w:val="center"/>
                  <w:hideMark/>
                </w:tcPr>
                <w:p w14:paraId="51EBA92E"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 xml:space="preserve">1.6 </w:t>
                  </w:r>
                </w:p>
              </w:tc>
            </w:tr>
            <w:tr w:rsidR="00C230F0" w:rsidRPr="00C230F0" w14:paraId="3FFDDA4E" w14:textId="77777777" w:rsidTr="00C230F0">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477C254C"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00AF9EA5"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-10.1 </w:t>
                  </w:r>
                </w:p>
              </w:tc>
              <w:tc>
                <w:tcPr>
                  <w:tcW w:w="921" w:type="dxa"/>
                  <w:tcBorders>
                    <w:top w:val="nil"/>
                    <w:left w:val="nil"/>
                    <w:bottom w:val="single" w:sz="8" w:space="0" w:color="FFFFFF"/>
                    <w:right w:val="single" w:sz="8" w:space="0" w:color="FFFFFF"/>
                  </w:tcBorders>
                  <w:shd w:val="clear" w:color="000000" w:fill="FDE9D9"/>
                  <w:noWrap/>
                  <w:vAlign w:val="center"/>
                  <w:hideMark/>
                </w:tcPr>
                <w:p w14:paraId="6C65BEBC"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-8.1 </w:t>
                  </w:r>
                </w:p>
              </w:tc>
              <w:tc>
                <w:tcPr>
                  <w:tcW w:w="921" w:type="dxa"/>
                  <w:tcBorders>
                    <w:top w:val="nil"/>
                    <w:left w:val="nil"/>
                    <w:bottom w:val="single" w:sz="8" w:space="0" w:color="FFFFFF"/>
                    <w:right w:val="single" w:sz="8" w:space="0" w:color="FFFFFF"/>
                  </w:tcBorders>
                  <w:shd w:val="clear" w:color="000000" w:fill="FDE9D9"/>
                  <w:noWrap/>
                  <w:vAlign w:val="center"/>
                  <w:hideMark/>
                </w:tcPr>
                <w:p w14:paraId="1653253E"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-0.1 </w:t>
                  </w:r>
                </w:p>
              </w:tc>
              <w:tc>
                <w:tcPr>
                  <w:tcW w:w="921" w:type="dxa"/>
                  <w:tcBorders>
                    <w:top w:val="nil"/>
                    <w:left w:val="nil"/>
                    <w:bottom w:val="single" w:sz="8" w:space="0" w:color="FFFFFF"/>
                    <w:right w:val="single" w:sz="8" w:space="0" w:color="FFFFFF"/>
                  </w:tcBorders>
                  <w:shd w:val="clear" w:color="000000" w:fill="FDE9D9"/>
                  <w:noWrap/>
                  <w:vAlign w:val="center"/>
                  <w:hideMark/>
                </w:tcPr>
                <w:p w14:paraId="0EC86C9B"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-0.1 </w:t>
                  </w:r>
                </w:p>
              </w:tc>
              <w:tc>
                <w:tcPr>
                  <w:tcW w:w="1157" w:type="dxa"/>
                  <w:tcBorders>
                    <w:top w:val="nil"/>
                    <w:left w:val="nil"/>
                    <w:bottom w:val="single" w:sz="8" w:space="0" w:color="FFFFFF"/>
                    <w:right w:val="single" w:sz="8" w:space="0" w:color="FFFFFF"/>
                  </w:tcBorders>
                  <w:shd w:val="clear" w:color="000000" w:fill="FDE9D9"/>
                  <w:noWrap/>
                  <w:vAlign w:val="center"/>
                  <w:hideMark/>
                </w:tcPr>
                <w:p w14:paraId="39FB28D0"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7359775F"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-11.2 </w:t>
                  </w:r>
                </w:p>
              </w:tc>
              <w:tc>
                <w:tcPr>
                  <w:tcW w:w="921" w:type="dxa"/>
                  <w:tcBorders>
                    <w:top w:val="nil"/>
                    <w:left w:val="nil"/>
                    <w:bottom w:val="single" w:sz="8" w:space="0" w:color="FFFFFF"/>
                    <w:right w:val="single" w:sz="8" w:space="0" w:color="FFFFFF"/>
                  </w:tcBorders>
                  <w:shd w:val="clear" w:color="000000" w:fill="FDE9D9"/>
                  <w:noWrap/>
                  <w:vAlign w:val="center"/>
                  <w:hideMark/>
                </w:tcPr>
                <w:p w14:paraId="4A45601C"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-9.2 </w:t>
                  </w:r>
                </w:p>
              </w:tc>
              <w:tc>
                <w:tcPr>
                  <w:tcW w:w="921" w:type="dxa"/>
                  <w:tcBorders>
                    <w:top w:val="nil"/>
                    <w:left w:val="nil"/>
                    <w:bottom w:val="single" w:sz="8" w:space="0" w:color="FFFFFF"/>
                    <w:right w:val="single" w:sz="8" w:space="0" w:color="FFFFFF"/>
                  </w:tcBorders>
                  <w:shd w:val="clear" w:color="000000" w:fill="FDE9D9"/>
                  <w:noWrap/>
                  <w:vAlign w:val="center"/>
                  <w:hideMark/>
                </w:tcPr>
                <w:p w14:paraId="628501E3"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-1.2 </w:t>
                  </w:r>
                </w:p>
              </w:tc>
              <w:tc>
                <w:tcPr>
                  <w:tcW w:w="921" w:type="dxa"/>
                  <w:tcBorders>
                    <w:top w:val="nil"/>
                    <w:left w:val="nil"/>
                    <w:bottom w:val="single" w:sz="8" w:space="0" w:color="FFFFFF"/>
                    <w:right w:val="single" w:sz="8" w:space="0" w:color="FFFFFF"/>
                  </w:tcBorders>
                  <w:shd w:val="clear" w:color="000000" w:fill="FDE9D9"/>
                  <w:noWrap/>
                  <w:vAlign w:val="center"/>
                  <w:hideMark/>
                </w:tcPr>
                <w:p w14:paraId="23A65B00"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-1.2 </w:t>
                  </w:r>
                </w:p>
              </w:tc>
            </w:tr>
            <w:tr w:rsidR="00C230F0" w:rsidRPr="00C230F0" w14:paraId="63957FE6" w14:textId="77777777" w:rsidTr="00C230F0">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08ACAADF"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6323D9E4"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-7.9 </w:t>
                  </w:r>
                </w:p>
              </w:tc>
              <w:tc>
                <w:tcPr>
                  <w:tcW w:w="921" w:type="dxa"/>
                  <w:tcBorders>
                    <w:top w:val="nil"/>
                    <w:left w:val="nil"/>
                    <w:bottom w:val="single" w:sz="8" w:space="0" w:color="FFFFFF"/>
                    <w:right w:val="single" w:sz="8" w:space="0" w:color="FFFFFF"/>
                  </w:tcBorders>
                  <w:shd w:val="clear" w:color="000000" w:fill="FCD5B4"/>
                  <w:noWrap/>
                  <w:vAlign w:val="center"/>
                  <w:hideMark/>
                </w:tcPr>
                <w:p w14:paraId="716AF876"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-5.9 </w:t>
                  </w:r>
                </w:p>
              </w:tc>
              <w:tc>
                <w:tcPr>
                  <w:tcW w:w="921" w:type="dxa"/>
                  <w:tcBorders>
                    <w:top w:val="nil"/>
                    <w:left w:val="nil"/>
                    <w:bottom w:val="single" w:sz="8" w:space="0" w:color="FFFFFF"/>
                    <w:right w:val="single" w:sz="8" w:space="0" w:color="FFFFFF"/>
                  </w:tcBorders>
                  <w:shd w:val="clear" w:color="000000" w:fill="FCD5B4"/>
                  <w:noWrap/>
                  <w:vAlign w:val="center"/>
                  <w:hideMark/>
                </w:tcPr>
                <w:p w14:paraId="2FCAB1A4"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-4.9 </w:t>
                  </w:r>
                </w:p>
              </w:tc>
              <w:tc>
                <w:tcPr>
                  <w:tcW w:w="921" w:type="dxa"/>
                  <w:tcBorders>
                    <w:top w:val="nil"/>
                    <w:left w:val="nil"/>
                    <w:bottom w:val="single" w:sz="8" w:space="0" w:color="FFFFFF"/>
                    <w:right w:val="single" w:sz="8" w:space="0" w:color="FFFFFF"/>
                  </w:tcBorders>
                  <w:shd w:val="clear" w:color="000000" w:fill="FCD5B4"/>
                  <w:noWrap/>
                  <w:vAlign w:val="center"/>
                  <w:hideMark/>
                </w:tcPr>
                <w:p w14:paraId="0E0DB447"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-5.9 </w:t>
                  </w:r>
                </w:p>
              </w:tc>
              <w:tc>
                <w:tcPr>
                  <w:tcW w:w="1157" w:type="dxa"/>
                  <w:tcBorders>
                    <w:top w:val="nil"/>
                    <w:left w:val="nil"/>
                    <w:bottom w:val="single" w:sz="8" w:space="0" w:color="FFFFFF"/>
                    <w:right w:val="single" w:sz="8" w:space="0" w:color="FFFFFF"/>
                  </w:tcBorders>
                  <w:shd w:val="clear" w:color="000000" w:fill="FCD5B4"/>
                  <w:noWrap/>
                  <w:vAlign w:val="center"/>
                  <w:hideMark/>
                </w:tcPr>
                <w:p w14:paraId="3EC9B726"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5B83FEDA"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-7.9 </w:t>
                  </w:r>
                </w:p>
              </w:tc>
              <w:tc>
                <w:tcPr>
                  <w:tcW w:w="921" w:type="dxa"/>
                  <w:tcBorders>
                    <w:top w:val="nil"/>
                    <w:left w:val="nil"/>
                    <w:bottom w:val="single" w:sz="8" w:space="0" w:color="FFFFFF"/>
                    <w:right w:val="single" w:sz="8" w:space="0" w:color="FFFFFF"/>
                  </w:tcBorders>
                  <w:shd w:val="clear" w:color="000000" w:fill="FCD5B4"/>
                  <w:noWrap/>
                  <w:vAlign w:val="center"/>
                  <w:hideMark/>
                </w:tcPr>
                <w:p w14:paraId="71D4C70F"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-5.9 </w:t>
                  </w:r>
                </w:p>
              </w:tc>
              <w:tc>
                <w:tcPr>
                  <w:tcW w:w="921" w:type="dxa"/>
                  <w:tcBorders>
                    <w:top w:val="nil"/>
                    <w:left w:val="nil"/>
                    <w:bottom w:val="single" w:sz="8" w:space="0" w:color="FFFFFF"/>
                    <w:right w:val="single" w:sz="8" w:space="0" w:color="FFFFFF"/>
                  </w:tcBorders>
                  <w:shd w:val="clear" w:color="000000" w:fill="FCD5B4"/>
                  <w:noWrap/>
                  <w:vAlign w:val="center"/>
                  <w:hideMark/>
                </w:tcPr>
                <w:p w14:paraId="0AE590CD"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-4.9 </w:t>
                  </w:r>
                </w:p>
              </w:tc>
              <w:tc>
                <w:tcPr>
                  <w:tcW w:w="921" w:type="dxa"/>
                  <w:tcBorders>
                    <w:top w:val="nil"/>
                    <w:left w:val="nil"/>
                    <w:bottom w:val="single" w:sz="8" w:space="0" w:color="FFFFFF"/>
                    <w:right w:val="single" w:sz="8" w:space="0" w:color="FFFFFF"/>
                  </w:tcBorders>
                  <w:shd w:val="clear" w:color="000000" w:fill="FCD5B4"/>
                  <w:noWrap/>
                  <w:vAlign w:val="center"/>
                  <w:hideMark/>
                </w:tcPr>
                <w:p w14:paraId="23F0AFD0"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-5.9 </w:t>
                  </w:r>
                </w:p>
              </w:tc>
            </w:tr>
            <w:tr w:rsidR="00C230F0" w:rsidRPr="00C230F0" w14:paraId="76A73884" w14:textId="77777777" w:rsidTr="00C230F0">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9588360"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53B4FE7F"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-4.1 </w:t>
                  </w:r>
                </w:p>
              </w:tc>
              <w:tc>
                <w:tcPr>
                  <w:tcW w:w="921" w:type="dxa"/>
                  <w:tcBorders>
                    <w:top w:val="nil"/>
                    <w:left w:val="nil"/>
                    <w:bottom w:val="single" w:sz="8" w:space="0" w:color="FFFFFF"/>
                    <w:right w:val="single" w:sz="8" w:space="0" w:color="FFFFFF"/>
                  </w:tcBorders>
                  <w:shd w:val="clear" w:color="000000" w:fill="FDE9D9"/>
                  <w:noWrap/>
                  <w:vAlign w:val="center"/>
                  <w:hideMark/>
                </w:tcPr>
                <w:p w14:paraId="61943B75"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-7.1 </w:t>
                  </w:r>
                </w:p>
              </w:tc>
              <w:tc>
                <w:tcPr>
                  <w:tcW w:w="921" w:type="dxa"/>
                  <w:tcBorders>
                    <w:top w:val="nil"/>
                    <w:left w:val="nil"/>
                    <w:bottom w:val="single" w:sz="8" w:space="0" w:color="FFFFFF"/>
                    <w:right w:val="single" w:sz="8" w:space="0" w:color="FFFFFF"/>
                  </w:tcBorders>
                  <w:shd w:val="clear" w:color="000000" w:fill="FDE9D9"/>
                  <w:noWrap/>
                  <w:vAlign w:val="center"/>
                  <w:hideMark/>
                </w:tcPr>
                <w:p w14:paraId="0EB9D1DF"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-2.1 </w:t>
                  </w:r>
                </w:p>
              </w:tc>
              <w:tc>
                <w:tcPr>
                  <w:tcW w:w="921" w:type="dxa"/>
                  <w:tcBorders>
                    <w:top w:val="nil"/>
                    <w:left w:val="nil"/>
                    <w:bottom w:val="single" w:sz="8" w:space="0" w:color="FFFFFF"/>
                    <w:right w:val="single" w:sz="8" w:space="0" w:color="FFFFFF"/>
                  </w:tcBorders>
                  <w:shd w:val="clear" w:color="000000" w:fill="FDE9D9"/>
                  <w:noWrap/>
                  <w:vAlign w:val="center"/>
                  <w:hideMark/>
                </w:tcPr>
                <w:p w14:paraId="09B50DBD"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-1.1 </w:t>
                  </w:r>
                </w:p>
              </w:tc>
              <w:tc>
                <w:tcPr>
                  <w:tcW w:w="1157" w:type="dxa"/>
                  <w:tcBorders>
                    <w:top w:val="nil"/>
                    <w:left w:val="nil"/>
                    <w:bottom w:val="single" w:sz="8" w:space="0" w:color="FFFFFF"/>
                    <w:right w:val="single" w:sz="8" w:space="0" w:color="FFFFFF"/>
                  </w:tcBorders>
                  <w:shd w:val="clear" w:color="000000" w:fill="FDE9D9"/>
                  <w:noWrap/>
                  <w:vAlign w:val="center"/>
                  <w:hideMark/>
                </w:tcPr>
                <w:p w14:paraId="01DCC835"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0DF943BE"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-5.2 </w:t>
                  </w:r>
                </w:p>
              </w:tc>
              <w:tc>
                <w:tcPr>
                  <w:tcW w:w="921" w:type="dxa"/>
                  <w:tcBorders>
                    <w:top w:val="nil"/>
                    <w:left w:val="nil"/>
                    <w:bottom w:val="single" w:sz="8" w:space="0" w:color="FFFFFF"/>
                    <w:right w:val="single" w:sz="8" w:space="0" w:color="FFFFFF"/>
                  </w:tcBorders>
                  <w:shd w:val="clear" w:color="000000" w:fill="FDE9D9"/>
                  <w:noWrap/>
                  <w:vAlign w:val="center"/>
                  <w:hideMark/>
                </w:tcPr>
                <w:p w14:paraId="2EA88321"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-8.2 </w:t>
                  </w:r>
                </w:p>
              </w:tc>
              <w:tc>
                <w:tcPr>
                  <w:tcW w:w="921" w:type="dxa"/>
                  <w:tcBorders>
                    <w:top w:val="nil"/>
                    <w:left w:val="nil"/>
                    <w:bottom w:val="single" w:sz="8" w:space="0" w:color="FFFFFF"/>
                    <w:right w:val="single" w:sz="8" w:space="0" w:color="FFFFFF"/>
                  </w:tcBorders>
                  <w:shd w:val="clear" w:color="000000" w:fill="FDE9D9"/>
                  <w:noWrap/>
                  <w:vAlign w:val="center"/>
                  <w:hideMark/>
                </w:tcPr>
                <w:p w14:paraId="11BB4ED3"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-3.1 </w:t>
                  </w:r>
                </w:p>
              </w:tc>
              <w:tc>
                <w:tcPr>
                  <w:tcW w:w="921" w:type="dxa"/>
                  <w:tcBorders>
                    <w:top w:val="nil"/>
                    <w:left w:val="nil"/>
                    <w:bottom w:val="single" w:sz="8" w:space="0" w:color="FFFFFF"/>
                    <w:right w:val="single" w:sz="8" w:space="0" w:color="FFFFFF"/>
                  </w:tcBorders>
                  <w:shd w:val="clear" w:color="000000" w:fill="FDE9D9"/>
                  <w:noWrap/>
                  <w:vAlign w:val="center"/>
                  <w:hideMark/>
                </w:tcPr>
                <w:p w14:paraId="59CBB337"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-2.2 </w:t>
                  </w:r>
                </w:p>
              </w:tc>
            </w:tr>
            <w:tr w:rsidR="00C230F0" w:rsidRPr="00C230F0" w14:paraId="5688C3D0" w14:textId="77777777" w:rsidTr="00C230F0">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0830239B"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39D2AA54"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-6.1 </w:t>
                  </w:r>
                </w:p>
              </w:tc>
              <w:tc>
                <w:tcPr>
                  <w:tcW w:w="921" w:type="dxa"/>
                  <w:tcBorders>
                    <w:top w:val="nil"/>
                    <w:left w:val="nil"/>
                    <w:bottom w:val="single" w:sz="8" w:space="0" w:color="FFFFFF"/>
                    <w:right w:val="single" w:sz="8" w:space="0" w:color="FFFFFF"/>
                  </w:tcBorders>
                  <w:shd w:val="clear" w:color="000000" w:fill="FCD5B4"/>
                  <w:noWrap/>
                  <w:vAlign w:val="center"/>
                  <w:hideMark/>
                </w:tcPr>
                <w:p w14:paraId="61DD3B1F"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-8.1 </w:t>
                  </w:r>
                </w:p>
              </w:tc>
              <w:tc>
                <w:tcPr>
                  <w:tcW w:w="921" w:type="dxa"/>
                  <w:tcBorders>
                    <w:top w:val="nil"/>
                    <w:left w:val="nil"/>
                    <w:bottom w:val="single" w:sz="8" w:space="0" w:color="FFFFFF"/>
                    <w:right w:val="single" w:sz="8" w:space="0" w:color="FFFFFF"/>
                  </w:tcBorders>
                  <w:shd w:val="clear" w:color="000000" w:fill="FCD5B4"/>
                  <w:noWrap/>
                  <w:vAlign w:val="center"/>
                  <w:hideMark/>
                </w:tcPr>
                <w:p w14:paraId="7F31EF99"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-4.1 </w:t>
                  </w:r>
                </w:p>
              </w:tc>
              <w:tc>
                <w:tcPr>
                  <w:tcW w:w="921" w:type="dxa"/>
                  <w:tcBorders>
                    <w:top w:val="nil"/>
                    <w:left w:val="nil"/>
                    <w:bottom w:val="single" w:sz="8" w:space="0" w:color="FFFFFF"/>
                    <w:right w:val="single" w:sz="8" w:space="0" w:color="FFFFFF"/>
                  </w:tcBorders>
                  <w:shd w:val="clear" w:color="000000" w:fill="FCD5B4"/>
                  <w:noWrap/>
                  <w:vAlign w:val="center"/>
                  <w:hideMark/>
                </w:tcPr>
                <w:p w14:paraId="39C1AA8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-4.1 </w:t>
                  </w:r>
                </w:p>
              </w:tc>
              <w:tc>
                <w:tcPr>
                  <w:tcW w:w="1157" w:type="dxa"/>
                  <w:tcBorders>
                    <w:top w:val="nil"/>
                    <w:left w:val="nil"/>
                    <w:bottom w:val="single" w:sz="8" w:space="0" w:color="FFFFFF"/>
                    <w:right w:val="single" w:sz="8" w:space="0" w:color="FFFFFF"/>
                  </w:tcBorders>
                  <w:shd w:val="clear" w:color="000000" w:fill="FCD5B4"/>
                  <w:noWrap/>
                  <w:vAlign w:val="center"/>
                  <w:hideMark/>
                </w:tcPr>
                <w:p w14:paraId="55B7F740"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0D9535E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-6.0 </w:t>
                  </w:r>
                </w:p>
              </w:tc>
              <w:tc>
                <w:tcPr>
                  <w:tcW w:w="921" w:type="dxa"/>
                  <w:tcBorders>
                    <w:top w:val="nil"/>
                    <w:left w:val="nil"/>
                    <w:bottom w:val="single" w:sz="8" w:space="0" w:color="FFFFFF"/>
                    <w:right w:val="single" w:sz="8" w:space="0" w:color="FFFFFF"/>
                  </w:tcBorders>
                  <w:shd w:val="clear" w:color="000000" w:fill="FCD5B4"/>
                  <w:noWrap/>
                  <w:vAlign w:val="center"/>
                  <w:hideMark/>
                </w:tcPr>
                <w:p w14:paraId="3041CF16"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-8.0 </w:t>
                  </w:r>
                </w:p>
              </w:tc>
              <w:tc>
                <w:tcPr>
                  <w:tcW w:w="921" w:type="dxa"/>
                  <w:tcBorders>
                    <w:top w:val="nil"/>
                    <w:left w:val="nil"/>
                    <w:bottom w:val="single" w:sz="8" w:space="0" w:color="FFFFFF"/>
                    <w:right w:val="single" w:sz="8" w:space="0" w:color="FFFFFF"/>
                  </w:tcBorders>
                  <w:shd w:val="clear" w:color="000000" w:fill="FCD5B4"/>
                  <w:noWrap/>
                  <w:vAlign w:val="center"/>
                  <w:hideMark/>
                </w:tcPr>
                <w:p w14:paraId="67B2559B"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-4.1 </w:t>
                  </w:r>
                </w:p>
              </w:tc>
              <w:tc>
                <w:tcPr>
                  <w:tcW w:w="921" w:type="dxa"/>
                  <w:tcBorders>
                    <w:top w:val="nil"/>
                    <w:left w:val="nil"/>
                    <w:bottom w:val="single" w:sz="8" w:space="0" w:color="FFFFFF"/>
                    <w:right w:val="single" w:sz="8" w:space="0" w:color="FFFFFF"/>
                  </w:tcBorders>
                  <w:shd w:val="clear" w:color="000000" w:fill="FCD5B4"/>
                  <w:noWrap/>
                  <w:vAlign w:val="center"/>
                  <w:hideMark/>
                </w:tcPr>
                <w:p w14:paraId="3F8B1A9D"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-4.1 </w:t>
                  </w:r>
                </w:p>
              </w:tc>
            </w:tr>
            <w:tr w:rsidR="00C230F0" w:rsidRPr="00C230F0" w14:paraId="5C9281E0" w14:textId="77777777" w:rsidTr="00C230F0">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57CCE70A"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6AC85AB9"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-3.0 </w:t>
                  </w:r>
                </w:p>
              </w:tc>
              <w:tc>
                <w:tcPr>
                  <w:tcW w:w="921" w:type="dxa"/>
                  <w:tcBorders>
                    <w:top w:val="nil"/>
                    <w:left w:val="nil"/>
                    <w:bottom w:val="single" w:sz="8" w:space="0" w:color="FFFFFF"/>
                    <w:right w:val="single" w:sz="8" w:space="0" w:color="FFFFFF"/>
                  </w:tcBorders>
                  <w:shd w:val="clear" w:color="000000" w:fill="FDE9D9"/>
                  <w:noWrap/>
                  <w:vAlign w:val="center"/>
                  <w:hideMark/>
                </w:tcPr>
                <w:p w14:paraId="234D6139"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-3.0 </w:t>
                  </w:r>
                </w:p>
              </w:tc>
              <w:tc>
                <w:tcPr>
                  <w:tcW w:w="921" w:type="dxa"/>
                  <w:tcBorders>
                    <w:top w:val="nil"/>
                    <w:left w:val="nil"/>
                    <w:bottom w:val="single" w:sz="8" w:space="0" w:color="FFFFFF"/>
                    <w:right w:val="single" w:sz="8" w:space="0" w:color="FFFFFF"/>
                  </w:tcBorders>
                  <w:shd w:val="clear" w:color="000000" w:fill="FDE9D9"/>
                  <w:noWrap/>
                  <w:vAlign w:val="center"/>
                  <w:hideMark/>
                </w:tcPr>
                <w:p w14:paraId="6A977E7A"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-0.0 </w:t>
                  </w:r>
                </w:p>
              </w:tc>
              <w:tc>
                <w:tcPr>
                  <w:tcW w:w="921" w:type="dxa"/>
                  <w:tcBorders>
                    <w:top w:val="nil"/>
                    <w:left w:val="nil"/>
                    <w:bottom w:val="single" w:sz="8" w:space="0" w:color="FFFFFF"/>
                    <w:right w:val="single" w:sz="8" w:space="0" w:color="FFFFFF"/>
                  </w:tcBorders>
                  <w:shd w:val="clear" w:color="000000" w:fill="FDE9D9"/>
                  <w:noWrap/>
                  <w:vAlign w:val="center"/>
                  <w:hideMark/>
                </w:tcPr>
                <w:p w14:paraId="50DC060E"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-0.0 </w:t>
                  </w:r>
                </w:p>
              </w:tc>
              <w:tc>
                <w:tcPr>
                  <w:tcW w:w="1157" w:type="dxa"/>
                  <w:tcBorders>
                    <w:top w:val="nil"/>
                    <w:left w:val="nil"/>
                    <w:bottom w:val="single" w:sz="8" w:space="0" w:color="FFFFFF"/>
                    <w:right w:val="single" w:sz="8" w:space="0" w:color="FFFFFF"/>
                  </w:tcBorders>
                  <w:shd w:val="clear" w:color="000000" w:fill="FDE9D9"/>
                  <w:noWrap/>
                  <w:vAlign w:val="center"/>
                  <w:hideMark/>
                </w:tcPr>
                <w:p w14:paraId="23E12AF8"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103A2471"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-4.7 </w:t>
                  </w:r>
                </w:p>
              </w:tc>
              <w:tc>
                <w:tcPr>
                  <w:tcW w:w="921" w:type="dxa"/>
                  <w:tcBorders>
                    <w:top w:val="nil"/>
                    <w:left w:val="nil"/>
                    <w:bottom w:val="single" w:sz="8" w:space="0" w:color="FFFFFF"/>
                    <w:right w:val="single" w:sz="8" w:space="0" w:color="FFFFFF"/>
                  </w:tcBorders>
                  <w:shd w:val="clear" w:color="000000" w:fill="FDE9D9"/>
                  <w:noWrap/>
                  <w:vAlign w:val="center"/>
                  <w:hideMark/>
                </w:tcPr>
                <w:p w14:paraId="2194CD4F"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-4.7 </w:t>
                  </w:r>
                </w:p>
              </w:tc>
              <w:tc>
                <w:tcPr>
                  <w:tcW w:w="921" w:type="dxa"/>
                  <w:tcBorders>
                    <w:top w:val="nil"/>
                    <w:left w:val="nil"/>
                    <w:bottom w:val="single" w:sz="8" w:space="0" w:color="FFFFFF"/>
                    <w:right w:val="single" w:sz="8" w:space="0" w:color="FFFFFF"/>
                  </w:tcBorders>
                  <w:shd w:val="clear" w:color="000000" w:fill="FDE9D9"/>
                  <w:noWrap/>
                  <w:vAlign w:val="center"/>
                  <w:hideMark/>
                </w:tcPr>
                <w:p w14:paraId="64950366"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-1.7 </w:t>
                  </w:r>
                </w:p>
              </w:tc>
              <w:tc>
                <w:tcPr>
                  <w:tcW w:w="921" w:type="dxa"/>
                  <w:tcBorders>
                    <w:top w:val="nil"/>
                    <w:left w:val="nil"/>
                    <w:bottom w:val="single" w:sz="8" w:space="0" w:color="FFFFFF"/>
                    <w:right w:val="single" w:sz="8" w:space="0" w:color="FFFFFF"/>
                  </w:tcBorders>
                  <w:shd w:val="clear" w:color="000000" w:fill="FDE9D9"/>
                  <w:noWrap/>
                  <w:vAlign w:val="center"/>
                  <w:hideMark/>
                </w:tcPr>
                <w:p w14:paraId="43B046A2"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-1.7 </w:t>
                  </w:r>
                </w:p>
              </w:tc>
            </w:tr>
            <w:tr w:rsidR="00C230F0" w:rsidRPr="00C230F0" w14:paraId="4930ED33" w14:textId="77777777" w:rsidTr="00C230F0">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7B8D6416" w14:textId="77777777" w:rsidR="00C230F0" w:rsidRPr="00C230F0" w:rsidRDefault="00C230F0" w:rsidP="00C230F0">
                  <w:pPr>
                    <w:widowControl/>
                    <w:jc w:val="center"/>
                    <w:rPr>
                      <w:rFonts w:ascii="楷体" w:eastAsia="楷体" w:hAnsi="楷体" w:cs="宋体"/>
                      <w:color w:val="000000"/>
                      <w:kern w:val="0"/>
                      <w:sz w:val="20"/>
                      <w:szCs w:val="20"/>
                    </w:rPr>
                  </w:pPr>
                  <w:proofErr w:type="gramStart"/>
                  <w:r w:rsidRPr="00C230F0">
                    <w:rPr>
                      <w:rFonts w:ascii="楷体" w:eastAsia="楷体" w:hAnsi="楷体" w:cs="宋体" w:hint="eastAsia"/>
                      <w:color w:val="000000"/>
                      <w:kern w:val="0"/>
                      <w:sz w:val="20"/>
                      <w:szCs w:val="20"/>
                    </w:rPr>
                    <w:t>城投债</w:t>
                  </w:r>
                  <w:proofErr w:type="gramEnd"/>
                  <w:r w:rsidRPr="00C230F0">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7A45878A"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-9.4 </w:t>
                  </w:r>
                </w:p>
              </w:tc>
              <w:tc>
                <w:tcPr>
                  <w:tcW w:w="921" w:type="dxa"/>
                  <w:tcBorders>
                    <w:top w:val="nil"/>
                    <w:left w:val="nil"/>
                    <w:bottom w:val="single" w:sz="8" w:space="0" w:color="FFFFFF"/>
                    <w:right w:val="single" w:sz="8" w:space="0" w:color="FFFFFF"/>
                  </w:tcBorders>
                  <w:shd w:val="clear" w:color="000000" w:fill="FCD5B4"/>
                  <w:noWrap/>
                  <w:vAlign w:val="center"/>
                  <w:hideMark/>
                </w:tcPr>
                <w:p w14:paraId="586DBA8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-7.4 </w:t>
                  </w:r>
                </w:p>
              </w:tc>
              <w:tc>
                <w:tcPr>
                  <w:tcW w:w="921" w:type="dxa"/>
                  <w:tcBorders>
                    <w:top w:val="nil"/>
                    <w:left w:val="nil"/>
                    <w:bottom w:val="single" w:sz="8" w:space="0" w:color="FFFFFF"/>
                    <w:right w:val="single" w:sz="8" w:space="0" w:color="FFFFFF"/>
                  </w:tcBorders>
                  <w:shd w:val="clear" w:color="000000" w:fill="FCD5B4"/>
                  <w:noWrap/>
                  <w:vAlign w:val="center"/>
                  <w:hideMark/>
                </w:tcPr>
                <w:p w14:paraId="0499E7EC"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-4.4 </w:t>
                  </w:r>
                </w:p>
              </w:tc>
              <w:tc>
                <w:tcPr>
                  <w:tcW w:w="921" w:type="dxa"/>
                  <w:tcBorders>
                    <w:top w:val="nil"/>
                    <w:left w:val="nil"/>
                    <w:bottom w:val="single" w:sz="8" w:space="0" w:color="FFFFFF"/>
                    <w:right w:val="single" w:sz="8" w:space="0" w:color="FFFFFF"/>
                  </w:tcBorders>
                  <w:shd w:val="clear" w:color="000000" w:fill="FCD5B4"/>
                  <w:noWrap/>
                  <w:vAlign w:val="center"/>
                  <w:hideMark/>
                </w:tcPr>
                <w:p w14:paraId="1F630D85"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-2.4 </w:t>
                  </w:r>
                </w:p>
              </w:tc>
              <w:tc>
                <w:tcPr>
                  <w:tcW w:w="1157" w:type="dxa"/>
                  <w:tcBorders>
                    <w:top w:val="nil"/>
                    <w:left w:val="nil"/>
                    <w:bottom w:val="single" w:sz="8" w:space="0" w:color="FFFFFF"/>
                    <w:right w:val="single" w:sz="8" w:space="0" w:color="FFFFFF"/>
                  </w:tcBorders>
                  <w:shd w:val="clear" w:color="000000" w:fill="FCD5B4"/>
                  <w:noWrap/>
                  <w:vAlign w:val="center"/>
                  <w:hideMark/>
                </w:tcPr>
                <w:p w14:paraId="360A776A" w14:textId="77777777" w:rsidR="00C230F0" w:rsidRPr="00C230F0" w:rsidRDefault="00C230F0" w:rsidP="00C230F0">
                  <w:pPr>
                    <w:widowControl/>
                    <w:jc w:val="center"/>
                    <w:rPr>
                      <w:rFonts w:ascii="楷体" w:eastAsia="楷体" w:hAnsi="楷体" w:cs="宋体"/>
                      <w:color w:val="000000"/>
                      <w:kern w:val="0"/>
                      <w:sz w:val="20"/>
                      <w:szCs w:val="20"/>
                    </w:rPr>
                  </w:pPr>
                  <w:proofErr w:type="gramStart"/>
                  <w:r w:rsidRPr="00C230F0">
                    <w:rPr>
                      <w:rFonts w:ascii="楷体" w:eastAsia="楷体" w:hAnsi="楷体" w:cs="宋体" w:hint="eastAsia"/>
                      <w:color w:val="000000"/>
                      <w:kern w:val="0"/>
                      <w:sz w:val="20"/>
                      <w:szCs w:val="20"/>
                    </w:rPr>
                    <w:t>城投债</w:t>
                  </w:r>
                  <w:proofErr w:type="gramEnd"/>
                  <w:r w:rsidRPr="00C230F0">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4A93FE04"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-10.5 </w:t>
                  </w:r>
                </w:p>
              </w:tc>
              <w:tc>
                <w:tcPr>
                  <w:tcW w:w="921" w:type="dxa"/>
                  <w:tcBorders>
                    <w:top w:val="nil"/>
                    <w:left w:val="nil"/>
                    <w:bottom w:val="single" w:sz="8" w:space="0" w:color="FFFFFF"/>
                    <w:right w:val="single" w:sz="8" w:space="0" w:color="FFFFFF"/>
                  </w:tcBorders>
                  <w:shd w:val="clear" w:color="000000" w:fill="FCD5B4"/>
                  <w:noWrap/>
                  <w:vAlign w:val="center"/>
                  <w:hideMark/>
                </w:tcPr>
                <w:p w14:paraId="2A84B77F"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-8.5 </w:t>
                  </w:r>
                </w:p>
              </w:tc>
              <w:tc>
                <w:tcPr>
                  <w:tcW w:w="921" w:type="dxa"/>
                  <w:tcBorders>
                    <w:top w:val="nil"/>
                    <w:left w:val="nil"/>
                    <w:bottom w:val="single" w:sz="8" w:space="0" w:color="FFFFFF"/>
                    <w:right w:val="single" w:sz="8" w:space="0" w:color="FFFFFF"/>
                  </w:tcBorders>
                  <w:shd w:val="clear" w:color="000000" w:fill="FCD5B4"/>
                  <w:noWrap/>
                  <w:vAlign w:val="center"/>
                  <w:hideMark/>
                </w:tcPr>
                <w:p w14:paraId="40804706"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-5.5 </w:t>
                  </w:r>
                </w:p>
              </w:tc>
              <w:tc>
                <w:tcPr>
                  <w:tcW w:w="921" w:type="dxa"/>
                  <w:tcBorders>
                    <w:top w:val="nil"/>
                    <w:left w:val="nil"/>
                    <w:bottom w:val="single" w:sz="8" w:space="0" w:color="FFFFFF"/>
                    <w:right w:val="single" w:sz="8" w:space="0" w:color="FFFFFF"/>
                  </w:tcBorders>
                  <w:shd w:val="clear" w:color="000000" w:fill="FCD5B4"/>
                  <w:noWrap/>
                  <w:vAlign w:val="center"/>
                  <w:hideMark/>
                </w:tcPr>
                <w:p w14:paraId="14317A63"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-3.5 </w:t>
                  </w:r>
                </w:p>
              </w:tc>
            </w:tr>
            <w:tr w:rsidR="00C230F0" w:rsidRPr="00C230F0" w14:paraId="32EE7461" w14:textId="77777777" w:rsidTr="00C230F0">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5089112" w14:textId="77777777" w:rsidR="00C230F0" w:rsidRPr="00C230F0" w:rsidRDefault="00C230F0" w:rsidP="00C230F0">
                  <w:pPr>
                    <w:widowControl/>
                    <w:jc w:val="center"/>
                    <w:rPr>
                      <w:rFonts w:ascii="楷体" w:eastAsia="楷体" w:hAnsi="楷体" w:cs="宋体"/>
                      <w:color w:val="000000"/>
                      <w:kern w:val="0"/>
                      <w:sz w:val="20"/>
                      <w:szCs w:val="20"/>
                    </w:rPr>
                  </w:pPr>
                  <w:proofErr w:type="gramStart"/>
                  <w:r w:rsidRPr="00C230F0">
                    <w:rPr>
                      <w:rFonts w:ascii="楷体" w:eastAsia="楷体" w:hAnsi="楷体" w:cs="宋体" w:hint="eastAsia"/>
                      <w:color w:val="000000"/>
                      <w:kern w:val="0"/>
                      <w:sz w:val="20"/>
                      <w:szCs w:val="20"/>
                    </w:rPr>
                    <w:t>城投债</w:t>
                  </w:r>
                  <w:proofErr w:type="gramEnd"/>
                  <w:r w:rsidRPr="00C230F0">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64B24DAF"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-5.0 </w:t>
                  </w:r>
                </w:p>
              </w:tc>
              <w:tc>
                <w:tcPr>
                  <w:tcW w:w="921" w:type="dxa"/>
                  <w:tcBorders>
                    <w:top w:val="nil"/>
                    <w:left w:val="nil"/>
                    <w:bottom w:val="single" w:sz="8" w:space="0" w:color="FFFFFF"/>
                    <w:right w:val="single" w:sz="8" w:space="0" w:color="FFFFFF"/>
                  </w:tcBorders>
                  <w:shd w:val="clear" w:color="000000" w:fill="FDE9D9"/>
                  <w:noWrap/>
                  <w:vAlign w:val="center"/>
                  <w:hideMark/>
                </w:tcPr>
                <w:p w14:paraId="275B0D04"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-6.0 </w:t>
                  </w:r>
                </w:p>
              </w:tc>
              <w:tc>
                <w:tcPr>
                  <w:tcW w:w="921" w:type="dxa"/>
                  <w:tcBorders>
                    <w:top w:val="nil"/>
                    <w:left w:val="nil"/>
                    <w:bottom w:val="single" w:sz="8" w:space="0" w:color="FFFFFF"/>
                    <w:right w:val="single" w:sz="8" w:space="0" w:color="FFFFFF"/>
                  </w:tcBorders>
                  <w:shd w:val="clear" w:color="000000" w:fill="FDE9D9"/>
                  <w:noWrap/>
                  <w:vAlign w:val="center"/>
                  <w:hideMark/>
                </w:tcPr>
                <w:p w14:paraId="6B0F0F25"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-6.0 </w:t>
                  </w:r>
                </w:p>
              </w:tc>
              <w:tc>
                <w:tcPr>
                  <w:tcW w:w="921" w:type="dxa"/>
                  <w:tcBorders>
                    <w:top w:val="nil"/>
                    <w:left w:val="nil"/>
                    <w:bottom w:val="single" w:sz="8" w:space="0" w:color="FFFFFF"/>
                    <w:right w:val="single" w:sz="8" w:space="0" w:color="FFFFFF"/>
                  </w:tcBorders>
                  <w:shd w:val="clear" w:color="000000" w:fill="FDE9D9"/>
                  <w:noWrap/>
                  <w:vAlign w:val="center"/>
                  <w:hideMark/>
                </w:tcPr>
                <w:p w14:paraId="3BC4DD3A"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-7.0 </w:t>
                  </w:r>
                </w:p>
              </w:tc>
              <w:tc>
                <w:tcPr>
                  <w:tcW w:w="1157" w:type="dxa"/>
                  <w:tcBorders>
                    <w:top w:val="nil"/>
                    <w:left w:val="nil"/>
                    <w:bottom w:val="single" w:sz="8" w:space="0" w:color="FFFFFF"/>
                    <w:right w:val="single" w:sz="8" w:space="0" w:color="FFFFFF"/>
                  </w:tcBorders>
                  <w:shd w:val="clear" w:color="000000" w:fill="FDE9D9"/>
                  <w:noWrap/>
                  <w:vAlign w:val="center"/>
                  <w:hideMark/>
                </w:tcPr>
                <w:p w14:paraId="0A67CB5F" w14:textId="77777777" w:rsidR="00C230F0" w:rsidRPr="00C230F0" w:rsidRDefault="00C230F0" w:rsidP="00C230F0">
                  <w:pPr>
                    <w:widowControl/>
                    <w:jc w:val="center"/>
                    <w:rPr>
                      <w:rFonts w:ascii="楷体" w:eastAsia="楷体" w:hAnsi="楷体" w:cs="宋体"/>
                      <w:color w:val="000000"/>
                      <w:kern w:val="0"/>
                      <w:sz w:val="20"/>
                      <w:szCs w:val="20"/>
                    </w:rPr>
                  </w:pPr>
                  <w:proofErr w:type="gramStart"/>
                  <w:r w:rsidRPr="00C230F0">
                    <w:rPr>
                      <w:rFonts w:ascii="楷体" w:eastAsia="楷体" w:hAnsi="楷体" w:cs="宋体" w:hint="eastAsia"/>
                      <w:color w:val="000000"/>
                      <w:kern w:val="0"/>
                      <w:sz w:val="20"/>
                      <w:szCs w:val="20"/>
                    </w:rPr>
                    <w:t>城投债</w:t>
                  </w:r>
                  <w:proofErr w:type="gramEnd"/>
                  <w:r w:rsidRPr="00C230F0">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4AF1B20F"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-4.9 </w:t>
                  </w:r>
                </w:p>
              </w:tc>
              <w:tc>
                <w:tcPr>
                  <w:tcW w:w="921" w:type="dxa"/>
                  <w:tcBorders>
                    <w:top w:val="nil"/>
                    <w:left w:val="nil"/>
                    <w:bottom w:val="single" w:sz="8" w:space="0" w:color="FFFFFF"/>
                    <w:right w:val="single" w:sz="8" w:space="0" w:color="FFFFFF"/>
                  </w:tcBorders>
                  <w:shd w:val="clear" w:color="000000" w:fill="FDE9D9"/>
                  <w:noWrap/>
                  <w:vAlign w:val="center"/>
                  <w:hideMark/>
                </w:tcPr>
                <w:p w14:paraId="3548CC4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-5.9 </w:t>
                  </w:r>
                </w:p>
              </w:tc>
              <w:tc>
                <w:tcPr>
                  <w:tcW w:w="921" w:type="dxa"/>
                  <w:tcBorders>
                    <w:top w:val="nil"/>
                    <w:left w:val="nil"/>
                    <w:bottom w:val="single" w:sz="8" w:space="0" w:color="FFFFFF"/>
                    <w:right w:val="single" w:sz="8" w:space="0" w:color="FFFFFF"/>
                  </w:tcBorders>
                  <w:shd w:val="clear" w:color="000000" w:fill="FDE9D9"/>
                  <w:noWrap/>
                  <w:vAlign w:val="center"/>
                  <w:hideMark/>
                </w:tcPr>
                <w:p w14:paraId="44D1B009"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-5.9 </w:t>
                  </w:r>
                </w:p>
              </w:tc>
              <w:tc>
                <w:tcPr>
                  <w:tcW w:w="921" w:type="dxa"/>
                  <w:tcBorders>
                    <w:top w:val="nil"/>
                    <w:left w:val="nil"/>
                    <w:bottom w:val="single" w:sz="8" w:space="0" w:color="FFFFFF"/>
                    <w:right w:val="single" w:sz="8" w:space="0" w:color="FFFFFF"/>
                  </w:tcBorders>
                  <w:shd w:val="clear" w:color="000000" w:fill="FDE9D9"/>
                  <w:noWrap/>
                  <w:vAlign w:val="center"/>
                  <w:hideMark/>
                </w:tcPr>
                <w:p w14:paraId="3B5B26DB"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-6.9 </w:t>
                  </w:r>
                </w:p>
              </w:tc>
            </w:tr>
            <w:tr w:rsidR="00C230F0" w:rsidRPr="00C230F0" w14:paraId="4C66D9FC" w14:textId="77777777" w:rsidTr="00C230F0">
              <w:trPr>
                <w:trHeight w:val="300"/>
              </w:trPr>
              <w:tc>
                <w:tcPr>
                  <w:tcW w:w="1350" w:type="dxa"/>
                  <w:tcBorders>
                    <w:top w:val="nil"/>
                    <w:left w:val="nil"/>
                    <w:bottom w:val="nil"/>
                    <w:right w:val="nil"/>
                  </w:tcBorders>
                  <w:shd w:val="clear" w:color="000000" w:fill="FCD5B4"/>
                  <w:noWrap/>
                  <w:vAlign w:val="center"/>
                  <w:hideMark/>
                </w:tcPr>
                <w:p w14:paraId="00F37865" w14:textId="77777777" w:rsidR="00C230F0" w:rsidRPr="00C230F0" w:rsidRDefault="00C230F0" w:rsidP="00C230F0">
                  <w:pPr>
                    <w:widowControl/>
                    <w:jc w:val="center"/>
                    <w:rPr>
                      <w:rFonts w:ascii="楷体" w:eastAsia="楷体" w:hAnsi="楷体" w:cs="宋体"/>
                      <w:color w:val="000000"/>
                      <w:kern w:val="0"/>
                      <w:sz w:val="20"/>
                      <w:szCs w:val="20"/>
                    </w:rPr>
                  </w:pPr>
                  <w:proofErr w:type="gramStart"/>
                  <w:r w:rsidRPr="00C230F0">
                    <w:rPr>
                      <w:rFonts w:ascii="楷体" w:eastAsia="楷体" w:hAnsi="楷体" w:cs="宋体" w:hint="eastAsia"/>
                      <w:color w:val="000000"/>
                      <w:kern w:val="0"/>
                      <w:sz w:val="20"/>
                      <w:szCs w:val="20"/>
                    </w:rPr>
                    <w:t>城投债</w:t>
                  </w:r>
                  <w:proofErr w:type="gramEnd"/>
                  <w:r w:rsidRPr="00C230F0">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175E754A"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-2.6 </w:t>
                  </w:r>
                </w:p>
              </w:tc>
              <w:tc>
                <w:tcPr>
                  <w:tcW w:w="921" w:type="dxa"/>
                  <w:tcBorders>
                    <w:top w:val="nil"/>
                    <w:left w:val="nil"/>
                    <w:bottom w:val="single" w:sz="8" w:space="0" w:color="FFFFFF"/>
                    <w:right w:val="single" w:sz="8" w:space="0" w:color="FFFFFF"/>
                  </w:tcBorders>
                  <w:shd w:val="clear" w:color="000000" w:fill="FCD5B4"/>
                  <w:noWrap/>
                  <w:vAlign w:val="center"/>
                  <w:hideMark/>
                </w:tcPr>
                <w:p w14:paraId="1DC64D03"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-2.6 </w:t>
                  </w:r>
                </w:p>
              </w:tc>
              <w:tc>
                <w:tcPr>
                  <w:tcW w:w="921" w:type="dxa"/>
                  <w:tcBorders>
                    <w:top w:val="nil"/>
                    <w:left w:val="nil"/>
                    <w:bottom w:val="single" w:sz="8" w:space="0" w:color="FFFFFF"/>
                    <w:right w:val="single" w:sz="8" w:space="0" w:color="FFFFFF"/>
                  </w:tcBorders>
                  <w:shd w:val="clear" w:color="000000" w:fill="FCD5B4"/>
                  <w:noWrap/>
                  <w:vAlign w:val="center"/>
                  <w:hideMark/>
                </w:tcPr>
                <w:p w14:paraId="5B8522C0"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-2.6 </w:t>
                  </w:r>
                </w:p>
              </w:tc>
              <w:tc>
                <w:tcPr>
                  <w:tcW w:w="921" w:type="dxa"/>
                  <w:tcBorders>
                    <w:top w:val="nil"/>
                    <w:left w:val="nil"/>
                    <w:bottom w:val="single" w:sz="8" w:space="0" w:color="FFFFFF"/>
                    <w:right w:val="single" w:sz="8" w:space="0" w:color="FFFFFF"/>
                  </w:tcBorders>
                  <w:shd w:val="clear" w:color="000000" w:fill="FCD5B4"/>
                  <w:noWrap/>
                  <w:vAlign w:val="center"/>
                  <w:hideMark/>
                </w:tcPr>
                <w:p w14:paraId="1D92F9DB"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-1.6 </w:t>
                  </w:r>
                </w:p>
              </w:tc>
              <w:tc>
                <w:tcPr>
                  <w:tcW w:w="1157" w:type="dxa"/>
                  <w:tcBorders>
                    <w:top w:val="nil"/>
                    <w:left w:val="nil"/>
                    <w:bottom w:val="nil"/>
                    <w:right w:val="nil"/>
                  </w:tcBorders>
                  <w:shd w:val="clear" w:color="000000" w:fill="FCD5B4"/>
                  <w:noWrap/>
                  <w:vAlign w:val="center"/>
                  <w:hideMark/>
                </w:tcPr>
                <w:p w14:paraId="2A87F71D" w14:textId="77777777" w:rsidR="00C230F0" w:rsidRPr="00C230F0" w:rsidRDefault="00C230F0" w:rsidP="00C230F0">
                  <w:pPr>
                    <w:widowControl/>
                    <w:jc w:val="center"/>
                    <w:rPr>
                      <w:rFonts w:ascii="楷体" w:eastAsia="楷体" w:hAnsi="楷体" w:cs="宋体"/>
                      <w:color w:val="000000"/>
                      <w:kern w:val="0"/>
                      <w:sz w:val="20"/>
                      <w:szCs w:val="20"/>
                    </w:rPr>
                  </w:pPr>
                  <w:proofErr w:type="gramStart"/>
                  <w:r w:rsidRPr="00C230F0">
                    <w:rPr>
                      <w:rFonts w:ascii="楷体" w:eastAsia="楷体" w:hAnsi="楷体" w:cs="宋体" w:hint="eastAsia"/>
                      <w:color w:val="000000"/>
                      <w:kern w:val="0"/>
                      <w:sz w:val="20"/>
                      <w:szCs w:val="20"/>
                    </w:rPr>
                    <w:t>城投债</w:t>
                  </w:r>
                  <w:proofErr w:type="gramEnd"/>
                  <w:r w:rsidRPr="00C230F0">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3D1FE1FC"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-4.2 </w:t>
                  </w:r>
                </w:p>
              </w:tc>
              <w:tc>
                <w:tcPr>
                  <w:tcW w:w="921" w:type="dxa"/>
                  <w:tcBorders>
                    <w:top w:val="nil"/>
                    <w:left w:val="nil"/>
                    <w:bottom w:val="single" w:sz="8" w:space="0" w:color="FFFFFF"/>
                    <w:right w:val="single" w:sz="8" w:space="0" w:color="FFFFFF"/>
                  </w:tcBorders>
                  <w:shd w:val="clear" w:color="000000" w:fill="FCD5B4"/>
                  <w:noWrap/>
                  <w:vAlign w:val="center"/>
                  <w:hideMark/>
                </w:tcPr>
                <w:p w14:paraId="0B2D6135"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-4.2 </w:t>
                  </w:r>
                </w:p>
              </w:tc>
              <w:tc>
                <w:tcPr>
                  <w:tcW w:w="921" w:type="dxa"/>
                  <w:tcBorders>
                    <w:top w:val="nil"/>
                    <w:left w:val="nil"/>
                    <w:bottom w:val="single" w:sz="8" w:space="0" w:color="FFFFFF"/>
                    <w:right w:val="single" w:sz="8" w:space="0" w:color="FFFFFF"/>
                  </w:tcBorders>
                  <w:shd w:val="clear" w:color="000000" w:fill="FCD5B4"/>
                  <w:noWrap/>
                  <w:vAlign w:val="center"/>
                  <w:hideMark/>
                </w:tcPr>
                <w:p w14:paraId="66F6EDDE"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-4.2 </w:t>
                  </w:r>
                </w:p>
              </w:tc>
              <w:tc>
                <w:tcPr>
                  <w:tcW w:w="921" w:type="dxa"/>
                  <w:tcBorders>
                    <w:top w:val="nil"/>
                    <w:left w:val="nil"/>
                    <w:bottom w:val="single" w:sz="8" w:space="0" w:color="FFFFFF"/>
                    <w:right w:val="single" w:sz="8" w:space="0" w:color="FFFFFF"/>
                  </w:tcBorders>
                  <w:shd w:val="clear" w:color="000000" w:fill="FCD5B4"/>
                  <w:noWrap/>
                  <w:vAlign w:val="center"/>
                  <w:hideMark/>
                </w:tcPr>
                <w:p w14:paraId="2A103FA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FF0000"/>
                      <w:kern w:val="0"/>
                      <w:szCs w:val="21"/>
                    </w:rPr>
                    <w:t xml:space="preserve">-3.2 </w:t>
                  </w:r>
                </w:p>
              </w:tc>
            </w:tr>
            <w:tr w:rsidR="00C230F0" w:rsidRPr="00C230F0" w14:paraId="5F766C22" w14:textId="77777777" w:rsidTr="00C230F0">
              <w:trPr>
                <w:trHeight w:val="150"/>
              </w:trPr>
              <w:tc>
                <w:tcPr>
                  <w:tcW w:w="1350" w:type="dxa"/>
                  <w:tcBorders>
                    <w:top w:val="nil"/>
                    <w:left w:val="nil"/>
                    <w:bottom w:val="nil"/>
                    <w:right w:val="nil"/>
                  </w:tcBorders>
                  <w:shd w:val="clear" w:color="auto" w:fill="auto"/>
                  <w:noWrap/>
                  <w:vAlign w:val="center"/>
                  <w:hideMark/>
                </w:tcPr>
                <w:p w14:paraId="20C57D1A" w14:textId="77777777" w:rsidR="00C230F0" w:rsidRPr="00C230F0" w:rsidRDefault="00C230F0" w:rsidP="00C230F0">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535D1F24" w14:textId="77777777" w:rsidR="00C230F0" w:rsidRPr="00C230F0" w:rsidRDefault="00C230F0" w:rsidP="00C230F0">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368099F8" w14:textId="77777777" w:rsidR="00C230F0" w:rsidRPr="00C230F0" w:rsidRDefault="00C230F0" w:rsidP="00C230F0">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7E9F9C87" w14:textId="77777777" w:rsidR="00C230F0" w:rsidRPr="00C230F0" w:rsidRDefault="00C230F0" w:rsidP="00C230F0">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4C44D44A" w14:textId="77777777" w:rsidR="00C230F0" w:rsidRPr="00C230F0" w:rsidRDefault="00C230F0" w:rsidP="00C230F0">
                  <w:pPr>
                    <w:widowControl/>
                    <w:jc w:val="center"/>
                    <w:rPr>
                      <w:rFonts w:ascii="Times New Roman" w:eastAsia="Times New Roman" w:hAnsi="Times New Roman"/>
                      <w:kern w:val="0"/>
                      <w:sz w:val="20"/>
                      <w:szCs w:val="20"/>
                    </w:rPr>
                  </w:pPr>
                </w:p>
              </w:tc>
              <w:tc>
                <w:tcPr>
                  <w:tcW w:w="1157" w:type="dxa"/>
                  <w:tcBorders>
                    <w:top w:val="nil"/>
                    <w:left w:val="nil"/>
                    <w:bottom w:val="nil"/>
                    <w:right w:val="nil"/>
                  </w:tcBorders>
                  <w:shd w:val="clear" w:color="auto" w:fill="auto"/>
                  <w:noWrap/>
                  <w:vAlign w:val="center"/>
                  <w:hideMark/>
                </w:tcPr>
                <w:p w14:paraId="0790EE6E" w14:textId="77777777" w:rsidR="00C230F0" w:rsidRPr="00C230F0" w:rsidRDefault="00C230F0" w:rsidP="00C230F0">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5E17B9BE" w14:textId="77777777" w:rsidR="00C230F0" w:rsidRPr="00C230F0" w:rsidRDefault="00C230F0" w:rsidP="00C230F0">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4F3D8850" w14:textId="77777777" w:rsidR="00C230F0" w:rsidRPr="00C230F0" w:rsidRDefault="00C230F0" w:rsidP="00C230F0">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06A33A2F" w14:textId="77777777" w:rsidR="00C230F0" w:rsidRPr="00C230F0" w:rsidRDefault="00C230F0" w:rsidP="00C230F0">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3EFBDDBD" w14:textId="77777777" w:rsidR="00C230F0" w:rsidRPr="00C230F0" w:rsidRDefault="00C230F0" w:rsidP="00C230F0">
                  <w:pPr>
                    <w:widowControl/>
                    <w:jc w:val="center"/>
                    <w:rPr>
                      <w:rFonts w:ascii="Times New Roman" w:eastAsia="Times New Roman" w:hAnsi="Times New Roman"/>
                      <w:kern w:val="0"/>
                      <w:sz w:val="20"/>
                      <w:szCs w:val="20"/>
                    </w:rPr>
                  </w:pPr>
                </w:p>
              </w:tc>
            </w:tr>
            <w:tr w:rsidR="00C230F0" w:rsidRPr="00C230F0" w14:paraId="485A1D68" w14:textId="77777777" w:rsidTr="00C230F0">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5D1F3156"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收益率分位</w:t>
                  </w:r>
                </w:p>
              </w:tc>
              <w:tc>
                <w:tcPr>
                  <w:tcW w:w="920" w:type="dxa"/>
                  <w:tcBorders>
                    <w:top w:val="nil"/>
                    <w:left w:val="nil"/>
                    <w:bottom w:val="single" w:sz="12" w:space="0" w:color="FFFFFF"/>
                    <w:right w:val="single" w:sz="8" w:space="0" w:color="FFFFFF"/>
                  </w:tcBorders>
                  <w:shd w:val="clear" w:color="000000" w:fill="F79646"/>
                  <w:noWrap/>
                  <w:vAlign w:val="center"/>
                  <w:hideMark/>
                </w:tcPr>
                <w:p w14:paraId="10B49A0B"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B865DC0"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CC79312"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F62115A"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30406E42"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32D2952C"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3B17F7E"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B74DBB0"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D1CE3C1" w14:textId="77777777" w:rsidR="00C230F0" w:rsidRPr="00C230F0" w:rsidRDefault="00C230F0" w:rsidP="00C230F0">
                  <w:pPr>
                    <w:widowControl/>
                    <w:jc w:val="center"/>
                    <w:rPr>
                      <w:rFonts w:ascii="楷体" w:eastAsia="楷体" w:hAnsi="楷体" w:cs="宋体"/>
                      <w:b/>
                      <w:bCs/>
                      <w:color w:val="FFFFFF"/>
                      <w:kern w:val="0"/>
                      <w:sz w:val="20"/>
                      <w:szCs w:val="20"/>
                    </w:rPr>
                  </w:pPr>
                  <w:r w:rsidRPr="00C230F0">
                    <w:rPr>
                      <w:rFonts w:ascii="楷体" w:eastAsia="楷体" w:hAnsi="楷体" w:cs="宋体" w:hint="eastAsia"/>
                      <w:b/>
                      <w:bCs/>
                      <w:color w:val="FFFFFF"/>
                      <w:kern w:val="0"/>
                      <w:sz w:val="20"/>
                      <w:szCs w:val="20"/>
                    </w:rPr>
                    <w:t>AA-</w:t>
                  </w:r>
                </w:p>
              </w:tc>
            </w:tr>
            <w:tr w:rsidR="00C230F0" w:rsidRPr="00C230F0" w14:paraId="27662E92" w14:textId="77777777" w:rsidTr="00C230F0">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442704C2"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27EE687C"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23%</w:t>
                  </w:r>
                </w:p>
              </w:tc>
              <w:tc>
                <w:tcPr>
                  <w:tcW w:w="921" w:type="dxa"/>
                  <w:tcBorders>
                    <w:top w:val="nil"/>
                    <w:left w:val="nil"/>
                    <w:bottom w:val="single" w:sz="8" w:space="0" w:color="FFFFFF"/>
                    <w:right w:val="single" w:sz="8" w:space="0" w:color="FFFFFF"/>
                  </w:tcBorders>
                  <w:shd w:val="clear" w:color="000000" w:fill="FCD5B4"/>
                  <w:noWrap/>
                  <w:vAlign w:val="center"/>
                  <w:hideMark/>
                </w:tcPr>
                <w:p w14:paraId="002B2701"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CD5B4"/>
                  <w:noWrap/>
                  <w:vAlign w:val="center"/>
                  <w:hideMark/>
                </w:tcPr>
                <w:p w14:paraId="12840F8F"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CD5B4"/>
                  <w:noWrap/>
                  <w:vAlign w:val="center"/>
                  <w:hideMark/>
                </w:tcPr>
                <w:p w14:paraId="6F558B4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50%</w:t>
                  </w:r>
                </w:p>
              </w:tc>
              <w:tc>
                <w:tcPr>
                  <w:tcW w:w="1157" w:type="dxa"/>
                  <w:tcBorders>
                    <w:top w:val="nil"/>
                    <w:left w:val="nil"/>
                    <w:bottom w:val="single" w:sz="8" w:space="0" w:color="FFFFFF"/>
                    <w:right w:val="single" w:sz="8" w:space="0" w:color="FFFFFF"/>
                  </w:tcBorders>
                  <w:shd w:val="clear" w:color="000000" w:fill="FCD5B4"/>
                  <w:noWrap/>
                  <w:vAlign w:val="center"/>
                  <w:hideMark/>
                </w:tcPr>
                <w:p w14:paraId="3FCD496A"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41864817"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CD5B4"/>
                  <w:noWrap/>
                  <w:vAlign w:val="center"/>
                  <w:hideMark/>
                </w:tcPr>
                <w:p w14:paraId="5788795D"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CD5B4"/>
                  <w:noWrap/>
                  <w:vAlign w:val="center"/>
                  <w:hideMark/>
                </w:tcPr>
                <w:p w14:paraId="29A4CAEA"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CD5B4"/>
                  <w:noWrap/>
                  <w:vAlign w:val="center"/>
                  <w:hideMark/>
                </w:tcPr>
                <w:p w14:paraId="32093C97"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64%</w:t>
                  </w:r>
                </w:p>
              </w:tc>
            </w:tr>
            <w:tr w:rsidR="00C230F0" w:rsidRPr="00C230F0" w14:paraId="6CAB1BB7" w14:textId="77777777" w:rsidTr="00C230F0">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61555FB"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4B9047D6"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DE9D9"/>
                  <w:noWrap/>
                  <w:vAlign w:val="center"/>
                  <w:hideMark/>
                </w:tcPr>
                <w:p w14:paraId="7920CBC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DE9D9"/>
                  <w:noWrap/>
                  <w:vAlign w:val="center"/>
                  <w:hideMark/>
                </w:tcPr>
                <w:p w14:paraId="7A36BF33"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DE9D9"/>
                  <w:noWrap/>
                  <w:vAlign w:val="center"/>
                  <w:hideMark/>
                </w:tcPr>
                <w:p w14:paraId="2151F7FF"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57%</w:t>
                  </w:r>
                </w:p>
              </w:tc>
              <w:tc>
                <w:tcPr>
                  <w:tcW w:w="1157" w:type="dxa"/>
                  <w:tcBorders>
                    <w:top w:val="nil"/>
                    <w:left w:val="nil"/>
                    <w:bottom w:val="single" w:sz="8" w:space="0" w:color="FFFFFF"/>
                    <w:right w:val="single" w:sz="8" w:space="0" w:color="FFFFFF"/>
                  </w:tcBorders>
                  <w:shd w:val="clear" w:color="000000" w:fill="FDE9D9"/>
                  <w:noWrap/>
                  <w:vAlign w:val="center"/>
                  <w:hideMark/>
                </w:tcPr>
                <w:p w14:paraId="60A3BDD6"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04B6B089"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DE9D9"/>
                  <w:noWrap/>
                  <w:vAlign w:val="center"/>
                  <w:hideMark/>
                </w:tcPr>
                <w:p w14:paraId="6F9F198F"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3%</w:t>
                  </w:r>
                </w:p>
              </w:tc>
              <w:tc>
                <w:tcPr>
                  <w:tcW w:w="921" w:type="dxa"/>
                  <w:tcBorders>
                    <w:top w:val="nil"/>
                    <w:left w:val="nil"/>
                    <w:bottom w:val="single" w:sz="8" w:space="0" w:color="FFFFFF"/>
                    <w:right w:val="single" w:sz="8" w:space="0" w:color="FFFFFF"/>
                  </w:tcBorders>
                  <w:shd w:val="clear" w:color="000000" w:fill="FDE9D9"/>
                  <w:noWrap/>
                  <w:vAlign w:val="center"/>
                  <w:hideMark/>
                </w:tcPr>
                <w:p w14:paraId="45A48014"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DE9D9"/>
                  <w:noWrap/>
                  <w:vAlign w:val="center"/>
                  <w:hideMark/>
                </w:tcPr>
                <w:p w14:paraId="52D2664B"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65%</w:t>
                  </w:r>
                </w:p>
              </w:tc>
            </w:tr>
            <w:tr w:rsidR="00C230F0" w:rsidRPr="00C230F0" w14:paraId="26FB2F4C" w14:textId="77777777" w:rsidTr="00C230F0">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7B533ED4"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439E34E4"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275FDBA2"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CD5B4"/>
                  <w:noWrap/>
                  <w:vAlign w:val="center"/>
                  <w:hideMark/>
                </w:tcPr>
                <w:p w14:paraId="2379904C"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09A1812A"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49%</w:t>
                  </w:r>
                </w:p>
              </w:tc>
              <w:tc>
                <w:tcPr>
                  <w:tcW w:w="1157" w:type="dxa"/>
                  <w:tcBorders>
                    <w:top w:val="nil"/>
                    <w:left w:val="nil"/>
                    <w:bottom w:val="single" w:sz="8" w:space="0" w:color="FFFFFF"/>
                    <w:right w:val="single" w:sz="8" w:space="0" w:color="FFFFFF"/>
                  </w:tcBorders>
                  <w:shd w:val="clear" w:color="000000" w:fill="FCD5B4"/>
                  <w:noWrap/>
                  <w:vAlign w:val="center"/>
                  <w:hideMark/>
                </w:tcPr>
                <w:p w14:paraId="13E4DBA9"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4DCBAD19"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CD5B4"/>
                  <w:noWrap/>
                  <w:vAlign w:val="center"/>
                  <w:hideMark/>
                </w:tcPr>
                <w:p w14:paraId="19BC759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3%</w:t>
                  </w:r>
                </w:p>
              </w:tc>
              <w:tc>
                <w:tcPr>
                  <w:tcW w:w="921" w:type="dxa"/>
                  <w:tcBorders>
                    <w:top w:val="nil"/>
                    <w:left w:val="nil"/>
                    <w:bottom w:val="single" w:sz="8" w:space="0" w:color="FFFFFF"/>
                    <w:right w:val="single" w:sz="8" w:space="0" w:color="FFFFFF"/>
                  </w:tcBorders>
                  <w:shd w:val="clear" w:color="000000" w:fill="FCD5B4"/>
                  <w:noWrap/>
                  <w:vAlign w:val="center"/>
                  <w:hideMark/>
                </w:tcPr>
                <w:p w14:paraId="6DF81611"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CD5B4"/>
                  <w:noWrap/>
                  <w:vAlign w:val="center"/>
                  <w:hideMark/>
                </w:tcPr>
                <w:p w14:paraId="61737FD0"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57%</w:t>
                  </w:r>
                </w:p>
              </w:tc>
            </w:tr>
            <w:tr w:rsidR="00C230F0" w:rsidRPr="00C230F0" w14:paraId="147F186E" w14:textId="77777777" w:rsidTr="00C230F0">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0D523D32"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27025EB0"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DE9D9"/>
                  <w:noWrap/>
                  <w:vAlign w:val="center"/>
                  <w:hideMark/>
                </w:tcPr>
                <w:p w14:paraId="20F75045"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DE9D9"/>
                  <w:noWrap/>
                  <w:vAlign w:val="center"/>
                  <w:hideMark/>
                </w:tcPr>
                <w:p w14:paraId="4ACF21BC"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DE9D9"/>
                  <w:noWrap/>
                  <w:vAlign w:val="center"/>
                  <w:hideMark/>
                </w:tcPr>
                <w:p w14:paraId="074E0BC2"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53%</w:t>
                  </w:r>
                </w:p>
              </w:tc>
              <w:tc>
                <w:tcPr>
                  <w:tcW w:w="1157" w:type="dxa"/>
                  <w:tcBorders>
                    <w:top w:val="nil"/>
                    <w:left w:val="nil"/>
                    <w:bottom w:val="single" w:sz="8" w:space="0" w:color="FFFFFF"/>
                    <w:right w:val="single" w:sz="8" w:space="0" w:color="FFFFFF"/>
                  </w:tcBorders>
                  <w:shd w:val="clear" w:color="000000" w:fill="FDE9D9"/>
                  <w:noWrap/>
                  <w:vAlign w:val="center"/>
                  <w:hideMark/>
                </w:tcPr>
                <w:p w14:paraId="5825B883"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3A246BC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DE9D9"/>
                  <w:noWrap/>
                  <w:vAlign w:val="center"/>
                  <w:hideMark/>
                </w:tcPr>
                <w:p w14:paraId="2247AA9B"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3%</w:t>
                  </w:r>
                </w:p>
              </w:tc>
              <w:tc>
                <w:tcPr>
                  <w:tcW w:w="921" w:type="dxa"/>
                  <w:tcBorders>
                    <w:top w:val="nil"/>
                    <w:left w:val="nil"/>
                    <w:bottom w:val="single" w:sz="8" w:space="0" w:color="FFFFFF"/>
                    <w:right w:val="single" w:sz="8" w:space="0" w:color="FFFFFF"/>
                  </w:tcBorders>
                  <w:shd w:val="clear" w:color="000000" w:fill="FDE9D9"/>
                  <w:noWrap/>
                  <w:vAlign w:val="center"/>
                  <w:hideMark/>
                </w:tcPr>
                <w:p w14:paraId="3268B2B5"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DE9D9"/>
                  <w:noWrap/>
                  <w:vAlign w:val="center"/>
                  <w:hideMark/>
                </w:tcPr>
                <w:p w14:paraId="759C9EA5"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64%</w:t>
                  </w:r>
                </w:p>
              </w:tc>
            </w:tr>
            <w:tr w:rsidR="00C230F0" w:rsidRPr="00C230F0" w14:paraId="54B2BC13" w14:textId="77777777" w:rsidTr="00C230F0">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6AD8EA6E"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1EA68030"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CD5B4"/>
                  <w:noWrap/>
                  <w:vAlign w:val="center"/>
                  <w:hideMark/>
                </w:tcPr>
                <w:p w14:paraId="74907F96"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CD5B4"/>
                  <w:noWrap/>
                  <w:vAlign w:val="center"/>
                  <w:hideMark/>
                </w:tcPr>
                <w:p w14:paraId="667B88A3"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2C35CBD4"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47%</w:t>
                  </w:r>
                </w:p>
              </w:tc>
              <w:tc>
                <w:tcPr>
                  <w:tcW w:w="1157" w:type="dxa"/>
                  <w:tcBorders>
                    <w:top w:val="nil"/>
                    <w:left w:val="nil"/>
                    <w:bottom w:val="single" w:sz="8" w:space="0" w:color="FFFFFF"/>
                    <w:right w:val="single" w:sz="8" w:space="0" w:color="FFFFFF"/>
                  </w:tcBorders>
                  <w:shd w:val="clear" w:color="000000" w:fill="FCD5B4"/>
                  <w:noWrap/>
                  <w:vAlign w:val="center"/>
                  <w:hideMark/>
                </w:tcPr>
                <w:p w14:paraId="26D94C19"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79492AE1"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CD5B4"/>
                  <w:noWrap/>
                  <w:vAlign w:val="center"/>
                  <w:hideMark/>
                </w:tcPr>
                <w:p w14:paraId="06FEE4BD"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0%</w:t>
                  </w:r>
                </w:p>
              </w:tc>
              <w:tc>
                <w:tcPr>
                  <w:tcW w:w="921" w:type="dxa"/>
                  <w:tcBorders>
                    <w:top w:val="nil"/>
                    <w:left w:val="nil"/>
                    <w:bottom w:val="single" w:sz="8" w:space="0" w:color="FFFFFF"/>
                    <w:right w:val="single" w:sz="8" w:space="0" w:color="FFFFFF"/>
                  </w:tcBorders>
                  <w:shd w:val="clear" w:color="000000" w:fill="FCD5B4"/>
                  <w:noWrap/>
                  <w:vAlign w:val="center"/>
                  <w:hideMark/>
                </w:tcPr>
                <w:p w14:paraId="7B99E8D2"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CD5B4"/>
                  <w:noWrap/>
                  <w:vAlign w:val="center"/>
                  <w:hideMark/>
                </w:tcPr>
                <w:p w14:paraId="5A85A90A"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57%</w:t>
                  </w:r>
                </w:p>
              </w:tc>
            </w:tr>
            <w:tr w:rsidR="00C230F0" w:rsidRPr="00C230F0" w14:paraId="5FFB9BAF" w14:textId="77777777" w:rsidTr="00C230F0">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67E5FDC4"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7D453260"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DE9D9"/>
                  <w:noWrap/>
                  <w:vAlign w:val="center"/>
                  <w:hideMark/>
                </w:tcPr>
                <w:p w14:paraId="62AA7579"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DE9D9"/>
                  <w:noWrap/>
                  <w:vAlign w:val="center"/>
                  <w:hideMark/>
                </w:tcPr>
                <w:p w14:paraId="406992AD"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DE9D9"/>
                  <w:noWrap/>
                  <w:vAlign w:val="center"/>
                  <w:hideMark/>
                </w:tcPr>
                <w:p w14:paraId="2D2CCA05"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40%</w:t>
                  </w:r>
                </w:p>
              </w:tc>
              <w:tc>
                <w:tcPr>
                  <w:tcW w:w="1157" w:type="dxa"/>
                  <w:tcBorders>
                    <w:top w:val="nil"/>
                    <w:left w:val="nil"/>
                    <w:bottom w:val="single" w:sz="8" w:space="0" w:color="FFFFFF"/>
                    <w:right w:val="single" w:sz="8" w:space="0" w:color="FFFFFF"/>
                  </w:tcBorders>
                  <w:shd w:val="clear" w:color="000000" w:fill="FDE9D9"/>
                  <w:noWrap/>
                  <w:vAlign w:val="center"/>
                  <w:hideMark/>
                </w:tcPr>
                <w:p w14:paraId="2A4EED1F" w14:textId="77777777" w:rsidR="00C230F0" w:rsidRPr="00C230F0" w:rsidRDefault="00C230F0" w:rsidP="00C230F0">
                  <w:pPr>
                    <w:widowControl/>
                    <w:jc w:val="center"/>
                    <w:rPr>
                      <w:rFonts w:ascii="楷体" w:eastAsia="楷体" w:hAnsi="楷体" w:cs="宋体"/>
                      <w:color w:val="000000"/>
                      <w:kern w:val="0"/>
                      <w:sz w:val="20"/>
                      <w:szCs w:val="20"/>
                    </w:rPr>
                  </w:pPr>
                  <w:r w:rsidRPr="00C230F0">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30EB86CB"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DE9D9"/>
                  <w:noWrap/>
                  <w:vAlign w:val="center"/>
                  <w:hideMark/>
                </w:tcPr>
                <w:p w14:paraId="569EECFE"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DE9D9"/>
                  <w:noWrap/>
                  <w:vAlign w:val="center"/>
                  <w:hideMark/>
                </w:tcPr>
                <w:p w14:paraId="29F69E8C"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DE9D9"/>
                  <w:noWrap/>
                  <w:vAlign w:val="center"/>
                  <w:hideMark/>
                </w:tcPr>
                <w:p w14:paraId="752D2544"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52%</w:t>
                  </w:r>
                </w:p>
              </w:tc>
            </w:tr>
            <w:tr w:rsidR="00C230F0" w:rsidRPr="00C230F0" w14:paraId="467A8349" w14:textId="77777777" w:rsidTr="00C230F0">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52907DB0" w14:textId="77777777" w:rsidR="00C230F0" w:rsidRPr="00C230F0" w:rsidRDefault="00C230F0" w:rsidP="00C230F0">
                  <w:pPr>
                    <w:widowControl/>
                    <w:jc w:val="center"/>
                    <w:rPr>
                      <w:rFonts w:ascii="楷体" w:eastAsia="楷体" w:hAnsi="楷体" w:cs="宋体"/>
                      <w:color w:val="000000"/>
                      <w:kern w:val="0"/>
                      <w:sz w:val="20"/>
                      <w:szCs w:val="20"/>
                    </w:rPr>
                  </w:pPr>
                  <w:proofErr w:type="gramStart"/>
                  <w:r w:rsidRPr="00C230F0">
                    <w:rPr>
                      <w:rFonts w:ascii="楷体" w:eastAsia="楷体" w:hAnsi="楷体" w:cs="宋体" w:hint="eastAsia"/>
                      <w:color w:val="000000"/>
                      <w:kern w:val="0"/>
                      <w:sz w:val="20"/>
                      <w:szCs w:val="20"/>
                    </w:rPr>
                    <w:t>城投债</w:t>
                  </w:r>
                  <w:proofErr w:type="gramEnd"/>
                  <w:r w:rsidRPr="00C230F0">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0C329F1C"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0D0EA44E"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CD5B4"/>
                  <w:noWrap/>
                  <w:vAlign w:val="center"/>
                  <w:hideMark/>
                </w:tcPr>
                <w:p w14:paraId="05C2017B"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CD5B4"/>
                  <w:noWrap/>
                  <w:vAlign w:val="center"/>
                  <w:hideMark/>
                </w:tcPr>
                <w:p w14:paraId="7EBF878C"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63%</w:t>
                  </w:r>
                </w:p>
              </w:tc>
              <w:tc>
                <w:tcPr>
                  <w:tcW w:w="1157" w:type="dxa"/>
                  <w:tcBorders>
                    <w:top w:val="nil"/>
                    <w:left w:val="nil"/>
                    <w:bottom w:val="single" w:sz="8" w:space="0" w:color="FFFFFF"/>
                    <w:right w:val="single" w:sz="8" w:space="0" w:color="FFFFFF"/>
                  </w:tcBorders>
                  <w:shd w:val="clear" w:color="000000" w:fill="FCD5B4"/>
                  <w:noWrap/>
                  <w:vAlign w:val="center"/>
                  <w:hideMark/>
                </w:tcPr>
                <w:p w14:paraId="14C00B16" w14:textId="77777777" w:rsidR="00C230F0" w:rsidRPr="00C230F0" w:rsidRDefault="00C230F0" w:rsidP="00C230F0">
                  <w:pPr>
                    <w:widowControl/>
                    <w:jc w:val="center"/>
                    <w:rPr>
                      <w:rFonts w:ascii="楷体" w:eastAsia="楷体" w:hAnsi="楷体" w:cs="宋体"/>
                      <w:color w:val="000000"/>
                      <w:kern w:val="0"/>
                      <w:sz w:val="20"/>
                      <w:szCs w:val="20"/>
                    </w:rPr>
                  </w:pPr>
                  <w:proofErr w:type="gramStart"/>
                  <w:r w:rsidRPr="00C230F0">
                    <w:rPr>
                      <w:rFonts w:ascii="楷体" w:eastAsia="楷体" w:hAnsi="楷体" w:cs="宋体" w:hint="eastAsia"/>
                      <w:color w:val="000000"/>
                      <w:kern w:val="0"/>
                      <w:sz w:val="20"/>
                      <w:szCs w:val="20"/>
                    </w:rPr>
                    <w:t>城投债</w:t>
                  </w:r>
                  <w:proofErr w:type="gramEnd"/>
                  <w:r w:rsidRPr="00C230F0">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2675FCF9"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3%</w:t>
                  </w:r>
                </w:p>
              </w:tc>
              <w:tc>
                <w:tcPr>
                  <w:tcW w:w="921" w:type="dxa"/>
                  <w:tcBorders>
                    <w:top w:val="nil"/>
                    <w:left w:val="nil"/>
                    <w:bottom w:val="single" w:sz="8" w:space="0" w:color="FFFFFF"/>
                    <w:right w:val="single" w:sz="8" w:space="0" w:color="FFFFFF"/>
                  </w:tcBorders>
                  <w:shd w:val="clear" w:color="000000" w:fill="FCD5B4"/>
                  <w:noWrap/>
                  <w:vAlign w:val="center"/>
                  <w:hideMark/>
                </w:tcPr>
                <w:p w14:paraId="177695DB"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CD5B4"/>
                  <w:noWrap/>
                  <w:vAlign w:val="center"/>
                  <w:hideMark/>
                </w:tcPr>
                <w:p w14:paraId="3B5FAB48"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CD5B4"/>
                  <w:noWrap/>
                  <w:vAlign w:val="center"/>
                  <w:hideMark/>
                </w:tcPr>
                <w:p w14:paraId="603AAFE3"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78%</w:t>
                  </w:r>
                </w:p>
              </w:tc>
            </w:tr>
            <w:tr w:rsidR="00C230F0" w:rsidRPr="00C230F0" w14:paraId="025FA0D7" w14:textId="77777777" w:rsidTr="00C230F0">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650B6FF8" w14:textId="77777777" w:rsidR="00C230F0" w:rsidRPr="00C230F0" w:rsidRDefault="00C230F0" w:rsidP="00C230F0">
                  <w:pPr>
                    <w:widowControl/>
                    <w:jc w:val="center"/>
                    <w:rPr>
                      <w:rFonts w:ascii="楷体" w:eastAsia="楷体" w:hAnsi="楷体" w:cs="宋体"/>
                      <w:color w:val="000000"/>
                      <w:kern w:val="0"/>
                      <w:sz w:val="20"/>
                      <w:szCs w:val="20"/>
                    </w:rPr>
                  </w:pPr>
                  <w:proofErr w:type="gramStart"/>
                  <w:r w:rsidRPr="00C230F0">
                    <w:rPr>
                      <w:rFonts w:ascii="楷体" w:eastAsia="楷体" w:hAnsi="楷体" w:cs="宋体" w:hint="eastAsia"/>
                      <w:color w:val="000000"/>
                      <w:kern w:val="0"/>
                      <w:sz w:val="20"/>
                      <w:szCs w:val="20"/>
                    </w:rPr>
                    <w:t>城投债</w:t>
                  </w:r>
                  <w:proofErr w:type="gramEnd"/>
                  <w:r w:rsidRPr="00C230F0">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02D35EE1"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DE9D9"/>
                  <w:noWrap/>
                  <w:vAlign w:val="center"/>
                  <w:hideMark/>
                </w:tcPr>
                <w:p w14:paraId="01EB92CB"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DE9D9"/>
                  <w:noWrap/>
                  <w:vAlign w:val="center"/>
                  <w:hideMark/>
                </w:tcPr>
                <w:p w14:paraId="456B19F0"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DE9D9"/>
                  <w:noWrap/>
                  <w:vAlign w:val="center"/>
                  <w:hideMark/>
                </w:tcPr>
                <w:p w14:paraId="38CEF2C3"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76%</w:t>
                  </w:r>
                </w:p>
              </w:tc>
              <w:tc>
                <w:tcPr>
                  <w:tcW w:w="1157" w:type="dxa"/>
                  <w:tcBorders>
                    <w:top w:val="nil"/>
                    <w:left w:val="nil"/>
                    <w:bottom w:val="single" w:sz="8" w:space="0" w:color="FFFFFF"/>
                    <w:right w:val="single" w:sz="8" w:space="0" w:color="FFFFFF"/>
                  </w:tcBorders>
                  <w:shd w:val="clear" w:color="000000" w:fill="FDE9D9"/>
                  <w:noWrap/>
                  <w:vAlign w:val="center"/>
                  <w:hideMark/>
                </w:tcPr>
                <w:p w14:paraId="7643E838" w14:textId="77777777" w:rsidR="00C230F0" w:rsidRPr="00C230F0" w:rsidRDefault="00C230F0" w:rsidP="00C230F0">
                  <w:pPr>
                    <w:widowControl/>
                    <w:jc w:val="center"/>
                    <w:rPr>
                      <w:rFonts w:ascii="楷体" w:eastAsia="楷体" w:hAnsi="楷体" w:cs="宋体"/>
                      <w:color w:val="000000"/>
                      <w:kern w:val="0"/>
                      <w:sz w:val="20"/>
                      <w:szCs w:val="20"/>
                    </w:rPr>
                  </w:pPr>
                  <w:proofErr w:type="gramStart"/>
                  <w:r w:rsidRPr="00C230F0">
                    <w:rPr>
                      <w:rFonts w:ascii="楷体" w:eastAsia="楷体" w:hAnsi="楷体" w:cs="宋体" w:hint="eastAsia"/>
                      <w:color w:val="000000"/>
                      <w:kern w:val="0"/>
                      <w:sz w:val="20"/>
                      <w:szCs w:val="20"/>
                    </w:rPr>
                    <w:t>城投债</w:t>
                  </w:r>
                  <w:proofErr w:type="gramEnd"/>
                  <w:r w:rsidRPr="00C230F0">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2630B431"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DE9D9"/>
                  <w:noWrap/>
                  <w:vAlign w:val="center"/>
                  <w:hideMark/>
                </w:tcPr>
                <w:p w14:paraId="357D7B6A"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DE9D9"/>
                  <w:noWrap/>
                  <w:vAlign w:val="center"/>
                  <w:hideMark/>
                </w:tcPr>
                <w:p w14:paraId="29F47384"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FC7CE"/>
                  <w:noWrap/>
                  <w:vAlign w:val="center"/>
                  <w:hideMark/>
                </w:tcPr>
                <w:p w14:paraId="220058E9" w14:textId="77777777" w:rsidR="00C230F0" w:rsidRPr="00C230F0" w:rsidRDefault="00C230F0" w:rsidP="00C230F0">
                  <w:pPr>
                    <w:widowControl/>
                    <w:jc w:val="center"/>
                    <w:rPr>
                      <w:rFonts w:eastAsia="等线" w:cs="Calibri"/>
                      <w:color w:val="9C0006"/>
                      <w:kern w:val="0"/>
                      <w:szCs w:val="21"/>
                    </w:rPr>
                  </w:pPr>
                  <w:r w:rsidRPr="00C230F0">
                    <w:rPr>
                      <w:rFonts w:eastAsia="等线" w:cs="Calibri"/>
                      <w:color w:val="9C0006"/>
                      <w:kern w:val="0"/>
                      <w:szCs w:val="21"/>
                    </w:rPr>
                    <w:t>88%</w:t>
                  </w:r>
                </w:p>
              </w:tc>
            </w:tr>
            <w:tr w:rsidR="00C230F0" w:rsidRPr="00C230F0" w14:paraId="5DF9ECAF" w14:textId="77777777" w:rsidTr="00C230F0">
              <w:trPr>
                <w:trHeight w:val="300"/>
              </w:trPr>
              <w:tc>
                <w:tcPr>
                  <w:tcW w:w="1350" w:type="dxa"/>
                  <w:tcBorders>
                    <w:top w:val="nil"/>
                    <w:left w:val="nil"/>
                    <w:bottom w:val="nil"/>
                    <w:right w:val="nil"/>
                  </w:tcBorders>
                  <w:shd w:val="clear" w:color="000000" w:fill="FCD5B4"/>
                  <w:noWrap/>
                  <w:vAlign w:val="center"/>
                  <w:hideMark/>
                </w:tcPr>
                <w:p w14:paraId="29AA0271" w14:textId="77777777" w:rsidR="00C230F0" w:rsidRPr="00C230F0" w:rsidRDefault="00C230F0" w:rsidP="00C230F0">
                  <w:pPr>
                    <w:widowControl/>
                    <w:jc w:val="center"/>
                    <w:rPr>
                      <w:rFonts w:ascii="楷体" w:eastAsia="楷体" w:hAnsi="楷体" w:cs="宋体"/>
                      <w:color w:val="000000"/>
                      <w:kern w:val="0"/>
                      <w:sz w:val="20"/>
                      <w:szCs w:val="20"/>
                    </w:rPr>
                  </w:pPr>
                  <w:proofErr w:type="gramStart"/>
                  <w:r w:rsidRPr="00C230F0">
                    <w:rPr>
                      <w:rFonts w:ascii="楷体" w:eastAsia="楷体" w:hAnsi="楷体" w:cs="宋体" w:hint="eastAsia"/>
                      <w:color w:val="000000"/>
                      <w:kern w:val="0"/>
                      <w:sz w:val="20"/>
                      <w:szCs w:val="20"/>
                    </w:rPr>
                    <w:t>城投债</w:t>
                  </w:r>
                  <w:proofErr w:type="gramEnd"/>
                  <w:r w:rsidRPr="00C230F0">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7A2C7494"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CD5B4"/>
                  <w:noWrap/>
                  <w:vAlign w:val="center"/>
                  <w:hideMark/>
                </w:tcPr>
                <w:p w14:paraId="16814635"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CD5B4"/>
                  <w:noWrap/>
                  <w:vAlign w:val="center"/>
                  <w:hideMark/>
                </w:tcPr>
                <w:p w14:paraId="786F1D37"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59C0CF80"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74%</w:t>
                  </w:r>
                </w:p>
              </w:tc>
              <w:tc>
                <w:tcPr>
                  <w:tcW w:w="1157" w:type="dxa"/>
                  <w:tcBorders>
                    <w:top w:val="nil"/>
                    <w:left w:val="nil"/>
                    <w:bottom w:val="nil"/>
                    <w:right w:val="nil"/>
                  </w:tcBorders>
                  <w:shd w:val="clear" w:color="000000" w:fill="FCD5B4"/>
                  <w:noWrap/>
                  <w:vAlign w:val="center"/>
                  <w:hideMark/>
                </w:tcPr>
                <w:p w14:paraId="54E5398A" w14:textId="77777777" w:rsidR="00C230F0" w:rsidRPr="00C230F0" w:rsidRDefault="00C230F0" w:rsidP="00C230F0">
                  <w:pPr>
                    <w:widowControl/>
                    <w:jc w:val="center"/>
                    <w:rPr>
                      <w:rFonts w:ascii="楷体" w:eastAsia="楷体" w:hAnsi="楷体" w:cs="宋体"/>
                      <w:color w:val="000000"/>
                      <w:kern w:val="0"/>
                      <w:sz w:val="20"/>
                      <w:szCs w:val="20"/>
                    </w:rPr>
                  </w:pPr>
                  <w:proofErr w:type="gramStart"/>
                  <w:r w:rsidRPr="00C230F0">
                    <w:rPr>
                      <w:rFonts w:ascii="楷体" w:eastAsia="楷体" w:hAnsi="楷体" w:cs="宋体" w:hint="eastAsia"/>
                      <w:color w:val="000000"/>
                      <w:kern w:val="0"/>
                      <w:sz w:val="20"/>
                      <w:szCs w:val="20"/>
                    </w:rPr>
                    <w:t>城投债</w:t>
                  </w:r>
                  <w:proofErr w:type="gramEnd"/>
                  <w:r w:rsidRPr="00C230F0">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78DD4D61"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CD5B4"/>
                  <w:noWrap/>
                  <w:vAlign w:val="center"/>
                  <w:hideMark/>
                </w:tcPr>
                <w:p w14:paraId="5CEE71CE"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CD5B4"/>
                  <w:noWrap/>
                  <w:vAlign w:val="center"/>
                  <w:hideMark/>
                </w:tcPr>
                <w:p w14:paraId="4290D782" w14:textId="77777777" w:rsidR="00C230F0" w:rsidRPr="00C230F0" w:rsidRDefault="00C230F0" w:rsidP="00C230F0">
                  <w:pPr>
                    <w:widowControl/>
                    <w:jc w:val="center"/>
                    <w:rPr>
                      <w:rFonts w:eastAsia="等线" w:cs="Calibri"/>
                      <w:color w:val="000000"/>
                      <w:kern w:val="0"/>
                      <w:szCs w:val="21"/>
                    </w:rPr>
                  </w:pPr>
                  <w:r w:rsidRPr="00C230F0">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FC7CE"/>
                  <w:noWrap/>
                  <w:vAlign w:val="center"/>
                  <w:hideMark/>
                </w:tcPr>
                <w:p w14:paraId="49A870BD" w14:textId="77777777" w:rsidR="00C230F0" w:rsidRPr="00C230F0" w:rsidRDefault="00C230F0" w:rsidP="00C230F0">
                  <w:pPr>
                    <w:widowControl/>
                    <w:jc w:val="center"/>
                    <w:rPr>
                      <w:rFonts w:eastAsia="等线" w:cs="Calibri"/>
                      <w:color w:val="9C0006"/>
                      <w:kern w:val="0"/>
                      <w:szCs w:val="21"/>
                    </w:rPr>
                  </w:pPr>
                  <w:r w:rsidRPr="00C230F0">
                    <w:rPr>
                      <w:rFonts w:eastAsia="等线" w:cs="Calibri"/>
                      <w:color w:val="9C0006"/>
                      <w:kern w:val="0"/>
                      <w:szCs w:val="21"/>
                    </w:rPr>
                    <w:t>86%</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14BBFA81"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5437B0">
        <w:rPr>
          <w:rFonts w:ascii="华文楷体" w:hAnsi="华文楷体" w:hint="eastAsia"/>
          <w:sz w:val="24"/>
          <w:szCs w:val="24"/>
          <w:lang w:eastAsia="zh-CN"/>
        </w:rPr>
        <w:t>，</w:t>
      </w:r>
      <w:r w:rsidR="00980B5C" w:rsidRPr="00980B5C">
        <w:rPr>
          <w:rFonts w:ascii="华文楷体" w:hAnsi="华文楷体" w:hint="eastAsia"/>
          <w:sz w:val="24"/>
          <w:szCs w:val="24"/>
          <w:lang w:eastAsia="zh-CN"/>
        </w:rPr>
        <w:t>各主要板块指数</w:t>
      </w:r>
      <w:r w:rsidR="001945D2">
        <w:rPr>
          <w:rFonts w:ascii="华文楷体" w:hAnsi="华文楷体" w:hint="eastAsia"/>
          <w:sz w:val="24"/>
          <w:szCs w:val="24"/>
          <w:lang w:eastAsia="zh-CN"/>
        </w:rPr>
        <w:t>下行</w:t>
      </w:r>
      <w:r w:rsidR="00657F44">
        <w:rPr>
          <w:rFonts w:ascii="华文楷体" w:hAnsi="华文楷体" w:hint="eastAsia"/>
          <w:sz w:val="24"/>
          <w:szCs w:val="24"/>
          <w:lang w:eastAsia="zh-CN"/>
        </w:rPr>
        <w:t>，多数成交量小幅</w:t>
      </w:r>
      <w:r w:rsidR="001945D2">
        <w:rPr>
          <w:rFonts w:ascii="华文楷体" w:hAnsi="华文楷体" w:hint="eastAsia"/>
          <w:sz w:val="24"/>
          <w:szCs w:val="24"/>
          <w:lang w:eastAsia="zh-CN"/>
        </w:rPr>
        <w:t>萎缩，权益</w:t>
      </w:r>
      <w:proofErr w:type="gramStart"/>
      <w:r w:rsidR="001945D2">
        <w:rPr>
          <w:rFonts w:ascii="华文楷体" w:hAnsi="华文楷体" w:hint="eastAsia"/>
          <w:sz w:val="24"/>
          <w:szCs w:val="24"/>
          <w:lang w:eastAsia="zh-CN"/>
        </w:rPr>
        <w:t>市场周度波动</w:t>
      </w:r>
      <w:proofErr w:type="gramEnd"/>
      <w:r w:rsidR="001945D2">
        <w:rPr>
          <w:rFonts w:ascii="华文楷体" w:hAnsi="华文楷体" w:hint="eastAsia"/>
          <w:sz w:val="24"/>
          <w:szCs w:val="24"/>
          <w:lang w:eastAsia="zh-CN"/>
        </w:rPr>
        <w:t>略明显</w:t>
      </w:r>
      <w:r w:rsidR="00980B5C" w:rsidRPr="00980B5C">
        <w:rPr>
          <w:rFonts w:ascii="华文楷体" w:hAnsi="华文楷体" w:hint="eastAsia"/>
          <w:sz w:val="24"/>
          <w:szCs w:val="24"/>
          <w:lang w:eastAsia="zh-CN"/>
        </w:rPr>
        <w:t>。</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1945D2">
        <w:rPr>
          <w:rFonts w:ascii="华文楷体" w:hAnsi="华文楷体" w:hint="eastAsia"/>
          <w:sz w:val="24"/>
          <w:szCs w:val="24"/>
          <w:lang w:eastAsia="zh-CN"/>
        </w:rPr>
        <w:t>-2.5</w:t>
      </w:r>
      <w:r w:rsidR="00AC28BB">
        <w:rPr>
          <w:rFonts w:ascii="华文楷体" w:hAnsi="华文楷体"/>
          <w:sz w:val="24"/>
          <w:szCs w:val="24"/>
          <w:lang w:eastAsia="zh-CN"/>
        </w:rPr>
        <w:t>%、</w:t>
      </w:r>
      <w:r w:rsidR="001945D2">
        <w:rPr>
          <w:rFonts w:ascii="华文楷体" w:hAnsi="华文楷体" w:hint="eastAsia"/>
          <w:sz w:val="24"/>
          <w:szCs w:val="24"/>
          <w:lang w:eastAsia="zh-CN"/>
        </w:rPr>
        <w:t>-0.4</w:t>
      </w:r>
      <w:r w:rsidR="00AC28BB">
        <w:rPr>
          <w:rFonts w:ascii="华文楷体" w:hAnsi="华文楷体"/>
          <w:sz w:val="24"/>
          <w:szCs w:val="24"/>
          <w:lang w:eastAsia="zh-CN"/>
        </w:rPr>
        <w:t>%、</w:t>
      </w:r>
      <w:r w:rsidR="001945D2">
        <w:rPr>
          <w:rFonts w:ascii="华文楷体" w:hAnsi="华文楷体" w:hint="eastAsia"/>
          <w:sz w:val="24"/>
          <w:szCs w:val="24"/>
          <w:lang w:eastAsia="zh-CN"/>
        </w:rPr>
        <w:t>-3.6</w:t>
      </w:r>
      <w:r w:rsidR="00307DB0">
        <w:rPr>
          <w:rFonts w:ascii="华文楷体" w:hAnsi="华文楷体" w:hint="eastAsia"/>
          <w:sz w:val="24"/>
          <w:szCs w:val="24"/>
          <w:lang w:eastAsia="zh-CN"/>
        </w:rPr>
        <w:t>%</w:t>
      </w:r>
      <w:r w:rsidR="00AC28BB">
        <w:rPr>
          <w:rFonts w:ascii="华文楷体" w:hAnsi="华文楷体" w:hint="eastAsia"/>
          <w:sz w:val="24"/>
          <w:szCs w:val="24"/>
          <w:lang w:eastAsia="zh-CN"/>
        </w:rPr>
        <w:t>和</w:t>
      </w:r>
      <w:r w:rsidR="001945D2">
        <w:rPr>
          <w:rFonts w:ascii="华文楷体" w:hAnsi="华文楷体" w:hint="eastAsia"/>
          <w:sz w:val="24"/>
          <w:szCs w:val="24"/>
          <w:lang w:eastAsia="zh-CN"/>
        </w:rPr>
        <w:t>-3.0</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602E64">
        <w:rPr>
          <w:rFonts w:ascii="华文楷体" w:hAnsi="华文楷体" w:hint="eastAsia"/>
          <w:sz w:val="24"/>
          <w:szCs w:val="24"/>
          <w:lang w:eastAsia="zh-CN"/>
        </w:rPr>
        <w:t>上</w:t>
      </w:r>
      <w:r w:rsidR="00307DB0">
        <w:rPr>
          <w:rFonts w:ascii="华文楷体" w:hAnsi="华文楷体" w:hint="eastAsia"/>
          <w:sz w:val="24"/>
          <w:szCs w:val="24"/>
          <w:lang w:eastAsia="zh-CN"/>
        </w:rPr>
        <w:t>周</w:t>
      </w:r>
      <w:r w:rsidR="00602E64">
        <w:rPr>
          <w:rFonts w:ascii="华文楷体" w:hAnsi="华文楷体" w:hint="eastAsia"/>
          <w:sz w:val="24"/>
          <w:szCs w:val="24"/>
          <w:lang w:eastAsia="zh-CN"/>
        </w:rPr>
        <w:t>小幅下跌</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1945D2">
        <w:rPr>
          <w:rFonts w:ascii="华文楷体" w:hAnsi="华文楷体" w:hint="eastAsia"/>
          <w:sz w:val="24"/>
          <w:szCs w:val="24"/>
          <w:lang w:eastAsia="zh-CN"/>
        </w:rPr>
        <w:t>下跌1</w:t>
      </w:r>
      <w:r w:rsidR="00D3254A">
        <w:rPr>
          <w:rFonts w:ascii="华文楷体" w:hAnsi="华文楷体" w:hint="eastAsia"/>
          <w:sz w:val="24"/>
          <w:szCs w:val="24"/>
          <w:lang w:eastAsia="zh-CN"/>
        </w:rPr>
        <w:t>.0</w:t>
      </w:r>
      <w:r w:rsidR="00DE343B" w:rsidRPr="00DE343B">
        <w:rPr>
          <w:rFonts w:ascii="华文楷体" w:hAnsi="华文楷体" w:hint="eastAsia"/>
          <w:sz w:val="24"/>
          <w:szCs w:val="24"/>
          <w:lang w:eastAsia="zh-CN"/>
        </w:rPr>
        <w:t>%</w:t>
      </w:r>
      <w:r w:rsidR="00D86E50">
        <w:rPr>
          <w:rFonts w:ascii="华文楷体" w:hAnsi="华文楷体" w:hint="eastAsia"/>
          <w:sz w:val="24"/>
          <w:szCs w:val="24"/>
          <w:lang w:eastAsia="zh-CN"/>
        </w:rPr>
        <w:t>。</w:t>
      </w:r>
      <w:r w:rsidR="00A045C5">
        <w:rPr>
          <w:rFonts w:ascii="华文楷体" w:hAnsi="华文楷体" w:hint="eastAsia"/>
          <w:sz w:val="24"/>
          <w:szCs w:val="24"/>
          <w:lang w:eastAsia="zh-CN"/>
        </w:rPr>
        <w:t>行业上，关注</w:t>
      </w:r>
      <w:r w:rsidR="001945D2">
        <w:rPr>
          <w:rFonts w:ascii="华文楷体" w:hAnsi="华文楷体" w:hint="eastAsia"/>
          <w:sz w:val="24"/>
          <w:szCs w:val="24"/>
          <w:lang w:eastAsia="zh-CN"/>
        </w:rPr>
        <w:t>本轮回调影响</w:t>
      </w:r>
      <w:r w:rsidR="00A045C5">
        <w:rPr>
          <w:rFonts w:ascii="华文楷体" w:hAnsi="华文楷体" w:hint="eastAsia"/>
          <w:sz w:val="24"/>
          <w:szCs w:val="24"/>
          <w:lang w:eastAsia="zh-CN"/>
        </w:rPr>
        <w:t>，适度关注</w:t>
      </w:r>
      <w:r w:rsidR="00A045C5" w:rsidRPr="00A045C5">
        <w:rPr>
          <w:rFonts w:ascii="华文楷体" w:hAnsi="华文楷体" w:hint="eastAsia"/>
          <w:sz w:val="24"/>
          <w:szCs w:val="24"/>
          <w:lang w:eastAsia="zh-CN"/>
        </w:rPr>
        <w:t>消费、低估值科技</w:t>
      </w:r>
      <w:r w:rsidR="00A045C5">
        <w:rPr>
          <w:rFonts w:ascii="华文楷体" w:hAnsi="华文楷体" w:hint="eastAsia"/>
          <w:sz w:val="24"/>
          <w:szCs w:val="24"/>
          <w:lang w:eastAsia="zh-CN"/>
        </w:rPr>
        <w:t>板块</w:t>
      </w:r>
      <w:r w:rsidR="00A045C5" w:rsidRPr="00A045C5">
        <w:rPr>
          <w:rFonts w:ascii="华文楷体" w:hAnsi="华文楷体" w:hint="eastAsia"/>
          <w:sz w:val="24"/>
          <w:szCs w:val="24"/>
          <w:lang w:eastAsia="zh-CN"/>
        </w:rPr>
        <w:t>等结构机会</w:t>
      </w:r>
      <w:r w:rsidR="001945D2">
        <w:rPr>
          <w:rFonts w:ascii="华文楷体" w:hAnsi="华文楷体" w:hint="eastAsia"/>
          <w:sz w:val="24"/>
          <w:szCs w:val="24"/>
          <w:lang w:eastAsia="zh-CN"/>
        </w:rPr>
        <w:t>，</w:t>
      </w:r>
      <w:r w:rsidR="00602E64">
        <w:rPr>
          <w:rFonts w:ascii="华文楷体" w:hAnsi="华文楷体" w:hint="eastAsia"/>
          <w:sz w:val="24"/>
          <w:szCs w:val="24"/>
          <w:lang w:eastAsia="zh-CN"/>
        </w:rPr>
        <w:t>同时</w:t>
      </w:r>
      <w:r w:rsidR="001945D2">
        <w:rPr>
          <w:rFonts w:ascii="华文楷体" w:hAnsi="华文楷体" w:hint="eastAsia"/>
          <w:sz w:val="24"/>
          <w:szCs w:val="24"/>
          <w:lang w:eastAsia="zh-CN"/>
        </w:rPr>
        <w:t>关注此轮调整中相对业绩成长性更好的板块和个股</w:t>
      </w:r>
      <w:r w:rsidR="00A045C5">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1945D2">
        <w:tblPrEx>
          <w:tblCellMar>
            <w:left w:w="108" w:type="dxa"/>
            <w:right w:w="108" w:type="dxa"/>
          </w:tblCellMar>
        </w:tblPrEx>
        <w:trPr>
          <w:trHeight w:val="2921"/>
          <w:jc w:val="center"/>
        </w:trPr>
        <w:tc>
          <w:tcPr>
            <w:tcW w:w="4939" w:type="dxa"/>
            <w:vAlign w:val="center"/>
          </w:tcPr>
          <w:p w14:paraId="5C83721A" w14:textId="5B884636" w:rsidR="00E0626C" w:rsidRPr="00345C30" w:rsidRDefault="001945D2" w:rsidP="00345C30">
            <w:pPr>
              <w:widowControl/>
              <w:jc w:val="left"/>
              <w:rPr>
                <w:rFonts w:ascii="宋体" w:hAnsi="宋体" w:cs="宋体"/>
                <w:kern w:val="0"/>
                <w:sz w:val="24"/>
                <w:szCs w:val="24"/>
              </w:rPr>
            </w:pPr>
            <w:r w:rsidRPr="001945D2">
              <w:rPr>
                <w:rFonts w:ascii="宋体" w:hAnsi="宋体" w:cs="宋体"/>
                <w:noProof/>
                <w:kern w:val="0"/>
                <w:sz w:val="24"/>
                <w:szCs w:val="24"/>
              </w:rPr>
              <w:drawing>
                <wp:inline distT="0" distB="0" distL="0" distR="0" wp14:anchorId="646B3CDF" wp14:editId="681CB9E0">
                  <wp:extent cx="3145110" cy="1931085"/>
                  <wp:effectExtent l="0" t="0" r="0" b="0"/>
                  <wp:docPr id="15" name="图片 15" descr="C:\Users\Tang\AppData\Local\Temp\162537229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g\AppData\Local\Temp\1625372297(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84868" cy="1955497"/>
                          </a:xfrm>
                          <a:prstGeom prst="rect">
                            <a:avLst/>
                          </a:prstGeom>
                          <a:noFill/>
                          <a:ln>
                            <a:noFill/>
                          </a:ln>
                        </pic:spPr>
                      </pic:pic>
                    </a:graphicData>
                  </a:graphic>
                </wp:inline>
              </w:drawing>
            </w:r>
          </w:p>
        </w:tc>
        <w:tc>
          <w:tcPr>
            <w:tcW w:w="4938" w:type="dxa"/>
            <w:vAlign w:val="center"/>
          </w:tcPr>
          <w:p w14:paraId="39BD4383" w14:textId="205A4C64" w:rsidR="00E0626C" w:rsidRPr="007E0340" w:rsidRDefault="001945D2" w:rsidP="009A2BA0">
            <w:pPr>
              <w:jc w:val="center"/>
              <w:rPr>
                <w:noProof/>
                <w:szCs w:val="18"/>
              </w:rPr>
            </w:pPr>
            <w:r>
              <w:rPr>
                <w:noProof/>
              </w:rPr>
              <w:drawing>
                <wp:inline distT="0" distB="0" distL="0" distR="0" wp14:anchorId="433154DF" wp14:editId="4CC091BC">
                  <wp:extent cx="2998470" cy="1866113"/>
                  <wp:effectExtent l="0" t="0" r="0" b="1270"/>
                  <wp:docPr id="16" name="图表 16">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lc="http://schemas.openxmlformats.org/drawingml/2006/lockedCanvas" xmlns="" xmlns:a16="http://schemas.microsoft.com/office/drawing/2014/main" xmlns:xdr="http://schemas.openxmlformats.org/drawingml/2006/spreadsheetDrawing" xmlns:arto="http://schemas.microsoft.com/office/word/2006/arto" xmlns:w15="http://schemas.microsoft.com/office/word/2012/wordml"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5E564FE1"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602E64">
        <w:rPr>
          <w:rFonts w:ascii="华文楷体" w:hAnsi="华文楷体" w:hint="eastAsia"/>
          <w:sz w:val="24"/>
          <w:szCs w:val="24"/>
          <w:lang w:eastAsia="zh-CN"/>
        </w:rPr>
        <w:t>上</w:t>
      </w:r>
      <w:r w:rsidR="00D3254A" w:rsidRPr="00D3254A">
        <w:rPr>
          <w:rFonts w:ascii="华文楷体" w:hAnsi="华文楷体" w:hint="eastAsia"/>
          <w:sz w:val="24"/>
          <w:szCs w:val="24"/>
          <w:lang w:eastAsia="zh-CN"/>
        </w:rPr>
        <w:t>周</w:t>
      </w:r>
      <w:r w:rsidR="001945D2" w:rsidRPr="001945D2">
        <w:rPr>
          <w:rFonts w:ascii="华文楷体" w:hAnsi="华文楷体" w:hint="eastAsia"/>
          <w:sz w:val="24"/>
          <w:szCs w:val="24"/>
          <w:lang w:eastAsia="zh-CN"/>
        </w:rPr>
        <w:t>港口动力煤平均价环比下跌0.45%。PTA产业链负荷率略降0.82个百分点至84.51%，开工率整体维持平稳。南华玻璃指数均值在3700.9，环比上升3.2%。</w:t>
      </w:r>
      <w:r w:rsidR="00602E64">
        <w:rPr>
          <w:rFonts w:ascii="华文楷体" w:hAnsi="华文楷体" w:hint="eastAsia"/>
          <w:sz w:val="24"/>
          <w:szCs w:val="24"/>
          <w:lang w:eastAsia="zh-CN"/>
        </w:rPr>
        <w:t>上</w:t>
      </w:r>
      <w:r w:rsidR="001945D2" w:rsidRPr="001945D2">
        <w:rPr>
          <w:rFonts w:ascii="华文楷体" w:hAnsi="华文楷体" w:hint="eastAsia"/>
          <w:sz w:val="24"/>
          <w:szCs w:val="24"/>
          <w:lang w:eastAsia="zh-CN"/>
        </w:rPr>
        <w:t>周</w:t>
      </w:r>
      <w:proofErr w:type="spellStart"/>
      <w:r w:rsidR="001945D2" w:rsidRPr="001945D2">
        <w:rPr>
          <w:rFonts w:ascii="华文楷体" w:hAnsi="华文楷体" w:hint="eastAsia"/>
          <w:sz w:val="24"/>
          <w:szCs w:val="24"/>
          <w:lang w:eastAsia="zh-CN"/>
        </w:rPr>
        <w:t>Myspic</w:t>
      </w:r>
      <w:proofErr w:type="spellEnd"/>
      <w:r w:rsidR="001945D2" w:rsidRPr="001945D2">
        <w:rPr>
          <w:rFonts w:ascii="华文楷体" w:hAnsi="华文楷体" w:hint="eastAsia"/>
          <w:sz w:val="24"/>
          <w:szCs w:val="24"/>
          <w:lang w:eastAsia="zh-CN"/>
        </w:rPr>
        <w:t>综合全国钢铁价格指数下行0.27%，主要钢材品种价格环比波动幅度在1%以内。按品种看，螺纹钢、热卷、高线价格分别变化-0.89%、+0.25%、-0.82%；库存方面，主要钢材库存环比上行2.4%</w:t>
      </w:r>
      <w:r w:rsidR="00A81E83">
        <w:rPr>
          <w:rFonts w:ascii="华文楷体" w:hAnsi="华文楷体" w:hint="eastAsia"/>
          <w:sz w:val="24"/>
          <w:szCs w:val="24"/>
          <w:lang w:eastAsia="zh-CN"/>
        </w:rPr>
        <w:t>，</w:t>
      </w:r>
      <w:r w:rsidR="001945D2" w:rsidRPr="001945D2">
        <w:rPr>
          <w:rFonts w:ascii="华文楷体" w:hAnsi="华文楷体" w:hint="eastAsia"/>
          <w:sz w:val="24"/>
          <w:szCs w:val="24"/>
          <w:lang w:eastAsia="zh-CN"/>
        </w:rPr>
        <w:t>螺纹钢、</w:t>
      </w:r>
      <w:proofErr w:type="gramStart"/>
      <w:r w:rsidR="001945D2" w:rsidRPr="001945D2">
        <w:rPr>
          <w:rFonts w:ascii="华文楷体" w:hAnsi="华文楷体" w:hint="eastAsia"/>
          <w:sz w:val="24"/>
          <w:szCs w:val="24"/>
          <w:lang w:eastAsia="zh-CN"/>
        </w:rPr>
        <w:t>热卷分别</w:t>
      </w:r>
      <w:proofErr w:type="gramEnd"/>
      <w:r w:rsidR="001945D2" w:rsidRPr="001945D2">
        <w:rPr>
          <w:rFonts w:ascii="华文楷体" w:hAnsi="华文楷体" w:hint="eastAsia"/>
          <w:sz w:val="24"/>
          <w:szCs w:val="24"/>
          <w:lang w:eastAsia="zh-CN"/>
        </w:rPr>
        <w:t>上行3.19%、2.67%，线材下降1.97%。</w:t>
      </w:r>
    </w:p>
    <w:p w14:paraId="21425444" w14:textId="6375418C"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F704B5">
        <w:rPr>
          <w:rFonts w:ascii="华文楷体" w:hAnsi="华文楷体" w:hint="eastAsia"/>
          <w:b/>
          <w:bCs/>
          <w:sz w:val="24"/>
          <w:szCs w:val="24"/>
          <w:lang w:eastAsia="zh-CN"/>
        </w:rPr>
        <w:t>：</w:t>
      </w:r>
      <w:r w:rsidR="00A81E83" w:rsidRPr="00A81E83">
        <w:rPr>
          <w:rFonts w:ascii="华文楷体" w:hAnsi="华文楷体" w:hint="eastAsia"/>
          <w:sz w:val="24"/>
          <w:szCs w:val="24"/>
          <w:lang w:eastAsia="zh-CN"/>
        </w:rPr>
        <w:t>30大中城市商品房平均成交</w:t>
      </w:r>
      <w:proofErr w:type="gramStart"/>
      <w:r w:rsidR="00A81E83" w:rsidRPr="00A81E83">
        <w:rPr>
          <w:rFonts w:ascii="华文楷体" w:hAnsi="华文楷体" w:hint="eastAsia"/>
          <w:sz w:val="24"/>
          <w:szCs w:val="24"/>
          <w:lang w:eastAsia="zh-CN"/>
        </w:rPr>
        <w:t>面积环</w:t>
      </w:r>
      <w:proofErr w:type="gramEnd"/>
      <w:r w:rsidR="00A81E83" w:rsidRPr="00A81E83">
        <w:rPr>
          <w:rFonts w:ascii="华文楷体" w:hAnsi="华文楷体" w:hint="eastAsia"/>
          <w:sz w:val="24"/>
          <w:szCs w:val="24"/>
          <w:lang w:eastAsia="zh-CN"/>
        </w:rPr>
        <w:t>比增长44%，一、二、三线城市分别增长57.8%、35.1%、52%</w:t>
      </w:r>
      <w:r w:rsidR="00D3254A" w:rsidRPr="00D3254A">
        <w:rPr>
          <w:rFonts w:ascii="华文楷体" w:hAnsi="华文楷体" w:hint="eastAsia"/>
          <w:sz w:val="24"/>
          <w:szCs w:val="24"/>
          <w:lang w:eastAsia="zh-CN"/>
        </w:rPr>
        <w:t>。</w:t>
      </w:r>
      <w:r w:rsidR="00A81E83" w:rsidRPr="00A81E83">
        <w:rPr>
          <w:rFonts w:ascii="华文楷体" w:hAnsi="华文楷体" w:hint="eastAsia"/>
          <w:sz w:val="24"/>
          <w:szCs w:val="24"/>
          <w:lang w:eastAsia="zh-CN"/>
        </w:rPr>
        <w:t>拿地方面，上周100大中城市土地成交</w:t>
      </w:r>
      <w:proofErr w:type="gramStart"/>
      <w:r w:rsidR="00A81E83" w:rsidRPr="00A81E83">
        <w:rPr>
          <w:rFonts w:ascii="华文楷体" w:hAnsi="华文楷体" w:hint="eastAsia"/>
          <w:sz w:val="24"/>
          <w:szCs w:val="24"/>
          <w:lang w:eastAsia="zh-CN"/>
        </w:rPr>
        <w:t>面积环</w:t>
      </w:r>
      <w:proofErr w:type="gramEnd"/>
      <w:r w:rsidR="00A81E83" w:rsidRPr="00A81E83">
        <w:rPr>
          <w:rFonts w:ascii="华文楷体" w:hAnsi="华文楷体" w:hint="eastAsia"/>
          <w:sz w:val="24"/>
          <w:szCs w:val="24"/>
          <w:lang w:eastAsia="zh-CN"/>
        </w:rPr>
        <w:t>比回升约137%，一、二、三线分别上升147.9%、283.8%、66.4%</w:t>
      </w:r>
      <w:r w:rsidR="00A81E83">
        <w:rPr>
          <w:rFonts w:ascii="华文楷体" w:hAnsi="华文楷体" w:hint="eastAsia"/>
          <w:sz w:val="24"/>
          <w:szCs w:val="24"/>
          <w:lang w:eastAsia="zh-CN"/>
        </w:rPr>
        <w:t>。</w:t>
      </w:r>
    </w:p>
    <w:p w14:paraId="77CCCEDF" w14:textId="0E3535D0"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1F098C" w:rsidRPr="001F098C">
        <w:rPr>
          <w:rFonts w:ascii="华文楷体" w:hAnsi="华文楷体" w:hint="eastAsia"/>
          <w:sz w:val="24"/>
          <w:szCs w:val="24"/>
          <w:lang w:eastAsia="zh-CN"/>
        </w:rPr>
        <w:t>出口方面，</w:t>
      </w:r>
      <w:r w:rsidR="00A81E83" w:rsidRPr="00A81E83">
        <w:rPr>
          <w:rFonts w:ascii="华文楷体" w:hAnsi="华文楷体" w:hint="eastAsia"/>
          <w:bCs/>
          <w:sz w:val="24"/>
          <w:szCs w:val="24"/>
          <w:lang w:eastAsia="zh-CN"/>
        </w:rPr>
        <w:t>上海出口集装箱指数（SCFI）</w:t>
      </w:r>
      <w:r w:rsidR="00602E64">
        <w:rPr>
          <w:rFonts w:ascii="华文楷体" w:hAnsi="华文楷体" w:hint="eastAsia"/>
          <w:bCs/>
          <w:sz w:val="24"/>
          <w:szCs w:val="24"/>
          <w:lang w:eastAsia="zh-CN"/>
        </w:rPr>
        <w:t>上</w:t>
      </w:r>
      <w:r w:rsidR="00A81E83" w:rsidRPr="00A81E83">
        <w:rPr>
          <w:rFonts w:ascii="华文楷体" w:hAnsi="华文楷体" w:hint="eastAsia"/>
          <w:bCs/>
          <w:sz w:val="24"/>
          <w:szCs w:val="24"/>
          <w:lang w:eastAsia="zh-CN"/>
        </w:rPr>
        <w:t>周环比回升3.16%，中国出口集装箱运价指数（CCFI）上行2.39%</w:t>
      </w:r>
      <w:r w:rsidR="003B19EF" w:rsidRPr="003B19EF">
        <w:rPr>
          <w:rFonts w:ascii="华文楷体" w:hAnsi="华文楷体" w:hint="eastAsia"/>
          <w:bCs/>
          <w:sz w:val="24"/>
          <w:szCs w:val="24"/>
          <w:lang w:eastAsia="zh-CN"/>
        </w:rPr>
        <w:t>。</w:t>
      </w:r>
      <w:r w:rsidR="001F098C">
        <w:rPr>
          <w:rFonts w:ascii="华文楷体" w:hAnsi="华文楷体" w:hint="eastAsia"/>
          <w:bCs/>
          <w:sz w:val="24"/>
          <w:szCs w:val="24"/>
          <w:lang w:eastAsia="zh-CN"/>
        </w:rPr>
        <w:t>进口方面，</w:t>
      </w:r>
      <w:r w:rsidR="00A81E83" w:rsidRPr="00A81E83">
        <w:rPr>
          <w:rFonts w:ascii="华文楷体" w:hAnsi="华文楷体" w:hint="eastAsia"/>
          <w:bCs/>
          <w:sz w:val="24"/>
          <w:szCs w:val="24"/>
          <w:lang w:eastAsia="zh-CN"/>
        </w:rPr>
        <w:t>波罗的海干散货</w:t>
      </w:r>
      <w:proofErr w:type="gramStart"/>
      <w:r w:rsidR="00A81E83" w:rsidRPr="00A81E83">
        <w:rPr>
          <w:rFonts w:ascii="华文楷体" w:hAnsi="华文楷体" w:hint="eastAsia"/>
          <w:bCs/>
          <w:sz w:val="24"/>
          <w:szCs w:val="24"/>
          <w:lang w:eastAsia="zh-CN"/>
        </w:rPr>
        <w:t>指数环</w:t>
      </w:r>
      <w:proofErr w:type="gramEnd"/>
      <w:r w:rsidR="00A81E83" w:rsidRPr="00A81E83">
        <w:rPr>
          <w:rFonts w:ascii="华文楷体" w:hAnsi="华文楷体" w:hint="eastAsia"/>
          <w:bCs/>
          <w:sz w:val="24"/>
          <w:szCs w:val="24"/>
          <w:lang w:eastAsia="zh-CN"/>
        </w:rPr>
        <w:t>比上行5.93%，中国进口干散货运价</w:t>
      </w:r>
      <w:proofErr w:type="gramStart"/>
      <w:r w:rsidR="00A81E83" w:rsidRPr="00A81E83">
        <w:rPr>
          <w:rFonts w:ascii="华文楷体" w:hAnsi="华文楷体" w:hint="eastAsia"/>
          <w:bCs/>
          <w:sz w:val="24"/>
          <w:szCs w:val="24"/>
          <w:lang w:eastAsia="zh-CN"/>
        </w:rPr>
        <w:t>指数环</w:t>
      </w:r>
      <w:proofErr w:type="gramEnd"/>
      <w:r w:rsidR="00A81E83" w:rsidRPr="00A81E83">
        <w:rPr>
          <w:rFonts w:ascii="华文楷体" w:hAnsi="华文楷体" w:hint="eastAsia"/>
          <w:bCs/>
          <w:sz w:val="24"/>
          <w:szCs w:val="24"/>
          <w:lang w:eastAsia="zh-CN"/>
        </w:rPr>
        <w:t>比回升4.85%。</w:t>
      </w:r>
    </w:p>
    <w:p w14:paraId="50CC8233" w14:textId="7941E2D1" w:rsidR="00065754"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602E64">
        <w:rPr>
          <w:rFonts w:ascii="华文楷体" w:hAnsi="华文楷体" w:hint="eastAsia"/>
          <w:bCs/>
          <w:sz w:val="24"/>
          <w:szCs w:val="24"/>
          <w:lang w:eastAsia="zh-CN"/>
        </w:rPr>
        <w:t>上</w:t>
      </w:r>
      <w:r w:rsidR="00A81E83" w:rsidRPr="00A81E83">
        <w:rPr>
          <w:rFonts w:ascii="华文楷体" w:hAnsi="华文楷体" w:hint="eastAsia"/>
          <w:bCs/>
          <w:sz w:val="24"/>
          <w:szCs w:val="24"/>
          <w:lang w:eastAsia="zh-CN"/>
        </w:rPr>
        <w:t>周农业部公布的全国平均</w:t>
      </w:r>
      <w:r w:rsidR="00A81E83">
        <w:rPr>
          <w:rFonts w:ascii="华文楷体" w:hAnsi="华文楷体" w:hint="eastAsia"/>
          <w:bCs/>
          <w:sz w:val="24"/>
          <w:szCs w:val="24"/>
          <w:lang w:eastAsia="zh-CN"/>
        </w:rPr>
        <w:t>猪价</w:t>
      </w:r>
      <w:r w:rsidR="00A81E83" w:rsidRPr="00A81E83">
        <w:rPr>
          <w:rFonts w:ascii="华文楷体" w:hAnsi="华文楷体" w:hint="eastAsia"/>
          <w:bCs/>
          <w:sz w:val="24"/>
          <w:szCs w:val="24"/>
          <w:lang w:eastAsia="zh-CN"/>
        </w:rPr>
        <w:t>批发价回升至22.66元/公斤，环比上涨3.31%。农产品和菜篮子批发价格200指数分别下降0.16%和0.18%</w:t>
      </w:r>
      <w:r w:rsidR="00D3254A" w:rsidRPr="00D3254A">
        <w:rPr>
          <w:rFonts w:ascii="华文楷体" w:hAnsi="华文楷体" w:hint="eastAsia"/>
          <w:bCs/>
          <w:sz w:val="24"/>
          <w:szCs w:val="24"/>
          <w:lang w:eastAsia="zh-CN"/>
        </w:rPr>
        <w:t>。</w:t>
      </w:r>
      <w:r w:rsidR="003B19EF" w:rsidRPr="003B19EF">
        <w:rPr>
          <w:rFonts w:ascii="华文楷体" w:hAnsi="华文楷体" w:hint="eastAsia"/>
          <w:bCs/>
          <w:sz w:val="24"/>
          <w:szCs w:val="24"/>
          <w:lang w:eastAsia="zh-CN"/>
        </w:rPr>
        <w:t>工业品价格方面，</w:t>
      </w:r>
      <w:r w:rsidR="00A81E83" w:rsidRPr="00A81E83">
        <w:rPr>
          <w:rFonts w:ascii="华文楷体" w:hAnsi="华文楷体" w:hint="eastAsia"/>
          <w:bCs/>
          <w:sz w:val="24"/>
          <w:szCs w:val="24"/>
          <w:lang w:eastAsia="zh-CN"/>
        </w:rPr>
        <w:t>国内长江有色市场铜价上涨0.6%，铝、铅、锌价分别涨0.73%、0.32%、0.98%</w:t>
      </w:r>
      <w:r w:rsidR="00D3254A" w:rsidRPr="00D3254A">
        <w:rPr>
          <w:rFonts w:ascii="华文楷体" w:hAnsi="华文楷体" w:hint="eastAsia"/>
          <w:bCs/>
          <w:sz w:val="24"/>
          <w:szCs w:val="24"/>
          <w:lang w:eastAsia="zh-CN"/>
        </w:rPr>
        <w:t>。</w:t>
      </w:r>
    </w:p>
    <w:p w14:paraId="3425BC76" w14:textId="30434268" w:rsidR="00095AFC"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2" w:name="_Hlk21205334"/>
      <w:r w:rsidR="00AE5690" w:rsidRPr="00AE5690">
        <w:rPr>
          <w:rFonts w:ascii="华文楷体" w:hAnsi="华文楷体" w:hint="eastAsia"/>
          <w:bCs/>
          <w:sz w:val="24"/>
          <w:szCs w:val="24"/>
          <w:lang w:eastAsia="zh-CN"/>
        </w:rPr>
        <w:t>乘联会最新数据显示，</w:t>
      </w:r>
      <w:r w:rsidR="00A81E83" w:rsidRPr="00A81E83">
        <w:rPr>
          <w:rFonts w:ascii="华文楷体" w:hAnsi="华文楷体" w:hint="eastAsia"/>
          <w:bCs/>
          <w:sz w:val="24"/>
          <w:szCs w:val="24"/>
          <w:lang w:eastAsia="zh-CN"/>
        </w:rPr>
        <w:t>日均零售在4.9万辆左右，环比5月下滑26%，同比下降5%</w:t>
      </w:r>
      <w:r w:rsidR="00D3254A" w:rsidRPr="00D3254A">
        <w:rPr>
          <w:rFonts w:ascii="华文楷体" w:hAnsi="华文楷体" w:hint="eastAsia"/>
          <w:bCs/>
          <w:sz w:val="24"/>
          <w:szCs w:val="24"/>
          <w:lang w:eastAsia="zh-CN"/>
        </w:rPr>
        <w:t>。批发方面，当周</w:t>
      </w:r>
      <w:r w:rsidR="00A81E83" w:rsidRPr="00A81E83">
        <w:rPr>
          <w:rFonts w:ascii="华文楷体" w:hAnsi="华文楷体" w:hint="eastAsia"/>
          <w:bCs/>
          <w:sz w:val="24"/>
          <w:szCs w:val="24"/>
          <w:lang w:eastAsia="zh-CN"/>
        </w:rPr>
        <w:t>主要厂商批发销量为日均5.6万辆，环比降10%，跌幅收窄，同比增9%</w:t>
      </w:r>
      <w:r w:rsidR="005E049B">
        <w:rPr>
          <w:rFonts w:ascii="华文楷体" w:hAnsi="华文楷体" w:hint="eastAsia"/>
          <w:bCs/>
          <w:sz w:val="24"/>
          <w:szCs w:val="24"/>
          <w:lang w:eastAsia="zh-CN"/>
        </w:rPr>
        <w:t>。</w:t>
      </w:r>
    </w:p>
    <w:p w14:paraId="6C0621FD" w14:textId="25312970"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A81E83" w:rsidRPr="00A81E83">
        <w:rPr>
          <w:rFonts w:ascii="华文楷体" w:hAnsi="华文楷体" w:hint="eastAsia"/>
          <w:bCs/>
          <w:sz w:val="24"/>
          <w:szCs w:val="24"/>
          <w:lang w:eastAsia="zh-CN"/>
        </w:rPr>
        <w:t>布伦</w:t>
      </w:r>
      <w:proofErr w:type="gramStart"/>
      <w:r w:rsidR="00A81E83" w:rsidRPr="00A81E83">
        <w:rPr>
          <w:rFonts w:ascii="华文楷体" w:hAnsi="华文楷体" w:hint="eastAsia"/>
          <w:bCs/>
          <w:sz w:val="24"/>
          <w:szCs w:val="24"/>
          <w:lang w:eastAsia="zh-CN"/>
        </w:rPr>
        <w:t>特</w:t>
      </w:r>
      <w:proofErr w:type="gramEnd"/>
      <w:r w:rsidR="00A81E83" w:rsidRPr="00A81E83">
        <w:rPr>
          <w:rFonts w:ascii="华文楷体" w:hAnsi="华文楷体" w:hint="eastAsia"/>
          <w:bCs/>
          <w:sz w:val="24"/>
          <w:szCs w:val="24"/>
          <w:lang w:eastAsia="zh-CN"/>
        </w:rPr>
        <w:t>原油环比上周五跌0.01%至76.17美元/桶；WTI原油价格涨1.5%至75.16美元/桶</w:t>
      </w:r>
      <w:r w:rsidR="005E049B" w:rsidRPr="005E049B">
        <w:rPr>
          <w:rFonts w:ascii="华文楷体" w:hAnsi="华文楷体" w:hint="eastAsia"/>
          <w:bCs/>
          <w:sz w:val="24"/>
          <w:szCs w:val="24"/>
          <w:lang w:eastAsia="zh-CN"/>
        </w:rPr>
        <w:t>。</w:t>
      </w:r>
    </w:p>
    <w:p w14:paraId="35D3E229" w14:textId="289B88AA"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proofErr w:type="gramStart"/>
      <w:r w:rsidR="00A81E83">
        <w:rPr>
          <w:rFonts w:ascii="华文楷体" w:hAnsi="华文楷体" w:hint="eastAsia"/>
          <w:sz w:val="24"/>
          <w:szCs w:val="24"/>
          <w:lang w:eastAsia="zh-CN"/>
        </w:rPr>
        <w:t>财新</w:t>
      </w:r>
      <w:proofErr w:type="gramEnd"/>
      <w:r w:rsidR="00752E9D" w:rsidRPr="00752E9D">
        <w:rPr>
          <w:rFonts w:ascii="华文楷体" w:hAnsi="华文楷体" w:hint="eastAsia"/>
          <w:sz w:val="24"/>
          <w:szCs w:val="24"/>
          <w:lang w:eastAsia="zh-CN"/>
        </w:rPr>
        <w:t>PMI数据，</w:t>
      </w:r>
      <w:r w:rsidR="00A81E83">
        <w:rPr>
          <w:rFonts w:ascii="华文楷体" w:hAnsi="华文楷体" w:hint="eastAsia"/>
          <w:sz w:val="24"/>
          <w:szCs w:val="24"/>
          <w:lang w:eastAsia="zh-CN"/>
        </w:rPr>
        <w:t>中国6月外汇储备数据</w:t>
      </w:r>
      <w:r w:rsidR="00752E9D" w:rsidRPr="00752E9D">
        <w:rPr>
          <w:rFonts w:ascii="华文楷体" w:hAnsi="华文楷体" w:hint="eastAsia"/>
          <w:sz w:val="24"/>
          <w:szCs w:val="24"/>
          <w:lang w:eastAsia="zh-CN"/>
        </w:rPr>
        <w:t>，</w:t>
      </w:r>
      <w:r w:rsidR="00A81E83">
        <w:rPr>
          <w:rFonts w:ascii="华文楷体" w:hAnsi="华文楷体" w:hint="eastAsia"/>
          <w:sz w:val="24"/>
          <w:szCs w:val="24"/>
          <w:lang w:eastAsia="zh-CN"/>
        </w:rPr>
        <w:t>6月CPI、PPI数据</w:t>
      </w:r>
      <w:r w:rsidR="00752E9D" w:rsidRPr="00752E9D">
        <w:rPr>
          <w:rFonts w:ascii="华文楷体" w:hAnsi="华文楷体" w:hint="eastAsia"/>
          <w:sz w:val="24"/>
          <w:szCs w:val="24"/>
          <w:lang w:eastAsia="zh-CN"/>
        </w:rPr>
        <w:t>。</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2"/>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21D9858C"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602E64">
        <w:rPr>
          <w:rFonts w:ascii="华文楷体" w:hAnsi="华文楷体" w:hint="eastAsia"/>
          <w:sz w:val="24"/>
          <w:szCs w:val="24"/>
          <w:lang w:eastAsia="zh-CN"/>
        </w:rPr>
        <w:t>近期财政部公布《地方政府转向债券项目资金绩效管理办法》，</w:t>
      </w:r>
      <w:r w:rsidR="00FD739E" w:rsidRPr="00FD739E">
        <w:rPr>
          <w:rFonts w:ascii="华文楷体" w:hAnsi="华文楷体" w:hint="eastAsia"/>
          <w:sz w:val="24"/>
          <w:szCs w:val="24"/>
          <w:lang w:eastAsia="zh-CN"/>
        </w:rPr>
        <w:t>文件提高了新增</w:t>
      </w:r>
      <w:r w:rsidR="00FD739E" w:rsidRPr="00FD739E">
        <w:rPr>
          <w:rFonts w:ascii="华文楷体" w:hAnsi="华文楷体" w:hint="eastAsia"/>
          <w:sz w:val="24"/>
          <w:szCs w:val="24"/>
          <w:lang w:eastAsia="zh-CN"/>
        </w:rPr>
        <w:lastRenderedPageBreak/>
        <w:t>转向</w:t>
      </w:r>
      <w:proofErr w:type="gramStart"/>
      <w:r w:rsidR="00FD739E" w:rsidRPr="00FD739E">
        <w:rPr>
          <w:rFonts w:ascii="华文楷体" w:hAnsi="华文楷体" w:hint="eastAsia"/>
          <w:sz w:val="24"/>
          <w:szCs w:val="24"/>
          <w:lang w:eastAsia="zh-CN"/>
        </w:rPr>
        <w:t>债项目</w:t>
      </w:r>
      <w:proofErr w:type="gramEnd"/>
      <w:r w:rsidR="00FD739E" w:rsidRPr="00FD739E">
        <w:rPr>
          <w:rFonts w:ascii="华文楷体" w:hAnsi="华文楷体" w:hint="eastAsia"/>
          <w:sz w:val="24"/>
          <w:szCs w:val="24"/>
          <w:lang w:eastAsia="zh-CN"/>
        </w:rPr>
        <w:t>的申请门槛，在专向</w:t>
      </w:r>
      <w:proofErr w:type="gramStart"/>
      <w:r w:rsidR="00FD739E" w:rsidRPr="00FD739E">
        <w:rPr>
          <w:rFonts w:ascii="华文楷体" w:hAnsi="华文楷体" w:hint="eastAsia"/>
          <w:sz w:val="24"/>
          <w:szCs w:val="24"/>
          <w:lang w:eastAsia="zh-CN"/>
        </w:rPr>
        <w:t>债项目</w:t>
      </w:r>
      <w:proofErr w:type="gramEnd"/>
      <w:r w:rsidR="00FD739E" w:rsidRPr="00FD739E">
        <w:rPr>
          <w:rFonts w:ascii="华文楷体" w:hAnsi="华文楷体" w:hint="eastAsia"/>
          <w:sz w:val="24"/>
          <w:szCs w:val="24"/>
          <w:lang w:eastAsia="zh-CN"/>
        </w:rPr>
        <w:t>运行过程中，对资金投放进度和绩效目标实施情况都进行监控。市场预期</w:t>
      </w:r>
      <w:proofErr w:type="gramStart"/>
      <w:r w:rsidR="00FD739E" w:rsidRPr="00FD739E">
        <w:rPr>
          <w:rFonts w:ascii="华文楷体" w:hAnsi="华文楷体" w:hint="eastAsia"/>
          <w:sz w:val="24"/>
          <w:szCs w:val="24"/>
          <w:lang w:eastAsia="zh-CN"/>
        </w:rPr>
        <w:t>城投债后续</w:t>
      </w:r>
      <w:proofErr w:type="gramEnd"/>
      <w:r w:rsidR="00FD739E" w:rsidRPr="00FD739E">
        <w:rPr>
          <w:rFonts w:ascii="华文楷体" w:hAnsi="华文楷体" w:hint="eastAsia"/>
          <w:sz w:val="24"/>
          <w:szCs w:val="24"/>
          <w:lang w:eastAsia="zh-CN"/>
        </w:rPr>
        <w:t>分化可能适度拉大，在当前严控地产融资背景下，地方隐性债务融资情况</w:t>
      </w:r>
      <w:proofErr w:type="gramStart"/>
      <w:r w:rsidR="00FD739E" w:rsidRPr="00FD739E">
        <w:rPr>
          <w:rFonts w:ascii="华文楷体" w:hAnsi="华文楷体" w:hint="eastAsia"/>
          <w:sz w:val="24"/>
          <w:szCs w:val="24"/>
          <w:lang w:eastAsia="zh-CN"/>
        </w:rPr>
        <w:t>恐</w:t>
      </w:r>
      <w:proofErr w:type="gramEnd"/>
      <w:r w:rsidR="00FD739E" w:rsidRPr="00FD739E">
        <w:rPr>
          <w:rFonts w:ascii="华文楷体" w:hAnsi="华文楷体" w:hint="eastAsia"/>
          <w:sz w:val="24"/>
          <w:szCs w:val="24"/>
          <w:lang w:eastAsia="zh-CN"/>
        </w:rPr>
        <w:t>再度进入强监管模式，可能会对部分区域债务融资和存量债务形成一定影响。债市方面，利率</w:t>
      </w:r>
      <w:proofErr w:type="gramStart"/>
      <w:r w:rsidR="00FD739E" w:rsidRPr="00FD739E">
        <w:rPr>
          <w:rFonts w:ascii="华文楷体" w:hAnsi="华文楷体" w:hint="eastAsia"/>
          <w:sz w:val="24"/>
          <w:szCs w:val="24"/>
          <w:lang w:eastAsia="zh-CN"/>
        </w:rPr>
        <w:t>债情绪</w:t>
      </w:r>
      <w:proofErr w:type="gramEnd"/>
      <w:r w:rsidR="00FD739E" w:rsidRPr="00FD739E">
        <w:rPr>
          <w:rFonts w:ascii="华文楷体" w:hAnsi="华文楷体" w:hint="eastAsia"/>
          <w:sz w:val="24"/>
          <w:szCs w:val="24"/>
          <w:lang w:eastAsia="zh-CN"/>
        </w:rPr>
        <w:t>相对平稳，除季末几日短</w:t>
      </w:r>
      <w:proofErr w:type="gramStart"/>
      <w:r w:rsidR="00FD739E" w:rsidRPr="00FD739E">
        <w:rPr>
          <w:rFonts w:ascii="华文楷体" w:hAnsi="华文楷体" w:hint="eastAsia"/>
          <w:sz w:val="24"/>
          <w:szCs w:val="24"/>
          <w:lang w:eastAsia="zh-CN"/>
        </w:rPr>
        <w:t>端品种</w:t>
      </w:r>
      <w:proofErr w:type="gramEnd"/>
      <w:r w:rsidR="00FD739E" w:rsidRPr="00FD739E">
        <w:rPr>
          <w:rFonts w:ascii="华文楷体" w:hAnsi="华文楷体" w:hint="eastAsia"/>
          <w:sz w:val="24"/>
          <w:szCs w:val="24"/>
          <w:lang w:eastAsia="zh-CN"/>
        </w:rPr>
        <w:t>适度上行外，中长</w:t>
      </w:r>
      <w:proofErr w:type="gramStart"/>
      <w:r w:rsidR="00FD739E" w:rsidRPr="00FD739E">
        <w:rPr>
          <w:rFonts w:ascii="华文楷体" w:hAnsi="华文楷体" w:hint="eastAsia"/>
          <w:sz w:val="24"/>
          <w:szCs w:val="24"/>
          <w:lang w:eastAsia="zh-CN"/>
        </w:rPr>
        <w:t>端品种</w:t>
      </w:r>
      <w:proofErr w:type="gramEnd"/>
      <w:r w:rsidR="00FD739E" w:rsidRPr="00FD739E">
        <w:rPr>
          <w:rFonts w:ascii="华文楷体" w:hAnsi="华文楷体" w:hint="eastAsia"/>
          <w:sz w:val="24"/>
          <w:szCs w:val="24"/>
          <w:lang w:eastAsia="zh-CN"/>
        </w:rPr>
        <w:t>表现韧性较强。</w:t>
      </w:r>
    </w:p>
    <w:p w14:paraId="484E2711" w14:textId="77777777" w:rsidR="00FD739E" w:rsidRDefault="00C505BD" w:rsidP="00FD739E">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FD739E" w:rsidRPr="00FD739E">
        <w:rPr>
          <w:rFonts w:ascii="华文楷体" w:hAnsi="华文楷体" w:hint="eastAsia"/>
          <w:sz w:val="24"/>
          <w:szCs w:val="24"/>
          <w:lang w:eastAsia="zh-CN"/>
        </w:rPr>
        <w:t>受月初资金宽松预期影响，跨季后信用</w:t>
      </w:r>
      <w:proofErr w:type="gramStart"/>
      <w:r w:rsidR="00FD739E" w:rsidRPr="00FD739E">
        <w:rPr>
          <w:rFonts w:ascii="华文楷体" w:hAnsi="华文楷体" w:hint="eastAsia"/>
          <w:sz w:val="24"/>
          <w:szCs w:val="24"/>
          <w:lang w:eastAsia="zh-CN"/>
        </w:rPr>
        <w:t>债快速</w:t>
      </w:r>
      <w:proofErr w:type="gramEnd"/>
      <w:r w:rsidR="00FD739E" w:rsidRPr="00FD739E">
        <w:rPr>
          <w:rFonts w:ascii="华文楷体" w:hAnsi="华文楷体" w:hint="eastAsia"/>
          <w:sz w:val="24"/>
          <w:szCs w:val="24"/>
          <w:lang w:eastAsia="zh-CN"/>
        </w:rPr>
        <w:t>下行，收益率分位数较前周再次小幅下行，3-5Y期限品种持续受市场关注。</w:t>
      </w:r>
    </w:p>
    <w:p w14:paraId="4C893BAE" w14:textId="4C020054" w:rsidR="00983C71" w:rsidRPr="00FD739E" w:rsidRDefault="00C505BD" w:rsidP="00FD739E">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FD739E" w:rsidRPr="00FD739E">
        <w:rPr>
          <w:rFonts w:ascii="华文楷体" w:hAnsi="华文楷体" w:hint="eastAsia"/>
          <w:sz w:val="24"/>
          <w:szCs w:val="24"/>
        </w:rPr>
        <w:t>权益市场情绪较弱，各主要板块出现明显下行调整，转债伴随权益市场适度调整，表现略好于权益。后续关注估值回调后，与正股盈利能力匹配度显著修复的板块，转债当前仍以寻找结构性机会为主，适时关注本轮调整中相对业绩成长性更好的板块和个股。</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69AAB729" w:rsidR="001D35B3" w:rsidRPr="006A5F34" w:rsidRDefault="001D35B3" w:rsidP="001858A9">
            <w:pPr>
              <w:pStyle w:val="ChartHeading"/>
              <w:jc w:val="both"/>
            </w:pPr>
            <w:r w:rsidRPr="006A5F34">
              <w:rPr>
                <w:rFonts w:hint="eastAsia"/>
              </w:rPr>
              <w:t>图表</w:t>
            </w:r>
            <w:r w:rsidRPr="006A5F34">
              <w:t>.</w:t>
            </w:r>
            <w:r w:rsidR="00FF26B0">
              <w:rPr>
                <w:rFonts w:hint="eastAsia"/>
              </w:rPr>
              <w:t xml:space="preserve"> </w:t>
            </w:r>
            <w:r w:rsidR="00FF26B0">
              <w:rPr>
                <w:rFonts w:hint="eastAsia"/>
              </w:rPr>
              <w:t>南华工业品指数</w:t>
            </w:r>
            <w:r w:rsidR="00752E9D">
              <w:rPr>
                <w:rFonts w:hint="eastAsia"/>
              </w:rPr>
              <w:t>震荡走势为主</w:t>
            </w:r>
          </w:p>
        </w:tc>
        <w:tc>
          <w:tcPr>
            <w:tcW w:w="4938" w:type="dxa"/>
            <w:vAlign w:val="center"/>
          </w:tcPr>
          <w:p w14:paraId="02A10F26" w14:textId="6D2F1475"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203843">
              <w:rPr>
                <w:rFonts w:hint="eastAsia"/>
              </w:rPr>
              <w:t>持续</w:t>
            </w:r>
            <w:r w:rsidR="00AE643A">
              <w:rPr>
                <w:rFonts w:hint="eastAsia"/>
              </w:rPr>
              <w:t>回调</w:t>
            </w:r>
          </w:p>
        </w:tc>
      </w:tr>
      <w:tr w:rsidR="001D35B3" w:rsidRPr="006A5F34" w14:paraId="205667F1" w14:textId="77777777" w:rsidTr="00D129EE">
        <w:tblPrEx>
          <w:tblCellMar>
            <w:left w:w="108" w:type="dxa"/>
            <w:right w:w="108" w:type="dxa"/>
          </w:tblCellMar>
        </w:tblPrEx>
        <w:trPr>
          <w:jc w:val="center"/>
        </w:trPr>
        <w:tc>
          <w:tcPr>
            <w:tcW w:w="4939" w:type="dxa"/>
            <w:vAlign w:val="center"/>
          </w:tcPr>
          <w:p w14:paraId="56C782C2" w14:textId="76663F03" w:rsidR="001D35B3" w:rsidRPr="007E0340" w:rsidRDefault="00D129EE" w:rsidP="009A2BA0">
            <w:pPr>
              <w:jc w:val="center"/>
              <w:rPr>
                <w:noProof/>
              </w:rPr>
            </w:pPr>
            <w:r>
              <w:rPr>
                <w:noProof/>
              </w:rPr>
              <w:drawing>
                <wp:inline distT="0" distB="0" distL="0" distR="0" wp14:anchorId="4B8C4762" wp14:editId="6BAB26CF">
                  <wp:extent cx="2999105" cy="1911528"/>
                  <wp:effectExtent l="0" t="0" r="0" b="0"/>
                  <wp:docPr id="17" name="图表 17">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lc="http://schemas.openxmlformats.org/drawingml/2006/lockedCanvas" xmlns="" xmlns:a16="http://schemas.microsoft.com/office/drawing/2014/main" xmlns:xdr="http://schemas.openxmlformats.org/drawingml/2006/spreadsheetDrawing" xmlns:arto="http://schemas.microsoft.com/office/word/2006/arto" xmlns:w15="http://schemas.microsoft.com/office/word/2012/wordml"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5A796342" w:rsidR="001D35B3" w:rsidRPr="007E0340" w:rsidRDefault="00D129EE" w:rsidP="009A2BA0">
            <w:pPr>
              <w:jc w:val="center"/>
              <w:rPr>
                <w:noProof/>
                <w:szCs w:val="18"/>
              </w:rPr>
            </w:pPr>
            <w:r>
              <w:rPr>
                <w:noProof/>
              </w:rPr>
              <w:drawing>
                <wp:inline distT="0" distB="0" distL="0" distR="0" wp14:anchorId="7DE1BBEE" wp14:editId="433ADF5F">
                  <wp:extent cx="2998470" cy="1922297"/>
                  <wp:effectExtent l="0" t="0" r="0" b="1905"/>
                  <wp:docPr id="18" name="图表 18">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lc="http://schemas.openxmlformats.org/drawingml/2006/lockedCanvas" xmlns="" xmlns:a16="http://schemas.microsoft.com/office/drawing/2014/main" xmlns:xdr="http://schemas.openxmlformats.org/drawingml/2006/spreadsheetDrawing" xmlns:arto="http://schemas.microsoft.com/office/word/2006/arto" xmlns:w15="http://schemas.microsoft.com/office/word/2012/wordml"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3D8CDC64" w:rsidR="001D35B3" w:rsidRPr="006A5F34" w:rsidRDefault="001D35B3" w:rsidP="00966A21">
            <w:pPr>
              <w:pStyle w:val="ChartHeading"/>
              <w:jc w:val="both"/>
            </w:pPr>
            <w:r w:rsidRPr="006A5F34">
              <w:rPr>
                <w:rFonts w:hint="eastAsia"/>
              </w:rPr>
              <w:t>图表</w:t>
            </w:r>
            <w:r w:rsidRPr="006A5F34">
              <w:t>.</w:t>
            </w:r>
            <w:r>
              <w:t xml:space="preserve"> </w:t>
            </w:r>
            <w:r w:rsidR="00FF26B0">
              <w:rPr>
                <w:rFonts w:hint="eastAsia"/>
              </w:rPr>
              <w:t>人民币汇率</w:t>
            </w:r>
            <w:r w:rsidR="0060714E">
              <w:rPr>
                <w:rFonts w:hint="eastAsia"/>
              </w:rPr>
              <w:t>持续小幅贬值</w:t>
            </w:r>
          </w:p>
        </w:tc>
        <w:tc>
          <w:tcPr>
            <w:tcW w:w="4938" w:type="dxa"/>
            <w:vAlign w:val="center"/>
          </w:tcPr>
          <w:p w14:paraId="07575C0F" w14:textId="1F52F3D5"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DE343B">
              <w:rPr>
                <w:rFonts w:hint="eastAsia"/>
              </w:rPr>
              <w:t>持续</w:t>
            </w:r>
            <w:r w:rsidR="003300DB">
              <w:rPr>
                <w:rFonts w:hint="eastAsia"/>
              </w:rPr>
              <w:t>回落</w:t>
            </w:r>
          </w:p>
        </w:tc>
      </w:tr>
      <w:tr w:rsidR="001D35B3" w:rsidRPr="006A5F34" w14:paraId="49BBD33E" w14:textId="77777777" w:rsidTr="00D129EE">
        <w:tblPrEx>
          <w:tblCellMar>
            <w:left w:w="108" w:type="dxa"/>
            <w:right w:w="108" w:type="dxa"/>
          </w:tblCellMar>
        </w:tblPrEx>
        <w:trPr>
          <w:trHeight w:val="2987"/>
          <w:jc w:val="center"/>
        </w:trPr>
        <w:tc>
          <w:tcPr>
            <w:tcW w:w="4939" w:type="dxa"/>
            <w:vAlign w:val="center"/>
          </w:tcPr>
          <w:p w14:paraId="0BAC1731" w14:textId="4E051F59" w:rsidR="001D35B3" w:rsidRPr="007E0340" w:rsidRDefault="00D129EE" w:rsidP="009A2BA0">
            <w:pPr>
              <w:jc w:val="center"/>
              <w:rPr>
                <w:noProof/>
              </w:rPr>
            </w:pPr>
            <w:r>
              <w:rPr>
                <w:noProof/>
              </w:rPr>
              <w:drawing>
                <wp:inline distT="0" distB="0" distL="0" distR="0" wp14:anchorId="359077D1" wp14:editId="3B802D64">
                  <wp:extent cx="2999105" cy="1927733"/>
                  <wp:effectExtent l="0" t="0" r="10795" b="0"/>
                  <wp:docPr id="20" name="图表 20">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lc="http://schemas.openxmlformats.org/drawingml/2006/lockedCanvas" xmlns="" xmlns:a16="http://schemas.microsoft.com/office/drawing/2014/main" xmlns:xdr="http://schemas.openxmlformats.org/drawingml/2006/spreadsheetDrawing" xmlns:arto="http://schemas.microsoft.com/office/word/2006/arto" xmlns:w15="http://schemas.microsoft.com/office/word/2012/wordml"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2B4BFD21" w:rsidR="001D35B3" w:rsidRPr="007E0340" w:rsidRDefault="00D129EE" w:rsidP="009A2BA0">
            <w:pPr>
              <w:jc w:val="center"/>
              <w:rPr>
                <w:noProof/>
                <w:szCs w:val="18"/>
              </w:rPr>
            </w:pPr>
            <w:r>
              <w:rPr>
                <w:noProof/>
              </w:rPr>
              <w:drawing>
                <wp:inline distT="0" distB="0" distL="0" distR="0" wp14:anchorId="1D3A9549" wp14:editId="0AF223CD">
                  <wp:extent cx="2998470" cy="1964461"/>
                  <wp:effectExtent l="0" t="0" r="0" b="0"/>
                  <wp:docPr id="19" name="图表 19">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lc="http://schemas.openxmlformats.org/drawingml/2006/lockedCanvas" xmlns="" xmlns:a16="http://schemas.microsoft.com/office/drawing/2014/main" xmlns:xdr="http://schemas.openxmlformats.org/drawingml/2006/spreadsheetDrawing" xmlns:arto="http://schemas.microsoft.com/office/word/2006/arto" xmlns:w15="http://schemas.microsoft.com/office/word/2012/wordml"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669439AD" w14:textId="77777777" w:rsidR="00594303" w:rsidRDefault="00594303">
      <w:pPr>
        <w:widowControl/>
        <w:jc w:val="left"/>
        <w:rPr>
          <w:rFonts w:ascii="华文楷体" w:eastAsia="华文楷体" w:hAnsi="华文楷体"/>
          <w:kern w:val="0"/>
          <w:sz w:val="24"/>
          <w:szCs w:val="24"/>
        </w:rPr>
      </w:pPr>
      <w:r>
        <w:rPr>
          <w:rFonts w:ascii="华文楷体" w:hAnsi="华文楷体"/>
          <w:sz w:val="24"/>
          <w:szCs w:val="24"/>
        </w:rPr>
        <w:br w:type="page"/>
      </w:r>
    </w:p>
    <w:p w14:paraId="236E8CBA" w14:textId="77777777" w:rsidR="00EA1966" w:rsidRDefault="00EA1966" w:rsidP="009A2BA0">
      <w:pPr>
        <w:pStyle w:val="Body-text"/>
        <w:spacing w:after="0"/>
        <w:rPr>
          <w:rFonts w:ascii="华文楷体" w:hAnsi="华文楷体"/>
          <w:sz w:val="24"/>
          <w:szCs w:val="24"/>
          <w:lang w:eastAsia="zh-CN"/>
        </w:rPr>
      </w:pPr>
    </w:p>
    <w:p w14:paraId="37F5BD67" w14:textId="77777777" w:rsidR="003960D5" w:rsidRPr="00446E7B" w:rsidRDefault="003960D5" w:rsidP="003960D5">
      <w:pPr>
        <w:rPr>
          <w:sz w:val="18"/>
          <w:szCs w:val="18"/>
        </w:rPr>
      </w:pPr>
      <w:r w:rsidRPr="00446E7B">
        <w:rPr>
          <w:rFonts w:ascii="微软雅黑" w:eastAsia="微软雅黑" w:hAnsi="微软雅黑" w:hint="eastAsia"/>
          <w:color w:val="474747"/>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446E7B">
        <w:rPr>
          <w:rFonts w:ascii="微软雅黑" w:eastAsia="微软雅黑" w:hAnsi="微软雅黑" w:hint="eastAsia"/>
          <w:color w:val="474747"/>
          <w:sz w:val="18"/>
          <w:szCs w:val="18"/>
          <w:shd w:val="clear" w:color="auto" w:fill="FFFFFF"/>
        </w:rPr>
        <w:t>作出</w:t>
      </w:r>
      <w:proofErr w:type="gramEnd"/>
      <w:r w:rsidRPr="00446E7B">
        <w:rPr>
          <w:rFonts w:ascii="微软雅黑" w:eastAsia="微软雅黑" w:hAnsi="微软雅黑" w:hint="eastAsia"/>
          <w:color w:val="474747"/>
          <w:sz w:val="18"/>
          <w:szCs w:val="18"/>
          <w:shd w:val="clear" w:color="auto" w:fill="FFFFFF"/>
        </w:rPr>
        <w:t>调整。2、本报告中的资料、观点和预测等仅供参考，在任何时候均不构成对任何人的个人推荐。市场有风险，投资需谨慎。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D8D29B" w14:textId="77777777" w:rsidR="00EA336F" w:rsidRDefault="00EA336F">
      <w:r>
        <w:separator/>
      </w:r>
    </w:p>
  </w:endnote>
  <w:endnote w:type="continuationSeparator" w:id="0">
    <w:p w14:paraId="328FD5F7" w14:textId="77777777" w:rsidR="00EA336F" w:rsidRDefault="00EA33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1945D2" w:rsidRDefault="001945D2">
        <w:pPr>
          <w:pStyle w:val="a4"/>
          <w:jc w:val="right"/>
        </w:pPr>
        <w:r>
          <w:fldChar w:fldCharType="begin"/>
        </w:r>
        <w:r>
          <w:instrText>PAGE   \* MERGEFORMAT</w:instrText>
        </w:r>
        <w:r>
          <w:fldChar w:fldCharType="separate"/>
        </w:r>
        <w:r w:rsidR="0040426C" w:rsidRPr="0040426C">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011FB1" w14:textId="77777777" w:rsidR="00EA336F" w:rsidRDefault="00EA336F">
      <w:r>
        <w:separator/>
      </w:r>
    </w:p>
  </w:footnote>
  <w:footnote w:type="continuationSeparator" w:id="0">
    <w:p w14:paraId="5ECBE918" w14:textId="77777777" w:rsidR="00EA336F" w:rsidRDefault="00EA336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1945D2" w:rsidRDefault="001945D2"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744"/>
    <w:rsid w:val="0002780B"/>
    <w:rsid w:val="00027AAB"/>
    <w:rsid w:val="00027E39"/>
    <w:rsid w:val="0003065D"/>
    <w:rsid w:val="00030711"/>
    <w:rsid w:val="00030E2D"/>
    <w:rsid w:val="00030E7C"/>
    <w:rsid w:val="000312AB"/>
    <w:rsid w:val="000317F0"/>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8ED"/>
    <w:rsid w:val="00061C3C"/>
    <w:rsid w:val="00061D9E"/>
    <w:rsid w:val="000620E2"/>
    <w:rsid w:val="0006250F"/>
    <w:rsid w:val="00062981"/>
    <w:rsid w:val="000629A2"/>
    <w:rsid w:val="00062E89"/>
    <w:rsid w:val="0006364B"/>
    <w:rsid w:val="00063EF1"/>
    <w:rsid w:val="00064007"/>
    <w:rsid w:val="000643F4"/>
    <w:rsid w:val="0006472D"/>
    <w:rsid w:val="00064DDC"/>
    <w:rsid w:val="00065754"/>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0BC6"/>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3DC4"/>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9A6"/>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447"/>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4AF9"/>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5D2"/>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E64"/>
    <w:rsid w:val="001C532E"/>
    <w:rsid w:val="001C53EB"/>
    <w:rsid w:val="001C574D"/>
    <w:rsid w:val="001C5AAA"/>
    <w:rsid w:val="001C64E1"/>
    <w:rsid w:val="001C682E"/>
    <w:rsid w:val="001D05EA"/>
    <w:rsid w:val="001D07B6"/>
    <w:rsid w:val="001D0BB7"/>
    <w:rsid w:val="001D0BFB"/>
    <w:rsid w:val="001D0EDD"/>
    <w:rsid w:val="001D1897"/>
    <w:rsid w:val="001D19D7"/>
    <w:rsid w:val="001D1D32"/>
    <w:rsid w:val="001D2283"/>
    <w:rsid w:val="001D2D9C"/>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3843"/>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ECA"/>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77FA3"/>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EFE"/>
    <w:rsid w:val="00297FBC"/>
    <w:rsid w:val="002A000F"/>
    <w:rsid w:val="002A08C3"/>
    <w:rsid w:val="002A0FA8"/>
    <w:rsid w:val="002A111A"/>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1BBF"/>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54D"/>
    <w:rsid w:val="002D361C"/>
    <w:rsid w:val="002D3BDB"/>
    <w:rsid w:val="002D3DEE"/>
    <w:rsid w:val="002D44EF"/>
    <w:rsid w:val="002D521C"/>
    <w:rsid w:val="002D5222"/>
    <w:rsid w:val="002D525F"/>
    <w:rsid w:val="002D5CA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60D5"/>
    <w:rsid w:val="00397022"/>
    <w:rsid w:val="003970F7"/>
    <w:rsid w:val="0039739E"/>
    <w:rsid w:val="003978BF"/>
    <w:rsid w:val="00397E01"/>
    <w:rsid w:val="00397E22"/>
    <w:rsid w:val="003A0210"/>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5B1"/>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BC1"/>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26C"/>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31C"/>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9FC"/>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9DA"/>
    <w:rsid w:val="00570DBD"/>
    <w:rsid w:val="0057151F"/>
    <w:rsid w:val="005715B5"/>
    <w:rsid w:val="005715FD"/>
    <w:rsid w:val="00571840"/>
    <w:rsid w:val="0057185D"/>
    <w:rsid w:val="005718BC"/>
    <w:rsid w:val="00571977"/>
    <w:rsid w:val="00571EF7"/>
    <w:rsid w:val="0057268E"/>
    <w:rsid w:val="00572CB3"/>
    <w:rsid w:val="0057315D"/>
    <w:rsid w:val="00573C78"/>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DD2"/>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49B"/>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2E64"/>
    <w:rsid w:val="00603349"/>
    <w:rsid w:val="0060370C"/>
    <w:rsid w:val="00603EF0"/>
    <w:rsid w:val="00603F3E"/>
    <w:rsid w:val="00604490"/>
    <w:rsid w:val="006044BA"/>
    <w:rsid w:val="00604528"/>
    <w:rsid w:val="00604D15"/>
    <w:rsid w:val="006050AB"/>
    <w:rsid w:val="0060524A"/>
    <w:rsid w:val="006052B5"/>
    <w:rsid w:val="006059D2"/>
    <w:rsid w:val="006067A9"/>
    <w:rsid w:val="00606C55"/>
    <w:rsid w:val="00606CB9"/>
    <w:rsid w:val="00606FD4"/>
    <w:rsid w:val="0060705C"/>
    <w:rsid w:val="0060714E"/>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C68"/>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51B"/>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44"/>
    <w:rsid w:val="00657F57"/>
    <w:rsid w:val="00660E0E"/>
    <w:rsid w:val="00660F91"/>
    <w:rsid w:val="00660FB6"/>
    <w:rsid w:val="006613C1"/>
    <w:rsid w:val="00661D14"/>
    <w:rsid w:val="006629A0"/>
    <w:rsid w:val="0066321A"/>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3FA8"/>
    <w:rsid w:val="006C425F"/>
    <w:rsid w:val="006C470F"/>
    <w:rsid w:val="006C47C9"/>
    <w:rsid w:val="006C503D"/>
    <w:rsid w:val="006C51C0"/>
    <w:rsid w:val="006C52B5"/>
    <w:rsid w:val="006C5320"/>
    <w:rsid w:val="006C5372"/>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2E9"/>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59F"/>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495"/>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3FD"/>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9D"/>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672D4"/>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5AFD"/>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080"/>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1F8"/>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1D0A"/>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A4"/>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1A52"/>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8C5"/>
    <w:rsid w:val="008C79B4"/>
    <w:rsid w:val="008C7F90"/>
    <w:rsid w:val="008D00B5"/>
    <w:rsid w:val="008D0180"/>
    <w:rsid w:val="008D0721"/>
    <w:rsid w:val="008D09A9"/>
    <w:rsid w:val="008D0A2E"/>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039B"/>
    <w:rsid w:val="00900FAF"/>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3FB"/>
    <w:rsid w:val="00937436"/>
    <w:rsid w:val="0094023F"/>
    <w:rsid w:val="00940723"/>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6A9"/>
    <w:rsid w:val="009777C1"/>
    <w:rsid w:val="009779F4"/>
    <w:rsid w:val="00977F1B"/>
    <w:rsid w:val="00980013"/>
    <w:rsid w:val="00980B5C"/>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386"/>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5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5C5"/>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244"/>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1E83"/>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84"/>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43A"/>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A7FFE"/>
    <w:rsid w:val="00BB04DE"/>
    <w:rsid w:val="00BB05CF"/>
    <w:rsid w:val="00BB0B30"/>
    <w:rsid w:val="00BB0E41"/>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AFF"/>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0F0"/>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4ABC"/>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1F2"/>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9BB"/>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6876"/>
    <w:rsid w:val="00CD7D7A"/>
    <w:rsid w:val="00CE0946"/>
    <w:rsid w:val="00CE0C38"/>
    <w:rsid w:val="00CE0D51"/>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9EE"/>
    <w:rsid w:val="00D12B1F"/>
    <w:rsid w:val="00D12E2D"/>
    <w:rsid w:val="00D12EF8"/>
    <w:rsid w:val="00D130A3"/>
    <w:rsid w:val="00D138CD"/>
    <w:rsid w:val="00D13AF5"/>
    <w:rsid w:val="00D13E2E"/>
    <w:rsid w:val="00D14130"/>
    <w:rsid w:val="00D14B59"/>
    <w:rsid w:val="00D155AA"/>
    <w:rsid w:val="00D15646"/>
    <w:rsid w:val="00D1591C"/>
    <w:rsid w:val="00D15958"/>
    <w:rsid w:val="00D15B30"/>
    <w:rsid w:val="00D15EA9"/>
    <w:rsid w:val="00D16090"/>
    <w:rsid w:val="00D16295"/>
    <w:rsid w:val="00D162CD"/>
    <w:rsid w:val="00D16571"/>
    <w:rsid w:val="00D168B2"/>
    <w:rsid w:val="00D175B7"/>
    <w:rsid w:val="00D17748"/>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54A"/>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BF0"/>
    <w:rsid w:val="00D51DFD"/>
    <w:rsid w:val="00D51E62"/>
    <w:rsid w:val="00D522B1"/>
    <w:rsid w:val="00D52DAF"/>
    <w:rsid w:val="00D53B48"/>
    <w:rsid w:val="00D53DFA"/>
    <w:rsid w:val="00D5436D"/>
    <w:rsid w:val="00D54378"/>
    <w:rsid w:val="00D54865"/>
    <w:rsid w:val="00D54889"/>
    <w:rsid w:val="00D54CC8"/>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9DA"/>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3B3"/>
    <w:rsid w:val="00DD0678"/>
    <w:rsid w:val="00DD14FE"/>
    <w:rsid w:val="00DD15D2"/>
    <w:rsid w:val="00DD187B"/>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635"/>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D6B"/>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3AD6"/>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36F"/>
    <w:rsid w:val="00EA3900"/>
    <w:rsid w:val="00EA42E3"/>
    <w:rsid w:val="00EA43DF"/>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22C"/>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0EA2"/>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431"/>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B87"/>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490"/>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6AB"/>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B6C"/>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39E"/>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4152484">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0767076">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86284636">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35331640">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8599151">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456924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32708267">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313305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H:\&#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44225</c:v>
                </c:pt>
                <c:pt idx="1">
                  <c:v>44232</c:v>
                </c:pt>
                <c:pt idx="2">
                  <c:v>44239</c:v>
                </c:pt>
                <c:pt idx="3">
                  <c:v>44246</c:v>
                </c:pt>
                <c:pt idx="4">
                  <c:v>44253</c:v>
                </c:pt>
                <c:pt idx="5">
                  <c:v>44260</c:v>
                </c:pt>
                <c:pt idx="6">
                  <c:v>44267</c:v>
                </c:pt>
                <c:pt idx="7">
                  <c:v>44274</c:v>
                </c:pt>
                <c:pt idx="8">
                  <c:v>44281</c:v>
                </c:pt>
                <c:pt idx="9">
                  <c:v>44288</c:v>
                </c:pt>
                <c:pt idx="10">
                  <c:v>44295</c:v>
                </c:pt>
                <c:pt idx="11">
                  <c:v>44302</c:v>
                </c:pt>
                <c:pt idx="12">
                  <c:v>44309</c:v>
                </c:pt>
                <c:pt idx="13">
                  <c:v>44316</c:v>
                </c:pt>
                <c:pt idx="14">
                  <c:v>44323</c:v>
                </c:pt>
                <c:pt idx="15">
                  <c:v>44330</c:v>
                </c:pt>
                <c:pt idx="16">
                  <c:v>44337</c:v>
                </c:pt>
                <c:pt idx="17">
                  <c:v>44344</c:v>
                </c:pt>
                <c:pt idx="18">
                  <c:v>44351</c:v>
                </c:pt>
                <c:pt idx="19">
                  <c:v>44358</c:v>
                </c:pt>
                <c:pt idx="20">
                  <c:v>44365</c:v>
                </c:pt>
                <c:pt idx="21">
                  <c:v>44372</c:v>
                </c:pt>
                <c:pt idx="22">
                  <c:v>44379</c:v>
                </c:pt>
              </c:numCache>
            </c:numRef>
          </c:cat>
          <c:val>
            <c:numRef>
              <c:f>央行!$B$5:$B$27</c:f>
              <c:numCache>
                <c:formatCode>###,###,###,###,##0.00</c:formatCode>
                <c:ptCount val="23"/>
                <c:pt idx="0">
                  <c:v>3890</c:v>
                </c:pt>
                <c:pt idx="1">
                  <c:v>4800</c:v>
                </c:pt>
                <c:pt idx="2">
                  <c:v>2300</c:v>
                </c:pt>
                <c:pt idx="3">
                  <c:v>400</c:v>
                </c:pt>
                <c:pt idx="4">
                  <c:v>800</c:v>
                </c:pt>
                <c:pt idx="5">
                  <c:v>550</c:v>
                </c:pt>
                <c:pt idx="6">
                  <c:v>500</c:v>
                </c:pt>
                <c:pt idx="7">
                  <c:v>500</c:v>
                </c:pt>
                <c:pt idx="8">
                  <c:v>550</c:v>
                </c:pt>
                <c:pt idx="9">
                  <c:v>500</c:v>
                </c:pt>
                <c:pt idx="10">
                  <c:v>400</c:v>
                </c:pt>
                <c:pt idx="11">
                  <c:v>500</c:v>
                </c:pt>
                <c:pt idx="12">
                  <c:v>500</c:v>
                </c:pt>
                <c:pt idx="13">
                  <c:v>650</c:v>
                </c:pt>
                <c:pt idx="14">
                  <c:v>200</c:v>
                </c:pt>
                <c:pt idx="15">
                  <c:v>600</c:v>
                </c:pt>
                <c:pt idx="16">
                  <c:v>500</c:v>
                </c:pt>
                <c:pt idx="17">
                  <c:v>550</c:v>
                </c:pt>
                <c:pt idx="18">
                  <c:v>500</c:v>
                </c:pt>
                <c:pt idx="19">
                  <c:v>500</c:v>
                </c:pt>
                <c:pt idx="20">
                  <c:v>400</c:v>
                </c:pt>
                <c:pt idx="21">
                  <c:v>900</c:v>
                </c:pt>
                <c:pt idx="22">
                  <c:v>1150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44225</c:v>
                </c:pt>
                <c:pt idx="1">
                  <c:v>44232</c:v>
                </c:pt>
                <c:pt idx="2">
                  <c:v>44239</c:v>
                </c:pt>
                <c:pt idx="3">
                  <c:v>44246</c:v>
                </c:pt>
                <c:pt idx="4">
                  <c:v>44253</c:v>
                </c:pt>
                <c:pt idx="5">
                  <c:v>44260</c:v>
                </c:pt>
                <c:pt idx="6">
                  <c:v>44267</c:v>
                </c:pt>
                <c:pt idx="7">
                  <c:v>44274</c:v>
                </c:pt>
                <c:pt idx="8">
                  <c:v>44281</c:v>
                </c:pt>
                <c:pt idx="9">
                  <c:v>44288</c:v>
                </c:pt>
                <c:pt idx="10">
                  <c:v>44295</c:v>
                </c:pt>
                <c:pt idx="11">
                  <c:v>44302</c:v>
                </c:pt>
                <c:pt idx="12">
                  <c:v>44309</c:v>
                </c:pt>
                <c:pt idx="13">
                  <c:v>44316</c:v>
                </c:pt>
                <c:pt idx="14">
                  <c:v>44323</c:v>
                </c:pt>
                <c:pt idx="15">
                  <c:v>44330</c:v>
                </c:pt>
                <c:pt idx="16">
                  <c:v>44337</c:v>
                </c:pt>
                <c:pt idx="17">
                  <c:v>44344</c:v>
                </c:pt>
                <c:pt idx="18">
                  <c:v>44351</c:v>
                </c:pt>
                <c:pt idx="19">
                  <c:v>44358</c:v>
                </c:pt>
                <c:pt idx="20">
                  <c:v>44365</c:v>
                </c:pt>
                <c:pt idx="21">
                  <c:v>44372</c:v>
                </c:pt>
                <c:pt idx="22">
                  <c:v>44379</c:v>
                </c:pt>
              </c:numCache>
            </c:numRef>
          </c:cat>
          <c:val>
            <c:numRef>
              <c:f>央行!$C$5:$C$27</c:f>
              <c:numCache>
                <c:formatCode>###,###,###,###,##0.00</c:formatCode>
                <c:ptCount val="23"/>
                <c:pt idx="0">
                  <c:v>-6190</c:v>
                </c:pt>
                <c:pt idx="1">
                  <c:v>-3840</c:v>
                </c:pt>
                <c:pt idx="2">
                  <c:v>-2800</c:v>
                </c:pt>
                <c:pt idx="3">
                  <c:v>-3800</c:v>
                </c:pt>
                <c:pt idx="4">
                  <c:v>-950</c:v>
                </c:pt>
                <c:pt idx="5">
                  <c:v>-800</c:v>
                </c:pt>
                <c:pt idx="6">
                  <c:v>-500</c:v>
                </c:pt>
                <c:pt idx="7">
                  <c:v>-500</c:v>
                </c:pt>
                <c:pt idx="8">
                  <c:v>-550</c:v>
                </c:pt>
                <c:pt idx="9">
                  <c:v>-500</c:v>
                </c:pt>
                <c:pt idx="10">
                  <c:v>-500</c:v>
                </c:pt>
                <c:pt idx="11">
                  <c:v>-400</c:v>
                </c:pt>
                <c:pt idx="12">
                  <c:v>-500</c:v>
                </c:pt>
                <c:pt idx="13">
                  <c:v>-550</c:v>
                </c:pt>
                <c:pt idx="14">
                  <c:v>-600</c:v>
                </c:pt>
                <c:pt idx="15">
                  <c:v>-200</c:v>
                </c:pt>
                <c:pt idx="16">
                  <c:v>-600</c:v>
                </c:pt>
                <c:pt idx="17">
                  <c:v>-550</c:v>
                </c:pt>
                <c:pt idx="18">
                  <c:v>-500</c:v>
                </c:pt>
                <c:pt idx="19">
                  <c:v>-500</c:v>
                </c:pt>
                <c:pt idx="20">
                  <c:v>-500</c:v>
                </c:pt>
                <c:pt idx="21">
                  <c:v>-450</c:v>
                </c:pt>
                <c:pt idx="22">
                  <c:v>-900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168604416"/>
        <c:axId val="168606336"/>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44225</c:v>
                </c:pt>
                <c:pt idx="1">
                  <c:v>44232</c:v>
                </c:pt>
                <c:pt idx="2">
                  <c:v>44239</c:v>
                </c:pt>
                <c:pt idx="3">
                  <c:v>44246</c:v>
                </c:pt>
                <c:pt idx="4">
                  <c:v>44253</c:v>
                </c:pt>
                <c:pt idx="5">
                  <c:v>44260</c:v>
                </c:pt>
                <c:pt idx="6">
                  <c:v>44267</c:v>
                </c:pt>
                <c:pt idx="7">
                  <c:v>44274</c:v>
                </c:pt>
                <c:pt idx="8">
                  <c:v>44281</c:v>
                </c:pt>
                <c:pt idx="9">
                  <c:v>44288</c:v>
                </c:pt>
                <c:pt idx="10">
                  <c:v>44295</c:v>
                </c:pt>
                <c:pt idx="11">
                  <c:v>44302</c:v>
                </c:pt>
                <c:pt idx="12">
                  <c:v>44309</c:v>
                </c:pt>
                <c:pt idx="13">
                  <c:v>44316</c:v>
                </c:pt>
                <c:pt idx="14">
                  <c:v>44323</c:v>
                </c:pt>
                <c:pt idx="15">
                  <c:v>44330</c:v>
                </c:pt>
                <c:pt idx="16">
                  <c:v>44337</c:v>
                </c:pt>
                <c:pt idx="17">
                  <c:v>44344</c:v>
                </c:pt>
                <c:pt idx="18">
                  <c:v>44351</c:v>
                </c:pt>
                <c:pt idx="19">
                  <c:v>44358</c:v>
                </c:pt>
                <c:pt idx="20">
                  <c:v>44365</c:v>
                </c:pt>
                <c:pt idx="21">
                  <c:v>44372</c:v>
                </c:pt>
                <c:pt idx="22">
                  <c:v>44379</c:v>
                </c:pt>
              </c:numCache>
            </c:numRef>
          </c:cat>
          <c:val>
            <c:numRef>
              <c:f>央行!$D$5:$D$27</c:f>
              <c:numCache>
                <c:formatCode>###,###,###,###,##0.00</c:formatCode>
                <c:ptCount val="23"/>
                <c:pt idx="0">
                  <c:v>-2300</c:v>
                </c:pt>
                <c:pt idx="1">
                  <c:v>960</c:v>
                </c:pt>
                <c:pt idx="2">
                  <c:v>-500</c:v>
                </c:pt>
                <c:pt idx="3">
                  <c:v>-3400</c:v>
                </c:pt>
                <c:pt idx="4">
                  <c:v>-150</c:v>
                </c:pt>
                <c:pt idx="5">
                  <c:v>-250</c:v>
                </c:pt>
                <c:pt idx="6">
                  <c:v>0</c:v>
                </c:pt>
                <c:pt idx="7">
                  <c:v>0</c:v>
                </c:pt>
                <c:pt idx="8">
                  <c:v>0</c:v>
                </c:pt>
                <c:pt idx="9">
                  <c:v>0</c:v>
                </c:pt>
                <c:pt idx="10">
                  <c:v>-100</c:v>
                </c:pt>
                <c:pt idx="11">
                  <c:v>100</c:v>
                </c:pt>
                <c:pt idx="12">
                  <c:v>0</c:v>
                </c:pt>
                <c:pt idx="13">
                  <c:v>100</c:v>
                </c:pt>
                <c:pt idx="14">
                  <c:v>-400</c:v>
                </c:pt>
                <c:pt idx="15">
                  <c:v>400</c:v>
                </c:pt>
                <c:pt idx="16">
                  <c:v>-100</c:v>
                </c:pt>
                <c:pt idx="17">
                  <c:v>0</c:v>
                </c:pt>
                <c:pt idx="18">
                  <c:v>0</c:v>
                </c:pt>
                <c:pt idx="19">
                  <c:v>0</c:v>
                </c:pt>
                <c:pt idx="20">
                  <c:v>-100</c:v>
                </c:pt>
                <c:pt idx="21">
                  <c:v>450</c:v>
                </c:pt>
                <c:pt idx="22">
                  <c:v>250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168604416"/>
        <c:axId val="168606336"/>
      </c:lineChart>
      <c:catAx>
        <c:axId val="16860441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68606336"/>
        <c:crosses val="autoZero"/>
        <c:auto val="0"/>
        <c:lblAlgn val="ctr"/>
        <c:lblOffset val="0"/>
        <c:tickMarkSkip val="2"/>
        <c:noMultiLvlLbl val="0"/>
      </c:catAx>
      <c:valAx>
        <c:axId val="168606336"/>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68604416"/>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6434177213139451"/>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44379</c:v>
                </c:pt>
                <c:pt idx="1">
                  <c:v>44378</c:v>
                </c:pt>
                <c:pt idx="2">
                  <c:v>44377</c:v>
                </c:pt>
                <c:pt idx="3">
                  <c:v>44376</c:v>
                </c:pt>
                <c:pt idx="4">
                  <c:v>44375</c:v>
                </c:pt>
                <c:pt idx="5">
                  <c:v>44372</c:v>
                </c:pt>
                <c:pt idx="6">
                  <c:v>44371</c:v>
                </c:pt>
                <c:pt idx="7">
                  <c:v>44370</c:v>
                </c:pt>
                <c:pt idx="8">
                  <c:v>44369</c:v>
                </c:pt>
                <c:pt idx="9">
                  <c:v>44368</c:v>
                </c:pt>
                <c:pt idx="10">
                  <c:v>44365</c:v>
                </c:pt>
                <c:pt idx="11">
                  <c:v>44364</c:v>
                </c:pt>
                <c:pt idx="12">
                  <c:v>44363</c:v>
                </c:pt>
                <c:pt idx="13">
                  <c:v>44362</c:v>
                </c:pt>
                <c:pt idx="14">
                  <c:v>44358</c:v>
                </c:pt>
                <c:pt idx="15">
                  <c:v>44357</c:v>
                </c:pt>
                <c:pt idx="16">
                  <c:v>44356</c:v>
                </c:pt>
                <c:pt idx="17">
                  <c:v>44355</c:v>
                </c:pt>
                <c:pt idx="18">
                  <c:v>44354</c:v>
                </c:pt>
                <c:pt idx="19">
                  <c:v>44351</c:v>
                </c:pt>
                <c:pt idx="20">
                  <c:v>44350</c:v>
                </c:pt>
                <c:pt idx="21">
                  <c:v>44349</c:v>
                </c:pt>
                <c:pt idx="22">
                  <c:v>44348</c:v>
                </c:pt>
                <c:pt idx="23">
                  <c:v>44347</c:v>
                </c:pt>
                <c:pt idx="24">
                  <c:v>44344</c:v>
                </c:pt>
                <c:pt idx="25">
                  <c:v>44343</c:v>
                </c:pt>
                <c:pt idx="26">
                  <c:v>44342</c:v>
                </c:pt>
                <c:pt idx="27">
                  <c:v>44341</c:v>
                </c:pt>
                <c:pt idx="28">
                  <c:v>44340</c:v>
                </c:pt>
                <c:pt idx="29">
                  <c:v>44337</c:v>
                </c:pt>
                <c:pt idx="30">
                  <c:v>44336</c:v>
                </c:pt>
                <c:pt idx="31">
                  <c:v>44335</c:v>
                </c:pt>
                <c:pt idx="32">
                  <c:v>44334</c:v>
                </c:pt>
                <c:pt idx="33">
                  <c:v>44333</c:v>
                </c:pt>
                <c:pt idx="34">
                  <c:v>44330</c:v>
                </c:pt>
                <c:pt idx="35">
                  <c:v>44329</c:v>
                </c:pt>
                <c:pt idx="36">
                  <c:v>44328</c:v>
                </c:pt>
                <c:pt idx="37">
                  <c:v>44327</c:v>
                </c:pt>
                <c:pt idx="38">
                  <c:v>44326</c:v>
                </c:pt>
                <c:pt idx="39">
                  <c:v>44324</c:v>
                </c:pt>
                <c:pt idx="40">
                  <c:v>44323</c:v>
                </c:pt>
                <c:pt idx="41">
                  <c:v>44322</c:v>
                </c:pt>
                <c:pt idx="42">
                  <c:v>44316</c:v>
                </c:pt>
                <c:pt idx="43">
                  <c:v>44315</c:v>
                </c:pt>
                <c:pt idx="44">
                  <c:v>44314</c:v>
                </c:pt>
                <c:pt idx="45">
                  <c:v>44313</c:v>
                </c:pt>
                <c:pt idx="46">
                  <c:v>44312</c:v>
                </c:pt>
                <c:pt idx="47">
                  <c:v>44311</c:v>
                </c:pt>
                <c:pt idx="48">
                  <c:v>44309</c:v>
                </c:pt>
                <c:pt idx="49">
                  <c:v>44308</c:v>
                </c:pt>
                <c:pt idx="50">
                  <c:v>44307</c:v>
                </c:pt>
                <c:pt idx="51">
                  <c:v>44306</c:v>
                </c:pt>
                <c:pt idx="52">
                  <c:v>44305</c:v>
                </c:pt>
                <c:pt idx="53">
                  <c:v>44302</c:v>
                </c:pt>
                <c:pt idx="54">
                  <c:v>44301</c:v>
                </c:pt>
                <c:pt idx="55">
                  <c:v>44300</c:v>
                </c:pt>
                <c:pt idx="56">
                  <c:v>44299</c:v>
                </c:pt>
                <c:pt idx="57">
                  <c:v>44298</c:v>
                </c:pt>
                <c:pt idx="58">
                  <c:v>44295</c:v>
                </c:pt>
              </c:numCache>
            </c:numRef>
          </c:cat>
          <c:val>
            <c:numRef>
              <c:f>资金!$B$3:$B$61</c:f>
              <c:numCache>
                <c:formatCode>###,###,###,###,##0.0000</c:formatCode>
                <c:ptCount val="59"/>
                <c:pt idx="0">
                  <c:v>1.6527000000000001</c:v>
                </c:pt>
                <c:pt idx="1">
                  <c:v>1.7985</c:v>
                </c:pt>
                <c:pt idx="2">
                  <c:v>3.6480999999999999</c:v>
                </c:pt>
                <c:pt idx="3">
                  <c:v>1.8728</c:v>
                </c:pt>
                <c:pt idx="4">
                  <c:v>1.6152</c:v>
                </c:pt>
                <c:pt idx="5">
                  <c:v>1.5741000000000001</c:v>
                </c:pt>
                <c:pt idx="6">
                  <c:v>1.8687</c:v>
                </c:pt>
                <c:pt idx="7">
                  <c:v>2.2334999999999998</c:v>
                </c:pt>
                <c:pt idx="8">
                  <c:v>2.3925999999999998</c:v>
                </c:pt>
                <c:pt idx="9">
                  <c:v>2.2985000000000002</c:v>
                </c:pt>
                <c:pt idx="10">
                  <c:v>2.0535000000000001</c:v>
                </c:pt>
                <c:pt idx="11">
                  <c:v>1.9017999999999999</c:v>
                </c:pt>
                <c:pt idx="12">
                  <c:v>2.0264000000000002</c:v>
                </c:pt>
                <c:pt idx="13">
                  <c:v>2.1314000000000002</c:v>
                </c:pt>
                <c:pt idx="14">
                  <c:v>2.0297000000000001</c:v>
                </c:pt>
                <c:pt idx="15">
                  <c:v>1.9117</c:v>
                </c:pt>
                <c:pt idx="16">
                  <c:v>2.194</c:v>
                </c:pt>
                <c:pt idx="17">
                  <c:v>2.2252000000000001</c:v>
                </c:pt>
                <c:pt idx="18">
                  <c:v>2.3681000000000001</c:v>
                </c:pt>
                <c:pt idx="19">
                  <c:v>2.2187999999999999</c:v>
                </c:pt>
                <c:pt idx="20">
                  <c:v>1.8841000000000001</c:v>
                </c:pt>
                <c:pt idx="21">
                  <c:v>2.0444</c:v>
                </c:pt>
                <c:pt idx="22">
                  <c:v>2.2265999999999999</c:v>
                </c:pt>
                <c:pt idx="23">
                  <c:v>2.5068999999999999</c:v>
                </c:pt>
                <c:pt idx="24">
                  <c:v>2.2092000000000001</c:v>
                </c:pt>
                <c:pt idx="25">
                  <c:v>2.1524000000000001</c:v>
                </c:pt>
                <c:pt idx="26">
                  <c:v>2.0261</c:v>
                </c:pt>
                <c:pt idx="27">
                  <c:v>2.2078000000000002</c:v>
                </c:pt>
                <c:pt idx="28">
                  <c:v>2.2084999999999999</c:v>
                </c:pt>
                <c:pt idx="29">
                  <c:v>2.0007000000000001</c:v>
                </c:pt>
                <c:pt idx="30">
                  <c:v>2.1055999999999999</c:v>
                </c:pt>
                <c:pt idx="31">
                  <c:v>2.0579999999999998</c:v>
                </c:pt>
                <c:pt idx="32">
                  <c:v>2.1303999999999998</c:v>
                </c:pt>
                <c:pt idx="33">
                  <c:v>2.1846000000000001</c:v>
                </c:pt>
                <c:pt idx="34">
                  <c:v>1.8376999999999999</c:v>
                </c:pt>
                <c:pt idx="35">
                  <c:v>1.9856</c:v>
                </c:pt>
                <c:pt idx="36">
                  <c:v>1.9772000000000001</c:v>
                </c:pt>
                <c:pt idx="37">
                  <c:v>1.9589000000000001</c:v>
                </c:pt>
                <c:pt idx="38">
                  <c:v>1.6997</c:v>
                </c:pt>
                <c:pt idx="39">
                  <c:v>1.4749000000000001</c:v>
                </c:pt>
                <c:pt idx="40">
                  <c:v>1.7567999999999999</c:v>
                </c:pt>
                <c:pt idx="41">
                  <c:v>2.1004999999999998</c:v>
                </c:pt>
                <c:pt idx="42">
                  <c:v>2.3130000000000002</c:v>
                </c:pt>
                <c:pt idx="43">
                  <c:v>1.8532</c:v>
                </c:pt>
                <c:pt idx="44">
                  <c:v>1.8116000000000001</c:v>
                </c:pt>
                <c:pt idx="45">
                  <c:v>1.8314999999999999</c:v>
                </c:pt>
                <c:pt idx="46">
                  <c:v>2.0872999999999999</c:v>
                </c:pt>
                <c:pt idx="47">
                  <c:v>2.0192000000000001</c:v>
                </c:pt>
                <c:pt idx="48">
                  <c:v>1.9596</c:v>
                </c:pt>
                <c:pt idx="49">
                  <c:v>2.1551999999999998</c:v>
                </c:pt>
                <c:pt idx="50">
                  <c:v>1.9048</c:v>
                </c:pt>
                <c:pt idx="51">
                  <c:v>1.873</c:v>
                </c:pt>
                <c:pt idx="52">
                  <c:v>2.1116999999999999</c:v>
                </c:pt>
                <c:pt idx="53">
                  <c:v>1.9665999999999999</c:v>
                </c:pt>
                <c:pt idx="54">
                  <c:v>1.8460000000000001</c:v>
                </c:pt>
                <c:pt idx="55">
                  <c:v>1.8394999999999999</c:v>
                </c:pt>
                <c:pt idx="56">
                  <c:v>1.8163</c:v>
                </c:pt>
                <c:pt idx="57">
                  <c:v>1.8184</c:v>
                </c:pt>
                <c:pt idx="58">
                  <c:v>1.8128</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44379</c:v>
                </c:pt>
                <c:pt idx="1">
                  <c:v>44378</c:v>
                </c:pt>
                <c:pt idx="2">
                  <c:v>44377</c:v>
                </c:pt>
                <c:pt idx="3">
                  <c:v>44376</c:v>
                </c:pt>
                <c:pt idx="4">
                  <c:v>44375</c:v>
                </c:pt>
                <c:pt idx="5">
                  <c:v>44372</c:v>
                </c:pt>
                <c:pt idx="6">
                  <c:v>44371</c:v>
                </c:pt>
                <c:pt idx="7">
                  <c:v>44370</c:v>
                </c:pt>
                <c:pt idx="8">
                  <c:v>44369</c:v>
                </c:pt>
                <c:pt idx="9">
                  <c:v>44368</c:v>
                </c:pt>
                <c:pt idx="10">
                  <c:v>44365</c:v>
                </c:pt>
                <c:pt idx="11">
                  <c:v>44364</c:v>
                </c:pt>
                <c:pt idx="12">
                  <c:v>44363</c:v>
                </c:pt>
                <c:pt idx="13">
                  <c:v>44362</c:v>
                </c:pt>
                <c:pt idx="14">
                  <c:v>44358</c:v>
                </c:pt>
                <c:pt idx="15">
                  <c:v>44357</c:v>
                </c:pt>
                <c:pt idx="16">
                  <c:v>44356</c:v>
                </c:pt>
                <c:pt idx="17">
                  <c:v>44355</c:v>
                </c:pt>
                <c:pt idx="18">
                  <c:v>44354</c:v>
                </c:pt>
                <c:pt idx="19">
                  <c:v>44351</c:v>
                </c:pt>
                <c:pt idx="20">
                  <c:v>44350</c:v>
                </c:pt>
                <c:pt idx="21">
                  <c:v>44349</c:v>
                </c:pt>
                <c:pt idx="22">
                  <c:v>44348</c:v>
                </c:pt>
                <c:pt idx="23">
                  <c:v>44347</c:v>
                </c:pt>
                <c:pt idx="24">
                  <c:v>44344</c:v>
                </c:pt>
                <c:pt idx="25">
                  <c:v>44343</c:v>
                </c:pt>
                <c:pt idx="26">
                  <c:v>44342</c:v>
                </c:pt>
                <c:pt idx="27">
                  <c:v>44341</c:v>
                </c:pt>
                <c:pt idx="28">
                  <c:v>44340</c:v>
                </c:pt>
                <c:pt idx="29">
                  <c:v>44337</c:v>
                </c:pt>
                <c:pt idx="30">
                  <c:v>44336</c:v>
                </c:pt>
                <c:pt idx="31">
                  <c:v>44335</c:v>
                </c:pt>
                <c:pt idx="32">
                  <c:v>44334</c:v>
                </c:pt>
                <c:pt idx="33">
                  <c:v>44333</c:v>
                </c:pt>
                <c:pt idx="34">
                  <c:v>44330</c:v>
                </c:pt>
                <c:pt idx="35">
                  <c:v>44329</c:v>
                </c:pt>
                <c:pt idx="36">
                  <c:v>44328</c:v>
                </c:pt>
                <c:pt idx="37">
                  <c:v>44327</c:v>
                </c:pt>
                <c:pt idx="38">
                  <c:v>44326</c:v>
                </c:pt>
                <c:pt idx="39">
                  <c:v>44324</c:v>
                </c:pt>
                <c:pt idx="40">
                  <c:v>44323</c:v>
                </c:pt>
                <c:pt idx="41">
                  <c:v>44322</c:v>
                </c:pt>
                <c:pt idx="42">
                  <c:v>44316</c:v>
                </c:pt>
                <c:pt idx="43">
                  <c:v>44315</c:v>
                </c:pt>
                <c:pt idx="44">
                  <c:v>44314</c:v>
                </c:pt>
                <c:pt idx="45">
                  <c:v>44313</c:v>
                </c:pt>
                <c:pt idx="46">
                  <c:v>44312</c:v>
                </c:pt>
                <c:pt idx="47">
                  <c:v>44311</c:v>
                </c:pt>
                <c:pt idx="48">
                  <c:v>44309</c:v>
                </c:pt>
                <c:pt idx="49">
                  <c:v>44308</c:v>
                </c:pt>
                <c:pt idx="50">
                  <c:v>44307</c:v>
                </c:pt>
                <c:pt idx="51">
                  <c:v>44306</c:v>
                </c:pt>
                <c:pt idx="52">
                  <c:v>44305</c:v>
                </c:pt>
                <c:pt idx="53">
                  <c:v>44302</c:v>
                </c:pt>
                <c:pt idx="54">
                  <c:v>44301</c:v>
                </c:pt>
                <c:pt idx="55">
                  <c:v>44300</c:v>
                </c:pt>
                <c:pt idx="56">
                  <c:v>44299</c:v>
                </c:pt>
                <c:pt idx="57">
                  <c:v>44298</c:v>
                </c:pt>
                <c:pt idx="58">
                  <c:v>44295</c:v>
                </c:pt>
              </c:numCache>
            </c:numRef>
          </c:cat>
          <c:val>
            <c:numRef>
              <c:f>资金!$C$3:$C$61</c:f>
              <c:numCache>
                <c:formatCode>###,###,###,###,##0.0000</c:formatCode>
                <c:ptCount val="59"/>
                <c:pt idx="0">
                  <c:v>2.0105</c:v>
                </c:pt>
                <c:pt idx="1">
                  <c:v>2.1985000000000001</c:v>
                </c:pt>
                <c:pt idx="2">
                  <c:v>3.242</c:v>
                </c:pt>
                <c:pt idx="3">
                  <c:v>3.3837999999999999</c:v>
                </c:pt>
                <c:pt idx="4">
                  <c:v>2.8334000000000001</c:v>
                </c:pt>
                <c:pt idx="5">
                  <c:v>2.7275999999999998</c:v>
                </c:pt>
                <c:pt idx="6">
                  <c:v>2.7907000000000002</c:v>
                </c:pt>
                <c:pt idx="7">
                  <c:v>2.3719000000000001</c:v>
                </c:pt>
                <c:pt idx="8">
                  <c:v>2.4222000000000001</c:v>
                </c:pt>
                <c:pt idx="9">
                  <c:v>2.3371</c:v>
                </c:pt>
                <c:pt idx="10">
                  <c:v>2.2141999999999999</c:v>
                </c:pt>
                <c:pt idx="11">
                  <c:v>2.2254999999999998</c:v>
                </c:pt>
                <c:pt idx="12">
                  <c:v>2.2517999999999998</c:v>
                </c:pt>
                <c:pt idx="13">
                  <c:v>2.2555999999999998</c:v>
                </c:pt>
                <c:pt idx="14">
                  <c:v>2.1131000000000002</c:v>
                </c:pt>
                <c:pt idx="15">
                  <c:v>2.1677</c:v>
                </c:pt>
                <c:pt idx="16">
                  <c:v>2.2887</c:v>
                </c:pt>
                <c:pt idx="17">
                  <c:v>2.3472</c:v>
                </c:pt>
                <c:pt idx="18">
                  <c:v>2.3174000000000001</c:v>
                </c:pt>
                <c:pt idx="19">
                  <c:v>2.1429</c:v>
                </c:pt>
                <c:pt idx="20">
                  <c:v>2.1086999999999998</c:v>
                </c:pt>
                <c:pt idx="21">
                  <c:v>2.2256</c:v>
                </c:pt>
                <c:pt idx="22">
                  <c:v>2.29</c:v>
                </c:pt>
                <c:pt idx="23">
                  <c:v>2.7025999999999999</c:v>
                </c:pt>
                <c:pt idx="24">
                  <c:v>2.4354</c:v>
                </c:pt>
                <c:pt idx="25">
                  <c:v>2.3687999999999998</c:v>
                </c:pt>
                <c:pt idx="26">
                  <c:v>2.3936999999999999</c:v>
                </c:pt>
                <c:pt idx="27">
                  <c:v>2.4274</c:v>
                </c:pt>
                <c:pt idx="28">
                  <c:v>2.1537999999999999</c:v>
                </c:pt>
                <c:pt idx="29">
                  <c:v>2.1427</c:v>
                </c:pt>
                <c:pt idx="30">
                  <c:v>2.2088000000000001</c:v>
                </c:pt>
                <c:pt idx="31">
                  <c:v>2.1913</c:v>
                </c:pt>
                <c:pt idx="32">
                  <c:v>2.2437</c:v>
                </c:pt>
                <c:pt idx="33">
                  <c:v>2.1873999999999998</c:v>
                </c:pt>
                <c:pt idx="34">
                  <c:v>2.0255000000000001</c:v>
                </c:pt>
                <c:pt idx="35">
                  <c:v>2.0687000000000002</c:v>
                </c:pt>
                <c:pt idx="36">
                  <c:v>1.9994000000000001</c:v>
                </c:pt>
                <c:pt idx="37">
                  <c:v>1.9733000000000001</c:v>
                </c:pt>
                <c:pt idx="38">
                  <c:v>1.9528000000000001</c:v>
                </c:pt>
                <c:pt idx="39">
                  <c:v>1.821</c:v>
                </c:pt>
                <c:pt idx="40">
                  <c:v>1.9728000000000001</c:v>
                </c:pt>
                <c:pt idx="41">
                  <c:v>2.1395</c:v>
                </c:pt>
                <c:pt idx="42">
                  <c:v>2.3769</c:v>
                </c:pt>
                <c:pt idx="43">
                  <c:v>2.3264999999999998</c:v>
                </c:pt>
                <c:pt idx="44">
                  <c:v>2.2690000000000001</c:v>
                </c:pt>
                <c:pt idx="45">
                  <c:v>2.2949999999999999</c:v>
                </c:pt>
                <c:pt idx="46">
                  <c:v>2.3549000000000002</c:v>
                </c:pt>
                <c:pt idx="47">
                  <c:v>2.2372000000000001</c:v>
                </c:pt>
                <c:pt idx="48">
                  <c:v>2.1141000000000001</c:v>
                </c:pt>
                <c:pt idx="49">
                  <c:v>2.1456</c:v>
                </c:pt>
                <c:pt idx="50">
                  <c:v>2.0910000000000002</c:v>
                </c:pt>
                <c:pt idx="51">
                  <c:v>2.2360000000000002</c:v>
                </c:pt>
                <c:pt idx="52">
                  <c:v>2.3254000000000001</c:v>
                </c:pt>
                <c:pt idx="53">
                  <c:v>2.1677</c:v>
                </c:pt>
                <c:pt idx="54">
                  <c:v>2.0480999999999998</c:v>
                </c:pt>
                <c:pt idx="55">
                  <c:v>1.9805999999999999</c:v>
                </c:pt>
                <c:pt idx="56">
                  <c:v>1.9778</c:v>
                </c:pt>
                <c:pt idx="57">
                  <c:v>1.982</c:v>
                </c:pt>
                <c:pt idx="58">
                  <c:v>1.9272</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146016128"/>
        <c:axId val="146017664"/>
      </c:lineChart>
      <c:dateAx>
        <c:axId val="14601612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46017664"/>
        <c:crosses val="autoZero"/>
        <c:auto val="0"/>
        <c:lblOffset val="0"/>
        <c:baseTimeUnit val="days"/>
        <c:majorUnit val="14"/>
        <c:majorTimeUnit val="days"/>
        <c:minorUnit val="7"/>
        <c:minorTimeUnit val="days"/>
      </c:dateAx>
      <c:valAx>
        <c:axId val="146017664"/>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46016128"/>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-11.240000000000006</c:v>
                </c:pt>
                <c:pt idx="1">
                  <c:v>-5.1300000000000123</c:v>
                </c:pt>
                <c:pt idx="2">
                  <c:v>-4.4300000000000228</c:v>
                </c:pt>
                <c:pt idx="3">
                  <c:v>1.0800000000000143</c:v>
                </c:pt>
                <c:pt idx="4">
                  <c:v>-1.9999999999997797E-2</c:v>
                </c:pt>
                <c:pt idx="5">
                  <c:v>1.6599999999999948</c:v>
                </c:pt>
                <c:pt idx="6">
                  <c:v>-0.24000000000001798</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168582144"/>
        <c:axId val="168617088"/>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B-F10F-4D2D-834C-E6E69D663A7D}"/>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A-F10F-4D2D-834C-E6E69D663A7D}"/>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9-F10F-4D2D-834C-E6E69D663A7D}"/>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8-F10F-4D2D-834C-E6E69D663A7D}"/>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7-F10F-4D2D-834C-E6E69D663A7D}"/>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F10F-4D2D-834C-E6E69D663A7D}"/>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1.7702</c:v>
                </c:pt>
                <c:pt idx="1">
                  <c:v>1.8637999999999999</c:v>
                </c:pt>
                <c:pt idx="2">
                  <c:v>2.3994</c:v>
                </c:pt>
                <c:pt idx="3">
                  <c:v>2.7722000000000002</c:v>
                </c:pt>
                <c:pt idx="4">
                  <c:v>2.9504000000000001</c:v>
                </c:pt>
                <c:pt idx="5">
                  <c:v>3.0949</c:v>
                </c:pt>
                <c:pt idx="6">
                  <c:v>3.0802999999999998</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1.8826000000000001</c:v>
                </c:pt>
                <c:pt idx="1">
                  <c:v>1.9151</c:v>
                </c:pt>
                <c:pt idx="2">
                  <c:v>2.4437000000000002</c:v>
                </c:pt>
                <c:pt idx="3">
                  <c:v>2.7614000000000001</c:v>
                </c:pt>
                <c:pt idx="4">
                  <c:v>2.9506000000000001</c:v>
                </c:pt>
                <c:pt idx="5">
                  <c:v>3.0783</c:v>
                </c:pt>
                <c:pt idx="6">
                  <c:v>3.0827</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146284928"/>
        <c:axId val="168618624"/>
      </c:lineChart>
      <c:dateAx>
        <c:axId val="16858214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68617088"/>
        <c:crosses val="autoZero"/>
        <c:auto val="0"/>
        <c:lblOffset val="0"/>
        <c:baseTimeUnit val="days"/>
      </c:dateAx>
      <c:valAx>
        <c:axId val="168617088"/>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68582144"/>
        <c:crosses val="autoZero"/>
        <c:crossBetween val="between"/>
      </c:valAx>
      <c:valAx>
        <c:axId val="168618624"/>
        <c:scaling>
          <c:orientation val="minMax"/>
        </c:scaling>
        <c:delete val="0"/>
        <c:axPos val="r"/>
        <c:numFmt formatCode="#,##0.0_);[Red]\(#,##0.0\)" sourceLinked="0"/>
        <c:majorTickMark val="out"/>
        <c:minorTickMark val="none"/>
        <c:tickLblPos val="nextTo"/>
        <c:spPr>
          <a:ln w="3175">
            <a:solidFill>
              <a:sysClr val="windowText" lastClr="000000"/>
            </a:solidFill>
          </a:ln>
        </c:spPr>
        <c:crossAx val="146284928"/>
        <c:crosses val="max"/>
        <c:crossBetween val="between"/>
      </c:valAx>
      <c:dateAx>
        <c:axId val="146284928"/>
        <c:scaling>
          <c:orientation val="minMax"/>
        </c:scaling>
        <c:delete val="1"/>
        <c:axPos val="b"/>
        <c:numFmt formatCode="General" sourceLinked="1"/>
        <c:majorTickMark val="out"/>
        <c:minorTickMark val="none"/>
        <c:tickLblPos val="nextTo"/>
        <c:crossAx val="168618624"/>
        <c:crosses val="autoZero"/>
        <c:auto val="0"/>
        <c:lblOffset val="100"/>
        <c:baseTimeUnit val="years"/>
      </c:dateAx>
    </c:plotArea>
    <c:legend>
      <c:legendPos val="r"/>
      <c:layout>
        <c:manualLayout>
          <c:xMode val="edge"/>
          <c:yMode val="edge"/>
          <c:x val="0.10990412139621653"/>
          <c:y val="9.68139452810867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-13.060000000000006</c:v>
                </c:pt>
                <c:pt idx="1">
                  <c:v>-6.779999999999986</c:v>
                </c:pt>
                <c:pt idx="2">
                  <c:v>-1.4100000000000001</c:v>
                </c:pt>
                <c:pt idx="3">
                  <c:v>-4.5399999999999885</c:v>
                </c:pt>
                <c:pt idx="4">
                  <c:v>-0.49999999999998934</c:v>
                </c:pt>
                <c:pt idx="5">
                  <c:v>0.60000000000002274</c:v>
                </c:pt>
                <c:pt idx="6">
                  <c:v>-1.3500000000000068</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146317696"/>
        <c:axId val="146319616"/>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1-0319-4AA3-8886-0F871A1F4B20}"/>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2-0319-4AA3-8886-0F871A1F4B20}"/>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3-0319-4AA3-8886-0F871A1F4B20}"/>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4-0319-4AA3-8886-0F871A1F4B20}"/>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5-0319-4AA3-8886-0F871A1F4B20}"/>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0319-4AA3-8886-0F871A1F4B20}"/>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1.8109</c:v>
                </c:pt>
                <c:pt idx="1">
                  <c:v>1.8825000000000001</c:v>
                </c:pt>
                <c:pt idx="2">
                  <c:v>2.4981</c:v>
                </c:pt>
                <c:pt idx="3">
                  <c:v>2.9834000000000001</c:v>
                </c:pt>
                <c:pt idx="4">
                  <c:v>3.2511000000000001</c:v>
                </c:pt>
                <c:pt idx="5">
                  <c:v>3.4615</c:v>
                </c:pt>
                <c:pt idx="6">
                  <c:v>3.4765999999999999</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1.9415</c:v>
                </c:pt>
                <c:pt idx="1">
                  <c:v>1.9502999999999999</c:v>
                </c:pt>
                <c:pt idx="2">
                  <c:v>2.5122</c:v>
                </c:pt>
                <c:pt idx="3">
                  <c:v>3.0287999999999999</c:v>
                </c:pt>
                <c:pt idx="4">
                  <c:v>3.2561</c:v>
                </c:pt>
                <c:pt idx="5">
                  <c:v>3.4554999999999998</c:v>
                </c:pt>
                <c:pt idx="6">
                  <c:v>3.4901</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146335232"/>
        <c:axId val="146333696"/>
      </c:lineChart>
      <c:dateAx>
        <c:axId val="14631769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46319616"/>
        <c:crosses val="autoZero"/>
        <c:auto val="0"/>
        <c:lblOffset val="0"/>
        <c:baseTimeUnit val="days"/>
      </c:dateAx>
      <c:valAx>
        <c:axId val="146319616"/>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46317696"/>
        <c:crosses val="autoZero"/>
        <c:crossBetween val="between"/>
      </c:valAx>
      <c:valAx>
        <c:axId val="146333696"/>
        <c:scaling>
          <c:orientation val="minMax"/>
        </c:scaling>
        <c:delete val="0"/>
        <c:axPos val="r"/>
        <c:numFmt formatCode="#,##0.0_);[Red]\(#,##0.0\)" sourceLinked="0"/>
        <c:majorTickMark val="out"/>
        <c:minorTickMark val="none"/>
        <c:tickLblPos val="nextTo"/>
        <c:spPr>
          <a:ln w="3175">
            <a:solidFill>
              <a:sysClr val="windowText" lastClr="000000"/>
            </a:solidFill>
          </a:ln>
        </c:spPr>
        <c:crossAx val="146335232"/>
        <c:crosses val="max"/>
        <c:crossBetween val="between"/>
      </c:valAx>
      <c:dateAx>
        <c:axId val="146335232"/>
        <c:scaling>
          <c:orientation val="minMax"/>
        </c:scaling>
        <c:delete val="1"/>
        <c:axPos val="b"/>
        <c:numFmt formatCode="General" sourceLinked="1"/>
        <c:majorTickMark val="out"/>
        <c:minorTickMark val="none"/>
        <c:tickLblPos val="nextTo"/>
        <c:crossAx val="146333696"/>
        <c:crosses val="autoZero"/>
        <c:auto val="0"/>
        <c:lblOffset val="100"/>
        <c:baseTimeUnit val="years"/>
      </c:dateAx>
    </c:plotArea>
    <c:legend>
      <c:legendPos val="r"/>
      <c:layout>
        <c:manualLayout>
          <c:xMode val="edge"/>
          <c:yMode val="edge"/>
          <c:x val="0.11836603334367192"/>
          <c:y val="2.3337304239184125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44379</c:v>
                </c:pt>
                <c:pt idx="1">
                  <c:v>44372</c:v>
                </c:pt>
                <c:pt idx="2">
                  <c:v>44365</c:v>
                </c:pt>
                <c:pt idx="3">
                  <c:v>44358</c:v>
                </c:pt>
                <c:pt idx="4">
                  <c:v>44351</c:v>
                </c:pt>
                <c:pt idx="5">
                  <c:v>44344</c:v>
                </c:pt>
                <c:pt idx="6">
                  <c:v>44337</c:v>
                </c:pt>
                <c:pt idx="7">
                  <c:v>44330</c:v>
                </c:pt>
                <c:pt idx="8">
                  <c:v>44323</c:v>
                </c:pt>
                <c:pt idx="9">
                  <c:v>44316</c:v>
                </c:pt>
                <c:pt idx="10">
                  <c:v>44309</c:v>
                </c:pt>
                <c:pt idx="11">
                  <c:v>44302</c:v>
                </c:pt>
                <c:pt idx="12">
                  <c:v>44295</c:v>
                </c:pt>
                <c:pt idx="13">
                  <c:v>44288</c:v>
                </c:pt>
                <c:pt idx="14">
                  <c:v>44281</c:v>
                </c:pt>
                <c:pt idx="15">
                  <c:v>44274</c:v>
                </c:pt>
                <c:pt idx="16">
                  <c:v>44267</c:v>
                </c:pt>
                <c:pt idx="17">
                  <c:v>44260</c:v>
                </c:pt>
                <c:pt idx="18">
                  <c:v>44253</c:v>
                </c:pt>
                <c:pt idx="19">
                  <c:v>44246</c:v>
                </c:pt>
                <c:pt idx="20">
                  <c:v>44237</c:v>
                </c:pt>
                <c:pt idx="21">
                  <c:v>44232</c:v>
                </c:pt>
                <c:pt idx="22">
                  <c:v>44225</c:v>
                </c:pt>
                <c:pt idx="23">
                  <c:v>44218</c:v>
                </c:pt>
              </c:numCache>
            </c:numRef>
          </c:cat>
          <c:val>
            <c:numRef>
              <c:f>转债!$H$5:$H$28</c:f>
              <c:numCache>
                <c:formatCode>General</c:formatCode>
                <c:ptCount val="24"/>
                <c:pt idx="0">
                  <c:v>0.7173595063850069</c:v>
                </c:pt>
                <c:pt idx="1">
                  <c:v>1.6964106581701222</c:v>
                </c:pt>
                <c:pt idx="2">
                  <c:v>-0.29572163048152689</c:v>
                </c:pt>
                <c:pt idx="3">
                  <c:v>1.3708465329832498</c:v>
                </c:pt>
                <c:pt idx="4">
                  <c:v>1.5381076200928545</c:v>
                </c:pt>
                <c:pt idx="5">
                  <c:v>1.4587043215695816</c:v>
                </c:pt>
                <c:pt idx="6">
                  <c:v>-0.18851657623365492</c:v>
                </c:pt>
                <c:pt idx="7">
                  <c:v>-0.41055957857945025</c:v>
                </c:pt>
                <c:pt idx="8">
                  <c:v>-1.2825911978422311</c:v>
                </c:pt>
                <c:pt idx="9">
                  <c:v>-1.5612183264721136</c:v>
                </c:pt>
                <c:pt idx="10">
                  <c:v>-1.5593631092168936</c:v>
                </c:pt>
                <c:pt idx="11">
                  <c:v>-2.2642926599919511</c:v>
                </c:pt>
                <c:pt idx="12">
                  <c:v>-1.9868051648188279</c:v>
                </c:pt>
                <c:pt idx="13">
                  <c:v>-2.3520444361636916</c:v>
                </c:pt>
                <c:pt idx="14">
                  <c:v>-2.9209070528204206</c:v>
                </c:pt>
                <c:pt idx="15">
                  <c:v>-2.3637058017679236</c:v>
                </c:pt>
                <c:pt idx="16">
                  <c:v>-2.3787065584315314</c:v>
                </c:pt>
                <c:pt idx="17">
                  <c:v>-2.6886338524673037</c:v>
                </c:pt>
                <c:pt idx="18">
                  <c:v>-3.146262943121958</c:v>
                </c:pt>
                <c:pt idx="19">
                  <c:v>-1.6734324673090883</c:v>
                </c:pt>
                <c:pt idx="20">
                  <c:v>-3.2871269390001956</c:v>
                </c:pt>
                <c:pt idx="21">
                  <c:v>-5.9780135552773945</c:v>
                </c:pt>
                <c:pt idx="22">
                  <c:v>-3.8005185597259405</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44379</c:v>
                </c:pt>
                <c:pt idx="1">
                  <c:v>44372</c:v>
                </c:pt>
                <c:pt idx="2">
                  <c:v>44365</c:v>
                </c:pt>
                <c:pt idx="3">
                  <c:v>44358</c:v>
                </c:pt>
                <c:pt idx="4">
                  <c:v>44351</c:v>
                </c:pt>
                <c:pt idx="5">
                  <c:v>44344</c:v>
                </c:pt>
                <c:pt idx="6">
                  <c:v>44337</c:v>
                </c:pt>
                <c:pt idx="7">
                  <c:v>44330</c:v>
                </c:pt>
                <c:pt idx="8">
                  <c:v>44323</c:v>
                </c:pt>
                <c:pt idx="9">
                  <c:v>44316</c:v>
                </c:pt>
                <c:pt idx="10">
                  <c:v>44309</c:v>
                </c:pt>
                <c:pt idx="11">
                  <c:v>44302</c:v>
                </c:pt>
                <c:pt idx="12">
                  <c:v>44295</c:v>
                </c:pt>
                <c:pt idx="13">
                  <c:v>44288</c:v>
                </c:pt>
                <c:pt idx="14">
                  <c:v>44281</c:v>
                </c:pt>
                <c:pt idx="15">
                  <c:v>44274</c:v>
                </c:pt>
                <c:pt idx="16">
                  <c:v>44267</c:v>
                </c:pt>
                <c:pt idx="17">
                  <c:v>44260</c:v>
                </c:pt>
                <c:pt idx="18">
                  <c:v>44253</c:v>
                </c:pt>
                <c:pt idx="19">
                  <c:v>44246</c:v>
                </c:pt>
                <c:pt idx="20">
                  <c:v>44237</c:v>
                </c:pt>
                <c:pt idx="21">
                  <c:v>44232</c:v>
                </c:pt>
                <c:pt idx="22">
                  <c:v>44225</c:v>
                </c:pt>
                <c:pt idx="23">
                  <c:v>44218</c:v>
                </c:pt>
              </c:numCache>
            </c:numRef>
          </c:cat>
          <c:val>
            <c:numRef>
              <c:f>转债!$I$5:$I$28</c:f>
              <c:numCache>
                <c:formatCode>General</c:formatCode>
                <c:ptCount val="24"/>
                <c:pt idx="0">
                  <c:v>0.30045895678072476</c:v>
                </c:pt>
                <c:pt idx="1">
                  <c:v>0.27162575178341086</c:v>
                </c:pt>
                <c:pt idx="2">
                  <c:v>6.5553139596796761E-2</c:v>
                </c:pt>
                <c:pt idx="3">
                  <c:v>0.14297877536897374</c:v>
                </c:pt>
                <c:pt idx="4">
                  <c:v>0.35795575968711191</c:v>
                </c:pt>
                <c:pt idx="5">
                  <c:v>0.45514062123683807</c:v>
                </c:pt>
                <c:pt idx="6">
                  <c:v>0.5191672970396688</c:v>
                </c:pt>
                <c:pt idx="7">
                  <c:v>0.25084888347652878</c:v>
                </c:pt>
                <c:pt idx="8">
                  <c:v>0.16121153735257909</c:v>
                </c:pt>
                <c:pt idx="9">
                  <c:v>0.10396914507850852</c:v>
                </c:pt>
                <c:pt idx="10">
                  <c:v>0.14340279308953097</c:v>
                </c:pt>
                <c:pt idx="11">
                  <c:v>1.6197476924961762E-2</c:v>
                </c:pt>
                <c:pt idx="12">
                  <c:v>-0.2773075892387733</c:v>
                </c:pt>
                <c:pt idx="13">
                  <c:v>-0.24940722322667197</c:v>
                </c:pt>
                <c:pt idx="14">
                  <c:v>-0.27628994670945151</c:v>
                </c:pt>
                <c:pt idx="15">
                  <c:v>-0.44420096404669263</c:v>
                </c:pt>
                <c:pt idx="16">
                  <c:v>-0.52976774005339955</c:v>
                </c:pt>
                <c:pt idx="17">
                  <c:v>-0.53985936180245275</c:v>
                </c:pt>
                <c:pt idx="18">
                  <c:v>-0.68835036753855938</c:v>
                </c:pt>
                <c:pt idx="19">
                  <c:v>-0.6616372511440094</c:v>
                </c:pt>
                <c:pt idx="20">
                  <c:v>-0.58717973941567747</c:v>
                </c:pt>
                <c:pt idx="21">
                  <c:v>-0.57140628021126183</c:v>
                </c:pt>
                <c:pt idx="22">
                  <c:v>-0.37839341381755709</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44379</c:v>
                </c:pt>
                <c:pt idx="1">
                  <c:v>44372</c:v>
                </c:pt>
                <c:pt idx="2">
                  <c:v>44365</c:v>
                </c:pt>
                <c:pt idx="3">
                  <c:v>44358</c:v>
                </c:pt>
                <c:pt idx="4">
                  <c:v>44351</c:v>
                </c:pt>
                <c:pt idx="5">
                  <c:v>44344</c:v>
                </c:pt>
                <c:pt idx="6">
                  <c:v>44337</c:v>
                </c:pt>
                <c:pt idx="7">
                  <c:v>44330</c:v>
                </c:pt>
                <c:pt idx="8">
                  <c:v>44323</c:v>
                </c:pt>
                <c:pt idx="9">
                  <c:v>44316</c:v>
                </c:pt>
                <c:pt idx="10">
                  <c:v>44309</c:v>
                </c:pt>
                <c:pt idx="11">
                  <c:v>44302</c:v>
                </c:pt>
                <c:pt idx="12">
                  <c:v>44295</c:v>
                </c:pt>
                <c:pt idx="13">
                  <c:v>44288</c:v>
                </c:pt>
                <c:pt idx="14">
                  <c:v>44281</c:v>
                </c:pt>
                <c:pt idx="15">
                  <c:v>44274</c:v>
                </c:pt>
                <c:pt idx="16">
                  <c:v>44267</c:v>
                </c:pt>
                <c:pt idx="17">
                  <c:v>44260</c:v>
                </c:pt>
                <c:pt idx="18">
                  <c:v>44253</c:v>
                </c:pt>
                <c:pt idx="19">
                  <c:v>44246</c:v>
                </c:pt>
                <c:pt idx="20">
                  <c:v>44237</c:v>
                </c:pt>
                <c:pt idx="21">
                  <c:v>44232</c:v>
                </c:pt>
                <c:pt idx="22">
                  <c:v>44225</c:v>
                </c:pt>
                <c:pt idx="23">
                  <c:v>44218</c:v>
                </c:pt>
              </c:numCache>
            </c:numRef>
          </c:cat>
          <c:val>
            <c:numRef>
              <c:f>转债!$J$5:$J$28</c:f>
              <c:numCache>
                <c:formatCode>General</c:formatCode>
                <c:ptCount val="24"/>
                <c:pt idx="0">
                  <c:v>-8.7734013001600104</c:v>
                </c:pt>
                <c:pt idx="1">
                  <c:v>-5.9213799621385181</c:v>
                </c:pt>
                <c:pt idx="2">
                  <c:v>-8.390109404758828</c:v>
                </c:pt>
                <c:pt idx="3">
                  <c:v>-6.1954556161683989</c:v>
                </c:pt>
                <c:pt idx="4">
                  <c:v>-5.1617659309817761</c:v>
                </c:pt>
                <c:pt idx="5">
                  <c:v>-4.4649443711919474</c:v>
                </c:pt>
                <c:pt idx="6">
                  <c:v>-7.8212786295175913</c:v>
                </c:pt>
                <c:pt idx="7">
                  <c:v>-8.244243574606946</c:v>
                </c:pt>
                <c:pt idx="8">
                  <c:v>-10.300653024466333</c:v>
                </c:pt>
                <c:pt idx="9">
                  <c:v>-8.0126561642694494</c:v>
                </c:pt>
                <c:pt idx="10">
                  <c:v>-7.7978468074838103</c:v>
                </c:pt>
                <c:pt idx="11">
                  <c:v>-10.836969027120658</c:v>
                </c:pt>
                <c:pt idx="12">
                  <c:v>-9.5953338159380124</c:v>
                </c:pt>
                <c:pt idx="13">
                  <c:v>-7.3291834357432029</c:v>
                </c:pt>
                <c:pt idx="14">
                  <c:v>-9.5477107158349011</c:v>
                </c:pt>
                <c:pt idx="15">
                  <c:v>-10.1024762934811</c:v>
                </c:pt>
                <c:pt idx="16">
                  <c:v>-7.6016952925934467</c:v>
                </c:pt>
                <c:pt idx="17">
                  <c:v>-5.5115358319616448</c:v>
                </c:pt>
                <c:pt idx="18">
                  <c:v>-4.1835632169049504</c:v>
                </c:pt>
                <c:pt idx="19">
                  <c:v>3.7535800362527905</c:v>
                </c:pt>
                <c:pt idx="20">
                  <c:v>4.2720407427516038</c:v>
                </c:pt>
                <c:pt idx="21">
                  <c:v>-1.5505470956103107</c:v>
                </c:pt>
                <c:pt idx="22">
                  <c:v>-3.9105953273524729</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168508416"/>
        <c:axId val="168518400"/>
      </c:lineChart>
      <c:dateAx>
        <c:axId val="16850841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168518400"/>
        <c:crosses val="autoZero"/>
        <c:auto val="0"/>
        <c:lblOffset val="0"/>
        <c:baseTimeUnit val="days"/>
        <c:majorUnit val="14"/>
        <c:majorTimeUnit val="days"/>
      </c:dateAx>
      <c:valAx>
        <c:axId val="16851840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68508416"/>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2846.88</c:v>
                </c:pt>
                <c:pt idx="72">
                  <c:v>#N/A</c:v>
                </c:pt>
                <c:pt idx="73">
                  <c:v>#N/A</c:v>
                </c:pt>
                <c:pt idx="74">
                  <c:v>#N/A</c:v>
                </c:pt>
                <c:pt idx="75">
                  <c:v>#N/A</c:v>
                </c:pt>
                <c:pt idx="76">
                  <c:v>#N/A</c:v>
                </c:pt>
                <c:pt idx="77">
                  <c:v>#N/A</c:v>
                </c:pt>
                <c:pt idx="78">
                  <c:v>2748.48</c:v>
                </c:pt>
                <c:pt idx="79">
                  <c:v>#N/A</c:v>
                </c:pt>
                <c:pt idx="80">
                  <c:v>#N/A</c:v>
                </c:pt>
                <c:pt idx="81">
                  <c:v>#N/A</c:v>
                </c:pt>
                <c:pt idx="82">
                  <c:v>#N/A</c:v>
                </c:pt>
                <c:pt idx="83">
                  <c:v>#N/A</c:v>
                </c:pt>
                <c:pt idx="84">
                  <c:v>#N/A</c:v>
                </c:pt>
                <c:pt idx="85">
                  <c:v>2784.75</c:v>
                </c:pt>
                <c:pt idx="86">
                  <c:v>#N/A</c:v>
                </c:pt>
                <c:pt idx="87">
                  <c:v>#N/A</c:v>
                </c:pt>
                <c:pt idx="88">
                  <c:v>#N/A</c:v>
                </c:pt>
                <c:pt idx="89">
                  <c:v>#N/A</c:v>
                </c:pt>
                <c:pt idx="90">
                  <c:v>#N/A</c:v>
                </c:pt>
                <c:pt idx="91">
                  <c:v>#N/A</c:v>
                </c:pt>
                <c:pt idx="92">
                  <c:v>2871.89</c:v>
                </c:pt>
                <c:pt idx="93">
                  <c:v>#N/A</c:v>
                </c:pt>
                <c:pt idx="94">
                  <c:v>#N/A</c:v>
                </c:pt>
                <c:pt idx="95">
                  <c:v>#N/A</c:v>
                </c:pt>
                <c:pt idx="96">
                  <c:v>#N/A</c:v>
                </c:pt>
                <c:pt idx="97">
                  <c:v>#N/A</c:v>
                </c:pt>
                <c:pt idx="98">
                  <c:v>#N/A</c:v>
                </c:pt>
                <c:pt idx="99">
                  <c:v>2818</c:v>
                </c:pt>
                <c:pt idx="100">
                  <c:v>#N/A</c:v>
                </c:pt>
                <c:pt idx="101">
                  <c:v>#N/A</c:v>
                </c:pt>
                <c:pt idx="102">
                  <c:v>#N/A</c:v>
                </c:pt>
                <c:pt idx="103">
                  <c:v>#N/A</c:v>
                </c:pt>
                <c:pt idx="104">
                  <c:v>#N/A</c:v>
                </c:pt>
                <c:pt idx="105">
                  <c:v>#N/A</c:v>
                </c:pt>
                <c:pt idx="106">
                  <c:v>2926.49</c:v>
                </c:pt>
                <c:pt idx="107">
                  <c:v>#N/A</c:v>
                </c:pt>
                <c:pt idx="108">
                  <c:v>#N/A</c:v>
                </c:pt>
                <c:pt idx="109">
                  <c:v>#N/A</c:v>
                </c:pt>
                <c:pt idx="110">
                  <c:v>#N/A</c:v>
                </c:pt>
                <c:pt idx="111">
                  <c:v>#N/A</c:v>
                </c:pt>
                <c:pt idx="112">
                  <c:v>#N/A</c:v>
                </c:pt>
                <c:pt idx="113">
                  <c:v>2921.81</c:v>
                </c:pt>
                <c:pt idx="114">
                  <c:v>#N/A</c:v>
                </c:pt>
                <c:pt idx="115">
                  <c:v>#N/A</c:v>
                </c:pt>
                <c:pt idx="116">
                  <c:v>#N/A</c:v>
                </c:pt>
                <c:pt idx="117">
                  <c:v>#N/A</c:v>
                </c:pt>
                <c:pt idx="118">
                  <c:v>#N/A</c:v>
                </c:pt>
                <c:pt idx="119">
                  <c:v>#N/A</c:v>
                </c:pt>
                <c:pt idx="120">
                  <c:v>2997.89</c:v>
                </c:pt>
                <c:pt idx="121">
                  <c:v>#N/A</c:v>
                </c:pt>
                <c:pt idx="122">
                  <c:v>#N/A</c:v>
                </c:pt>
                <c:pt idx="123">
                  <c:v>#N/A</c:v>
                </c:pt>
                <c:pt idx="124">
                  <c:v>#N/A</c:v>
                </c:pt>
                <c:pt idx="125">
                  <c:v>#N/A</c:v>
                </c:pt>
                <c:pt idx="126">
                  <c:v>#N/A</c:v>
                </c:pt>
                <c:pt idx="127">
                  <c:v>3144.5</c:v>
                </c:pt>
                <c:pt idx="128">
                  <c:v>#N/A</c:v>
                </c:pt>
                <c:pt idx="129">
                  <c:v>#N/A</c:v>
                </c:pt>
                <c:pt idx="130">
                  <c:v>#N/A</c:v>
                </c:pt>
                <c:pt idx="131">
                  <c:v>#N/A</c:v>
                </c:pt>
                <c:pt idx="132">
                  <c:v>#N/A</c:v>
                </c:pt>
                <c:pt idx="133">
                  <c:v>#N/A</c:v>
                </c:pt>
                <c:pt idx="134">
                  <c:v>3052.2</c:v>
                </c:pt>
                <c:pt idx="135">
                  <c:v>#N/A</c:v>
                </c:pt>
                <c:pt idx="136">
                  <c:v>#N/A</c:v>
                </c:pt>
                <c:pt idx="137">
                  <c:v>#N/A</c:v>
                </c:pt>
                <c:pt idx="138">
                  <c:v>#N/A</c:v>
                </c:pt>
                <c:pt idx="139">
                  <c:v>#N/A</c:v>
                </c:pt>
                <c:pt idx="140">
                  <c:v>#N/A</c:v>
                </c:pt>
                <c:pt idx="141">
                  <c:v>2914.64</c:v>
                </c:pt>
                <c:pt idx="142">
                  <c:v>#N/A</c:v>
                </c:pt>
                <c:pt idx="143">
                  <c:v>#N/A</c:v>
                </c:pt>
                <c:pt idx="144">
                  <c:v>#N/A</c:v>
                </c:pt>
                <c:pt idx="145">
                  <c:v>#N/A</c:v>
                </c:pt>
                <c:pt idx="146">
                  <c:v>#N/A</c:v>
                </c:pt>
                <c:pt idx="147">
                  <c:v>#N/A</c:v>
                </c:pt>
                <c:pt idx="148">
                  <c:v>2972.27</c:v>
                </c:pt>
                <c:pt idx="149">
                  <c:v>#N/A</c:v>
                </c:pt>
                <c:pt idx="150">
                  <c:v>#N/A</c:v>
                </c:pt>
                <c:pt idx="151">
                  <c:v>#N/A</c:v>
                </c:pt>
                <c:pt idx="152">
                  <c:v>#N/A</c:v>
                </c:pt>
                <c:pt idx="153">
                  <c:v>#N/A</c:v>
                </c:pt>
                <c:pt idx="154">
                  <c:v>#N/A</c:v>
                </c:pt>
                <c:pt idx="155">
                  <c:v>3038.36</c:v>
                </c:pt>
                <c:pt idx="156">
                  <c:v>#N/A</c:v>
                </c:pt>
                <c:pt idx="157">
                  <c:v>#N/A</c:v>
                </c:pt>
                <c:pt idx="158">
                  <c:v>#N/A</c:v>
                </c:pt>
                <c:pt idx="159">
                  <c:v>#N/A</c:v>
                </c:pt>
                <c:pt idx="160">
                  <c:v>#N/A</c:v>
                </c:pt>
                <c:pt idx="161">
                  <c:v>#N/A</c:v>
                </c:pt>
                <c:pt idx="162">
                  <c:v>3115.05</c:v>
                </c:pt>
                <c:pt idx="163">
                  <c:v>#N/A</c:v>
                </c:pt>
                <c:pt idx="164">
                  <c:v>#N/A</c:v>
                </c:pt>
                <c:pt idx="165">
                  <c:v>#N/A</c:v>
                </c:pt>
                <c:pt idx="166">
                  <c:v>#N/A</c:v>
                </c:pt>
                <c:pt idx="167">
                  <c:v>#N/A</c:v>
                </c:pt>
                <c:pt idx="168">
                  <c:v>#N/A</c:v>
                </c:pt>
                <c:pt idx="169">
                  <c:v>3043.07</c:v>
                </c:pt>
                <c:pt idx="170">
                  <c:v>#N/A</c:v>
                </c:pt>
                <c:pt idx="171">
                  <c:v>#N/A</c:v>
                </c:pt>
                <c:pt idx="172">
                  <c:v>#N/A</c:v>
                </c:pt>
                <c:pt idx="173">
                  <c:v>#N/A</c:v>
                </c:pt>
                <c:pt idx="174">
                  <c:v>#N/A</c:v>
                </c:pt>
                <c:pt idx="175">
                  <c:v>#N/A</c:v>
                </c:pt>
                <c:pt idx="176">
                  <c:v>3139.09</c:v>
                </c:pt>
                <c:pt idx="177">
                  <c:v>#N/A</c:v>
                </c:pt>
                <c:pt idx="178">
                  <c:v>#N/A</c:v>
                </c:pt>
                <c:pt idx="179">
                  <c:v>#N/A</c:v>
                </c:pt>
                <c:pt idx="180">
                  <c:v>#N/A</c:v>
                </c:pt>
                <c:pt idx="181">
                  <c:v>#N/A</c:v>
                </c:pt>
                <c:pt idx="182">
                  <c:v>#N/A</c:v>
                </c:pt>
                <c:pt idx="183">
                  <c:v>3101.82</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168539264"/>
        <c:axId val="168540800"/>
      </c:lineChart>
      <c:dateAx>
        <c:axId val="16853926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68540800"/>
        <c:crosses val="autoZero"/>
        <c:auto val="0"/>
        <c:lblOffset val="0"/>
        <c:baseTimeUnit val="days"/>
        <c:majorUnit val="1"/>
        <c:majorTimeUnit val="months"/>
      </c:dateAx>
      <c:valAx>
        <c:axId val="168540800"/>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6853926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145.5</c:v>
                </c:pt>
                <c:pt idx="67">
                  <c:v>145.35</c:v>
                </c:pt>
                <c:pt idx="68">
                  <c:v>145.12</c:v>
                </c:pt>
                <c:pt idx="69">
                  <c:v>145.21</c:v>
                </c:pt>
                <c:pt idx="70">
                  <c:v>144.78</c:v>
                </c:pt>
                <c:pt idx="71">
                  <c:v>#N/A</c:v>
                </c:pt>
                <c:pt idx="72">
                  <c:v>#N/A</c:v>
                </c:pt>
                <c:pt idx="73">
                  <c:v>144.74</c:v>
                </c:pt>
                <c:pt idx="74">
                  <c:v>144.78</c:v>
                </c:pt>
                <c:pt idx="75">
                  <c:v>144.82</c:v>
                </c:pt>
                <c:pt idx="76">
                  <c:v>144.82</c:v>
                </c:pt>
                <c:pt idx="77">
                  <c:v>144.86000000000001</c:v>
                </c:pt>
                <c:pt idx="78">
                  <c:v>#N/A</c:v>
                </c:pt>
                <c:pt idx="79">
                  <c:v>#N/A</c:v>
                </c:pt>
                <c:pt idx="80">
                  <c:v>146.4</c:v>
                </c:pt>
                <c:pt idx="81">
                  <c:v>146.54</c:v>
                </c:pt>
                <c:pt idx="82">
                  <c:v>146.44999999999999</c:v>
                </c:pt>
                <c:pt idx="83">
                  <c:v>147.52000000000001</c:v>
                </c:pt>
                <c:pt idx="84">
                  <c:v>148.02000000000001</c:v>
                </c:pt>
                <c:pt idx="85">
                  <c:v>#N/A</c:v>
                </c:pt>
                <c:pt idx="86">
                  <c:v>#N/A</c:v>
                </c:pt>
                <c:pt idx="87">
                  <c:v>148.41999999999999</c:v>
                </c:pt>
                <c:pt idx="88">
                  <c:v>148.56</c:v>
                </c:pt>
                <c:pt idx="89">
                  <c:v>149.21</c:v>
                </c:pt>
                <c:pt idx="90">
                  <c:v>149.47</c:v>
                </c:pt>
                <c:pt idx="91">
                  <c:v>149.88</c:v>
                </c:pt>
                <c:pt idx="92">
                  <c:v>#N/A</c:v>
                </c:pt>
                <c:pt idx="93">
                  <c:v>#N/A</c:v>
                </c:pt>
                <c:pt idx="94">
                  <c:v>#N/A</c:v>
                </c:pt>
                <c:pt idx="95">
                  <c:v>150.34</c:v>
                </c:pt>
                <c:pt idx="96">
                  <c:v>150.25</c:v>
                </c:pt>
                <c:pt idx="97">
                  <c:v>150.66999999999999</c:v>
                </c:pt>
                <c:pt idx="98">
                  <c:v>150.84</c:v>
                </c:pt>
                <c:pt idx="99">
                  <c:v>#N/A</c:v>
                </c:pt>
                <c:pt idx="100">
                  <c:v>#N/A</c:v>
                </c:pt>
                <c:pt idx="101">
                  <c:v>152.19</c:v>
                </c:pt>
                <c:pt idx="102">
                  <c:v>152.47999999999999</c:v>
                </c:pt>
                <c:pt idx="103">
                  <c:v>153.24</c:v>
                </c:pt>
                <c:pt idx="104">
                  <c:v>153.57</c:v>
                </c:pt>
                <c:pt idx="105">
                  <c:v>153.81</c:v>
                </c:pt>
                <c:pt idx="106">
                  <c:v>#N/A</c:v>
                </c:pt>
                <c:pt idx="107">
                  <c:v>#N/A</c:v>
                </c:pt>
                <c:pt idx="108">
                  <c:v>154.16</c:v>
                </c:pt>
                <c:pt idx="109">
                  <c:v>154.68</c:v>
                </c:pt>
                <c:pt idx="110">
                  <c:v>154.94</c:v>
                </c:pt>
                <c:pt idx="111">
                  <c:v>154.94</c:v>
                </c:pt>
                <c:pt idx="112">
                  <c:v>154.97999999999999</c:v>
                </c:pt>
                <c:pt idx="113">
                  <c:v>#N/A</c:v>
                </c:pt>
                <c:pt idx="114">
                  <c:v>155.56</c:v>
                </c:pt>
                <c:pt idx="115">
                  <c:v>156.24</c:v>
                </c:pt>
                <c:pt idx="116">
                  <c:v>157</c:v>
                </c:pt>
                <c:pt idx="117">
                  <c:v>157.51</c:v>
                </c:pt>
                <c:pt idx="118">
                  <c:v>157.88999999999999</c:v>
                </c:pt>
                <c:pt idx="119">
                  <c:v>157.44</c:v>
                </c:pt>
                <c:pt idx="120">
                  <c:v>#N/A</c:v>
                </c:pt>
                <c:pt idx="121">
                  <c:v>#N/A</c:v>
                </c:pt>
                <c:pt idx="122">
                  <c:v>#N/A</c:v>
                </c:pt>
                <c:pt idx="123">
                  <c:v>#N/A</c:v>
                </c:pt>
                <c:pt idx="124">
                  <c:v>#N/A</c:v>
                </c:pt>
                <c:pt idx="125">
                  <c:v>157.91999999999999</c:v>
                </c:pt>
                <c:pt idx="126">
                  <c:v>158.16</c:v>
                </c:pt>
                <c:pt idx="127">
                  <c:v>158.22</c:v>
                </c:pt>
                <c:pt idx="128">
                  <c:v>#N/A</c:v>
                </c:pt>
                <c:pt idx="129">
                  <c:v>158.97</c:v>
                </c:pt>
                <c:pt idx="130">
                  <c:v>159.03</c:v>
                </c:pt>
                <c:pt idx="131">
                  <c:v>159.01</c:v>
                </c:pt>
                <c:pt idx="132">
                  <c:v>158.81</c:v>
                </c:pt>
                <c:pt idx="133">
                  <c:v>158.79</c:v>
                </c:pt>
                <c:pt idx="134">
                  <c:v>#N/A</c:v>
                </c:pt>
                <c:pt idx="135">
                  <c:v>#N/A</c:v>
                </c:pt>
                <c:pt idx="136">
                  <c:v>159.13</c:v>
                </c:pt>
                <c:pt idx="137">
                  <c:v>159.12</c:v>
                </c:pt>
                <c:pt idx="138">
                  <c:v>159.13</c:v>
                </c:pt>
                <c:pt idx="139">
                  <c:v>159.34</c:v>
                </c:pt>
                <c:pt idx="140">
                  <c:v>159.29</c:v>
                </c:pt>
                <c:pt idx="141">
                  <c:v>#N/A</c:v>
                </c:pt>
                <c:pt idx="142">
                  <c:v>#N/A</c:v>
                </c:pt>
                <c:pt idx="143">
                  <c:v>159.02000000000001</c:v>
                </c:pt>
                <c:pt idx="144">
                  <c:v>158.94999999999999</c:v>
                </c:pt>
                <c:pt idx="145">
                  <c:v>158.96</c:v>
                </c:pt>
                <c:pt idx="146">
                  <c:v>158.75</c:v>
                </c:pt>
                <c:pt idx="147">
                  <c:v>158.43</c:v>
                </c:pt>
                <c:pt idx="148">
                  <c:v>#N/A</c:v>
                </c:pt>
                <c:pt idx="149">
                  <c:v>#N/A</c:v>
                </c:pt>
                <c:pt idx="150">
                  <c:v>157.58000000000001</c:v>
                </c:pt>
                <c:pt idx="151">
                  <c:v>156.63</c:v>
                </c:pt>
                <c:pt idx="152">
                  <c:v>156.71</c:v>
                </c:pt>
                <c:pt idx="153">
                  <c:v>156.83000000000001</c:v>
                </c:pt>
                <c:pt idx="154">
                  <c:v>155.80000000000001</c:v>
                </c:pt>
                <c:pt idx="155">
                  <c:v>#N/A</c:v>
                </c:pt>
                <c:pt idx="156">
                  <c:v>#N/A</c:v>
                </c:pt>
                <c:pt idx="157">
                  <c:v>155.07</c:v>
                </c:pt>
                <c:pt idx="158">
                  <c:v>154.6</c:v>
                </c:pt>
                <c:pt idx="159">
                  <c:v>154.07</c:v>
                </c:pt>
                <c:pt idx="160">
                  <c:v>153.33000000000001</c:v>
                </c:pt>
                <c:pt idx="161">
                  <c:v>153.19999999999999</c:v>
                </c:pt>
                <c:pt idx="162">
                  <c:v>#N/A</c:v>
                </c:pt>
                <c:pt idx="163">
                  <c:v>#N/A</c:v>
                </c:pt>
                <c:pt idx="164">
                  <c:v>#N/A</c:v>
                </c:pt>
                <c:pt idx="165">
                  <c:v>153.16999999999999</c:v>
                </c:pt>
                <c:pt idx="166">
                  <c:v>152.41999999999999</c:v>
                </c:pt>
                <c:pt idx="167">
                  <c:v>152.01</c:v>
                </c:pt>
                <c:pt idx="168">
                  <c:v>150.75</c:v>
                </c:pt>
                <c:pt idx="169">
                  <c:v>#N/A</c:v>
                </c:pt>
                <c:pt idx="170">
                  <c:v>#N/A</c:v>
                </c:pt>
                <c:pt idx="171">
                  <c:v>148.87</c:v>
                </c:pt>
                <c:pt idx="172">
                  <c:v>148.43</c:v>
                </c:pt>
                <c:pt idx="173">
                  <c:v>148.09</c:v>
                </c:pt>
                <c:pt idx="174">
                  <c:v>147.71</c:v>
                </c:pt>
                <c:pt idx="175">
                  <c:v>147.4</c:v>
                </c:pt>
                <c:pt idx="176">
                  <c:v>#N/A</c:v>
                </c:pt>
                <c:pt idx="177">
                  <c:v>#N/A</c:v>
                </c:pt>
                <c:pt idx="178">
                  <c:v>147.24</c:v>
                </c:pt>
                <c:pt idx="179">
                  <c:v>147.13999999999999</c:v>
                </c:pt>
                <c:pt idx="180">
                  <c:v>146.91</c:v>
                </c:pt>
                <c:pt idx="181">
                  <c:v>146.66999999999999</c:v>
                </c:pt>
                <c:pt idx="182">
                  <c:v>145.88999999999999</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146502784"/>
        <c:axId val="146504320"/>
      </c:lineChart>
      <c:dateAx>
        <c:axId val="14650278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46504320"/>
        <c:crosses val="autoZero"/>
        <c:auto val="0"/>
        <c:lblOffset val="0"/>
        <c:baseTimeUnit val="days"/>
        <c:majorUnit val="1"/>
        <c:majorTimeUnit val="months"/>
      </c:dateAx>
      <c:valAx>
        <c:axId val="146504320"/>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4650278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44380</c:v>
                </c:pt>
                <c:pt idx="1">
                  <c:v>44373</c:v>
                </c:pt>
                <c:pt idx="2">
                  <c:v>44366</c:v>
                </c:pt>
                <c:pt idx="3">
                  <c:v>44359</c:v>
                </c:pt>
                <c:pt idx="4">
                  <c:v>44352</c:v>
                </c:pt>
                <c:pt idx="5">
                  <c:v>44345</c:v>
                </c:pt>
                <c:pt idx="6">
                  <c:v>44338</c:v>
                </c:pt>
                <c:pt idx="7">
                  <c:v>44331</c:v>
                </c:pt>
                <c:pt idx="8">
                  <c:v>44324</c:v>
                </c:pt>
                <c:pt idx="9">
                  <c:v>44317</c:v>
                </c:pt>
                <c:pt idx="10">
                  <c:v>44310</c:v>
                </c:pt>
                <c:pt idx="11">
                  <c:v>44303</c:v>
                </c:pt>
                <c:pt idx="12">
                  <c:v>44296</c:v>
                </c:pt>
                <c:pt idx="13">
                  <c:v>44289</c:v>
                </c:pt>
                <c:pt idx="14">
                  <c:v>44282</c:v>
                </c:pt>
                <c:pt idx="15">
                  <c:v>44275</c:v>
                </c:pt>
                <c:pt idx="16">
                  <c:v>44268</c:v>
                </c:pt>
                <c:pt idx="17">
                  <c:v>44261</c:v>
                </c:pt>
                <c:pt idx="18">
                  <c:v>44254</c:v>
                </c:pt>
                <c:pt idx="19">
                  <c:v>44247</c:v>
                </c:pt>
                <c:pt idx="20">
                  <c:v>44240</c:v>
                </c:pt>
                <c:pt idx="21">
                  <c:v>44233</c:v>
                </c:pt>
                <c:pt idx="22">
                  <c:v>44226</c:v>
                </c:pt>
                <c:pt idx="23">
                  <c:v>44219</c:v>
                </c:pt>
                <c:pt idx="24">
                  <c:v>44212</c:v>
                </c:pt>
                <c:pt idx="25">
                  <c:v>44205</c:v>
                </c:pt>
              </c:numCache>
            </c:numRef>
          </c:cat>
          <c:val>
            <c:numRef>
              <c:f>汇率!$B$3:$B$28</c:f>
              <c:numCache>
                <c:formatCode>###,###,###,###,##0.00</c:formatCode>
                <c:ptCount val="26"/>
                <c:pt idx="0">
                  <c:v>6.4824999999999999</c:v>
                </c:pt>
                <c:pt idx="1">
                  <c:v>6.4553000000000003</c:v>
                </c:pt>
                <c:pt idx="2">
                  <c:v>6.4408000000000003</c:v>
                </c:pt>
                <c:pt idx="3">
                  <c:v>6.3914</c:v>
                </c:pt>
                <c:pt idx="4">
                  <c:v>6.4092000000000002</c:v>
                </c:pt>
                <c:pt idx="5">
                  <c:v>6.3654000000000002</c:v>
                </c:pt>
                <c:pt idx="6">
                  <c:v>6.4337</c:v>
                </c:pt>
                <c:pt idx="7">
                  <c:v>6.4347000000000003</c:v>
                </c:pt>
                <c:pt idx="8">
                  <c:v>6.4588999999999999</c:v>
                </c:pt>
                <c:pt idx="9">
                  <c:v>6.4715999999999996</c:v>
                </c:pt>
                <c:pt idx="10">
                  <c:v>6.4935999999999998</c:v>
                </c:pt>
                <c:pt idx="11">
                  <c:v>6.5228000000000002</c:v>
                </c:pt>
                <c:pt idx="12">
                  <c:v>6.5589000000000004</c:v>
                </c:pt>
                <c:pt idx="13">
                  <c:v>6.5612000000000004</c:v>
                </c:pt>
                <c:pt idx="14">
                  <c:v>6.5407000000000002</c:v>
                </c:pt>
                <c:pt idx="15">
                  <c:v>6.5045000000000002</c:v>
                </c:pt>
                <c:pt idx="16">
                  <c:v>6.5035999999999996</c:v>
                </c:pt>
                <c:pt idx="17">
                  <c:v>6.4767999999999999</c:v>
                </c:pt>
                <c:pt idx="18">
                  <c:v>6.4589999999999996</c:v>
                </c:pt>
                <c:pt idx="19">
                  <c:v>6.4574999999999996</c:v>
                </c:pt>
                <c:pt idx="20">
                  <c:v>6.4379999999999997</c:v>
                </c:pt>
                <c:pt idx="21">
                  <c:v>6.4809999999999999</c:v>
                </c:pt>
                <c:pt idx="22">
                  <c:v>6.4611999999999998</c:v>
                </c:pt>
                <c:pt idx="23">
                  <c:v>6.4776999999999996</c:v>
                </c:pt>
                <c:pt idx="24">
                  <c:v>6.4752000000000001</c:v>
                </c:pt>
                <c:pt idx="25">
                  <c:v>6.4718999999999998</c:v>
                </c:pt>
              </c:numCache>
            </c:numRef>
          </c:val>
          <c:smooth val="1"/>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marker val="1"/>
        <c:smooth val="0"/>
        <c:axId val="146527360"/>
        <c:axId val="146528896"/>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44380</c:v>
                </c:pt>
                <c:pt idx="1">
                  <c:v>44373</c:v>
                </c:pt>
                <c:pt idx="2">
                  <c:v>44366</c:v>
                </c:pt>
                <c:pt idx="3">
                  <c:v>44359</c:v>
                </c:pt>
                <c:pt idx="4">
                  <c:v>44352</c:v>
                </c:pt>
                <c:pt idx="5">
                  <c:v>44345</c:v>
                </c:pt>
                <c:pt idx="6">
                  <c:v>44338</c:v>
                </c:pt>
                <c:pt idx="7">
                  <c:v>44331</c:v>
                </c:pt>
                <c:pt idx="8">
                  <c:v>44324</c:v>
                </c:pt>
                <c:pt idx="9">
                  <c:v>44317</c:v>
                </c:pt>
                <c:pt idx="10">
                  <c:v>44310</c:v>
                </c:pt>
                <c:pt idx="11">
                  <c:v>44303</c:v>
                </c:pt>
                <c:pt idx="12">
                  <c:v>44296</c:v>
                </c:pt>
                <c:pt idx="13">
                  <c:v>44289</c:v>
                </c:pt>
                <c:pt idx="14">
                  <c:v>44282</c:v>
                </c:pt>
                <c:pt idx="15">
                  <c:v>44275</c:v>
                </c:pt>
                <c:pt idx="16">
                  <c:v>44268</c:v>
                </c:pt>
                <c:pt idx="17">
                  <c:v>44261</c:v>
                </c:pt>
                <c:pt idx="18">
                  <c:v>44254</c:v>
                </c:pt>
                <c:pt idx="19">
                  <c:v>44247</c:v>
                </c:pt>
                <c:pt idx="20">
                  <c:v>44240</c:v>
                </c:pt>
                <c:pt idx="21">
                  <c:v>44233</c:v>
                </c:pt>
                <c:pt idx="22">
                  <c:v>44226</c:v>
                </c:pt>
                <c:pt idx="23">
                  <c:v>44219</c:v>
                </c:pt>
                <c:pt idx="24">
                  <c:v>44212</c:v>
                </c:pt>
                <c:pt idx="25">
                  <c:v>44205</c:v>
                </c:pt>
              </c:numCache>
            </c:numRef>
          </c:cat>
          <c:val>
            <c:numRef>
              <c:f>汇率!$C$3:$C$28</c:f>
              <c:numCache>
                <c:formatCode>###,###,###,###,##0.00</c:formatCode>
                <c:ptCount val="26"/>
                <c:pt idx="0">
                  <c:v>164.02999999999997</c:v>
                </c:pt>
                <c:pt idx="1">
                  <c:v>154.26999999999998</c:v>
                </c:pt>
                <c:pt idx="2">
                  <c:v>167.02</c:v>
                </c:pt>
                <c:pt idx="3">
                  <c:v>165.76000000000002</c:v>
                </c:pt>
                <c:pt idx="4">
                  <c:v>153.24999999999997</c:v>
                </c:pt>
                <c:pt idx="5">
                  <c:v>150.25</c:v>
                </c:pt>
                <c:pt idx="6">
                  <c:v>145.76000000000002</c:v>
                </c:pt>
                <c:pt idx="7">
                  <c:v>151.22</c:v>
                </c:pt>
                <c:pt idx="8">
                  <c:v>155.88999999999999</c:v>
                </c:pt>
                <c:pt idx="9">
                  <c:v>151.40000000000003</c:v>
                </c:pt>
                <c:pt idx="10">
                  <c:v>159.19</c:v>
                </c:pt>
                <c:pt idx="11">
                  <c:v>157.31</c:v>
                </c:pt>
                <c:pt idx="12">
                  <c:v>154.21</c:v>
                </c:pt>
                <c:pt idx="13">
                  <c:v>148.13</c:v>
                </c:pt>
                <c:pt idx="14">
                  <c:v>152.85000000000002</c:v>
                </c:pt>
                <c:pt idx="15">
                  <c:v>149.64000000000001</c:v>
                </c:pt>
                <c:pt idx="16">
                  <c:v>162.13</c:v>
                </c:pt>
                <c:pt idx="17">
                  <c:v>168.56999999999996</c:v>
                </c:pt>
                <c:pt idx="18">
                  <c:v>183.98</c:v>
                </c:pt>
                <c:pt idx="19">
                  <c:v>191.78</c:v>
                </c:pt>
                <c:pt idx="20">
                  <c:v>209.49</c:v>
                </c:pt>
                <c:pt idx="21">
                  <c:v>202.64000000000001</c:v>
                </c:pt>
                <c:pt idx="22">
                  <c:v>206.86</c:v>
                </c:pt>
                <c:pt idx="23">
                  <c:v>201.85</c:v>
                </c:pt>
                <c:pt idx="24">
                  <c:v>204.07999999999998</c:v>
                </c:pt>
                <c:pt idx="25">
                  <c:v>201.56</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146556800"/>
        <c:axId val="146555264"/>
      </c:lineChart>
      <c:dateAx>
        <c:axId val="14652736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46528896"/>
        <c:crosses val="autoZero"/>
        <c:auto val="0"/>
        <c:lblOffset val="0"/>
        <c:baseTimeUnit val="days"/>
      </c:dateAx>
      <c:valAx>
        <c:axId val="146528896"/>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46527360"/>
        <c:crosses val="autoZero"/>
        <c:crossBetween val="between"/>
      </c:valAx>
      <c:valAx>
        <c:axId val="146555264"/>
        <c:scaling>
          <c:orientation val="minMax"/>
        </c:scaling>
        <c:delete val="0"/>
        <c:axPos val="r"/>
        <c:numFmt formatCode="#,##0_);[Red]\(#,##0\)" sourceLinked="0"/>
        <c:majorTickMark val="out"/>
        <c:minorTickMark val="none"/>
        <c:tickLblPos val="nextTo"/>
        <c:spPr>
          <a:ln w="3175">
            <a:solidFill>
              <a:sysClr val="windowText" lastClr="000000"/>
            </a:solidFill>
          </a:ln>
        </c:spPr>
        <c:crossAx val="146556800"/>
        <c:crosses val="max"/>
        <c:crossBetween val="between"/>
      </c:valAx>
      <c:dateAx>
        <c:axId val="146556800"/>
        <c:scaling>
          <c:orientation val="minMax"/>
        </c:scaling>
        <c:delete val="1"/>
        <c:axPos val="b"/>
        <c:numFmt formatCode="yyyy\-mm\-dd;@" sourceLinked="1"/>
        <c:majorTickMark val="out"/>
        <c:minorTickMark val="none"/>
        <c:tickLblPos val="nextTo"/>
        <c:crossAx val="146555264"/>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38</c:v>
                </c:pt>
                <c:pt idx="72">
                  <c:v>#N/A</c:v>
                </c:pt>
                <c:pt idx="73">
                  <c:v>#N/A</c:v>
                </c:pt>
                <c:pt idx="74">
                  <c:v>#N/A</c:v>
                </c:pt>
                <c:pt idx="75">
                  <c:v>#N/A</c:v>
                </c:pt>
                <c:pt idx="76">
                  <c:v>#N/A</c:v>
                </c:pt>
                <c:pt idx="77">
                  <c:v>#N/A</c:v>
                </c:pt>
                <c:pt idx="78">
                  <c:v>37.299999999999997</c:v>
                </c:pt>
                <c:pt idx="79">
                  <c:v>#N/A</c:v>
                </c:pt>
                <c:pt idx="80">
                  <c:v>#N/A</c:v>
                </c:pt>
                <c:pt idx="81">
                  <c:v>#N/A</c:v>
                </c:pt>
                <c:pt idx="82">
                  <c:v>#N/A</c:v>
                </c:pt>
                <c:pt idx="83">
                  <c:v>#N/A</c:v>
                </c:pt>
                <c:pt idx="84">
                  <c:v>#N/A</c:v>
                </c:pt>
                <c:pt idx="85">
                  <c:v>36.33</c:v>
                </c:pt>
                <c:pt idx="86">
                  <c:v>#N/A</c:v>
                </c:pt>
                <c:pt idx="87">
                  <c:v>#N/A</c:v>
                </c:pt>
                <c:pt idx="88">
                  <c:v>#N/A</c:v>
                </c:pt>
                <c:pt idx="89">
                  <c:v>#N/A</c:v>
                </c:pt>
                <c:pt idx="90">
                  <c:v>#N/A</c:v>
                </c:pt>
                <c:pt idx="91">
                  <c:v>#N/A</c:v>
                </c:pt>
                <c:pt idx="92">
                  <c:v>35</c:v>
                </c:pt>
                <c:pt idx="93">
                  <c:v>#N/A</c:v>
                </c:pt>
                <c:pt idx="94">
                  <c:v>#N/A</c:v>
                </c:pt>
                <c:pt idx="95">
                  <c:v>#N/A</c:v>
                </c:pt>
                <c:pt idx="96">
                  <c:v>#N/A</c:v>
                </c:pt>
                <c:pt idx="97">
                  <c:v>#N/A</c:v>
                </c:pt>
                <c:pt idx="98">
                  <c:v>#N/A</c:v>
                </c:pt>
                <c:pt idx="99">
                  <c:v>32.4</c:v>
                </c:pt>
                <c:pt idx="100">
                  <c:v>#N/A</c:v>
                </c:pt>
                <c:pt idx="101">
                  <c:v>#N/A</c:v>
                </c:pt>
                <c:pt idx="102">
                  <c:v>#N/A</c:v>
                </c:pt>
                <c:pt idx="103">
                  <c:v>#N/A</c:v>
                </c:pt>
                <c:pt idx="104">
                  <c:v>#N/A</c:v>
                </c:pt>
                <c:pt idx="105">
                  <c:v>#N/A</c:v>
                </c:pt>
                <c:pt idx="106">
                  <c:v>31.77</c:v>
                </c:pt>
                <c:pt idx="107">
                  <c:v>#N/A</c:v>
                </c:pt>
                <c:pt idx="108">
                  <c:v>#N/A</c:v>
                </c:pt>
                <c:pt idx="109">
                  <c:v>#N/A</c:v>
                </c:pt>
                <c:pt idx="110">
                  <c:v>#N/A</c:v>
                </c:pt>
                <c:pt idx="111">
                  <c:v>#N/A</c:v>
                </c:pt>
                <c:pt idx="112">
                  <c:v>#N/A</c:v>
                </c:pt>
                <c:pt idx="113">
                  <c:v>31.5</c:v>
                </c:pt>
                <c:pt idx="114">
                  <c:v>#N/A</c:v>
                </c:pt>
                <c:pt idx="115">
                  <c:v>#N/A</c:v>
                </c:pt>
                <c:pt idx="116">
                  <c:v>#N/A</c:v>
                </c:pt>
                <c:pt idx="117">
                  <c:v>#N/A</c:v>
                </c:pt>
                <c:pt idx="118">
                  <c:v>#N/A</c:v>
                </c:pt>
                <c:pt idx="119">
                  <c:v>#N/A</c:v>
                </c:pt>
                <c:pt idx="120">
                  <c:v>30.62</c:v>
                </c:pt>
                <c:pt idx="121">
                  <c:v>#N/A</c:v>
                </c:pt>
                <c:pt idx="122">
                  <c:v>#N/A</c:v>
                </c:pt>
                <c:pt idx="123">
                  <c:v>#N/A</c:v>
                </c:pt>
                <c:pt idx="124">
                  <c:v>#N/A</c:v>
                </c:pt>
                <c:pt idx="125">
                  <c:v>#N/A</c:v>
                </c:pt>
                <c:pt idx="126">
                  <c:v>#N/A</c:v>
                </c:pt>
                <c:pt idx="127">
                  <c:v>30.04</c:v>
                </c:pt>
                <c:pt idx="128">
                  <c:v>#N/A</c:v>
                </c:pt>
                <c:pt idx="129">
                  <c:v>#N/A</c:v>
                </c:pt>
                <c:pt idx="130">
                  <c:v>#N/A</c:v>
                </c:pt>
                <c:pt idx="131">
                  <c:v>#N/A</c:v>
                </c:pt>
                <c:pt idx="132">
                  <c:v>#N/A</c:v>
                </c:pt>
                <c:pt idx="133">
                  <c:v>#N/A</c:v>
                </c:pt>
                <c:pt idx="134">
                  <c:v>27.78</c:v>
                </c:pt>
                <c:pt idx="135">
                  <c:v>#N/A</c:v>
                </c:pt>
                <c:pt idx="136">
                  <c:v>#N/A</c:v>
                </c:pt>
                <c:pt idx="137">
                  <c:v>#N/A</c:v>
                </c:pt>
                <c:pt idx="138">
                  <c:v>#N/A</c:v>
                </c:pt>
                <c:pt idx="139">
                  <c:v>#N/A</c:v>
                </c:pt>
                <c:pt idx="140">
                  <c:v>#N/A</c:v>
                </c:pt>
                <c:pt idx="141">
                  <c:v>26.29</c:v>
                </c:pt>
                <c:pt idx="142">
                  <c:v>#N/A</c:v>
                </c:pt>
                <c:pt idx="143">
                  <c:v>#N/A</c:v>
                </c:pt>
                <c:pt idx="144">
                  <c:v>#N/A</c:v>
                </c:pt>
                <c:pt idx="145">
                  <c:v>#N/A</c:v>
                </c:pt>
                <c:pt idx="146">
                  <c:v>#N/A</c:v>
                </c:pt>
                <c:pt idx="147">
                  <c:v>#N/A</c:v>
                </c:pt>
                <c:pt idx="148">
                  <c:v>26.08</c:v>
                </c:pt>
                <c:pt idx="149">
                  <c:v>#N/A</c:v>
                </c:pt>
                <c:pt idx="150">
                  <c:v>#N/A</c:v>
                </c:pt>
                <c:pt idx="151">
                  <c:v>#N/A</c:v>
                </c:pt>
                <c:pt idx="152">
                  <c:v>#N/A</c:v>
                </c:pt>
                <c:pt idx="153">
                  <c:v>#N/A</c:v>
                </c:pt>
                <c:pt idx="154">
                  <c:v>#N/A</c:v>
                </c:pt>
                <c:pt idx="155">
                  <c:v>24.68</c:v>
                </c:pt>
                <c:pt idx="156">
                  <c:v>#N/A</c:v>
                </c:pt>
                <c:pt idx="157">
                  <c:v>#N/A</c:v>
                </c:pt>
                <c:pt idx="158">
                  <c:v>#N/A</c:v>
                </c:pt>
                <c:pt idx="159">
                  <c:v>#N/A</c:v>
                </c:pt>
                <c:pt idx="160">
                  <c:v>#N/A</c:v>
                </c:pt>
                <c:pt idx="161">
                  <c:v>#N/A</c:v>
                </c:pt>
                <c:pt idx="162">
                  <c:v>23.89</c:v>
                </c:pt>
                <c:pt idx="163">
                  <c:v>#N/A</c:v>
                </c:pt>
                <c:pt idx="164">
                  <c:v>#N/A</c:v>
                </c:pt>
                <c:pt idx="165">
                  <c:v>#N/A</c:v>
                </c:pt>
                <c:pt idx="166">
                  <c:v>#N/A</c:v>
                </c:pt>
                <c:pt idx="167">
                  <c:v>#N/A</c:v>
                </c:pt>
                <c:pt idx="168">
                  <c:v>#N/A</c:v>
                </c:pt>
                <c:pt idx="169">
                  <c:v>22.77</c:v>
                </c:pt>
                <c:pt idx="170">
                  <c:v>#N/A</c:v>
                </c:pt>
                <c:pt idx="171">
                  <c:v>#N/A</c:v>
                </c:pt>
                <c:pt idx="172">
                  <c:v>#N/A</c:v>
                </c:pt>
                <c:pt idx="173">
                  <c:v>#N/A</c:v>
                </c:pt>
                <c:pt idx="174">
                  <c:v>#N/A</c:v>
                </c:pt>
                <c:pt idx="175">
                  <c:v>#N/A</c:v>
                </c:pt>
                <c:pt idx="176">
                  <c:v>21.68</c:v>
                </c:pt>
                <c:pt idx="177">
                  <c:v>#N/A</c:v>
                </c:pt>
                <c:pt idx="178">
                  <c:v>#N/A</c:v>
                </c:pt>
                <c:pt idx="179">
                  <c:v>#N/A</c:v>
                </c:pt>
                <c:pt idx="180">
                  <c:v>#N/A</c:v>
                </c:pt>
                <c:pt idx="181">
                  <c:v>#N/A</c:v>
                </c:pt>
                <c:pt idx="182">
                  <c:v>#N/A</c:v>
                </c:pt>
                <c:pt idx="183">
                  <c:v>22.89</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ser>
        <c:dLbls>
          <c:showLegendKey val="0"/>
          <c:showVal val="0"/>
          <c:showCatName val="0"/>
          <c:showSerName val="0"/>
          <c:showPercent val="0"/>
          <c:showBubbleSize val="0"/>
        </c:dLbls>
        <c:marker val="1"/>
        <c:smooth val="0"/>
        <c:axId val="146588032"/>
        <c:axId val="146589568"/>
      </c:lineChart>
      <c:dateAx>
        <c:axId val="146588032"/>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146589568"/>
        <c:crosses val="autoZero"/>
        <c:auto val="0"/>
        <c:lblOffset val="0"/>
        <c:baseTimeUnit val="days"/>
        <c:majorUnit val="1"/>
        <c:majorTimeUnit val="months"/>
      </c:dateAx>
      <c:valAx>
        <c:axId val="146589568"/>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146588032"/>
        <c:crosses val="autoZero"/>
        <c:crossBetween val="between"/>
      </c:valAx>
      <c:spPr>
        <a:solidFill>
          <a:schemeClr val="bg1"/>
        </a:solidFill>
        <a:ln>
          <a:noFill/>
        </a:ln>
        <a:effectLst/>
      </c:spPr>
    </c:plotArea>
    <c:legend>
      <c:legendPos val="r"/>
      <c:layout>
        <c:manualLayout>
          <c:xMode val="edge"/>
          <c:yMode val="edge"/>
          <c:x val="0.15494366234523715"/>
          <c:y val="2.3338345044785465E-3"/>
          <c:w val="0.66727855987698514"/>
          <c:h val="9.5768997333355546E-2"/>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xmlns=""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xmlns=""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xmlns=""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5.22669E-7</cdr:y>
    </cdr:from>
    <cdr:to>
      <cdr:x>0.13662</cdr:x>
      <cdr:y>0.06117</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409650" cy="117042"/>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53725F-8064-43CB-B552-DCE07691A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746</Words>
  <Characters>4258</Characters>
  <Application>Microsoft Office Word</Application>
  <DocSecurity>0</DocSecurity>
  <Lines>35</Lines>
  <Paragraphs>9</Paragraphs>
  <ScaleCrop>false</ScaleCrop>
  <Company>Microsoft</Company>
  <LinksUpToDate>false</LinksUpToDate>
  <CharactersWithSpaces>4995</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2</cp:revision>
  <cp:lastPrinted>2019-06-26T06:05:00Z</cp:lastPrinted>
  <dcterms:created xsi:type="dcterms:W3CDTF">2021-07-05T12:21:00Z</dcterms:created>
  <dcterms:modified xsi:type="dcterms:W3CDTF">2021-07-05T12:21:00Z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