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drawings/drawing6.xml" ContentType="application/vnd.openxmlformats-officedocument.drawingml.chartshapes+xml"/>
  <Override PartName="/word/charts/chart9.xml" ContentType="application/vnd.openxmlformats-officedocument.drawingml.chart+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199E5166"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r w:rsidR="00C931F2">
        <w:rPr>
          <w:rFonts w:ascii="楷体" w:eastAsia="楷体" w:hAnsi="楷体" w:hint="eastAsia"/>
          <w:sz w:val="28"/>
          <w:szCs w:val="28"/>
        </w:rPr>
        <w:t>央行</w:t>
      </w:r>
      <w:proofErr w:type="gramStart"/>
      <w:r w:rsidR="001F3F69">
        <w:rPr>
          <w:rFonts w:ascii="楷体" w:eastAsia="楷体" w:hAnsi="楷体" w:hint="eastAsia"/>
          <w:sz w:val="28"/>
          <w:szCs w:val="28"/>
        </w:rPr>
        <w:t>降准</w:t>
      </w:r>
      <w:r w:rsidR="00064C5C">
        <w:rPr>
          <w:rFonts w:ascii="楷体" w:eastAsia="楷体" w:hAnsi="楷体" w:hint="eastAsia"/>
          <w:sz w:val="28"/>
          <w:szCs w:val="28"/>
        </w:rPr>
        <w:t>节奏超</w:t>
      </w:r>
      <w:proofErr w:type="gramEnd"/>
      <w:r w:rsidR="00064C5C">
        <w:rPr>
          <w:rFonts w:ascii="楷体" w:eastAsia="楷体" w:hAnsi="楷体" w:hint="eastAsia"/>
          <w:sz w:val="28"/>
          <w:szCs w:val="28"/>
        </w:rPr>
        <w:t>预期</w:t>
      </w:r>
      <w:r w:rsidR="00CD02EA">
        <w:rPr>
          <w:rFonts w:ascii="楷体" w:eastAsia="楷体" w:hAnsi="楷体" w:hint="eastAsia"/>
          <w:sz w:val="28"/>
          <w:szCs w:val="28"/>
        </w:rPr>
        <w:t>，</w:t>
      </w:r>
      <w:r w:rsidR="00C931F2">
        <w:rPr>
          <w:rFonts w:ascii="楷体" w:eastAsia="楷体" w:hAnsi="楷体" w:hint="eastAsia"/>
          <w:sz w:val="28"/>
          <w:szCs w:val="28"/>
        </w:rPr>
        <w:t>市场情绪</w:t>
      </w:r>
      <w:r w:rsidR="00064C5C">
        <w:rPr>
          <w:rFonts w:ascii="楷体" w:eastAsia="楷体" w:hAnsi="楷体" w:hint="eastAsia"/>
          <w:sz w:val="28"/>
          <w:szCs w:val="28"/>
        </w:rPr>
        <w:t>进一步强化</w:t>
      </w:r>
    </w:p>
    <w:p w14:paraId="1B2C4A22" w14:textId="0BA85F85" w:rsidR="005E5CB1" w:rsidRPr="00711EF1" w:rsidRDefault="005E5CB1" w:rsidP="005E5CB1">
      <w:pPr>
        <w:pStyle w:val="Header1"/>
        <w:spacing w:before="240"/>
        <w:rPr>
          <w:rFonts w:ascii="华文楷体" w:hAnsi="华文楷体"/>
          <w:b w:val="0"/>
          <w:color w:val="auto"/>
          <w:sz w:val="24"/>
          <w:szCs w:val="24"/>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40AF4CA3" w14:textId="0C5F30A7" w:rsidR="00695DD9" w:rsidRPr="00DF6DF8" w:rsidRDefault="007F3080" w:rsidP="00695DD9">
      <w:pPr>
        <w:pStyle w:val="Header1"/>
        <w:spacing w:before="240"/>
        <w:ind w:firstLine="480"/>
        <w:rPr>
          <w:rFonts w:ascii="华文楷体" w:hAnsi="华文楷体"/>
          <w:b w:val="0"/>
          <w:color w:val="auto"/>
          <w:sz w:val="24"/>
          <w:szCs w:val="24"/>
        </w:rPr>
      </w:pPr>
      <w:r w:rsidRPr="007F3080">
        <w:rPr>
          <w:rFonts w:ascii="华文楷体" w:hAnsi="华文楷体" w:hint="eastAsia"/>
          <w:b w:val="0"/>
          <w:color w:val="auto"/>
          <w:sz w:val="24"/>
          <w:szCs w:val="24"/>
        </w:rPr>
        <w:t>近期</w:t>
      </w:r>
      <w:r>
        <w:rPr>
          <w:rFonts w:ascii="华文楷体" w:hAnsi="华文楷体" w:hint="eastAsia"/>
          <w:b w:val="0"/>
          <w:color w:val="auto"/>
          <w:sz w:val="24"/>
          <w:szCs w:val="24"/>
        </w:rPr>
        <w:t>，</w:t>
      </w:r>
      <w:r w:rsidR="00064C5C" w:rsidRPr="00064C5C">
        <w:rPr>
          <w:rFonts w:ascii="华文楷体" w:hAnsi="华文楷体" w:hint="eastAsia"/>
          <w:b w:val="0"/>
          <w:color w:val="auto"/>
          <w:sz w:val="24"/>
          <w:szCs w:val="24"/>
        </w:rPr>
        <w:t>统计局公布数据显示，6月CPI同比上涨1.1%，预期涨1.2%，</w:t>
      </w:r>
      <w:proofErr w:type="gramStart"/>
      <w:r w:rsidR="00064C5C" w:rsidRPr="00064C5C">
        <w:rPr>
          <w:rFonts w:ascii="华文楷体" w:hAnsi="华文楷体" w:hint="eastAsia"/>
          <w:b w:val="0"/>
          <w:color w:val="auto"/>
          <w:sz w:val="24"/>
          <w:szCs w:val="24"/>
        </w:rPr>
        <w:t>前值涨</w:t>
      </w:r>
      <w:proofErr w:type="gramEnd"/>
      <w:r w:rsidR="00064C5C" w:rsidRPr="00064C5C">
        <w:rPr>
          <w:rFonts w:ascii="华文楷体" w:hAnsi="华文楷体" w:hint="eastAsia"/>
          <w:b w:val="0"/>
          <w:color w:val="auto"/>
          <w:sz w:val="24"/>
          <w:szCs w:val="24"/>
        </w:rPr>
        <w:t>1.3%；PPI同比上涨8.8%，预期8.5%，前值9%。</w:t>
      </w:r>
      <w:proofErr w:type="gramStart"/>
      <w:r w:rsidR="00064C5C" w:rsidRPr="00064C5C">
        <w:rPr>
          <w:rFonts w:ascii="华文楷体" w:hAnsi="华文楷体" w:hint="eastAsia"/>
          <w:b w:val="0"/>
          <w:color w:val="auto"/>
          <w:sz w:val="24"/>
          <w:szCs w:val="24"/>
        </w:rPr>
        <w:t>6月社融新增</w:t>
      </w:r>
      <w:proofErr w:type="gramEnd"/>
      <w:r w:rsidR="00064C5C" w:rsidRPr="00064C5C">
        <w:rPr>
          <w:rFonts w:ascii="华文楷体" w:hAnsi="华文楷体" w:hint="eastAsia"/>
          <w:b w:val="0"/>
          <w:color w:val="auto"/>
          <w:sz w:val="24"/>
          <w:szCs w:val="24"/>
        </w:rPr>
        <w:t>36700亿元，同比多增2019亿元；余额同比增长11%，与上月持平。6月信贷新增21200亿元，同比多增3100亿元，比2019年同期多增4600亿元；余额同比12.3%，较上月小幅抬升0.1个百分点</w:t>
      </w:r>
      <w:r w:rsidR="008E5816">
        <w:rPr>
          <w:rFonts w:ascii="华文楷体" w:hAnsi="华文楷体" w:hint="eastAsia"/>
          <w:b w:val="0"/>
          <w:color w:val="auto"/>
          <w:sz w:val="24"/>
          <w:szCs w:val="24"/>
        </w:rPr>
        <w:t>。</w:t>
      </w:r>
    </w:p>
    <w:p w14:paraId="3073B9B1" w14:textId="1D555F2E" w:rsidR="00CD6876" w:rsidRDefault="006F2495" w:rsidP="00CD6876">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w:t>
      </w:r>
      <w:r w:rsidR="00FC3B6C">
        <w:rPr>
          <w:rFonts w:ascii="华文楷体" w:hAnsi="华文楷体" w:hint="eastAsia"/>
          <w:b w:val="0"/>
          <w:color w:val="auto"/>
          <w:sz w:val="24"/>
          <w:szCs w:val="24"/>
        </w:rPr>
        <w:t>具体看数据方面，</w:t>
      </w:r>
      <w:r w:rsidR="00064C5C" w:rsidRPr="00064C5C">
        <w:rPr>
          <w:rFonts w:ascii="华文楷体" w:hAnsi="华文楷体" w:hint="eastAsia"/>
          <w:b w:val="0"/>
          <w:color w:val="auto"/>
          <w:sz w:val="24"/>
          <w:szCs w:val="24"/>
        </w:rPr>
        <w:t>CPI</w:t>
      </w:r>
      <w:proofErr w:type="gramStart"/>
      <w:r w:rsidR="00064C5C" w:rsidRPr="00064C5C">
        <w:rPr>
          <w:rFonts w:ascii="华文楷体" w:hAnsi="华文楷体" w:hint="eastAsia"/>
          <w:b w:val="0"/>
          <w:color w:val="auto"/>
          <w:sz w:val="24"/>
          <w:szCs w:val="24"/>
        </w:rPr>
        <w:t>食品环</w:t>
      </w:r>
      <w:proofErr w:type="gramEnd"/>
      <w:r w:rsidR="00064C5C" w:rsidRPr="00064C5C">
        <w:rPr>
          <w:rFonts w:ascii="华文楷体" w:hAnsi="华文楷体" w:hint="eastAsia"/>
          <w:b w:val="0"/>
          <w:color w:val="auto"/>
          <w:sz w:val="24"/>
          <w:szCs w:val="24"/>
        </w:rPr>
        <w:t>比下跌2.2%，跌幅较5月进一步走扩</w:t>
      </w:r>
      <w:r w:rsidR="00CD6876" w:rsidRPr="00CD6876">
        <w:rPr>
          <w:rFonts w:ascii="华文楷体" w:hAnsi="华文楷体" w:hint="eastAsia"/>
          <w:b w:val="0"/>
          <w:color w:val="auto"/>
          <w:sz w:val="24"/>
          <w:szCs w:val="24"/>
        </w:rPr>
        <w:t>。</w:t>
      </w:r>
      <w:r w:rsidR="00064C5C">
        <w:rPr>
          <w:rFonts w:ascii="华文楷体" w:hAnsi="华文楷体" w:hint="eastAsia"/>
          <w:b w:val="0"/>
          <w:color w:val="auto"/>
          <w:sz w:val="24"/>
          <w:szCs w:val="24"/>
        </w:rPr>
        <w:t>猪肉和水果价格持续下跌，对食品项和CPI数据持续形成一定拖累。</w:t>
      </w:r>
      <w:r w:rsidR="00064C5C" w:rsidRPr="00064C5C">
        <w:rPr>
          <w:rFonts w:ascii="华文楷体" w:hAnsi="华文楷体" w:hint="eastAsia"/>
          <w:b w:val="0"/>
          <w:color w:val="auto"/>
          <w:sz w:val="24"/>
          <w:szCs w:val="24"/>
        </w:rPr>
        <w:t>CPI非食品分项环比增速下行至0%附近</w:t>
      </w:r>
      <w:r w:rsidR="00064C5C">
        <w:rPr>
          <w:rFonts w:ascii="华文楷体" w:hAnsi="华文楷体" w:hint="eastAsia"/>
          <w:b w:val="0"/>
          <w:color w:val="auto"/>
          <w:sz w:val="24"/>
          <w:szCs w:val="24"/>
        </w:rPr>
        <w:t>，</w:t>
      </w:r>
      <w:r w:rsidR="00064C5C" w:rsidRPr="00064C5C">
        <w:rPr>
          <w:rFonts w:ascii="华文楷体" w:hAnsi="华文楷体" w:hint="eastAsia"/>
          <w:b w:val="0"/>
          <w:color w:val="auto"/>
          <w:sz w:val="24"/>
          <w:szCs w:val="24"/>
        </w:rPr>
        <w:t>交通工具用燃料分项环比小幅上行2%</w:t>
      </w:r>
      <w:r w:rsidR="00064C5C">
        <w:rPr>
          <w:rFonts w:ascii="华文楷体" w:hAnsi="华文楷体" w:hint="eastAsia"/>
          <w:b w:val="0"/>
          <w:color w:val="auto"/>
          <w:sz w:val="24"/>
          <w:szCs w:val="24"/>
        </w:rPr>
        <w:t>，</w:t>
      </w:r>
      <w:r w:rsidR="00064C5C" w:rsidRPr="00064C5C">
        <w:rPr>
          <w:rFonts w:ascii="华文楷体" w:hAnsi="华文楷体" w:hint="eastAsia"/>
          <w:b w:val="0"/>
          <w:color w:val="auto"/>
          <w:sz w:val="24"/>
          <w:szCs w:val="24"/>
        </w:rPr>
        <w:t>房租分项环比季节性温和上行0.2%</w:t>
      </w:r>
      <w:r w:rsidR="00064C5C">
        <w:rPr>
          <w:rFonts w:ascii="华文楷体" w:hAnsi="华文楷体" w:hint="eastAsia"/>
          <w:b w:val="0"/>
          <w:color w:val="auto"/>
          <w:sz w:val="24"/>
          <w:szCs w:val="24"/>
        </w:rPr>
        <w:t>，</w:t>
      </w:r>
      <w:r w:rsidR="00064C5C" w:rsidRPr="00064C5C">
        <w:rPr>
          <w:rFonts w:ascii="华文楷体" w:hAnsi="华文楷体" w:hint="eastAsia"/>
          <w:b w:val="0"/>
          <w:color w:val="auto"/>
          <w:sz w:val="24"/>
          <w:szCs w:val="24"/>
        </w:rPr>
        <w:t>旅游分项价格环比超季节性下行2%</w:t>
      </w:r>
      <w:r w:rsidR="00064C5C">
        <w:rPr>
          <w:rFonts w:ascii="华文楷体" w:hAnsi="华文楷体" w:hint="eastAsia"/>
          <w:b w:val="0"/>
          <w:color w:val="auto"/>
          <w:sz w:val="24"/>
          <w:szCs w:val="24"/>
        </w:rPr>
        <w:t>，</w:t>
      </w:r>
      <w:r w:rsidR="00064C5C" w:rsidRPr="00064C5C">
        <w:rPr>
          <w:rFonts w:ascii="华文楷体" w:hAnsi="华文楷体" w:hint="eastAsia"/>
          <w:b w:val="0"/>
          <w:color w:val="auto"/>
          <w:sz w:val="24"/>
          <w:szCs w:val="24"/>
        </w:rPr>
        <w:t>家用</w:t>
      </w:r>
      <w:proofErr w:type="gramStart"/>
      <w:r w:rsidR="00064C5C" w:rsidRPr="00064C5C">
        <w:rPr>
          <w:rFonts w:ascii="华文楷体" w:hAnsi="华文楷体" w:hint="eastAsia"/>
          <w:b w:val="0"/>
          <w:color w:val="auto"/>
          <w:sz w:val="24"/>
          <w:szCs w:val="24"/>
        </w:rPr>
        <w:t>器具环</w:t>
      </w:r>
      <w:proofErr w:type="gramEnd"/>
      <w:r w:rsidR="00064C5C" w:rsidRPr="00064C5C">
        <w:rPr>
          <w:rFonts w:ascii="华文楷体" w:hAnsi="华文楷体" w:hint="eastAsia"/>
          <w:b w:val="0"/>
          <w:color w:val="auto"/>
          <w:sz w:val="24"/>
          <w:szCs w:val="24"/>
        </w:rPr>
        <w:t>比大幅下行0.3%</w:t>
      </w:r>
      <w:r w:rsidR="00064C5C">
        <w:rPr>
          <w:rFonts w:ascii="华文楷体" w:hAnsi="华文楷体" w:hint="eastAsia"/>
          <w:b w:val="0"/>
          <w:color w:val="auto"/>
          <w:sz w:val="24"/>
          <w:szCs w:val="24"/>
        </w:rPr>
        <w:t>，CPI非食品基本呈现环比回落。</w:t>
      </w:r>
    </w:p>
    <w:p w14:paraId="5AB478DC" w14:textId="77777777" w:rsidR="00A13DF0" w:rsidRDefault="006F2495" w:rsidP="00064C5C">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w:t>
      </w:r>
      <w:r w:rsidR="00080D49" w:rsidRPr="00080D49">
        <w:rPr>
          <w:rFonts w:ascii="华文楷体" w:hAnsi="华文楷体" w:hint="eastAsia"/>
          <w:b w:val="0"/>
          <w:color w:val="auto"/>
          <w:sz w:val="24"/>
          <w:szCs w:val="24"/>
        </w:rPr>
        <w:t>6月PPI环比上行0.3%，</w:t>
      </w:r>
      <w:r w:rsidR="00A13DF0" w:rsidRPr="00A13DF0">
        <w:rPr>
          <w:rFonts w:ascii="华文楷体" w:hAnsi="华文楷体" w:hint="eastAsia"/>
          <w:b w:val="0"/>
          <w:color w:val="auto"/>
          <w:sz w:val="24"/>
          <w:szCs w:val="24"/>
        </w:rPr>
        <w:t>涨幅收窄1.3个百分点</w:t>
      </w:r>
      <w:r w:rsidR="00A13DF0">
        <w:rPr>
          <w:rFonts w:ascii="华文楷体" w:hAnsi="华文楷体" w:hint="eastAsia"/>
          <w:b w:val="0"/>
          <w:color w:val="auto"/>
          <w:sz w:val="24"/>
          <w:szCs w:val="24"/>
        </w:rPr>
        <w:t>，</w:t>
      </w:r>
      <w:r w:rsidR="00080D49" w:rsidRPr="00080D49">
        <w:rPr>
          <w:rFonts w:ascii="华文楷体" w:hAnsi="华文楷体" w:hint="eastAsia"/>
          <w:b w:val="0"/>
          <w:color w:val="auto"/>
          <w:sz w:val="24"/>
          <w:szCs w:val="24"/>
        </w:rPr>
        <w:t>较前期</w:t>
      </w:r>
      <w:r w:rsidR="00080D49">
        <w:rPr>
          <w:rFonts w:ascii="华文楷体" w:hAnsi="华文楷体" w:hint="eastAsia"/>
          <w:b w:val="0"/>
          <w:color w:val="auto"/>
          <w:sz w:val="24"/>
          <w:szCs w:val="24"/>
        </w:rPr>
        <w:t>适度回落</w:t>
      </w:r>
      <w:r w:rsidR="00A13DF0">
        <w:rPr>
          <w:rFonts w:ascii="华文楷体" w:hAnsi="华文楷体" w:hint="eastAsia"/>
          <w:b w:val="0"/>
          <w:color w:val="auto"/>
          <w:sz w:val="24"/>
          <w:szCs w:val="24"/>
        </w:rPr>
        <w:t>；</w:t>
      </w:r>
      <w:r w:rsidR="00080D49">
        <w:rPr>
          <w:rFonts w:ascii="华文楷体" w:hAnsi="华文楷体" w:hint="eastAsia"/>
          <w:b w:val="0"/>
          <w:color w:val="auto"/>
          <w:sz w:val="24"/>
          <w:szCs w:val="24"/>
        </w:rPr>
        <w:t>同比</w:t>
      </w:r>
      <w:r w:rsidR="00080D49" w:rsidRPr="00080D49">
        <w:rPr>
          <w:rFonts w:ascii="华文楷体" w:hAnsi="华文楷体" w:hint="eastAsia"/>
          <w:b w:val="0"/>
          <w:color w:val="auto"/>
          <w:sz w:val="24"/>
          <w:szCs w:val="24"/>
        </w:rPr>
        <w:t>8.8%</w:t>
      </w:r>
      <w:r w:rsidR="00A13DF0">
        <w:rPr>
          <w:rFonts w:ascii="华文楷体" w:hAnsi="华文楷体" w:hint="eastAsia"/>
          <w:b w:val="0"/>
          <w:color w:val="auto"/>
          <w:sz w:val="24"/>
          <w:szCs w:val="24"/>
        </w:rPr>
        <w:t>，回落0.2个百分点，但仍基本</w:t>
      </w:r>
      <w:r w:rsidR="00080D49">
        <w:rPr>
          <w:rFonts w:ascii="华文楷体" w:hAnsi="华文楷体" w:hint="eastAsia"/>
          <w:b w:val="0"/>
          <w:color w:val="auto"/>
          <w:sz w:val="24"/>
          <w:szCs w:val="24"/>
        </w:rPr>
        <w:t>维持</w:t>
      </w:r>
      <w:r w:rsidR="00080D49" w:rsidRPr="00080D49">
        <w:rPr>
          <w:rFonts w:ascii="华文楷体" w:hAnsi="华文楷体" w:hint="eastAsia"/>
          <w:b w:val="0"/>
          <w:color w:val="auto"/>
          <w:sz w:val="24"/>
          <w:szCs w:val="24"/>
        </w:rPr>
        <w:t>相对</w:t>
      </w:r>
      <w:r w:rsidR="00080D49">
        <w:rPr>
          <w:rFonts w:ascii="华文楷体" w:hAnsi="华文楷体" w:hint="eastAsia"/>
          <w:b w:val="0"/>
          <w:color w:val="auto"/>
          <w:sz w:val="24"/>
          <w:szCs w:val="24"/>
        </w:rPr>
        <w:t>高位</w:t>
      </w:r>
      <w:r w:rsidR="00080D49" w:rsidRPr="00080D49">
        <w:rPr>
          <w:rFonts w:ascii="华文楷体" w:hAnsi="华文楷体" w:hint="eastAsia"/>
          <w:b w:val="0"/>
          <w:color w:val="auto"/>
          <w:sz w:val="24"/>
          <w:szCs w:val="24"/>
        </w:rPr>
        <w:t>。</w:t>
      </w:r>
    </w:p>
    <w:p w14:paraId="2890D35A" w14:textId="36D5D7B7" w:rsidR="00A13DF0" w:rsidRPr="00A13DF0" w:rsidRDefault="00A13DF0" w:rsidP="00A13DF0">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w:t>
      </w:r>
      <w:r w:rsidRPr="00A13DF0">
        <w:rPr>
          <w:rFonts w:ascii="华文楷体" w:hAnsi="华文楷体" w:hint="eastAsia"/>
          <w:b w:val="0"/>
          <w:color w:val="auto"/>
          <w:sz w:val="24"/>
          <w:szCs w:val="24"/>
        </w:rPr>
        <w:t>PPI生产资料环比</w:t>
      </w:r>
      <w:r>
        <w:rPr>
          <w:rFonts w:ascii="华文楷体" w:hAnsi="华文楷体" w:hint="eastAsia"/>
          <w:b w:val="0"/>
          <w:color w:val="auto"/>
          <w:sz w:val="24"/>
          <w:szCs w:val="24"/>
        </w:rPr>
        <w:t>上涨</w:t>
      </w:r>
      <w:r w:rsidRPr="00A13DF0">
        <w:rPr>
          <w:rFonts w:ascii="华文楷体" w:hAnsi="华文楷体" w:hint="eastAsia"/>
          <w:b w:val="0"/>
          <w:color w:val="auto"/>
          <w:sz w:val="24"/>
          <w:szCs w:val="24"/>
        </w:rPr>
        <w:t>0.5%，涨幅收窄1.6个百分点，同比11.8%。上游的采掘工业分项环比增速有所回落，但基本仍维持在3.9%的相对高位。中游原材料工业和加工工业环比回落至0.2%和0.3%，下游生活资料环比下行0.2%</w:t>
      </w:r>
      <w:r>
        <w:rPr>
          <w:rFonts w:ascii="华文楷体" w:hAnsi="华文楷体" w:hint="eastAsia"/>
          <w:b w:val="0"/>
          <w:color w:val="auto"/>
          <w:sz w:val="24"/>
          <w:szCs w:val="24"/>
        </w:rPr>
        <w:t>。市场关注度比较高的几个方面</w:t>
      </w:r>
      <w:r w:rsidRPr="00A13DF0">
        <w:rPr>
          <w:rFonts w:ascii="华文楷体" w:hAnsi="华文楷体" w:hint="eastAsia"/>
          <w:b w:val="0"/>
          <w:color w:val="auto"/>
          <w:sz w:val="24"/>
          <w:szCs w:val="24"/>
        </w:rPr>
        <w:t>，</w:t>
      </w:r>
      <w:proofErr w:type="gramStart"/>
      <w:r w:rsidRPr="00A13DF0">
        <w:rPr>
          <w:rFonts w:ascii="华文楷体" w:hAnsi="华文楷体" w:hint="eastAsia"/>
          <w:b w:val="0"/>
          <w:color w:val="auto"/>
          <w:sz w:val="24"/>
          <w:szCs w:val="24"/>
        </w:rPr>
        <w:t>能源</w:t>
      </w:r>
      <w:r>
        <w:rPr>
          <w:rFonts w:ascii="华文楷体" w:hAnsi="华文楷体" w:hint="eastAsia"/>
          <w:b w:val="0"/>
          <w:color w:val="auto"/>
          <w:sz w:val="24"/>
          <w:szCs w:val="24"/>
        </w:rPr>
        <w:t>环</w:t>
      </w:r>
      <w:proofErr w:type="gramEnd"/>
      <w:r>
        <w:rPr>
          <w:rFonts w:ascii="华文楷体" w:hAnsi="华文楷体" w:hint="eastAsia"/>
          <w:b w:val="0"/>
          <w:color w:val="auto"/>
          <w:sz w:val="24"/>
          <w:szCs w:val="24"/>
        </w:rPr>
        <w:t>比上涨2.9%，</w:t>
      </w:r>
      <w:r w:rsidRPr="00A13DF0">
        <w:rPr>
          <w:rFonts w:ascii="华文楷体" w:hAnsi="华文楷体" w:hint="eastAsia"/>
          <w:b w:val="0"/>
          <w:color w:val="auto"/>
          <w:sz w:val="24"/>
          <w:szCs w:val="24"/>
        </w:rPr>
        <w:t>涨幅领先</w:t>
      </w:r>
      <w:r>
        <w:rPr>
          <w:rFonts w:ascii="华文楷体" w:hAnsi="华文楷体" w:hint="eastAsia"/>
          <w:b w:val="0"/>
          <w:color w:val="auto"/>
          <w:sz w:val="24"/>
          <w:szCs w:val="24"/>
        </w:rPr>
        <w:t>。</w:t>
      </w:r>
      <w:r w:rsidRPr="00A13DF0">
        <w:rPr>
          <w:rFonts w:ascii="华文楷体" w:hAnsi="华文楷体" w:hint="eastAsia"/>
          <w:b w:val="0"/>
          <w:color w:val="auto"/>
          <w:sz w:val="24"/>
          <w:szCs w:val="24"/>
        </w:rPr>
        <w:t>黑色金属</w:t>
      </w:r>
      <w:r>
        <w:rPr>
          <w:rFonts w:ascii="华文楷体" w:hAnsi="华文楷体" w:hint="eastAsia"/>
          <w:b w:val="0"/>
          <w:color w:val="auto"/>
          <w:sz w:val="24"/>
          <w:szCs w:val="24"/>
        </w:rPr>
        <w:t>上涨1.7%，</w:t>
      </w:r>
      <w:r w:rsidRPr="00A13DF0">
        <w:rPr>
          <w:rFonts w:ascii="华文楷体" w:hAnsi="华文楷体" w:hint="eastAsia"/>
          <w:b w:val="0"/>
          <w:color w:val="auto"/>
          <w:sz w:val="24"/>
          <w:szCs w:val="24"/>
        </w:rPr>
        <w:t>涨幅收窄3.4个百分点，价格向基本面靠拢</w:t>
      </w:r>
      <w:r>
        <w:rPr>
          <w:rFonts w:ascii="华文楷体" w:hAnsi="华文楷体" w:hint="eastAsia"/>
          <w:b w:val="0"/>
          <w:color w:val="auto"/>
          <w:sz w:val="24"/>
          <w:szCs w:val="24"/>
        </w:rPr>
        <w:t>。</w:t>
      </w:r>
      <w:r w:rsidRPr="00A13DF0">
        <w:rPr>
          <w:rFonts w:ascii="华文楷体" w:hAnsi="华文楷体" w:hint="eastAsia"/>
          <w:b w:val="0"/>
          <w:color w:val="auto"/>
          <w:sz w:val="24"/>
          <w:szCs w:val="24"/>
        </w:rPr>
        <w:t>有色金属</w:t>
      </w:r>
      <w:r>
        <w:rPr>
          <w:rFonts w:ascii="华文楷体" w:hAnsi="华文楷体" w:hint="eastAsia"/>
          <w:b w:val="0"/>
          <w:color w:val="auto"/>
          <w:sz w:val="24"/>
          <w:szCs w:val="24"/>
        </w:rPr>
        <w:t>上涨</w:t>
      </w:r>
      <w:r w:rsidRPr="00A13DF0">
        <w:rPr>
          <w:rFonts w:ascii="华文楷体" w:hAnsi="华文楷体" w:hint="eastAsia"/>
          <w:b w:val="0"/>
          <w:color w:val="auto"/>
          <w:sz w:val="24"/>
          <w:szCs w:val="24"/>
        </w:rPr>
        <w:t>0.7%</w:t>
      </w:r>
      <w:r>
        <w:rPr>
          <w:rFonts w:ascii="华文楷体" w:hAnsi="华文楷体" w:hint="eastAsia"/>
          <w:b w:val="0"/>
          <w:color w:val="auto"/>
          <w:sz w:val="24"/>
          <w:szCs w:val="24"/>
        </w:rPr>
        <w:t>，涨幅</w:t>
      </w:r>
      <w:r w:rsidRPr="00A13DF0">
        <w:rPr>
          <w:rFonts w:ascii="华文楷体" w:hAnsi="华文楷体" w:hint="eastAsia"/>
          <w:b w:val="0"/>
          <w:color w:val="auto"/>
          <w:sz w:val="24"/>
          <w:szCs w:val="24"/>
        </w:rPr>
        <w:t>收窄3.4</w:t>
      </w:r>
      <w:r>
        <w:rPr>
          <w:rFonts w:ascii="华文楷体" w:hAnsi="华文楷体" w:hint="eastAsia"/>
          <w:b w:val="0"/>
          <w:color w:val="auto"/>
          <w:sz w:val="24"/>
          <w:szCs w:val="24"/>
        </w:rPr>
        <w:t>个百分点</w:t>
      </w:r>
      <w:r w:rsidRPr="00A13DF0">
        <w:rPr>
          <w:rFonts w:ascii="华文楷体" w:hAnsi="华文楷体" w:hint="eastAsia"/>
          <w:b w:val="0"/>
          <w:color w:val="auto"/>
          <w:sz w:val="24"/>
          <w:szCs w:val="24"/>
        </w:rPr>
        <w:t>。</w:t>
      </w:r>
    </w:p>
    <w:p w14:paraId="48B6DA9E" w14:textId="584C641B" w:rsidR="00A13DF0" w:rsidRDefault="00A13DF0" w:rsidP="00A13DF0">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w:t>
      </w:r>
      <w:r w:rsidRPr="00A13DF0">
        <w:rPr>
          <w:rFonts w:ascii="华文楷体" w:hAnsi="华文楷体" w:hint="eastAsia"/>
          <w:b w:val="0"/>
          <w:color w:val="auto"/>
          <w:sz w:val="24"/>
          <w:szCs w:val="24"/>
        </w:rPr>
        <w:t>PPI生活资料环比</w:t>
      </w:r>
      <w:r>
        <w:rPr>
          <w:rFonts w:ascii="华文楷体" w:hAnsi="华文楷体" w:hint="eastAsia"/>
          <w:b w:val="0"/>
          <w:color w:val="auto"/>
          <w:sz w:val="24"/>
          <w:szCs w:val="24"/>
        </w:rPr>
        <w:t>下跌</w:t>
      </w:r>
      <w:r w:rsidRPr="00A13DF0">
        <w:rPr>
          <w:rFonts w:ascii="华文楷体" w:hAnsi="华文楷体" w:hint="eastAsia"/>
          <w:b w:val="0"/>
          <w:color w:val="auto"/>
          <w:sz w:val="24"/>
          <w:szCs w:val="24"/>
        </w:rPr>
        <w:t>0.2%，同比0.3%</w:t>
      </w:r>
      <w:r>
        <w:rPr>
          <w:rFonts w:ascii="华文楷体" w:hAnsi="华文楷体" w:hint="eastAsia"/>
          <w:b w:val="0"/>
          <w:color w:val="auto"/>
          <w:sz w:val="24"/>
          <w:szCs w:val="24"/>
        </w:rPr>
        <w:t>，环比为</w:t>
      </w:r>
      <w:r w:rsidRPr="00A13DF0">
        <w:rPr>
          <w:rFonts w:ascii="华文楷体" w:hAnsi="华文楷体" w:hint="eastAsia"/>
          <w:b w:val="0"/>
          <w:color w:val="auto"/>
          <w:sz w:val="24"/>
          <w:szCs w:val="24"/>
        </w:rPr>
        <w:t>去年11月以来首次下跌。耐用消费品</w:t>
      </w:r>
      <w:proofErr w:type="gramStart"/>
      <w:r w:rsidRPr="00A13DF0">
        <w:rPr>
          <w:rFonts w:ascii="华文楷体" w:hAnsi="华文楷体" w:hint="eastAsia"/>
          <w:b w:val="0"/>
          <w:color w:val="auto"/>
          <w:sz w:val="24"/>
          <w:szCs w:val="24"/>
        </w:rPr>
        <w:t>保持正</w:t>
      </w:r>
      <w:proofErr w:type="gramEnd"/>
      <w:r w:rsidRPr="00A13DF0">
        <w:rPr>
          <w:rFonts w:ascii="华文楷体" w:hAnsi="华文楷体" w:hint="eastAsia"/>
          <w:b w:val="0"/>
          <w:color w:val="auto"/>
          <w:sz w:val="24"/>
          <w:szCs w:val="24"/>
        </w:rPr>
        <w:t>增长、涨幅明显收窄，日用品、衣着、食品类</w:t>
      </w:r>
      <w:r>
        <w:rPr>
          <w:rFonts w:ascii="华文楷体" w:hAnsi="华文楷体" w:hint="eastAsia"/>
          <w:b w:val="0"/>
          <w:color w:val="auto"/>
          <w:sz w:val="24"/>
          <w:szCs w:val="24"/>
        </w:rPr>
        <w:t>均出现</w:t>
      </w:r>
      <w:r w:rsidRPr="00A13DF0">
        <w:rPr>
          <w:rFonts w:ascii="华文楷体" w:hAnsi="华文楷体" w:hint="eastAsia"/>
          <w:b w:val="0"/>
          <w:color w:val="auto"/>
          <w:sz w:val="24"/>
          <w:szCs w:val="24"/>
        </w:rPr>
        <w:t>不同程度下跌。</w:t>
      </w:r>
    </w:p>
    <w:p w14:paraId="5D530856" w14:textId="414967F2" w:rsidR="00DD187B" w:rsidRPr="003E75B1" w:rsidRDefault="002D5CAF" w:rsidP="006C3FA8">
      <w:pPr>
        <w:pStyle w:val="Header1"/>
        <w:spacing w:before="240"/>
        <w:rPr>
          <w:rFonts w:ascii="华文楷体" w:hAnsi="华文楷体"/>
          <w:b w:val="0"/>
          <w:color w:val="auto"/>
          <w:sz w:val="24"/>
          <w:szCs w:val="24"/>
          <w:u w:val="single"/>
        </w:rPr>
      </w:pPr>
      <w:r>
        <w:rPr>
          <w:rFonts w:ascii="华文楷体" w:hAnsi="华文楷体" w:hint="eastAsia"/>
          <w:b w:val="0"/>
          <w:color w:val="auto"/>
          <w:sz w:val="24"/>
          <w:szCs w:val="24"/>
        </w:rPr>
        <w:t xml:space="preserve">     </w:t>
      </w:r>
      <w:r w:rsidR="00C10A16">
        <w:rPr>
          <w:rFonts w:ascii="华文楷体" w:hAnsi="华文楷体" w:hint="eastAsia"/>
          <w:b w:val="0"/>
          <w:color w:val="auto"/>
          <w:sz w:val="24"/>
          <w:szCs w:val="24"/>
        </w:rPr>
        <w:t>金融数据方面，</w:t>
      </w:r>
      <w:proofErr w:type="gramStart"/>
      <w:r w:rsidR="00C10A16" w:rsidRPr="00C10A16">
        <w:rPr>
          <w:rFonts w:ascii="华文楷体" w:hAnsi="华文楷体" w:hint="eastAsia"/>
          <w:b w:val="0"/>
          <w:color w:val="auto"/>
          <w:sz w:val="24"/>
          <w:szCs w:val="24"/>
        </w:rPr>
        <w:t>6月社融新增</w:t>
      </w:r>
      <w:proofErr w:type="gramEnd"/>
      <w:r w:rsidR="00C10A16" w:rsidRPr="00C10A16">
        <w:rPr>
          <w:rFonts w:ascii="华文楷体" w:hAnsi="华文楷体" w:hint="eastAsia"/>
          <w:b w:val="0"/>
          <w:color w:val="auto"/>
          <w:sz w:val="24"/>
          <w:szCs w:val="24"/>
        </w:rPr>
        <w:t>36700亿元，同比多增2019亿元；余额同比增长11%，与上月持平</w:t>
      </w:r>
      <w:r w:rsidR="00C10A16">
        <w:rPr>
          <w:rFonts w:ascii="华文楷体" w:hAnsi="华文楷体" w:hint="eastAsia"/>
          <w:b w:val="0"/>
          <w:color w:val="auto"/>
          <w:sz w:val="24"/>
          <w:szCs w:val="24"/>
        </w:rPr>
        <w:t>，</w:t>
      </w:r>
      <w:proofErr w:type="gramStart"/>
      <w:r w:rsidR="00C10A16" w:rsidRPr="00C10A16">
        <w:rPr>
          <w:rFonts w:ascii="华文楷体" w:hAnsi="华文楷体" w:hint="eastAsia"/>
          <w:b w:val="0"/>
          <w:color w:val="auto"/>
          <w:sz w:val="24"/>
          <w:szCs w:val="24"/>
        </w:rPr>
        <w:t>6月社融新增</w:t>
      </w:r>
      <w:proofErr w:type="gramEnd"/>
      <w:r w:rsidR="00C10A16" w:rsidRPr="00C10A16">
        <w:rPr>
          <w:rFonts w:ascii="华文楷体" w:hAnsi="华文楷体" w:hint="eastAsia"/>
          <w:b w:val="0"/>
          <w:color w:val="auto"/>
          <w:sz w:val="24"/>
          <w:szCs w:val="24"/>
        </w:rPr>
        <w:t>同比从3-5月的负增长逆势转正</w:t>
      </w:r>
      <w:r w:rsidR="00C10A16">
        <w:rPr>
          <w:rFonts w:ascii="华文楷体" w:hAnsi="华文楷体" w:hint="eastAsia"/>
          <w:b w:val="0"/>
          <w:color w:val="auto"/>
          <w:sz w:val="24"/>
          <w:szCs w:val="24"/>
        </w:rPr>
        <w:t>。具体</w:t>
      </w:r>
      <w:r w:rsidR="00C10A16" w:rsidRPr="00C10A16">
        <w:rPr>
          <w:rFonts w:ascii="华文楷体" w:hAnsi="华文楷体" w:hint="eastAsia"/>
          <w:b w:val="0"/>
          <w:color w:val="auto"/>
          <w:sz w:val="24"/>
          <w:szCs w:val="24"/>
        </w:rPr>
        <w:t>来看，人民币贷款的大幅提升以及企业债和政府债发行的回暖支撑了</w:t>
      </w:r>
      <w:proofErr w:type="gramStart"/>
      <w:r w:rsidR="00C10A16" w:rsidRPr="00C10A16">
        <w:rPr>
          <w:rFonts w:ascii="华文楷体" w:hAnsi="华文楷体" w:hint="eastAsia"/>
          <w:b w:val="0"/>
          <w:color w:val="auto"/>
          <w:sz w:val="24"/>
          <w:szCs w:val="24"/>
        </w:rPr>
        <w:t>新增社融同比</w:t>
      </w:r>
      <w:proofErr w:type="gramEnd"/>
      <w:r w:rsidR="00C10A16" w:rsidRPr="00C10A16">
        <w:rPr>
          <w:rFonts w:ascii="华文楷体" w:hAnsi="华文楷体" w:hint="eastAsia"/>
          <w:b w:val="0"/>
          <w:color w:val="auto"/>
          <w:sz w:val="24"/>
          <w:szCs w:val="24"/>
        </w:rPr>
        <w:t>增长由负转正，非标融资依旧对</w:t>
      </w:r>
      <w:proofErr w:type="gramStart"/>
      <w:r w:rsidR="00C10A16" w:rsidRPr="00C10A16">
        <w:rPr>
          <w:rFonts w:ascii="华文楷体" w:hAnsi="华文楷体" w:hint="eastAsia"/>
          <w:b w:val="0"/>
          <w:color w:val="auto"/>
          <w:sz w:val="24"/>
          <w:szCs w:val="24"/>
        </w:rPr>
        <w:t>社融形成</w:t>
      </w:r>
      <w:proofErr w:type="gramEnd"/>
      <w:r w:rsidR="00C10A16" w:rsidRPr="00C10A16">
        <w:rPr>
          <w:rFonts w:ascii="华文楷体" w:hAnsi="华文楷体" w:hint="eastAsia"/>
          <w:b w:val="0"/>
          <w:color w:val="auto"/>
          <w:sz w:val="24"/>
          <w:szCs w:val="24"/>
        </w:rPr>
        <w:t>拖累。</w:t>
      </w:r>
    </w:p>
    <w:p w14:paraId="6FCB91BB" w14:textId="319EAFB3" w:rsidR="002D5CAF" w:rsidRPr="00C10A16" w:rsidRDefault="00C10A16" w:rsidP="006C3FA8">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信贷方面，</w:t>
      </w:r>
      <w:r w:rsidRPr="00C10A16">
        <w:rPr>
          <w:rFonts w:ascii="华文楷体" w:hAnsi="华文楷体" w:hint="eastAsia"/>
          <w:b w:val="0"/>
          <w:color w:val="auto"/>
          <w:sz w:val="24"/>
          <w:szCs w:val="24"/>
        </w:rPr>
        <w:t>6月信贷新增21200亿元，同比多增3100亿元，比2019年同期多增4600亿元；余额同比12.3%，较上月小幅抬升0.1个百分点，结束了自去年三季度以来的持续下滑。企业部门6月贷款新增14591亿元，同比多增5313亿元。</w:t>
      </w:r>
      <w:r>
        <w:rPr>
          <w:rFonts w:ascii="华文楷体" w:hAnsi="华文楷体" w:hint="eastAsia"/>
          <w:b w:val="0"/>
          <w:color w:val="auto"/>
          <w:sz w:val="24"/>
          <w:szCs w:val="24"/>
        </w:rPr>
        <w:t>其中，</w:t>
      </w:r>
      <w:r w:rsidRPr="00C10A16">
        <w:rPr>
          <w:rFonts w:ascii="华文楷体" w:hAnsi="华文楷体" w:hint="eastAsia"/>
          <w:b w:val="0"/>
          <w:color w:val="auto"/>
          <w:sz w:val="24"/>
          <w:szCs w:val="24"/>
        </w:rPr>
        <w:t>企业中长期贷款新增8367亿元，同比多增1019亿元</w:t>
      </w:r>
      <w:r>
        <w:rPr>
          <w:rFonts w:ascii="华文楷体" w:hAnsi="华文楷体" w:hint="eastAsia"/>
          <w:b w:val="0"/>
          <w:color w:val="auto"/>
          <w:sz w:val="24"/>
          <w:szCs w:val="24"/>
        </w:rPr>
        <w:t>。</w:t>
      </w:r>
      <w:r w:rsidRPr="00C10A16">
        <w:rPr>
          <w:rFonts w:ascii="华文楷体" w:hAnsi="华文楷体" w:hint="eastAsia"/>
          <w:b w:val="0"/>
          <w:color w:val="auto"/>
          <w:sz w:val="24"/>
          <w:szCs w:val="24"/>
        </w:rPr>
        <w:t>企业短期贷款新增3091亿元，同比少增960亿元；票据融资6月新增2747亿元，同比多增4851亿元</w:t>
      </w:r>
      <w:r>
        <w:rPr>
          <w:rFonts w:ascii="华文楷体" w:hAnsi="华文楷体" w:hint="eastAsia"/>
          <w:b w:val="0"/>
          <w:color w:val="auto"/>
          <w:sz w:val="24"/>
          <w:szCs w:val="24"/>
        </w:rPr>
        <w:t>。</w:t>
      </w:r>
      <w:r w:rsidRPr="00C10A16">
        <w:rPr>
          <w:rFonts w:ascii="华文楷体" w:hAnsi="华文楷体" w:hint="eastAsia"/>
          <w:b w:val="0"/>
          <w:color w:val="auto"/>
          <w:sz w:val="24"/>
          <w:szCs w:val="24"/>
        </w:rPr>
        <w:t>居民部门6月贷款新增8685亿元，同比少增1130亿元。</w:t>
      </w:r>
      <w:r>
        <w:rPr>
          <w:rFonts w:ascii="华文楷体" w:hAnsi="华文楷体" w:hint="eastAsia"/>
          <w:b w:val="0"/>
          <w:color w:val="auto"/>
          <w:sz w:val="24"/>
          <w:szCs w:val="24"/>
        </w:rPr>
        <w:t>其中，</w:t>
      </w:r>
      <w:r w:rsidRPr="00C10A16">
        <w:rPr>
          <w:rFonts w:ascii="华文楷体" w:hAnsi="华文楷体" w:hint="eastAsia"/>
          <w:b w:val="0"/>
          <w:color w:val="auto"/>
          <w:sz w:val="24"/>
          <w:szCs w:val="24"/>
        </w:rPr>
        <w:t>居民短期贷款同比多增100</w:t>
      </w:r>
      <w:r>
        <w:rPr>
          <w:rFonts w:ascii="华文楷体" w:hAnsi="华文楷体" w:hint="eastAsia"/>
          <w:b w:val="0"/>
          <w:color w:val="auto"/>
          <w:sz w:val="24"/>
          <w:szCs w:val="24"/>
        </w:rPr>
        <w:t>亿元，</w:t>
      </w:r>
      <w:r w:rsidRPr="00C10A16">
        <w:rPr>
          <w:rFonts w:ascii="华文楷体" w:hAnsi="华文楷体" w:hint="eastAsia"/>
          <w:b w:val="0"/>
          <w:color w:val="auto"/>
          <w:sz w:val="24"/>
          <w:szCs w:val="24"/>
        </w:rPr>
        <w:t>中长期贷款同比少增1193亿元</w:t>
      </w:r>
      <w:r>
        <w:rPr>
          <w:rFonts w:ascii="华文楷体" w:hAnsi="华文楷体" w:hint="eastAsia"/>
          <w:b w:val="0"/>
          <w:color w:val="auto"/>
          <w:sz w:val="24"/>
          <w:szCs w:val="24"/>
        </w:rPr>
        <w:t>。</w:t>
      </w:r>
    </w:p>
    <w:p w14:paraId="451F4031" w14:textId="5FCBCF34" w:rsidR="00C10A16" w:rsidRDefault="00C10A16" w:rsidP="006C3FA8">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整体看，当前通胀对债市压力可控，核心CPI持续表现一般，</w:t>
      </w:r>
      <w:r w:rsidRPr="00C10A16">
        <w:rPr>
          <w:rFonts w:ascii="华文楷体" w:hAnsi="华文楷体" w:hint="eastAsia"/>
          <w:b w:val="0"/>
          <w:color w:val="auto"/>
          <w:sz w:val="24"/>
          <w:szCs w:val="24"/>
        </w:rPr>
        <w:t>预计CPI同比</w:t>
      </w:r>
      <w:r>
        <w:rPr>
          <w:rFonts w:ascii="华文楷体" w:hAnsi="华文楷体" w:hint="eastAsia"/>
          <w:b w:val="0"/>
          <w:color w:val="auto"/>
          <w:sz w:val="24"/>
          <w:szCs w:val="24"/>
        </w:rPr>
        <w:t>在三季度仍适度</w:t>
      </w:r>
      <w:r w:rsidRPr="00C10A16">
        <w:rPr>
          <w:rFonts w:ascii="华文楷体" w:hAnsi="华文楷体" w:hint="eastAsia"/>
          <w:b w:val="0"/>
          <w:color w:val="auto"/>
          <w:sz w:val="24"/>
          <w:szCs w:val="24"/>
        </w:rPr>
        <w:t>回落</w:t>
      </w:r>
      <w:r>
        <w:rPr>
          <w:rFonts w:ascii="华文楷体" w:hAnsi="华文楷体" w:hint="eastAsia"/>
          <w:b w:val="0"/>
          <w:color w:val="auto"/>
          <w:sz w:val="24"/>
          <w:szCs w:val="24"/>
        </w:rPr>
        <w:t>，四季度企稳小幅回升</w:t>
      </w:r>
      <w:r w:rsidRPr="00C10A16">
        <w:rPr>
          <w:rFonts w:ascii="华文楷体" w:hAnsi="华文楷体" w:hint="eastAsia"/>
          <w:b w:val="0"/>
          <w:color w:val="auto"/>
          <w:sz w:val="24"/>
          <w:szCs w:val="24"/>
        </w:rPr>
        <w:t>。PPI</w:t>
      </w:r>
      <w:r>
        <w:rPr>
          <w:rFonts w:ascii="华文楷体" w:hAnsi="华文楷体" w:hint="eastAsia"/>
          <w:b w:val="0"/>
          <w:color w:val="auto"/>
          <w:sz w:val="24"/>
          <w:szCs w:val="24"/>
        </w:rPr>
        <w:t>生产和生活资料呈现分化，一定程度上体现内需不足，外需边际放缓，关注后续</w:t>
      </w:r>
      <w:r w:rsidRPr="00C10A16">
        <w:rPr>
          <w:rFonts w:ascii="华文楷体" w:hAnsi="华文楷体"/>
          <w:b w:val="0"/>
          <w:color w:val="auto"/>
          <w:sz w:val="24"/>
          <w:szCs w:val="24"/>
        </w:rPr>
        <w:t>政策</w:t>
      </w:r>
      <w:r>
        <w:rPr>
          <w:rFonts w:ascii="华文楷体" w:hAnsi="华文楷体" w:hint="eastAsia"/>
          <w:b w:val="0"/>
          <w:color w:val="auto"/>
          <w:sz w:val="24"/>
          <w:szCs w:val="24"/>
        </w:rPr>
        <w:t>持续影响。金融数据方面，6月信贷数据较为强劲，当前信贷环境</w:t>
      </w:r>
      <w:r>
        <w:rPr>
          <w:rFonts w:ascii="华文楷体" w:hAnsi="华文楷体" w:hint="eastAsia"/>
          <w:b w:val="0"/>
          <w:color w:val="auto"/>
          <w:sz w:val="24"/>
          <w:szCs w:val="24"/>
        </w:rPr>
        <w:lastRenderedPageBreak/>
        <w:t>整体平稳，货币政策并未出现持续明显收紧迹象。国常会和央行都再次表示</w:t>
      </w:r>
      <w:r w:rsidRPr="00C10A16">
        <w:rPr>
          <w:rFonts w:ascii="华文楷体" w:hAnsi="华文楷体" w:hint="eastAsia"/>
          <w:b w:val="0"/>
          <w:color w:val="auto"/>
          <w:sz w:val="24"/>
          <w:szCs w:val="24"/>
        </w:rPr>
        <w:t>进一步加强金融对实体经济特别是中小</w:t>
      </w:r>
      <w:proofErr w:type="gramStart"/>
      <w:r w:rsidRPr="00C10A16">
        <w:rPr>
          <w:rFonts w:ascii="华文楷体" w:hAnsi="华文楷体" w:hint="eastAsia"/>
          <w:b w:val="0"/>
          <w:color w:val="auto"/>
          <w:sz w:val="24"/>
          <w:szCs w:val="24"/>
        </w:rPr>
        <w:t>微企业</w:t>
      </w:r>
      <w:proofErr w:type="gramEnd"/>
      <w:r w:rsidRPr="00C10A16">
        <w:rPr>
          <w:rFonts w:ascii="华文楷体" w:hAnsi="华文楷体" w:hint="eastAsia"/>
          <w:b w:val="0"/>
          <w:color w:val="auto"/>
          <w:sz w:val="24"/>
          <w:szCs w:val="24"/>
        </w:rPr>
        <w:t>的支持，促进综合融资成本稳中有降</w:t>
      </w:r>
      <w:r>
        <w:rPr>
          <w:rFonts w:ascii="华文楷体" w:hAnsi="华文楷体" w:hint="eastAsia"/>
          <w:b w:val="0"/>
          <w:color w:val="auto"/>
          <w:sz w:val="24"/>
          <w:szCs w:val="24"/>
        </w:rPr>
        <w:t>。</w:t>
      </w:r>
    </w:p>
    <w:p w14:paraId="547F3CD6" w14:textId="0207023E" w:rsidR="00C10A16" w:rsidRPr="00046C46" w:rsidRDefault="00C10A16" w:rsidP="006C3FA8">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后续市场，债市短期受到央行</w:t>
      </w:r>
      <w:proofErr w:type="gramStart"/>
      <w:r>
        <w:rPr>
          <w:rFonts w:ascii="华文楷体" w:hAnsi="华文楷体" w:hint="eastAsia"/>
          <w:b w:val="0"/>
          <w:color w:val="auto"/>
          <w:sz w:val="24"/>
          <w:szCs w:val="24"/>
        </w:rPr>
        <w:t>快速降准影响</w:t>
      </w:r>
      <w:proofErr w:type="gramEnd"/>
      <w:r>
        <w:rPr>
          <w:rFonts w:ascii="华文楷体" w:hAnsi="华文楷体" w:hint="eastAsia"/>
          <w:b w:val="0"/>
          <w:color w:val="auto"/>
          <w:sz w:val="24"/>
          <w:szCs w:val="24"/>
        </w:rPr>
        <w:t>，情绪将持续较强，基本面利多利空皆有，更多在于结构性机会，整体经济恢复面临一定边际走弱压力。</w:t>
      </w:r>
      <w:r w:rsidR="00046C46">
        <w:rPr>
          <w:rFonts w:ascii="华文楷体" w:hAnsi="华文楷体" w:hint="eastAsia"/>
          <w:b w:val="0"/>
          <w:color w:val="auto"/>
          <w:sz w:val="24"/>
          <w:szCs w:val="24"/>
        </w:rPr>
        <w:t>考虑到下半年，仍有较大体量的中期借贷便利待到期，央行此时</w:t>
      </w:r>
      <w:proofErr w:type="gramStart"/>
      <w:r w:rsidR="00046C46">
        <w:rPr>
          <w:rFonts w:ascii="华文楷体" w:hAnsi="华文楷体" w:hint="eastAsia"/>
          <w:b w:val="0"/>
          <w:color w:val="auto"/>
          <w:sz w:val="24"/>
          <w:szCs w:val="24"/>
        </w:rPr>
        <w:t>适时降准对</w:t>
      </w:r>
      <w:proofErr w:type="gramEnd"/>
      <w:r w:rsidR="00046C46">
        <w:rPr>
          <w:rFonts w:ascii="华文楷体" w:hAnsi="华文楷体" w:hint="eastAsia"/>
          <w:b w:val="0"/>
          <w:color w:val="auto"/>
          <w:sz w:val="24"/>
          <w:szCs w:val="24"/>
        </w:rPr>
        <w:t>冲中</w:t>
      </w:r>
      <w:r w:rsidR="007B4731">
        <w:rPr>
          <w:rFonts w:ascii="华文楷体" w:hAnsi="华文楷体" w:hint="eastAsia"/>
          <w:b w:val="0"/>
          <w:color w:val="auto"/>
          <w:sz w:val="24"/>
          <w:szCs w:val="24"/>
        </w:rPr>
        <w:t>长</w:t>
      </w:r>
      <w:r w:rsidR="00046C46">
        <w:rPr>
          <w:rFonts w:ascii="华文楷体" w:hAnsi="华文楷体" w:hint="eastAsia"/>
          <w:b w:val="0"/>
          <w:color w:val="auto"/>
          <w:sz w:val="24"/>
          <w:szCs w:val="24"/>
        </w:rPr>
        <w:t>期</w:t>
      </w:r>
      <w:proofErr w:type="gramStart"/>
      <w:r w:rsidR="00046C46">
        <w:rPr>
          <w:rFonts w:ascii="华文楷体" w:hAnsi="华文楷体" w:hint="eastAsia"/>
          <w:b w:val="0"/>
          <w:color w:val="auto"/>
          <w:sz w:val="24"/>
          <w:szCs w:val="24"/>
        </w:rPr>
        <w:t>限资金</w:t>
      </w:r>
      <w:proofErr w:type="gramEnd"/>
      <w:r w:rsidR="00046C46">
        <w:rPr>
          <w:rFonts w:ascii="华文楷体" w:hAnsi="华文楷体" w:hint="eastAsia"/>
          <w:b w:val="0"/>
          <w:color w:val="auto"/>
          <w:sz w:val="24"/>
          <w:szCs w:val="24"/>
        </w:rPr>
        <w:t>需求，一定程度上有利于改善银行负债结构，引导市场流动性平稳预期。债市做多情绪将阶段性走强，短期关注前期区间敏感点位博弈情况，中期关注年内是否有</w:t>
      </w:r>
      <w:proofErr w:type="gramStart"/>
      <w:r w:rsidR="00046C46">
        <w:rPr>
          <w:rFonts w:ascii="华文楷体" w:hAnsi="华文楷体" w:hint="eastAsia"/>
          <w:b w:val="0"/>
          <w:color w:val="auto"/>
          <w:sz w:val="24"/>
          <w:szCs w:val="24"/>
        </w:rPr>
        <w:t>持续降准预期</w:t>
      </w:r>
      <w:proofErr w:type="gramEnd"/>
      <w:r w:rsidR="00046C46">
        <w:rPr>
          <w:rFonts w:ascii="华文楷体" w:hAnsi="华文楷体" w:hint="eastAsia"/>
          <w:b w:val="0"/>
          <w:color w:val="auto"/>
          <w:sz w:val="24"/>
          <w:szCs w:val="24"/>
        </w:rPr>
        <w:t>、下半年信用债发行是否有持续改善以及部分敏感区域信用风险偏好恢复情况。</w:t>
      </w:r>
    </w:p>
    <w:p w14:paraId="7EEDEF05" w14:textId="03ED7DEC" w:rsidR="00E0626C" w:rsidRDefault="005E5CB1" w:rsidP="009A2BA0">
      <w:pPr>
        <w:pStyle w:val="Header1"/>
        <w:spacing w:before="240"/>
        <w:rPr>
          <w:color w:val="C45911" w:themeColor="accent2" w:themeShade="BF"/>
        </w:rPr>
      </w:pPr>
      <w:r>
        <w:rPr>
          <w:rFonts w:hint="eastAsia"/>
          <w:color w:val="C45911" w:themeColor="accent2" w:themeShade="BF"/>
        </w:rPr>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14:paraId="5B44DCF6" w14:textId="7A33B205" w:rsidR="00EA1459" w:rsidRPr="00EA1459" w:rsidRDefault="00EC3415"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央行</w:t>
      </w:r>
      <w:r w:rsidR="00DE5926">
        <w:rPr>
          <w:rFonts w:ascii="华文楷体" w:hAnsi="华文楷体" w:hint="eastAsia"/>
          <w:sz w:val="24"/>
          <w:szCs w:val="24"/>
          <w:lang w:eastAsia="zh-CN"/>
        </w:rPr>
        <w:t>公开市场操作</w:t>
      </w:r>
      <w:r w:rsidR="00A5662C">
        <w:rPr>
          <w:rFonts w:ascii="华文楷体" w:hAnsi="华文楷体" w:hint="eastAsia"/>
          <w:sz w:val="24"/>
          <w:szCs w:val="24"/>
          <w:lang w:eastAsia="zh-CN"/>
        </w:rPr>
        <w:t>净</w:t>
      </w:r>
      <w:r w:rsidR="008448D5">
        <w:rPr>
          <w:rFonts w:ascii="华文楷体" w:hAnsi="华文楷体" w:hint="eastAsia"/>
          <w:sz w:val="24"/>
          <w:szCs w:val="24"/>
          <w:lang w:eastAsia="zh-CN"/>
        </w:rPr>
        <w:t>回笼600</w:t>
      </w:r>
      <w:r w:rsidR="00C15F3D">
        <w:rPr>
          <w:rFonts w:ascii="华文楷体" w:hAnsi="华文楷体" w:hint="eastAsia"/>
          <w:sz w:val="24"/>
          <w:szCs w:val="24"/>
          <w:lang w:eastAsia="zh-CN"/>
        </w:rPr>
        <w:t>亿</w:t>
      </w:r>
      <w:r w:rsidR="006E4B59">
        <w:rPr>
          <w:rFonts w:ascii="华文楷体" w:hAnsi="华文楷体" w:hint="eastAsia"/>
          <w:sz w:val="24"/>
          <w:szCs w:val="24"/>
          <w:lang w:eastAsia="zh-CN"/>
        </w:rPr>
        <w:t>，</w:t>
      </w:r>
      <w:r w:rsidR="00115447">
        <w:rPr>
          <w:rFonts w:ascii="华文楷体" w:hAnsi="华文楷体" w:hint="eastAsia"/>
          <w:sz w:val="24"/>
          <w:szCs w:val="24"/>
          <w:lang w:eastAsia="zh-CN"/>
        </w:rPr>
        <w:t>跨季结束后</w:t>
      </w:r>
      <w:r w:rsidR="007E213A">
        <w:rPr>
          <w:rFonts w:ascii="华文楷体" w:hAnsi="华文楷体" w:hint="eastAsia"/>
          <w:sz w:val="24"/>
          <w:szCs w:val="24"/>
          <w:lang w:eastAsia="zh-CN"/>
        </w:rPr>
        <w:t>资金利率</w:t>
      </w:r>
      <w:r w:rsidR="00115447">
        <w:rPr>
          <w:rFonts w:ascii="华文楷体" w:hAnsi="华文楷体" w:hint="eastAsia"/>
          <w:sz w:val="24"/>
          <w:szCs w:val="24"/>
          <w:lang w:eastAsia="zh-CN"/>
        </w:rPr>
        <w:t>逐步回归中枢</w:t>
      </w:r>
      <w:r w:rsidR="008448D5">
        <w:rPr>
          <w:rFonts w:ascii="华文楷体" w:hAnsi="华文楷体" w:hint="eastAsia"/>
          <w:sz w:val="24"/>
          <w:szCs w:val="24"/>
          <w:lang w:eastAsia="zh-CN"/>
        </w:rPr>
        <w:t>，基本维持在2%上下震荡</w:t>
      </w:r>
      <w:r w:rsidR="00B81E73">
        <w:rPr>
          <w:rFonts w:ascii="华文楷体" w:hAnsi="华文楷体" w:hint="eastAsia"/>
          <w:sz w:val="24"/>
          <w:szCs w:val="24"/>
          <w:lang w:eastAsia="zh-CN"/>
        </w:rPr>
        <w:t>。</w:t>
      </w:r>
      <w:r w:rsidR="00FF2720">
        <w:rPr>
          <w:rFonts w:ascii="华文楷体" w:hAnsi="华文楷体" w:hint="eastAsia"/>
          <w:sz w:val="24"/>
          <w:szCs w:val="24"/>
          <w:lang w:eastAsia="zh-CN"/>
        </w:rPr>
        <w:t>上周最后一个交易日</w:t>
      </w:r>
      <w:r>
        <w:rPr>
          <w:rFonts w:ascii="华文楷体" w:hAnsi="华文楷体" w:hint="eastAsia"/>
          <w:sz w:val="24"/>
          <w:szCs w:val="24"/>
          <w:lang w:eastAsia="zh-CN"/>
        </w:rPr>
        <w:t>隔夜</w:t>
      </w:r>
      <w:r w:rsidR="00D9413F">
        <w:rPr>
          <w:rFonts w:ascii="华文楷体" w:hAnsi="华文楷体" w:hint="eastAsia"/>
          <w:sz w:val="24"/>
          <w:szCs w:val="24"/>
          <w:lang w:eastAsia="zh-CN"/>
        </w:rPr>
        <w:t>较</w:t>
      </w:r>
      <w:r w:rsidR="00FF2720">
        <w:rPr>
          <w:rFonts w:ascii="华文楷体" w:hAnsi="华文楷体" w:hint="eastAsia"/>
          <w:sz w:val="24"/>
          <w:szCs w:val="24"/>
          <w:lang w:eastAsia="zh-CN"/>
        </w:rPr>
        <w:t>前一</w:t>
      </w:r>
      <w:r w:rsidR="00D9413F">
        <w:rPr>
          <w:rFonts w:ascii="华文楷体" w:hAnsi="华文楷体" w:hint="eastAsia"/>
          <w:sz w:val="24"/>
          <w:szCs w:val="24"/>
          <w:lang w:eastAsia="zh-CN"/>
        </w:rPr>
        <w:t>周</w:t>
      </w:r>
      <w:r w:rsidR="008448D5">
        <w:rPr>
          <w:rFonts w:ascii="华文楷体" w:hAnsi="华文楷体" w:hint="eastAsia"/>
          <w:sz w:val="24"/>
          <w:szCs w:val="24"/>
          <w:lang w:eastAsia="zh-CN"/>
        </w:rPr>
        <w:t>下</w:t>
      </w:r>
      <w:r w:rsidR="00115447">
        <w:rPr>
          <w:rFonts w:ascii="华文楷体" w:hAnsi="华文楷体" w:hint="eastAsia"/>
          <w:sz w:val="24"/>
          <w:szCs w:val="24"/>
          <w:lang w:eastAsia="zh-CN"/>
        </w:rPr>
        <w:t>行</w:t>
      </w:r>
      <w:r w:rsidR="008448D5">
        <w:rPr>
          <w:rFonts w:ascii="华文楷体" w:hAnsi="华文楷体" w:hint="eastAsia"/>
          <w:sz w:val="24"/>
          <w:szCs w:val="24"/>
          <w:lang w:eastAsia="zh-CN"/>
        </w:rPr>
        <w:t>15</w:t>
      </w:r>
      <w:r w:rsidR="002D361C">
        <w:rPr>
          <w:rFonts w:ascii="华文楷体" w:hAnsi="华文楷体" w:hint="eastAsia"/>
          <w:sz w:val="24"/>
          <w:szCs w:val="24"/>
          <w:lang w:eastAsia="zh-CN"/>
        </w:rPr>
        <w:t>BP至</w:t>
      </w:r>
      <w:r w:rsidR="008448D5">
        <w:rPr>
          <w:rFonts w:ascii="华文楷体" w:hAnsi="华文楷体" w:hint="eastAsia"/>
          <w:sz w:val="24"/>
          <w:szCs w:val="24"/>
          <w:lang w:eastAsia="zh-CN"/>
        </w:rPr>
        <w:t>2.24</w:t>
      </w:r>
      <w:r w:rsidR="00D9413F">
        <w:rPr>
          <w:rFonts w:ascii="华文楷体" w:hAnsi="华文楷体" w:hint="eastAsia"/>
          <w:sz w:val="24"/>
          <w:szCs w:val="24"/>
          <w:lang w:eastAsia="zh-CN"/>
        </w:rPr>
        <w:t>%，</w:t>
      </w:r>
      <w:r>
        <w:rPr>
          <w:rFonts w:ascii="华文楷体" w:hAnsi="华文楷体" w:hint="eastAsia"/>
          <w:sz w:val="24"/>
          <w:szCs w:val="24"/>
          <w:lang w:eastAsia="zh-CN"/>
        </w:rPr>
        <w:t>7天</w:t>
      </w:r>
      <w:r w:rsidR="00115447">
        <w:rPr>
          <w:rFonts w:ascii="华文楷体" w:hAnsi="华文楷体" w:hint="eastAsia"/>
          <w:sz w:val="24"/>
          <w:szCs w:val="24"/>
          <w:lang w:eastAsia="zh-CN"/>
        </w:rPr>
        <w:t>下行</w:t>
      </w:r>
      <w:r w:rsidR="008448D5">
        <w:rPr>
          <w:rFonts w:ascii="华文楷体" w:hAnsi="华文楷体" w:hint="eastAsia"/>
          <w:sz w:val="24"/>
          <w:szCs w:val="24"/>
          <w:lang w:eastAsia="zh-CN"/>
        </w:rPr>
        <w:t>61</w:t>
      </w:r>
      <w:r w:rsidR="00D9413F">
        <w:rPr>
          <w:rFonts w:ascii="华文楷体" w:hAnsi="华文楷体" w:hint="eastAsia"/>
          <w:sz w:val="24"/>
          <w:szCs w:val="24"/>
          <w:lang w:eastAsia="zh-CN"/>
        </w:rPr>
        <w:t>BP至</w:t>
      </w:r>
      <w:r w:rsidR="00C15F3D">
        <w:rPr>
          <w:rFonts w:ascii="华文楷体" w:hAnsi="华文楷体"/>
          <w:sz w:val="24"/>
          <w:szCs w:val="24"/>
          <w:lang w:eastAsia="zh-CN"/>
        </w:rPr>
        <w:t>2</w:t>
      </w:r>
      <w:r w:rsidR="00515400">
        <w:rPr>
          <w:rFonts w:ascii="华文楷体" w:hAnsi="华文楷体" w:hint="eastAsia"/>
          <w:sz w:val="24"/>
          <w:szCs w:val="24"/>
          <w:lang w:eastAsia="zh-CN"/>
        </w:rPr>
        <w:t>.</w:t>
      </w:r>
      <w:r w:rsidR="008448D5">
        <w:rPr>
          <w:rFonts w:ascii="华文楷体" w:hAnsi="华文楷体" w:hint="eastAsia"/>
          <w:sz w:val="24"/>
          <w:szCs w:val="24"/>
          <w:lang w:eastAsia="zh-CN"/>
        </w:rPr>
        <w:t>25</w:t>
      </w:r>
      <w:r>
        <w:rPr>
          <w:rFonts w:ascii="华文楷体" w:hAnsi="华文楷体" w:hint="eastAsia"/>
          <w:sz w:val="24"/>
          <w:szCs w:val="24"/>
          <w:lang w:eastAsia="zh-CN"/>
        </w:rPr>
        <w:t>%</w:t>
      </w:r>
      <w:r w:rsidR="007F77B5">
        <w:rPr>
          <w:rFonts w:ascii="华文楷体" w:hAnsi="华文楷体" w:hint="eastAsia"/>
          <w:sz w:val="24"/>
          <w:szCs w:val="24"/>
          <w:lang w:eastAsia="zh-CN"/>
        </w:rPr>
        <w:t>，</w:t>
      </w:r>
      <w:r w:rsidR="009C77AF">
        <w:rPr>
          <w:rFonts w:ascii="华文楷体" w:hAnsi="华文楷体" w:hint="eastAsia"/>
          <w:sz w:val="24"/>
          <w:szCs w:val="24"/>
          <w:lang w:eastAsia="zh-CN"/>
        </w:rPr>
        <w:t>开盘利率</w:t>
      </w:r>
      <w:r w:rsidR="00DA0B17">
        <w:rPr>
          <w:rFonts w:ascii="华文楷体" w:hAnsi="华文楷体" w:hint="eastAsia"/>
          <w:sz w:val="24"/>
          <w:szCs w:val="24"/>
          <w:lang w:eastAsia="zh-CN"/>
        </w:rPr>
        <w:t>未变化</w:t>
      </w:r>
      <w:r w:rsidR="00847EB6">
        <w:rPr>
          <w:rFonts w:ascii="华文楷体" w:hAnsi="华文楷体" w:hint="eastAsia"/>
          <w:sz w:val="24"/>
          <w:szCs w:val="24"/>
          <w:lang w:eastAsia="zh-CN"/>
        </w:rPr>
        <w:t>，</w:t>
      </w:r>
      <w:r w:rsidR="00ED7CCC">
        <w:rPr>
          <w:rFonts w:ascii="华文楷体" w:hAnsi="华文楷体" w:hint="eastAsia"/>
          <w:sz w:val="24"/>
          <w:szCs w:val="24"/>
          <w:lang w:eastAsia="zh-CN"/>
        </w:rPr>
        <w:t>隔夜利率和</w:t>
      </w:r>
      <w:r w:rsidR="00B92F0A">
        <w:rPr>
          <w:rFonts w:ascii="华文楷体" w:hAnsi="华文楷体" w:hint="eastAsia"/>
          <w:sz w:val="24"/>
          <w:szCs w:val="24"/>
          <w:lang w:eastAsia="zh-CN"/>
        </w:rPr>
        <w:t>7</w:t>
      </w:r>
      <w:r w:rsidR="00ED7CCC">
        <w:rPr>
          <w:rFonts w:ascii="华文楷体" w:hAnsi="华文楷体" w:hint="eastAsia"/>
          <w:sz w:val="24"/>
          <w:szCs w:val="24"/>
          <w:lang w:eastAsia="zh-CN"/>
        </w:rPr>
        <w:t>天利率</w:t>
      </w:r>
      <w:r w:rsidR="00C15F3D">
        <w:rPr>
          <w:rFonts w:ascii="华文楷体" w:hAnsi="华文楷体" w:hint="eastAsia"/>
          <w:sz w:val="24"/>
          <w:szCs w:val="24"/>
          <w:lang w:eastAsia="zh-CN"/>
        </w:rPr>
        <w:t>利差</w:t>
      </w:r>
      <w:r w:rsidR="008448D5">
        <w:rPr>
          <w:rFonts w:ascii="华文楷体" w:hAnsi="华文楷体" w:hint="eastAsia"/>
          <w:sz w:val="24"/>
          <w:szCs w:val="24"/>
          <w:lang w:eastAsia="zh-CN"/>
        </w:rPr>
        <w:t>走平</w:t>
      </w:r>
      <w:r w:rsidR="002D361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0"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A41E5B">
        <w:tblPrEx>
          <w:tblCellMar>
            <w:left w:w="108" w:type="dxa"/>
            <w:right w:w="108" w:type="dxa"/>
          </w:tblCellMar>
        </w:tblPrEx>
        <w:trPr>
          <w:jc w:val="center"/>
        </w:trPr>
        <w:tc>
          <w:tcPr>
            <w:tcW w:w="4939" w:type="dxa"/>
            <w:vAlign w:val="center"/>
          </w:tcPr>
          <w:p w14:paraId="60AEAEDC" w14:textId="103DBABC" w:rsidR="00E0626C" w:rsidRPr="003C6AC1" w:rsidRDefault="00A41E5B" w:rsidP="009A2BA0">
            <w:pPr>
              <w:jc w:val="center"/>
              <w:rPr>
                <w:noProof/>
                <w:sz w:val="20"/>
              </w:rPr>
            </w:pPr>
            <w:r>
              <w:rPr>
                <w:noProof/>
              </w:rPr>
              <w:drawing>
                <wp:inline distT="0" distB="0" distL="0" distR="0" wp14:anchorId="2B3183C2" wp14:editId="7329E5AB">
                  <wp:extent cx="2999105" cy="1768729"/>
                  <wp:effectExtent l="0" t="0" r="0" b="3175"/>
                  <wp:docPr id="1" name="图表 1">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287706CA" w14:textId="66CE6445" w:rsidR="00E0626C" w:rsidRPr="002A111A" w:rsidRDefault="00A41E5B" w:rsidP="009A2BA0">
            <w:pPr>
              <w:jc w:val="center"/>
              <w:rPr>
                <w:noProof/>
                <w:sz w:val="14"/>
                <w:szCs w:val="14"/>
              </w:rPr>
            </w:pPr>
            <w:r>
              <w:rPr>
                <w:noProof/>
              </w:rPr>
              <w:drawing>
                <wp:inline distT="0" distB="0" distL="0" distR="0" wp14:anchorId="16E9AC05" wp14:editId="295CB4ED">
                  <wp:extent cx="3094330" cy="1737360"/>
                  <wp:effectExtent l="0" t="0" r="0" b="0"/>
                  <wp:docPr id="2" name="图表 2">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0"/>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33F356F9" w14:textId="74CF1865" w:rsidR="00A917BC" w:rsidRPr="00A917BC" w:rsidRDefault="0093645F" w:rsidP="00A917BC">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利率债</w:t>
      </w:r>
      <w:r w:rsidR="0064451B">
        <w:rPr>
          <w:rFonts w:ascii="华文楷体" w:hAnsi="华文楷体" w:hint="eastAsia"/>
          <w:sz w:val="24"/>
          <w:szCs w:val="24"/>
          <w:lang w:eastAsia="zh-CN"/>
        </w:rPr>
        <w:t>方面，</w:t>
      </w:r>
      <w:r w:rsidR="002A67E1">
        <w:rPr>
          <w:rFonts w:ascii="华文楷体" w:hAnsi="华文楷体" w:hint="eastAsia"/>
          <w:sz w:val="24"/>
          <w:szCs w:val="24"/>
          <w:lang w:eastAsia="zh-CN"/>
        </w:rPr>
        <w:t>受</w:t>
      </w:r>
      <w:proofErr w:type="gramStart"/>
      <w:r w:rsidR="002A67E1">
        <w:rPr>
          <w:rFonts w:ascii="华文楷体" w:hAnsi="华文楷体" w:hint="eastAsia"/>
          <w:sz w:val="24"/>
          <w:szCs w:val="24"/>
          <w:lang w:eastAsia="zh-CN"/>
        </w:rPr>
        <w:t>央行降准落地</w:t>
      </w:r>
      <w:proofErr w:type="gramEnd"/>
      <w:r w:rsidR="002A67E1">
        <w:rPr>
          <w:rFonts w:ascii="华文楷体" w:hAnsi="华文楷体" w:hint="eastAsia"/>
          <w:sz w:val="24"/>
          <w:szCs w:val="24"/>
          <w:lang w:eastAsia="zh-CN"/>
        </w:rPr>
        <w:t>影响，各期限品种快速下行</w:t>
      </w:r>
      <w:r w:rsidR="00E83AD6">
        <w:rPr>
          <w:rFonts w:ascii="华文楷体" w:hAnsi="华文楷体" w:hint="eastAsia"/>
          <w:sz w:val="24"/>
          <w:szCs w:val="24"/>
          <w:lang w:eastAsia="zh-CN"/>
        </w:rPr>
        <w:t>，</w:t>
      </w:r>
      <w:r w:rsidR="002A67E1">
        <w:rPr>
          <w:rFonts w:ascii="华文楷体" w:hAnsi="华文楷体" w:hint="eastAsia"/>
          <w:sz w:val="24"/>
          <w:szCs w:val="24"/>
          <w:lang w:eastAsia="zh-CN"/>
        </w:rPr>
        <w:t>整体曲线走平</w:t>
      </w:r>
      <w:r w:rsidR="006629A0">
        <w:rPr>
          <w:rFonts w:ascii="华文楷体" w:hAnsi="华文楷体" w:hint="eastAsia"/>
          <w:sz w:val="24"/>
          <w:szCs w:val="24"/>
          <w:lang w:eastAsia="zh-CN"/>
        </w:rPr>
        <w:t>。</w:t>
      </w:r>
      <w:r w:rsidR="0016431D">
        <w:rPr>
          <w:rFonts w:ascii="华文楷体" w:hAnsi="华文楷体" w:hint="eastAsia"/>
          <w:sz w:val="24"/>
          <w:szCs w:val="24"/>
          <w:lang w:eastAsia="zh-CN"/>
        </w:rPr>
        <w:t>市场表现情况</w:t>
      </w:r>
      <w:r w:rsidR="00F62F43">
        <w:rPr>
          <w:rFonts w:ascii="华文楷体" w:hAnsi="华文楷体" w:hint="eastAsia"/>
          <w:sz w:val="24"/>
          <w:szCs w:val="24"/>
          <w:lang w:eastAsia="zh-CN"/>
        </w:rPr>
        <w:t>，</w:t>
      </w:r>
      <w:r w:rsidR="00A327C0">
        <w:rPr>
          <w:rFonts w:ascii="华文楷体" w:hAnsi="华文楷体" w:hint="eastAsia"/>
          <w:sz w:val="24"/>
          <w:szCs w:val="24"/>
          <w:lang w:eastAsia="zh-CN"/>
        </w:rPr>
        <w:t>国债10年和1Y期限利差</w:t>
      </w:r>
      <w:r w:rsidR="00F62F43">
        <w:rPr>
          <w:rFonts w:ascii="华文楷体" w:hAnsi="华文楷体" w:hint="eastAsia"/>
          <w:sz w:val="24"/>
          <w:szCs w:val="24"/>
          <w:lang w:eastAsia="zh-CN"/>
        </w:rPr>
        <w:t>在</w:t>
      </w:r>
      <w:r w:rsidR="00E83AD6">
        <w:rPr>
          <w:rFonts w:ascii="华文楷体" w:hAnsi="华文楷体" w:hint="eastAsia"/>
          <w:sz w:val="24"/>
          <w:szCs w:val="24"/>
          <w:lang w:eastAsia="zh-CN"/>
        </w:rPr>
        <w:t>6</w:t>
      </w:r>
      <w:r w:rsidR="002A67E1">
        <w:rPr>
          <w:rFonts w:ascii="华文楷体" w:hAnsi="华文楷体" w:hint="eastAsia"/>
          <w:sz w:val="24"/>
          <w:szCs w:val="24"/>
          <w:lang w:eastAsia="zh-CN"/>
        </w:rPr>
        <w:t>6</w:t>
      </w:r>
      <w:r w:rsidR="002F2A1A">
        <w:rPr>
          <w:rFonts w:ascii="华文楷体" w:hAnsi="华文楷体" w:hint="eastAsia"/>
          <w:sz w:val="24"/>
          <w:szCs w:val="24"/>
          <w:lang w:eastAsia="zh-CN"/>
        </w:rPr>
        <w:t>BP</w:t>
      </w:r>
      <w:r w:rsidR="00F62F43">
        <w:rPr>
          <w:rFonts w:ascii="华文楷体" w:hAnsi="华文楷体" w:hint="eastAsia"/>
          <w:sz w:val="24"/>
          <w:szCs w:val="24"/>
          <w:lang w:eastAsia="zh-CN"/>
        </w:rPr>
        <w:t>，</w:t>
      </w:r>
      <w:proofErr w:type="gramStart"/>
      <w:r w:rsidR="00F62F43">
        <w:rPr>
          <w:rFonts w:ascii="华文楷体" w:hAnsi="华文楷体" w:hint="eastAsia"/>
          <w:sz w:val="24"/>
          <w:szCs w:val="24"/>
          <w:lang w:eastAsia="zh-CN"/>
        </w:rPr>
        <w:t>国开债</w:t>
      </w:r>
      <w:proofErr w:type="gramEnd"/>
      <w:r w:rsidR="00F62F43">
        <w:rPr>
          <w:rFonts w:ascii="华文楷体" w:hAnsi="华文楷体" w:hint="eastAsia"/>
          <w:sz w:val="24"/>
          <w:szCs w:val="24"/>
          <w:lang w:eastAsia="zh-CN"/>
        </w:rPr>
        <w:t>10Y与1Y利差在</w:t>
      </w:r>
      <w:r w:rsidR="00B17B47">
        <w:rPr>
          <w:rFonts w:ascii="华文楷体" w:hAnsi="华文楷体" w:hint="eastAsia"/>
          <w:sz w:val="24"/>
          <w:szCs w:val="24"/>
          <w:lang w:eastAsia="zh-CN"/>
        </w:rPr>
        <w:t>9</w:t>
      </w:r>
      <w:r w:rsidR="002A67E1">
        <w:rPr>
          <w:rFonts w:ascii="华文楷体" w:hAnsi="华文楷体" w:hint="eastAsia"/>
          <w:sz w:val="24"/>
          <w:szCs w:val="24"/>
          <w:lang w:eastAsia="zh-CN"/>
        </w:rPr>
        <w:t>6</w:t>
      </w:r>
      <w:r w:rsidR="00F62F43">
        <w:rPr>
          <w:rFonts w:ascii="华文楷体" w:hAnsi="华文楷体" w:hint="eastAsia"/>
          <w:sz w:val="24"/>
          <w:szCs w:val="24"/>
          <w:lang w:eastAsia="zh-CN"/>
        </w:rPr>
        <w:t>BP</w:t>
      </w:r>
      <w:r w:rsidR="006C1830">
        <w:rPr>
          <w:rFonts w:ascii="华文楷体" w:hAnsi="华文楷体"/>
          <w:sz w:val="24"/>
          <w:szCs w:val="24"/>
          <w:lang w:eastAsia="zh-CN"/>
        </w:rPr>
        <w:t>。</w:t>
      </w:r>
      <w:r w:rsidR="0092340D">
        <w:rPr>
          <w:rFonts w:ascii="华文楷体" w:hAnsi="华文楷体" w:hint="eastAsia"/>
          <w:sz w:val="24"/>
          <w:szCs w:val="24"/>
          <w:lang w:eastAsia="zh-CN"/>
        </w:rPr>
        <w:t>最终，</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sidR="0090039B">
        <w:rPr>
          <w:rFonts w:ascii="华文楷体" w:hAnsi="华文楷体" w:hint="eastAsia"/>
          <w:sz w:val="24"/>
          <w:szCs w:val="24"/>
          <w:lang w:eastAsia="zh-CN"/>
        </w:rPr>
        <w:t>下行</w:t>
      </w:r>
      <w:r w:rsidR="002A67E1">
        <w:rPr>
          <w:rFonts w:ascii="华文楷体" w:hAnsi="华文楷体" w:hint="eastAsia"/>
          <w:sz w:val="24"/>
          <w:szCs w:val="24"/>
          <w:lang w:eastAsia="zh-CN"/>
        </w:rPr>
        <w:t>7.0</w:t>
      </w:r>
      <w:r w:rsidR="00087119">
        <w:rPr>
          <w:rFonts w:ascii="华文楷体" w:hAnsi="华文楷体"/>
          <w:sz w:val="24"/>
          <w:szCs w:val="24"/>
          <w:lang w:eastAsia="zh-CN"/>
        </w:rPr>
        <w:t>B</w:t>
      </w:r>
      <w:r w:rsidR="0092340D">
        <w:rPr>
          <w:rFonts w:ascii="华文楷体" w:hAnsi="华文楷体" w:hint="eastAsia"/>
          <w:sz w:val="24"/>
          <w:szCs w:val="24"/>
          <w:lang w:eastAsia="zh-CN"/>
        </w:rPr>
        <w:t>P，10Y</w:t>
      </w:r>
      <w:proofErr w:type="gramStart"/>
      <w:r w:rsidR="00202D86">
        <w:rPr>
          <w:rFonts w:ascii="华文楷体" w:hAnsi="华文楷体" w:hint="eastAsia"/>
          <w:sz w:val="24"/>
          <w:szCs w:val="24"/>
          <w:lang w:eastAsia="zh-CN"/>
        </w:rPr>
        <w:t>国开</w:t>
      </w:r>
      <w:r w:rsidR="004F02B1">
        <w:rPr>
          <w:rFonts w:ascii="华文楷体" w:hAnsi="华文楷体" w:hint="eastAsia"/>
          <w:sz w:val="24"/>
          <w:szCs w:val="24"/>
          <w:lang w:eastAsia="zh-CN"/>
        </w:rPr>
        <w:t>债</w:t>
      </w:r>
      <w:r w:rsidR="00E83AD6">
        <w:rPr>
          <w:rFonts w:ascii="华文楷体" w:hAnsi="华文楷体" w:hint="eastAsia"/>
          <w:sz w:val="24"/>
          <w:szCs w:val="24"/>
          <w:lang w:eastAsia="zh-CN"/>
        </w:rPr>
        <w:t>下行</w:t>
      </w:r>
      <w:proofErr w:type="gramEnd"/>
      <w:r w:rsidR="002A67E1">
        <w:rPr>
          <w:rFonts w:ascii="华文楷体" w:hAnsi="华文楷体" w:hint="eastAsia"/>
          <w:sz w:val="24"/>
          <w:szCs w:val="24"/>
          <w:lang w:eastAsia="zh-CN"/>
        </w:rPr>
        <w:t>6.6</w:t>
      </w:r>
      <w:r w:rsidR="00DD03B3">
        <w:rPr>
          <w:rFonts w:ascii="华文楷体" w:hAnsi="华文楷体" w:hint="eastAsia"/>
          <w:sz w:val="24"/>
          <w:szCs w:val="24"/>
          <w:lang w:eastAsia="zh-CN"/>
        </w:rPr>
        <w:t>BP</w:t>
      </w:r>
      <w:r w:rsidR="0092340D">
        <w:rPr>
          <w:rFonts w:ascii="华文楷体" w:hAnsi="华文楷体" w:hint="eastAsia"/>
          <w:sz w:val="24"/>
          <w:szCs w:val="24"/>
          <w:lang w:eastAsia="zh-CN"/>
        </w:rPr>
        <w:t>，</w:t>
      </w:r>
      <w:r w:rsidR="003848B1">
        <w:rPr>
          <w:rFonts w:ascii="华文楷体" w:hAnsi="华文楷体" w:hint="eastAsia"/>
          <w:sz w:val="24"/>
          <w:szCs w:val="24"/>
          <w:lang w:eastAsia="zh-CN"/>
        </w:rPr>
        <w:t>10Y</w:t>
      </w:r>
      <w:proofErr w:type="gramStart"/>
      <w:r w:rsidR="003848B1">
        <w:rPr>
          <w:rFonts w:ascii="华文楷体" w:hAnsi="华文楷体" w:hint="eastAsia"/>
          <w:sz w:val="24"/>
          <w:szCs w:val="24"/>
          <w:lang w:eastAsia="zh-CN"/>
        </w:rPr>
        <w:t>期限国开债</w:t>
      </w:r>
      <w:proofErr w:type="gramEnd"/>
      <w:r w:rsidR="003848B1">
        <w:rPr>
          <w:rFonts w:ascii="华文楷体" w:hAnsi="华文楷体" w:hint="eastAsia"/>
          <w:sz w:val="24"/>
          <w:szCs w:val="24"/>
          <w:lang w:eastAsia="zh-CN"/>
        </w:rPr>
        <w:t>和国债利</w:t>
      </w:r>
      <w:proofErr w:type="gramStart"/>
      <w:r w:rsidR="003848B1">
        <w:rPr>
          <w:rFonts w:ascii="华文楷体" w:hAnsi="华文楷体" w:hint="eastAsia"/>
          <w:sz w:val="24"/>
          <w:szCs w:val="24"/>
          <w:lang w:eastAsia="zh-CN"/>
        </w:rPr>
        <w:t>差</w:t>
      </w:r>
      <w:r w:rsidR="00B20149">
        <w:rPr>
          <w:rFonts w:ascii="华文楷体" w:hAnsi="华文楷体" w:hint="eastAsia"/>
          <w:sz w:val="24"/>
          <w:szCs w:val="24"/>
          <w:lang w:eastAsia="zh-CN"/>
        </w:rPr>
        <w:t>维持</w:t>
      </w:r>
      <w:proofErr w:type="gramEnd"/>
      <w:r w:rsidR="00B20149">
        <w:rPr>
          <w:rFonts w:ascii="华文楷体" w:hAnsi="华文楷体" w:hint="eastAsia"/>
          <w:sz w:val="24"/>
          <w:szCs w:val="24"/>
          <w:lang w:eastAsia="zh-CN"/>
        </w:rPr>
        <w:t>在</w:t>
      </w:r>
      <w:r w:rsidR="00E83AD6">
        <w:rPr>
          <w:rFonts w:ascii="华文楷体" w:hAnsi="华文楷体" w:hint="eastAsia"/>
          <w:sz w:val="24"/>
          <w:szCs w:val="24"/>
          <w:lang w:eastAsia="zh-CN"/>
        </w:rPr>
        <w:t>4</w:t>
      </w:r>
      <w:r w:rsidR="00F37490">
        <w:rPr>
          <w:rFonts w:ascii="华文楷体" w:hAnsi="华文楷体" w:hint="eastAsia"/>
          <w:sz w:val="24"/>
          <w:szCs w:val="24"/>
          <w:lang w:eastAsia="zh-CN"/>
        </w:rPr>
        <w:t>0</w:t>
      </w:r>
      <w:r w:rsidR="00176815">
        <w:rPr>
          <w:rFonts w:ascii="华文楷体" w:hAnsi="华文楷体"/>
          <w:sz w:val="24"/>
          <w:szCs w:val="24"/>
          <w:lang w:eastAsia="zh-CN"/>
        </w:rPr>
        <w:t>B</w:t>
      </w:r>
      <w:r w:rsidR="003848B1">
        <w:rPr>
          <w:rFonts w:ascii="华文楷体" w:hAnsi="华文楷体" w:hint="eastAsia"/>
          <w:sz w:val="24"/>
          <w:szCs w:val="24"/>
          <w:lang w:eastAsia="zh-CN"/>
        </w:rPr>
        <w:t>P</w:t>
      </w:r>
      <w:r w:rsidR="00A917B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proofErr w:type="gramStart"/>
            <w:r>
              <w:rPr>
                <w:rFonts w:hint="eastAsia"/>
              </w:rPr>
              <w:t>国开债收益率曲线</w:t>
            </w:r>
            <w:proofErr w:type="gramEnd"/>
            <w:r>
              <w:rPr>
                <w:rFonts w:hint="eastAsia"/>
              </w:rPr>
              <w:t>和变化</w:t>
            </w:r>
          </w:p>
        </w:tc>
      </w:tr>
      <w:tr w:rsidR="00E0626C" w:rsidRPr="006A5F34" w14:paraId="1094FBBD" w14:textId="77777777" w:rsidTr="00A41E5B">
        <w:tblPrEx>
          <w:tblCellMar>
            <w:left w:w="108" w:type="dxa"/>
            <w:right w:w="108" w:type="dxa"/>
          </w:tblCellMar>
        </w:tblPrEx>
        <w:trPr>
          <w:jc w:val="center"/>
        </w:trPr>
        <w:tc>
          <w:tcPr>
            <w:tcW w:w="4939" w:type="dxa"/>
            <w:vAlign w:val="center"/>
          </w:tcPr>
          <w:p w14:paraId="678C97B0" w14:textId="647CE9E9" w:rsidR="00E0626C" w:rsidRPr="007E0340" w:rsidRDefault="00A41E5B" w:rsidP="002104B2">
            <w:pPr>
              <w:rPr>
                <w:noProof/>
              </w:rPr>
            </w:pPr>
            <w:r>
              <w:rPr>
                <w:noProof/>
              </w:rPr>
              <w:drawing>
                <wp:inline distT="0" distB="0" distL="0" distR="0" wp14:anchorId="272688A8" wp14:editId="6495BFD6">
                  <wp:extent cx="2999105" cy="1758010"/>
                  <wp:effectExtent l="0" t="0" r="0" b="0"/>
                  <wp:docPr id="3" name="图表 3">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38" w:type="dxa"/>
            <w:vAlign w:val="center"/>
          </w:tcPr>
          <w:p w14:paraId="17A42E68" w14:textId="72DB122E" w:rsidR="00E0626C" w:rsidRPr="007E0340" w:rsidRDefault="00A41E5B" w:rsidP="009A2BA0">
            <w:pPr>
              <w:jc w:val="center"/>
              <w:rPr>
                <w:noProof/>
                <w:szCs w:val="18"/>
              </w:rPr>
            </w:pPr>
            <w:r>
              <w:rPr>
                <w:noProof/>
              </w:rPr>
              <w:drawing>
                <wp:inline distT="0" distB="0" distL="0" distR="0" wp14:anchorId="59556EC3" wp14:editId="5FED697B">
                  <wp:extent cx="2998470" cy="1743279"/>
                  <wp:effectExtent l="0" t="0" r="0" b="0"/>
                  <wp:docPr id="4" name="图表 4">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lastRenderedPageBreak/>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33FDD8BC" w14:textId="62E0C6C2" w:rsidR="00D97370" w:rsidRPr="00D97370" w:rsidRDefault="00305223" w:rsidP="00DA6CA4">
      <w:pPr>
        <w:pStyle w:val="Body-text"/>
        <w:spacing w:after="240"/>
        <w:ind w:firstLineChars="200" w:firstLine="480"/>
        <w:rPr>
          <w:rFonts w:ascii="华文楷体" w:hAnsi="华文楷体"/>
          <w:sz w:val="24"/>
          <w:szCs w:val="24"/>
          <w:lang w:eastAsia="zh-CN"/>
        </w:rPr>
      </w:pPr>
      <w:r w:rsidRPr="00305223">
        <w:rPr>
          <w:rFonts w:ascii="华文楷体" w:hAnsi="华文楷体" w:hint="eastAsia"/>
          <w:sz w:val="24"/>
          <w:szCs w:val="24"/>
          <w:lang w:eastAsia="zh-CN"/>
        </w:rPr>
        <w:t>信用债</w:t>
      </w:r>
      <w:r w:rsidR="003F59A9">
        <w:rPr>
          <w:rFonts w:ascii="华文楷体" w:hAnsi="华文楷体" w:hint="eastAsia"/>
          <w:sz w:val="24"/>
          <w:szCs w:val="24"/>
          <w:lang w:eastAsia="zh-CN"/>
        </w:rPr>
        <w:t>方面，</w:t>
      </w:r>
      <w:r w:rsidR="002E0C5D">
        <w:rPr>
          <w:rFonts w:ascii="华文楷体" w:hAnsi="华文楷体" w:hint="eastAsia"/>
          <w:sz w:val="24"/>
          <w:szCs w:val="24"/>
          <w:lang w:eastAsia="zh-CN"/>
        </w:rPr>
        <w:t>跨季归来后</w:t>
      </w:r>
      <w:r w:rsidR="00D14130">
        <w:rPr>
          <w:rFonts w:ascii="华文楷体" w:hAnsi="华文楷体" w:hint="eastAsia"/>
          <w:sz w:val="24"/>
          <w:szCs w:val="24"/>
          <w:lang w:eastAsia="zh-CN"/>
        </w:rPr>
        <w:t>各期限收益率</w:t>
      </w:r>
      <w:r w:rsidR="002E0C5D">
        <w:rPr>
          <w:rFonts w:ascii="华文楷体" w:hAnsi="华文楷体" w:hint="eastAsia"/>
          <w:sz w:val="24"/>
          <w:szCs w:val="24"/>
          <w:lang w:eastAsia="zh-CN"/>
        </w:rPr>
        <w:t>持续</w:t>
      </w:r>
      <w:r w:rsidR="00C230F0">
        <w:rPr>
          <w:rFonts w:ascii="华文楷体" w:hAnsi="华文楷体" w:hint="eastAsia"/>
          <w:sz w:val="24"/>
          <w:szCs w:val="24"/>
          <w:lang w:eastAsia="zh-CN"/>
        </w:rPr>
        <w:t>快速</w:t>
      </w:r>
      <w:r w:rsidR="00EC722C">
        <w:rPr>
          <w:rFonts w:ascii="华文楷体" w:hAnsi="华文楷体" w:hint="eastAsia"/>
          <w:sz w:val="24"/>
          <w:szCs w:val="24"/>
          <w:lang w:eastAsia="zh-CN"/>
        </w:rPr>
        <w:t>下行</w:t>
      </w:r>
      <w:r w:rsidR="002E0C5D">
        <w:rPr>
          <w:rFonts w:ascii="华文楷体" w:hAnsi="华文楷体" w:hint="eastAsia"/>
          <w:sz w:val="24"/>
          <w:szCs w:val="24"/>
          <w:lang w:eastAsia="zh-CN"/>
        </w:rPr>
        <w:t>，部分敏感区域信用风险偏好有所好转</w:t>
      </w:r>
      <w:r w:rsidR="008011F8" w:rsidRPr="008011F8">
        <w:rPr>
          <w:rFonts w:ascii="华文楷体" w:hAnsi="华文楷体" w:hint="eastAsia"/>
          <w:sz w:val="24"/>
          <w:szCs w:val="24"/>
          <w:lang w:eastAsia="zh-CN"/>
        </w:rPr>
        <w:t>。1Y</w:t>
      </w:r>
      <w:proofErr w:type="gramStart"/>
      <w:r w:rsidR="00D14130">
        <w:rPr>
          <w:rFonts w:ascii="华文楷体" w:hAnsi="华文楷体" w:hint="eastAsia"/>
          <w:sz w:val="24"/>
          <w:szCs w:val="24"/>
          <w:lang w:eastAsia="zh-CN"/>
        </w:rPr>
        <w:t>期限短融下行</w:t>
      </w:r>
      <w:proofErr w:type="gramEnd"/>
      <w:r w:rsidR="002E0C5D">
        <w:rPr>
          <w:rFonts w:ascii="华文楷体" w:hAnsi="华文楷体" w:hint="eastAsia"/>
          <w:sz w:val="24"/>
          <w:szCs w:val="24"/>
          <w:lang w:eastAsia="zh-CN"/>
        </w:rPr>
        <w:t>6-8</w:t>
      </w:r>
      <w:r w:rsidR="008011F8" w:rsidRPr="008011F8">
        <w:rPr>
          <w:rFonts w:ascii="华文楷体" w:hAnsi="华文楷体" w:hint="eastAsia"/>
          <w:sz w:val="24"/>
          <w:szCs w:val="24"/>
          <w:lang w:eastAsia="zh-CN"/>
        </w:rPr>
        <w:t>BP，3年AAA</w:t>
      </w:r>
      <w:r w:rsidR="00D14130">
        <w:rPr>
          <w:rFonts w:ascii="华文楷体" w:hAnsi="华文楷体" w:hint="eastAsia"/>
          <w:sz w:val="24"/>
          <w:szCs w:val="24"/>
          <w:lang w:eastAsia="zh-CN"/>
        </w:rPr>
        <w:t>企业债下行</w:t>
      </w:r>
      <w:r w:rsidR="002E0C5D">
        <w:rPr>
          <w:rFonts w:ascii="华文楷体" w:hAnsi="华文楷体" w:hint="eastAsia"/>
          <w:sz w:val="24"/>
          <w:szCs w:val="24"/>
          <w:lang w:eastAsia="zh-CN"/>
        </w:rPr>
        <w:t>12-14</w:t>
      </w:r>
      <w:r w:rsidR="008011F8" w:rsidRPr="008011F8">
        <w:rPr>
          <w:rFonts w:ascii="华文楷体" w:hAnsi="华文楷体" w:hint="eastAsia"/>
          <w:sz w:val="24"/>
          <w:szCs w:val="24"/>
          <w:lang w:eastAsia="zh-CN"/>
        </w:rPr>
        <w:t>BP，5Y企业债</w:t>
      </w:r>
      <w:r w:rsidR="00657F44">
        <w:rPr>
          <w:rFonts w:ascii="华文楷体" w:hAnsi="华文楷体" w:hint="eastAsia"/>
          <w:sz w:val="24"/>
          <w:szCs w:val="24"/>
          <w:lang w:eastAsia="zh-CN"/>
        </w:rPr>
        <w:t>下行</w:t>
      </w:r>
      <w:r w:rsidR="00EC722C">
        <w:rPr>
          <w:rFonts w:ascii="华文楷体" w:hAnsi="华文楷体" w:hint="eastAsia"/>
          <w:sz w:val="24"/>
          <w:szCs w:val="24"/>
          <w:lang w:eastAsia="zh-CN"/>
        </w:rPr>
        <w:t>8</w:t>
      </w:r>
      <w:r w:rsidR="002E0C5D">
        <w:rPr>
          <w:rFonts w:ascii="华文楷体" w:hAnsi="华文楷体" w:hint="eastAsia"/>
          <w:sz w:val="24"/>
          <w:szCs w:val="24"/>
          <w:lang w:eastAsia="zh-CN"/>
        </w:rPr>
        <w:t>-11</w:t>
      </w:r>
      <w:r w:rsidR="008011F8" w:rsidRPr="008011F8">
        <w:rPr>
          <w:rFonts w:ascii="华文楷体" w:hAnsi="华文楷体" w:hint="eastAsia"/>
          <w:sz w:val="24"/>
          <w:szCs w:val="24"/>
          <w:lang w:eastAsia="zh-CN"/>
        </w:rPr>
        <w:t>BP</w:t>
      </w:r>
      <w:r w:rsidR="00657F44">
        <w:rPr>
          <w:rFonts w:ascii="华文楷体" w:hAnsi="华文楷体" w:hint="eastAsia"/>
          <w:sz w:val="24"/>
          <w:szCs w:val="24"/>
          <w:lang w:eastAsia="zh-CN"/>
        </w:rPr>
        <w:t>左右</w:t>
      </w:r>
      <w:r w:rsidR="008011F8" w:rsidRPr="008011F8">
        <w:rPr>
          <w:rFonts w:ascii="华文楷体" w:hAnsi="华文楷体" w:hint="eastAsia"/>
          <w:sz w:val="24"/>
          <w:szCs w:val="24"/>
          <w:lang w:eastAsia="zh-CN"/>
        </w:rPr>
        <w:t>，</w:t>
      </w:r>
      <w:proofErr w:type="gramStart"/>
      <w:r w:rsidR="008011F8" w:rsidRPr="008011F8">
        <w:rPr>
          <w:rFonts w:ascii="华文楷体" w:hAnsi="华文楷体" w:hint="eastAsia"/>
          <w:sz w:val="24"/>
          <w:szCs w:val="24"/>
          <w:lang w:eastAsia="zh-CN"/>
        </w:rPr>
        <w:t>城投债</w:t>
      </w:r>
      <w:proofErr w:type="gramEnd"/>
      <w:r w:rsidR="008011F8" w:rsidRPr="008011F8">
        <w:rPr>
          <w:rFonts w:ascii="华文楷体" w:hAnsi="华文楷体" w:hint="eastAsia"/>
          <w:sz w:val="24"/>
          <w:szCs w:val="24"/>
          <w:lang w:eastAsia="zh-CN"/>
        </w:rPr>
        <w:t>3Y期限品种</w:t>
      </w:r>
      <w:r w:rsidR="00D14130">
        <w:rPr>
          <w:rFonts w:ascii="华文楷体" w:hAnsi="华文楷体" w:hint="eastAsia"/>
          <w:sz w:val="24"/>
          <w:szCs w:val="24"/>
          <w:lang w:eastAsia="zh-CN"/>
        </w:rPr>
        <w:t>下行</w:t>
      </w:r>
      <w:r w:rsidR="002E0C5D">
        <w:rPr>
          <w:rFonts w:ascii="华文楷体" w:hAnsi="华文楷体" w:hint="eastAsia"/>
          <w:sz w:val="24"/>
          <w:szCs w:val="24"/>
          <w:lang w:eastAsia="zh-CN"/>
        </w:rPr>
        <w:t>8</w:t>
      </w:r>
      <w:r w:rsidR="00EC722C">
        <w:rPr>
          <w:rFonts w:ascii="华文楷体" w:hAnsi="华文楷体" w:hint="eastAsia"/>
          <w:sz w:val="24"/>
          <w:szCs w:val="24"/>
          <w:lang w:eastAsia="zh-CN"/>
        </w:rPr>
        <w:t>-10</w:t>
      </w:r>
      <w:r w:rsidR="008011F8" w:rsidRPr="008011F8">
        <w:rPr>
          <w:rFonts w:ascii="华文楷体" w:hAnsi="华文楷体" w:hint="eastAsia"/>
          <w:sz w:val="24"/>
          <w:szCs w:val="24"/>
          <w:lang w:eastAsia="zh-CN"/>
        </w:rPr>
        <w:t>BP，5Y品种</w:t>
      </w:r>
      <w:r w:rsidR="00D14130">
        <w:rPr>
          <w:rFonts w:ascii="华文楷体" w:hAnsi="华文楷体" w:hint="eastAsia"/>
          <w:sz w:val="24"/>
          <w:szCs w:val="24"/>
          <w:lang w:eastAsia="zh-CN"/>
        </w:rPr>
        <w:t>下行</w:t>
      </w:r>
      <w:r w:rsidR="002E0C5D">
        <w:rPr>
          <w:rFonts w:ascii="华文楷体" w:hAnsi="华文楷体" w:hint="eastAsia"/>
          <w:sz w:val="24"/>
          <w:szCs w:val="24"/>
          <w:lang w:eastAsia="zh-CN"/>
        </w:rPr>
        <w:t>9-10</w:t>
      </w:r>
      <w:r w:rsidR="008011F8" w:rsidRPr="008011F8">
        <w:rPr>
          <w:rFonts w:ascii="华文楷体" w:hAnsi="华文楷体" w:hint="eastAsia"/>
          <w:sz w:val="24"/>
          <w:szCs w:val="24"/>
          <w:lang w:eastAsia="zh-CN"/>
        </w:rPr>
        <w:t>BP，7Y品种</w:t>
      </w:r>
      <w:r w:rsidR="00D14130">
        <w:rPr>
          <w:rFonts w:ascii="华文楷体" w:hAnsi="华文楷体" w:hint="eastAsia"/>
          <w:sz w:val="24"/>
          <w:szCs w:val="24"/>
          <w:lang w:eastAsia="zh-CN"/>
        </w:rPr>
        <w:t>下行</w:t>
      </w:r>
      <w:r w:rsidR="002E0C5D">
        <w:rPr>
          <w:rFonts w:ascii="华文楷体" w:hAnsi="华文楷体" w:hint="eastAsia"/>
          <w:sz w:val="24"/>
          <w:szCs w:val="24"/>
          <w:lang w:eastAsia="zh-CN"/>
        </w:rPr>
        <w:t>5-6</w:t>
      </w:r>
      <w:r w:rsidR="008011F8" w:rsidRPr="008011F8">
        <w:rPr>
          <w:rFonts w:ascii="华文楷体" w:hAnsi="华文楷体" w:hint="eastAsia"/>
          <w:sz w:val="24"/>
          <w:szCs w:val="24"/>
          <w:lang w:eastAsia="zh-CN"/>
        </w:rPr>
        <w:t>BP左右。</w:t>
      </w:r>
      <w:r w:rsidR="00DA6CA4">
        <w:rPr>
          <w:rFonts w:ascii="华文楷体" w:hAnsi="华文楷体" w:hint="eastAsia"/>
          <w:sz w:val="24"/>
          <w:szCs w:val="24"/>
          <w:lang w:eastAsia="zh-CN"/>
        </w:rPr>
        <w:t>具体来看</w:t>
      </w:r>
      <w:r w:rsidR="00602D14">
        <w:rPr>
          <w:rFonts w:ascii="华文楷体" w:hAnsi="华文楷体" w:hint="eastAsia"/>
          <w:sz w:val="24"/>
          <w:szCs w:val="24"/>
          <w:lang w:eastAsia="zh-CN"/>
        </w:rPr>
        <w:t>收益率分位数，</w:t>
      </w:r>
      <w:r w:rsidR="00305C7B">
        <w:rPr>
          <w:rFonts w:ascii="华文楷体" w:hAnsi="华文楷体" w:hint="eastAsia"/>
          <w:sz w:val="24"/>
          <w:szCs w:val="24"/>
          <w:lang w:eastAsia="zh-CN"/>
        </w:rPr>
        <w:t>1Y品种</w:t>
      </w:r>
      <w:r w:rsidR="009929B6">
        <w:rPr>
          <w:rFonts w:ascii="华文楷体" w:hAnsi="华文楷体" w:hint="eastAsia"/>
          <w:sz w:val="24"/>
          <w:szCs w:val="24"/>
          <w:lang w:eastAsia="zh-CN"/>
        </w:rPr>
        <w:t>收益率分位数</w:t>
      </w:r>
      <w:r w:rsidR="00DA6CA4">
        <w:rPr>
          <w:rFonts w:ascii="华文楷体" w:hAnsi="华文楷体" w:hint="eastAsia"/>
          <w:sz w:val="24"/>
          <w:szCs w:val="24"/>
          <w:lang w:eastAsia="zh-CN"/>
        </w:rPr>
        <w:t>在</w:t>
      </w:r>
      <w:r w:rsidR="002E0C5D">
        <w:rPr>
          <w:rFonts w:ascii="华文楷体" w:hAnsi="华文楷体" w:hint="eastAsia"/>
          <w:sz w:val="24"/>
          <w:szCs w:val="24"/>
          <w:lang w:eastAsia="zh-CN"/>
        </w:rPr>
        <w:t>17</w:t>
      </w:r>
      <w:r w:rsidR="00EC722C">
        <w:rPr>
          <w:rFonts w:ascii="华文楷体" w:hAnsi="华文楷体" w:hint="eastAsia"/>
          <w:sz w:val="24"/>
          <w:szCs w:val="24"/>
          <w:lang w:eastAsia="zh-CN"/>
        </w:rPr>
        <w:t>-2</w:t>
      </w:r>
      <w:r w:rsidR="002E0C5D">
        <w:rPr>
          <w:rFonts w:ascii="华文楷体" w:hAnsi="华文楷体" w:hint="eastAsia"/>
          <w:sz w:val="24"/>
          <w:szCs w:val="24"/>
          <w:lang w:eastAsia="zh-CN"/>
        </w:rPr>
        <w:t>0</w:t>
      </w:r>
      <w:r w:rsidR="00DA6CA4">
        <w:rPr>
          <w:rFonts w:ascii="华文楷体" w:hAnsi="华文楷体" w:hint="eastAsia"/>
          <w:sz w:val="24"/>
          <w:szCs w:val="24"/>
          <w:lang w:eastAsia="zh-CN"/>
        </w:rPr>
        <w:t>%</w:t>
      </w:r>
      <w:r w:rsidR="009111E9">
        <w:rPr>
          <w:rFonts w:ascii="华文楷体" w:hAnsi="华文楷体" w:hint="eastAsia"/>
          <w:sz w:val="24"/>
          <w:szCs w:val="24"/>
          <w:lang w:eastAsia="zh-CN"/>
        </w:rPr>
        <w:t>以内</w:t>
      </w:r>
      <w:r w:rsidR="009929B6">
        <w:rPr>
          <w:rFonts w:ascii="华文楷体" w:hAnsi="华文楷体" w:hint="eastAsia"/>
          <w:sz w:val="24"/>
          <w:szCs w:val="24"/>
          <w:lang w:eastAsia="zh-CN"/>
        </w:rPr>
        <w:t>；</w:t>
      </w:r>
      <w:r w:rsidR="00305C7B">
        <w:rPr>
          <w:rFonts w:ascii="华文楷体" w:hAnsi="华文楷体" w:hint="eastAsia"/>
          <w:sz w:val="24"/>
          <w:szCs w:val="24"/>
          <w:lang w:eastAsia="zh-CN"/>
        </w:rPr>
        <w:t>3Y品种</w:t>
      </w:r>
      <w:r w:rsidR="009929B6">
        <w:rPr>
          <w:rFonts w:ascii="华文楷体" w:hAnsi="华文楷体" w:hint="eastAsia"/>
          <w:sz w:val="24"/>
          <w:szCs w:val="24"/>
          <w:lang w:eastAsia="zh-CN"/>
        </w:rPr>
        <w:t>收益率分位数在</w:t>
      </w:r>
      <w:r w:rsidR="0093645F">
        <w:rPr>
          <w:rFonts w:ascii="华文楷体" w:hAnsi="华文楷体" w:hint="eastAsia"/>
          <w:sz w:val="24"/>
          <w:szCs w:val="24"/>
          <w:lang w:eastAsia="zh-CN"/>
        </w:rPr>
        <w:t>1</w:t>
      </w:r>
      <w:r w:rsidR="002E0C5D">
        <w:rPr>
          <w:rFonts w:ascii="华文楷体" w:hAnsi="华文楷体" w:hint="eastAsia"/>
          <w:sz w:val="24"/>
          <w:szCs w:val="24"/>
          <w:lang w:eastAsia="zh-CN"/>
        </w:rPr>
        <w:t>0-14</w:t>
      </w:r>
      <w:r w:rsidR="009929B6">
        <w:rPr>
          <w:rFonts w:ascii="华文楷体" w:hAnsi="华文楷体" w:hint="eastAsia"/>
          <w:sz w:val="24"/>
          <w:szCs w:val="24"/>
          <w:lang w:eastAsia="zh-CN"/>
        </w:rPr>
        <w:t>%</w:t>
      </w:r>
      <w:r w:rsidR="00DA6CA4">
        <w:rPr>
          <w:rFonts w:ascii="华文楷体" w:hAnsi="华文楷体" w:hint="eastAsia"/>
          <w:sz w:val="24"/>
          <w:szCs w:val="24"/>
          <w:lang w:eastAsia="zh-CN"/>
        </w:rPr>
        <w:t>区间</w:t>
      </w:r>
      <w:r w:rsidR="007E213A">
        <w:rPr>
          <w:rFonts w:ascii="华文楷体" w:hAnsi="华文楷体" w:hint="eastAsia"/>
          <w:sz w:val="24"/>
          <w:szCs w:val="24"/>
          <w:lang w:eastAsia="zh-CN"/>
        </w:rPr>
        <w:t>；</w:t>
      </w:r>
      <w:r w:rsidR="009929B6">
        <w:rPr>
          <w:rFonts w:ascii="华文楷体" w:hAnsi="华文楷体" w:hint="eastAsia"/>
          <w:sz w:val="24"/>
          <w:szCs w:val="24"/>
          <w:lang w:eastAsia="zh-CN"/>
        </w:rPr>
        <w:t>5</w:t>
      </w:r>
      <w:r w:rsidR="009929B6">
        <w:rPr>
          <w:rFonts w:ascii="华文楷体" w:hAnsi="华文楷体"/>
          <w:sz w:val="24"/>
          <w:szCs w:val="24"/>
          <w:lang w:eastAsia="zh-CN"/>
        </w:rPr>
        <w:t>Y</w:t>
      </w:r>
      <w:r w:rsidR="009929B6">
        <w:rPr>
          <w:rFonts w:ascii="华文楷体" w:hAnsi="华文楷体" w:hint="eastAsia"/>
          <w:sz w:val="24"/>
          <w:szCs w:val="24"/>
          <w:lang w:eastAsia="zh-CN"/>
        </w:rPr>
        <w:t>及7</w:t>
      </w:r>
      <w:r w:rsidR="009929B6">
        <w:rPr>
          <w:rFonts w:ascii="华文楷体" w:hAnsi="华文楷体"/>
          <w:sz w:val="24"/>
          <w:szCs w:val="24"/>
          <w:lang w:eastAsia="zh-CN"/>
        </w:rPr>
        <w:t>Y</w:t>
      </w:r>
      <w:r w:rsidR="009929B6">
        <w:rPr>
          <w:rFonts w:ascii="华文楷体" w:hAnsi="华文楷体" w:hint="eastAsia"/>
          <w:sz w:val="24"/>
          <w:szCs w:val="24"/>
          <w:lang w:eastAsia="zh-CN"/>
        </w:rPr>
        <w:t>等</w:t>
      </w:r>
      <w:r w:rsidR="00B344C0">
        <w:rPr>
          <w:rFonts w:ascii="华文楷体" w:hAnsi="华文楷体" w:hint="eastAsia"/>
          <w:sz w:val="24"/>
          <w:szCs w:val="24"/>
          <w:lang w:eastAsia="zh-CN"/>
        </w:rPr>
        <w:t>中长期</w:t>
      </w:r>
      <w:proofErr w:type="gramStart"/>
      <w:r w:rsidR="00B344C0">
        <w:rPr>
          <w:rFonts w:ascii="华文楷体" w:hAnsi="华文楷体" w:hint="eastAsia"/>
          <w:sz w:val="24"/>
          <w:szCs w:val="24"/>
          <w:lang w:eastAsia="zh-CN"/>
        </w:rPr>
        <w:t>限品种</w:t>
      </w:r>
      <w:proofErr w:type="gramEnd"/>
      <w:r w:rsidR="00B344C0">
        <w:rPr>
          <w:rFonts w:ascii="华文楷体" w:hAnsi="华文楷体" w:hint="eastAsia"/>
          <w:sz w:val="24"/>
          <w:szCs w:val="24"/>
          <w:lang w:eastAsia="zh-CN"/>
        </w:rPr>
        <w:t>处于</w:t>
      </w:r>
      <w:r w:rsidR="00EC722C">
        <w:rPr>
          <w:rFonts w:ascii="华文楷体" w:hAnsi="华文楷体" w:hint="eastAsia"/>
          <w:sz w:val="24"/>
          <w:szCs w:val="24"/>
          <w:lang w:eastAsia="zh-CN"/>
        </w:rPr>
        <w:t>5</w:t>
      </w:r>
      <w:r w:rsidR="002E0C5D">
        <w:rPr>
          <w:rFonts w:ascii="华文楷体" w:hAnsi="华文楷体" w:hint="eastAsia"/>
          <w:sz w:val="24"/>
          <w:szCs w:val="24"/>
          <w:lang w:eastAsia="zh-CN"/>
        </w:rPr>
        <w:t>-10</w:t>
      </w:r>
      <w:r w:rsidR="00B344C0">
        <w:rPr>
          <w:rFonts w:ascii="华文楷体" w:hAnsi="华文楷体" w:hint="eastAsia"/>
          <w:sz w:val="24"/>
          <w:szCs w:val="24"/>
          <w:lang w:eastAsia="zh-CN"/>
        </w:rPr>
        <w:t>%</w:t>
      </w:r>
      <w:r w:rsidR="004F1AB3">
        <w:rPr>
          <w:rFonts w:ascii="华文楷体" w:hAnsi="华文楷体" w:hint="eastAsia"/>
          <w:sz w:val="24"/>
          <w:szCs w:val="24"/>
          <w:lang w:eastAsia="zh-CN"/>
        </w:rPr>
        <w:t>分位数</w:t>
      </w:r>
      <w:r w:rsidR="00A55DFD">
        <w:rPr>
          <w:rFonts w:ascii="华文楷体" w:hAnsi="华文楷体" w:hint="eastAsia"/>
          <w:sz w:val="24"/>
          <w:szCs w:val="24"/>
          <w:lang w:eastAsia="zh-CN"/>
        </w:rPr>
        <w:t>。</w:t>
      </w:r>
    </w:p>
    <w:tbl>
      <w:tblPr>
        <w:tblW w:w="9713" w:type="dxa"/>
        <w:jc w:val="center"/>
        <w:tblCellMar>
          <w:left w:w="0" w:type="dxa"/>
          <w:right w:w="0" w:type="dxa"/>
        </w:tblCellMar>
        <w:tblLook w:val="01E0" w:firstRow="1" w:lastRow="1" w:firstColumn="1" w:lastColumn="1" w:noHBand="0" w:noVBand="0"/>
      </w:tblPr>
      <w:tblGrid>
        <w:gridCol w:w="9864"/>
      </w:tblGrid>
      <w:tr w:rsidR="00E0626C" w:rsidRPr="00F966B6" w14:paraId="5602CC82" w14:textId="77777777" w:rsidTr="00220902">
        <w:trPr>
          <w:trHeight w:val="360"/>
          <w:jc w:val="center"/>
        </w:trPr>
        <w:tc>
          <w:tcPr>
            <w:tcW w:w="9713" w:type="dxa"/>
            <w:vAlign w:val="center"/>
          </w:tcPr>
          <w:p w14:paraId="1C0DBC70" w14:textId="4A8BBE5E" w:rsidR="00E0626C" w:rsidRPr="006A5F34" w:rsidRDefault="00E0626C" w:rsidP="009A2BA0">
            <w:pPr>
              <w:pStyle w:val="ChartHeading"/>
              <w:jc w:val="both"/>
            </w:pPr>
            <w:r w:rsidRPr="006A5F34">
              <w:rPr>
                <w:rFonts w:hint="eastAsia"/>
              </w:rPr>
              <w:t>图表</w:t>
            </w:r>
            <w:r w:rsidRPr="006A5F34">
              <w:t xml:space="preserve">. </w:t>
            </w:r>
            <w:r w:rsidR="00F966B6">
              <w:rPr>
                <w:rFonts w:hint="eastAsia"/>
              </w:rPr>
              <w:t>信用债收益率、利差变化情况</w:t>
            </w:r>
          </w:p>
        </w:tc>
      </w:tr>
      <w:tr w:rsidR="00E0626C" w:rsidRPr="006A5F34" w14:paraId="1114B583" w14:textId="77777777" w:rsidTr="00220902">
        <w:tblPrEx>
          <w:tblCellMar>
            <w:left w:w="108" w:type="dxa"/>
            <w:right w:w="108" w:type="dxa"/>
          </w:tblCellMar>
        </w:tblPrEx>
        <w:trPr>
          <w:trHeight w:val="4663"/>
          <w:jc w:val="center"/>
        </w:trPr>
        <w:tc>
          <w:tcPr>
            <w:tcW w:w="9713" w:type="dxa"/>
            <w:vAlign w:val="center"/>
          </w:tcPr>
          <w:tbl>
            <w:tblPr>
              <w:tblW w:w="9874" w:type="dxa"/>
              <w:tblLook w:val="04A0" w:firstRow="1" w:lastRow="0" w:firstColumn="1" w:lastColumn="0" w:noHBand="0" w:noVBand="1"/>
            </w:tblPr>
            <w:tblGrid>
              <w:gridCol w:w="1121"/>
              <w:gridCol w:w="920"/>
              <w:gridCol w:w="921"/>
              <w:gridCol w:w="921"/>
              <w:gridCol w:w="921"/>
              <w:gridCol w:w="1150"/>
              <w:gridCol w:w="921"/>
              <w:gridCol w:w="921"/>
              <w:gridCol w:w="921"/>
              <w:gridCol w:w="921"/>
            </w:tblGrid>
            <w:tr w:rsidR="002E0C5D" w:rsidRPr="002E0C5D" w14:paraId="6B46FD41" w14:textId="77777777" w:rsidTr="002E0C5D">
              <w:trPr>
                <w:trHeight w:val="285"/>
              </w:trPr>
              <w:tc>
                <w:tcPr>
                  <w:tcW w:w="1151" w:type="dxa"/>
                  <w:tcBorders>
                    <w:top w:val="nil"/>
                    <w:left w:val="nil"/>
                    <w:bottom w:val="single" w:sz="12" w:space="0" w:color="FFFFFF"/>
                    <w:right w:val="single" w:sz="8" w:space="0" w:color="FFFFFF"/>
                  </w:tcBorders>
                  <w:shd w:val="clear" w:color="000000" w:fill="F79646"/>
                  <w:noWrap/>
                  <w:vAlign w:val="center"/>
                  <w:hideMark/>
                </w:tcPr>
                <w:p w14:paraId="757DD014" w14:textId="77777777" w:rsidR="002E0C5D" w:rsidRPr="002E0C5D" w:rsidRDefault="002E0C5D" w:rsidP="002E0C5D">
                  <w:pPr>
                    <w:widowControl/>
                    <w:jc w:val="center"/>
                    <w:rPr>
                      <w:rFonts w:ascii="楷体" w:eastAsia="楷体" w:hAnsi="楷体" w:cs="宋体"/>
                      <w:b/>
                      <w:bCs/>
                      <w:color w:val="FFFFFF"/>
                      <w:kern w:val="0"/>
                      <w:sz w:val="20"/>
                      <w:szCs w:val="20"/>
                    </w:rPr>
                  </w:pPr>
                  <w:r w:rsidRPr="002E0C5D">
                    <w:rPr>
                      <w:rFonts w:ascii="楷体" w:eastAsia="楷体" w:hAnsi="楷体" w:cs="宋体" w:hint="eastAsia"/>
                      <w:b/>
                      <w:bCs/>
                      <w:color w:val="FFFFFF"/>
                      <w:kern w:val="0"/>
                      <w:sz w:val="20"/>
                      <w:szCs w:val="20"/>
                    </w:rPr>
                    <w:t>收益率(%)</w:t>
                  </w:r>
                </w:p>
              </w:tc>
              <w:tc>
                <w:tcPr>
                  <w:tcW w:w="943" w:type="dxa"/>
                  <w:tcBorders>
                    <w:top w:val="nil"/>
                    <w:left w:val="nil"/>
                    <w:bottom w:val="single" w:sz="12" w:space="0" w:color="FFFFFF"/>
                    <w:right w:val="single" w:sz="8" w:space="0" w:color="FFFFFF"/>
                  </w:tcBorders>
                  <w:shd w:val="clear" w:color="000000" w:fill="F79646"/>
                  <w:noWrap/>
                  <w:vAlign w:val="center"/>
                  <w:hideMark/>
                </w:tcPr>
                <w:p w14:paraId="76A481AE" w14:textId="77777777" w:rsidR="002E0C5D" w:rsidRPr="002E0C5D" w:rsidRDefault="002E0C5D" w:rsidP="002E0C5D">
                  <w:pPr>
                    <w:widowControl/>
                    <w:jc w:val="center"/>
                    <w:rPr>
                      <w:rFonts w:ascii="楷体" w:eastAsia="楷体" w:hAnsi="楷体" w:cs="宋体"/>
                      <w:b/>
                      <w:bCs/>
                      <w:color w:val="FFFFFF"/>
                      <w:kern w:val="0"/>
                      <w:sz w:val="20"/>
                      <w:szCs w:val="20"/>
                    </w:rPr>
                  </w:pPr>
                  <w:r w:rsidRPr="002E0C5D">
                    <w:rPr>
                      <w:rFonts w:ascii="楷体" w:eastAsia="楷体" w:hAnsi="楷体" w:cs="宋体" w:hint="eastAsia"/>
                      <w:b/>
                      <w:bCs/>
                      <w:color w:val="FFFFFF"/>
                      <w:kern w:val="0"/>
                      <w:sz w:val="20"/>
                      <w:szCs w:val="20"/>
                    </w:rPr>
                    <w:t>AAA</w:t>
                  </w:r>
                </w:p>
              </w:tc>
              <w:tc>
                <w:tcPr>
                  <w:tcW w:w="943" w:type="dxa"/>
                  <w:tcBorders>
                    <w:top w:val="nil"/>
                    <w:left w:val="nil"/>
                    <w:bottom w:val="single" w:sz="12" w:space="0" w:color="FFFFFF"/>
                    <w:right w:val="single" w:sz="8" w:space="0" w:color="FFFFFF"/>
                  </w:tcBorders>
                  <w:shd w:val="clear" w:color="000000" w:fill="F79646"/>
                  <w:noWrap/>
                  <w:vAlign w:val="center"/>
                  <w:hideMark/>
                </w:tcPr>
                <w:p w14:paraId="200FD824" w14:textId="77777777" w:rsidR="002E0C5D" w:rsidRPr="002E0C5D" w:rsidRDefault="002E0C5D" w:rsidP="002E0C5D">
                  <w:pPr>
                    <w:widowControl/>
                    <w:jc w:val="center"/>
                    <w:rPr>
                      <w:rFonts w:ascii="楷体" w:eastAsia="楷体" w:hAnsi="楷体" w:cs="宋体"/>
                      <w:b/>
                      <w:bCs/>
                      <w:color w:val="FFFFFF"/>
                      <w:kern w:val="0"/>
                      <w:sz w:val="20"/>
                      <w:szCs w:val="20"/>
                    </w:rPr>
                  </w:pPr>
                  <w:r w:rsidRPr="002E0C5D">
                    <w:rPr>
                      <w:rFonts w:ascii="楷体" w:eastAsia="楷体" w:hAnsi="楷体" w:cs="宋体" w:hint="eastAsia"/>
                      <w:b/>
                      <w:bCs/>
                      <w:color w:val="FFFFFF"/>
                      <w:kern w:val="0"/>
                      <w:sz w:val="20"/>
                      <w:szCs w:val="20"/>
                    </w:rPr>
                    <w:t>AA+</w:t>
                  </w:r>
                </w:p>
              </w:tc>
              <w:tc>
                <w:tcPr>
                  <w:tcW w:w="943" w:type="dxa"/>
                  <w:tcBorders>
                    <w:top w:val="nil"/>
                    <w:left w:val="nil"/>
                    <w:bottom w:val="single" w:sz="12" w:space="0" w:color="FFFFFF"/>
                    <w:right w:val="single" w:sz="8" w:space="0" w:color="FFFFFF"/>
                  </w:tcBorders>
                  <w:shd w:val="clear" w:color="000000" w:fill="F79646"/>
                  <w:noWrap/>
                  <w:vAlign w:val="center"/>
                  <w:hideMark/>
                </w:tcPr>
                <w:p w14:paraId="1AE38E29" w14:textId="77777777" w:rsidR="002E0C5D" w:rsidRPr="002E0C5D" w:rsidRDefault="002E0C5D" w:rsidP="002E0C5D">
                  <w:pPr>
                    <w:widowControl/>
                    <w:jc w:val="center"/>
                    <w:rPr>
                      <w:rFonts w:ascii="楷体" w:eastAsia="楷体" w:hAnsi="楷体" w:cs="宋体"/>
                      <w:b/>
                      <w:bCs/>
                      <w:color w:val="FFFFFF"/>
                      <w:kern w:val="0"/>
                      <w:sz w:val="20"/>
                      <w:szCs w:val="20"/>
                    </w:rPr>
                  </w:pPr>
                  <w:r w:rsidRPr="002E0C5D">
                    <w:rPr>
                      <w:rFonts w:ascii="楷体" w:eastAsia="楷体" w:hAnsi="楷体" w:cs="宋体" w:hint="eastAsia"/>
                      <w:b/>
                      <w:bCs/>
                      <w:color w:val="FFFFFF"/>
                      <w:kern w:val="0"/>
                      <w:sz w:val="20"/>
                      <w:szCs w:val="20"/>
                    </w:rPr>
                    <w:t>AA</w:t>
                  </w:r>
                </w:p>
              </w:tc>
              <w:tc>
                <w:tcPr>
                  <w:tcW w:w="943" w:type="dxa"/>
                  <w:tcBorders>
                    <w:top w:val="nil"/>
                    <w:left w:val="nil"/>
                    <w:bottom w:val="single" w:sz="12" w:space="0" w:color="FFFFFF"/>
                    <w:right w:val="single" w:sz="8" w:space="0" w:color="FFFFFF"/>
                  </w:tcBorders>
                  <w:shd w:val="clear" w:color="000000" w:fill="F79646"/>
                  <w:noWrap/>
                  <w:vAlign w:val="center"/>
                  <w:hideMark/>
                </w:tcPr>
                <w:p w14:paraId="26D16D66" w14:textId="77777777" w:rsidR="002E0C5D" w:rsidRPr="002E0C5D" w:rsidRDefault="002E0C5D" w:rsidP="002E0C5D">
                  <w:pPr>
                    <w:widowControl/>
                    <w:jc w:val="center"/>
                    <w:rPr>
                      <w:rFonts w:ascii="楷体" w:eastAsia="楷体" w:hAnsi="楷体" w:cs="宋体"/>
                      <w:b/>
                      <w:bCs/>
                      <w:color w:val="FFFFFF"/>
                      <w:kern w:val="0"/>
                      <w:sz w:val="20"/>
                      <w:szCs w:val="20"/>
                    </w:rPr>
                  </w:pPr>
                  <w:r w:rsidRPr="002E0C5D">
                    <w:rPr>
                      <w:rFonts w:ascii="楷体" w:eastAsia="楷体" w:hAnsi="楷体" w:cs="宋体" w:hint="eastAsia"/>
                      <w:b/>
                      <w:bCs/>
                      <w:color w:val="FFFFFF"/>
                      <w:kern w:val="0"/>
                      <w:sz w:val="20"/>
                      <w:szCs w:val="20"/>
                    </w:rPr>
                    <w:t>AA-</w:t>
                  </w:r>
                </w:p>
              </w:tc>
              <w:tc>
                <w:tcPr>
                  <w:tcW w:w="1179" w:type="dxa"/>
                  <w:tcBorders>
                    <w:top w:val="nil"/>
                    <w:left w:val="nil"/>
                    <w:bottom w:val="single" w:sz="12" w:space="0" w:color="FFFFFF"/>
                    <w:right w:val="single" w:sz="8" w:space="0" w:color="FFFFFF"/>
                  </w:tcBorders>
                  <w:shd w:val="clear" w:color="000000" w:fill="F79646"/>
                  <w:noWrap/>
                  <w:vAlign w:val="center"/>
                  <w:hideMark/>
                </w:tcPr>
                <w:p w14:paraId="4B5EA5DD" w14:textId="77777777" w:rsidR="002E0C5D" w:rsidRPr="002E0C5D" w:rsidRDefault="002E0C5D" w:rsidP="002E0C5D">
                  <w:pPr>
                    <w:widowControl/>
                    <w:jc w:val="center"/>
                    <w:rPr>
                      <w:rFonts w:ascii="楷体" w:eastAsia="楷体" w:hAnsi="楷体" w:cs="宋体"/>
                      <w:b/>
                      <w:bCs/>
                      <w:color w:val="FFFFFF"/>
                      <w:kern w:val="0"/>
                      <w:sz w:val="20"/>
                      <w:szCs w:val="20"/>
                    </w:rPr>
                  </w:pPr>
                  <w:r w:rsidRPr="002E0C5D">
                    <w:rPr>
                      <w:rFonts w:ascii="楷体" w:eastAsia="楷体" w:hAnsi="楷体" w:cs="宋体" w:hint="eastAsia"/>
                      <w:b/>
                      <w:bCs/>
                      <w:color w:val="FFFFFF"/>
                      <w:kern w:val="0"/>
                      <w:sz w:val="20"/>
                      <w:szCs w:val="20"/>
                    </w:rPr>
                    <w:t>息差</w:t>
                  </w:r>
                </w:p>
              </w:tc>
              <w:tc>
                <w:tcPr>
                  <w:tcW w:w="943" w:type="dxa"/>
                  <w:tcBorders>
                    <w:top w:val="nil"/>
                    <w:left w:val="nil"/>
                    <w:bottom w:val="single" w:sz="12" w:space="0" w:color="FFFFFF"/>
                    <w:right w:val="single" w:sz="8" w:space="0" w:color="FFFFFF"/>
                  </w:tcBorders>
                  <w:shd w:val="clear" w:color="000000" w:fill="F79646"/>
                  <w:noWrap/>
                  <w:vAlign w:val="center"/>
                  <w:hideMark/>
                </w:tcPr>
                <w:p w14:paraId="090DF7E4" w14:textId="77777777" w:rsidR="002E0C5D" w:rsidRPr="002E0C5D" w:rsidRDefault="002E0C5D" w:rsidP="002E0C5D">
                  <w:pPr>
                    <w:widowControl/>
                    <w:jc w:val="center"/>
                    <w:rPr>
                      <w:rFonts w:ascii="楷体" w:eastAsia="楷体" w:hAnsi="楷体" w:cs="宋体"/>
                      <w:b/>
                      <w:bCs/>
                      <w:color w:val="FFFFFF"/>
                      <w:kern w:val="0"/>
                      <w:sz w:val="20"/>
                      <w:szCs w:val="20"/>
                    </w:rPr>
                  </w:pPr>
                  <w:r w:rsidRPr="002E0C5D">
                    <w:rPr>
                      <w:rFonts w:ascii="楷体" w:eastAsia="楷体" w:hAnsi="楷体" w:cs="宋体" w:hint="eastAsia"/>
                      <w:b/>
                      <w:bCs/>
                      <w:color w:val="FFFFFF"/>
                      <w:kern w:val="0"/>
                      <w:sz w:val="20"/>
                      <w:szCs w:val="20"/>
                    </w:rPr>
                    <w:t>AAA</w:t>
                  </w:r>
                </w:p>
              </w:tc>
              <w:tc>
                <w:tcPr>
                  <w:tcW w:w="943" w:type="dxa"/>
                  <w:tcBorders>
                    <w:top w:val="nil"/>
                    <w:left w:val="nil"/>
                    <w:bottom w:val="single" w:sz="12" w:space="0" w:color="FFFFFF"/>
                    <w:right w:val="single" w:sz="8" w:space="0" w:color="FFFFFF"/>
                  </w:tcBorders>
                  <w:shd w:val="clear" w:color="000000" w:fill="F79646"/>
                  <w:noWrap/>
                  <w:vAlign w:val="center"/>
                  <w:hideMark/>
                </w:tcPr>
                <w:p w14:paraId="77EB88D1" w14:textId="77777777" w:rsidR="002E0C5D" w:rsidRPr="002E0C5D" w:rsidRDefault="002E0C5D" w:rsidP="002E0C5D">
                  <w:pPr>
                    <w:widowControl/>
                    <w:jc w:val="center"/>
                    <w:rPr>
                      <w:rFonts w:ascii="楷体" w:eastAsia="楷体" w:hAnsi="楷体" w:cs="宋体"/>
                      <w:b/>
                      <w:bCs/>
                      <w:color w:val="FFFFFF"/>
                      <w:kern w:val="0"/>
                      <w:sz w:val="20"/>
                      <w:szCs w:val="20"/>
                    </w:rPr>
                  </w:pPr>
                  <w:r w:rsidRPr="002E0C5D">
                    <w:rPr>
                      <w:rFonts w:ascii="楷体" w:eastAsia="楷体" w:hAnsi="楷体" w:cs="宋体" w:hint="eastAsia"/>
                      <w:b/>
                      <w:bCs/>
                      <w:color w:val="FFFFFF"/>
                      <w:kern w:val="0"/>
                      <w:sz w:val="20"/>
                      <w:szCs w:val="20"/>
                    </w:rPr>
                    <w:t>AA+</w:t>
                  </w:r>
                </w:p>
              </w:tc>
              <w:tc>
                <w:tcPr>
                  <w:tcW w:w="943" w:type="dxa"/>
                  <w:tcBorders>
                    <w:top w:val="nil"/>
                    <w:left w:val="nil"/>
                    <w:bottom w:val="single" w:sz="12" w:space="0" w:color="FFFFFF"/>
                    <w:right w:val="single" w:sz="8" w:space="0" w:color="FFFFFF"/>
                  </w:tcBorders>
                  <w:shd w:val="clear" w:color="000000" w:fill="F79646"/>
                  <w:noWrap/>
                  <w:vAlign w:val="center"/>
                  <w:hideMark/>
                </w:tcPr>
                <w:p w14:paraId="21ECB376" w14:textId="77777777" w:rsidR="002E0C5D" w:rsidRPr="002E0C5D" w:rsidRDefault="002E0C5D" w:rsidP="002E0C5D">
                  <w:pPr>
                    <w:widowControl/>
                    <w:jc w:val="center"/>
                    <w:rPr>
                      <w:rFonts w:ascii="楷体" w:eastAsia="楷体" w:hAnsi="楷体" w:cs="宋体"/>
                      <w:b/>
                      <w:bCs/>
                      <w:color w:val="FFFFFF"/>
                      <w:kern w:val="0"/>
                      <w:sz w:val="20"/>
                      <w:szCs w:val="20"/>
                    </w:rPr>
                  </w:pPr>
                  <w:r w:rsidRPr="002E0C5D">
                    <w:rPr>
                      <w:rFonts w:ascii="楷体" w:eastAsia="楷体" w:hAnsi="楷体" w:cs="宋体" w:hint="eastAsia"/>
                      <w:b/>
                      <w:bCs/>
                      <w:color w:val="FFFFFF"/>
                      <w:kern w:val="0"/>
                      <w:sz w:val="20"/>
                      <w:szCs w:val="20"/>
                    </w:rPr>
                    <w:t>AA</w:t>
                  </w:r>
                </w:p>
              </w:tc>
              <w:tc>
                <w:tcPr>
                  <w:tcW w:w="943" w:type="dxa"/>
                  <w:tcBorders>
                    <w:top w:val="nil"/>
                    <w:left w:val="nil"/>
                    <w:bottom w:val="single" w:sz="12" w:space="0" w:color="FFFFFF"/>
                    <w:right w:val="single" w:sz="8" w:space="0" w:color="FFFFFF"/>
                  </w:tcBorders>
                  <w:shd w:val="clear" w:color="000000" w:fill="F79646"/>
                  <w:noWrap/>
                  <w:vAlign w:val="center"/>
                  <w:hideMark/>
                </w:tcPr>
                <w:p w14:paraId="10AD8153" w14:textId="77777777" w:rsidR="002E0C5D" w:rsidRPr="002E0C5D" w:rsidRDefault="002E0C5D" w:rsidP="002E0C5D">
                  <w:pPr>
                    <w:widowControl/>
                    <w:jc w:val="center"/>
                    <w:rPr>
                      <w:rFonts w:ascii="楷体" w:eastAsia="楷体" w:hAnsi="楷体" w:cs="宋体"/>
                      <w:b/>
                      <w:bCs/>
                      <w:color w:val="FFFFFF"/>
                      <w:kern w:val="0"/>
                      <w:sz w:val="20"/>
                      <w:szCs w:val="20"/>
                    </w:rPr>
                  </w:pPr>
                  <w:r w:rsidRPr="002E0C5D">
                    <w:rPr>
                      <w:rFonts w:ascii="楷体" w:eastAsia="楷体" w:hAnsi="楷体" w:cs="宋体" w:hint="eastAsia"/>
                      <w:b/>
                      <w:bCs/>
                      <w:color w:val="FFFFFF"/>
                      <w:kern w:val="0"/>
                      <w:sz w:val="20"/>
                      <w:szCs w:val="20"/>
                    </w:rPr>
                    <w:t>AA-</w:t>
                  </w:r>
                </w:p>
              </w:tc>
            </w:tr>
            <w:tr w:rsidR="002E0C5D" w:rsidRPr="002E0C5D" w14:paraId="3C9B0ED2" w14:textId="77777777" w:rsidTr="002E0C5D">
              <w:trPr>
                <w:trHeight w:val="315"/>
              </w:trPr>
              <w:tc>
                <w:tcPr>
                  <w:tcW w:w="1151" w:type="dxa"/>
                  <w:tcBorders>
                    <w:top w:val="nil"/>
                    <w:left w:val="nil"/>
                    <w:bottom w:val="single" w:sz="8" w:space="0" w:color="FFFFFF"/>
                    <w:right w:val="single" w:sz="8" w:space="0" w:color="FFFFFF"/>
                  </w:tcBorders>
                  <w:shd w:val="clear" w:color="000000" w:fill="FCD5B4"/>
                  <w:noWrap/>
                  <w:vAlign w:val="center"/>
                  <w:hideMark/>
                </w:tcPr>
                <w:p w14:paraId="1D6E97FB" w14:textId="77777777" w:rsidR="002E0C5D" w:rsidRPr="002E0C5D" w:rsidRDefault="002E0C5D" w:rsidP="002E0C5D">
                  <w:pPr>
                    <w:widowControl/>
                    <w:jc w:val="center"/>
                    <w:rPr>
                      <w:rFonts w:ascii="楷体" w:eastAsia="楷体" w:hAnsi="楷体" w:cs="宋体"/>
                      <w:color w:val="000000"/>
                      <w:kern w:val="0"/>
                      <w:sz w:val="20"/>
                      <w:szCs w:val="20"/>
                    </w:rPr>
                  </w:pPr>
                  <w:r w:rsidRPr="002E0C5D">
                    <w:rPr>
                      <w:rFonts w:ascii="楷体" w:eastAsia="楷体" w:hAnsi="楷体" w:cs="宋体" w:hint="eastAsia"/>
                      <w:color w:val="000000"/>
                      <w:kern w:val="0"/>
                      <w:sz w:val="20"/>
                      <w:szCs w:val="20"/>
                    </w:rPr>
                    <w:t>CP</w:t>
                  </w:r>
                </w:p>
              </w:tc>
              <w:tc>
                <w:tcPr>
                  <w:tcW w:w="943" w:type="dxa"/>
                  <w:tcBorders>
                    <w:top w:val="nil"/>
                    <w:left w:val="nil"/>
                    <w:bottom w:val="single" w:sz="8" w:space="0" w:color="FFFFFF"/>
                    <w:right w:val="single" w:sz="8" w:space="0" w:color="FFFFFF"/>
                  </w:tcBorders>
                  <w:shd w:val="clear" w:color="000000" w:fill="FCD5B4"/>
                  <w:noWrap/>
                  <w:vAlign w:val="center"/>
                  <w:hideMark/>
                </w:tcPr>
                <w:p w14:paraId="36C94B48"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2.88 </w:t>
                  </w:r>
                </w:p>
              </w:tc>
              <w:tc>
                <w:tcPr>
                  <w:tcW w:w="943" w:type="dxa"/>
                  <w:tcBorders>
                    <w:top w:val="nil"/>
                    <w:left w:val="nil"/>
                    <w:bottom w:val="single" w:sz="8" w:space="0" w:color="FFFFFF"/>
                    <w:right w:val="single" w:sz="8" w:space="0" w:color="FFFFFF"/>
                  </w:tcBorders>
                  <w:shd w:val="clear" w:color="000000" w:fill="FCD5B4"/>
                  <w:noWrap/>
                  <w:vAlign w:val="center"/>
                  <w:hideMark/>
                </w:tcPr>
                <w:p w14:paraId="6359CD7D"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2.98 </w:t>
                  </w:r>
                </w:p>
              </w:tc>
              <w:tc>
                <w:tcPr>
                  <w:tcW w:w="943" w:type="dxa"/>
                  <w:tcBorders>
                    <w:top w:val="nil"/>
                    <w:left w:val="nil"/>
                    <w:bottom w:val="single" w:sz="8" w:space="0" w:color="FFFFFF"/>
                    <w:right w:val="single" w:sz="8" w:space="0" w:color="FFFFFF"/>
                  </w:tcBorders>
                  <w:shd w:val="clear" w:color="000000" w:fill="FCD5B4"/>
                  <w:noWrap/>
                  <w:vAlign w:val="center"/>
                  <w:hideMark/>
                </w:tcPr>
                <w:p w14:paraId="072D276E"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3.20 </w:t>
                  </w:r>
                </w:p>
              </w:tc>
              <w:tc>
                <w:tcPr>
                  <w:tcW w:w="943" w:type="dxa"/>
                  <w:tcBorders>
                    <w:top w:val="nil"/>
                    <w:left w:val="nil"/>
                    <w:bottom w:val="single" w:sz="8" w:space="0" w:color="FFFFFF"/>
                    <w:right w:val="single" w:sz="8" w:space="0" w:color="FFFFFF"/>
                  </w:tcBorders>
                  <w:shd w:val="clear" w:color="000000" w:fill="FCD5B4"/>
                  <w:noWrap/>
                  <w:vAlign w:val="center"/>
                  <w:hideMark/>
                </w:tcPr>
                <w:p w14:paraId="6A4E5377"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5.39 </w:t>
                  </w:r>
                </w:p>
              </w:tc>
              <w:tc>
                <w:tcPr>
                  <w:tcW w:w="1179" w:type="dxa"/>
                  <w:tcBorders>
                    <w:top w:val="nil"/>
                    <w:left w:val="nil"/>
                    <w:bottom w:val="single" w:sz="8" w:space="0" w:color="FFFFFF"/>
                    <w:right w:val="single" w:sz="8" w:space="0" w:color="FFFFFF"/>
                  </w:tcBorders>
                  <w:shd w:val="clear" w:color="000000" w:fill="FCD5B4"/>
                  <w:noWrap/>
                  <w:vAlign w:val="center"/>
                  <w:hideMark/>
                </w:tcPr>
                <w:p w14:paraId="59E4F863" w14:textId="77777777" w:rsidR="002E0C5D" w:rsidRPr="002E0C5D" w:rsidRDefault="002E0C5D" w:rsidP="002E0C5D">
                  <w:pPr>
                    <w:widowControl/>
                    <w:jc w:val="center"/>
                    <w:rPr>
                      <w:rFonts w:ascii="楷体" w:eastAsia="楷体" w:hAnsi="楷体" w:cs="宋体"/>
                      <w:color w:val="000000"/>
                      <w:kern w:val="0"/>
                      <w:sz w:val="20"/>
                      <w:szCs w:val="20"/>
                    </w:rPr>
                  </w:pPr>
                  <w:r w:rsidRPr="002E0C5D">
                    <w:rPr>
                      <w:rFonts w:ascii="楷体" w:eastAsia="楷体" w:hAnsi="楷体" w:cs="宋体" w:hint="eastAsia"/>
                      <w:color w:val="000000"/>
                      <w:kern w:val="0"/>
                      <w:sz w:val="20"/>
                      <w:szCs w:val="20"/>
                    </w:rPr>
                    <w:t>CP</w:t>
                  </w:r>
                </w:p>
              </w:tc>
              <w:tc>
                <w:tcPr>
                  <w:tcW w:w="943" w:type="dxa"/>
                  <w:tcBorders>
                    <w:top w:val="nil"/>
                    <w:left w:val="nil"/>
                    <w:bottom w:val="single" w:sz="8" w:space="0" w:color="FFFFFF"/>
                    <w:right w:val="single" w:sz="8" w:space="0" w:color="FFFFFF"/>
                  </w:tcBorders>
                  <w:shd w:val="clear" w:color="000000" w:fill="FCD5B4"/>
                  <w:noWrap/>
                  <w:vAlign w:val="center"/>
                  <w:hideMark/>
                </w:tcPr>
                <w:p w14:paraId="4019C6FB"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0.53 </w:t>
                  </w:r>
                </w:p>
              </w:tc>
              <w:tc>
                <w:tcPr>
                  <w:tcW w:w="943" w:type="dxa"/>
                  <w:tcBorders>
                    <w:top w:val="nil"/>
                    <w:left w:val="nil"/>
                    <w:bottom w:val="single" w:sz="8" w:space="0" w:color="FFFFFF"/>
                    <w:right w:val="single" w:sz="8" w:space="0" w:color="FFFFFF"/>
                  </w:tcBorders>
                  <w:shd w:val="clear" w:color="000000" w:fill="FCD5B4"/>
                  <w:noWrap/>
                  <w:vAlign w:val="center"/>
                  <w:hideMark/>
                </w:tcPr>
                <w:p w14:paraId="37F35CEE"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0.64 </w:t>
                  </w:r>
                </w:p>
              </w:tc>
              <w:tc>
                <w:tcPr>
                  <w:tcW w:w="943" w:type="dxa"/>
                  <w:tcBorders>
                    <w:top w:val="nil"/>
                    <w:left w:val="nil"/>
                    <w:bottom w:val="single" w:sz="8" w:space="0" w:color="FFFFFF"/>
                    <w:right w:val="single" w:sz="8" w:space="0" w:color="FFFFFF"/>
                  </w:tcBorders>
                  <w:shd w:val="clear" w:color="000000" w:fill="FCD5B4"/>
                  <w:noWrap/>
                  <w:vAlign w:val="center"/>
                  <w:hideMark/>
                </w:tcPr>
                <w:p w14:paraId="0E40F6D2"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0.86 </w:t>
                  </w:r>
                </w:p>
              </w:tc>
              <w:tc>
                <w:tcPr>
                  <w:tcW w:w="943" w:type="dxa"/>
                  <w:tcBorders>
                    <w:top w:val="nil"/>
                    <w:left w:val="nil"/>
                    <w:bottom w:val="single" w:sz="8" w:space="0" w:color="FFFFFF"/>
                    <w:right w:val="single" w:sz="8" w:space="0" w:color="FFFFFF"/>
                  </w:tcBorders>
                  <w:shd w:val="clear" w:color="000000" w:fill="FCD5B4"/>
                  <w:noWrap/>
                  <w:vAlign w:val="center"/>
                  <w:hideMark/>
                </w:tcPr>
                <w:p w14:paraId="6D49A064"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3.05 </w:t>
                  </w:r>
                </w:p>
              </w:tc>
            </w:tr>
            <w:tr w:rsidR="002E0C5D" w:rsidRPr="002E0C5D" w14:paraId="3768A9F3" w14:textId="77777777" w:rsidTr="002E0C5D">
              <w:trPr>
                <w:trHeight w:val="300"/>
              </w:trPr>
              <w:tc>
                <w:tcPr>
                  <w:tcW w:w="1151" w:type="dxa"/>
                  <w:tcBorders>
                    <w:top w:val="nil"/>
                    <w:left w:val="nil"/>
                    <w:bottom w:val="single" w:sz="8" w:space="0" w:color="FFFFFF"/>
                    <w:right w:val="single" w:sz="8" w:space="0" w:color="FFFFFF"/>
                  </w:tcBorders>
                  <w:shd w:val="clear" w:color="000000" w:fill="FDE9D9"/>
                  <w:noWrap/>
                  <w:vAlign w:val="center"/>
                  <w:hideMark/>
                </w:tcPr>
                <w:p w14:paraId="239456BF" w14:textId="77777777" w:rsidR="002E0C5D" w:rsidRPr="002E0C5D" w:rsidRDefault="002E0C5D" w:rsidP="002E0C5D">
                  <w:pPr>
                    <w:widowControl/>
                    <w:jc w:val="center"/>
                    <w:rPr>
                      <w:rFonts w:ascii="楷体" w:eastAsia="楷体" w:hAnsi="楷体" w:cs="宋体"/>
                      <w:color w:val="000000"/>
                      <w:kern w:val="0"/>
                      <w:sz w:val="20"/>
                      <w:szCs w:val="20"/>
                    </w:rPr>
                  </w:pPr>
                  <w:r w:rsidRPr="002E0C5D">
                    <w:rPr>
                      <w:rFonts w:ascii="楷体" w:eastAsia="楷体" w:hAnsi="楷体" w:cs="宋体" w:hint="eastAsia"/>
                      <w:color w:val="000000"/>
                      <w:kern w:val="0"/>
                      <w:sz w:val="20"/>
                      <w:szCs w:val="20"/>
                    </w:rPr>
                    <w:t>MTN3Y</w:t>
                  </w:r>
                </w:p>
              </w:tc>
              <w:tc>
                <w:tcPr>
                  <w:tcW w:w="943" w:type="dxa"/>
                  <w:tcBorders>
                    <w:top w:val="nil"/>
                    <w:left w:val="nil"/>
                    <w:bottom w:val="single" w:sz="8" w:space="0" w:color="FFFFFF"/>
                    <w:right w:val="single" w:sz="8" w:space="0" w:color="FFFFFF"/>
                  </w:tcBorders>
                  <w:shd w:val="clear" w:color="000000" w:fill="FDE9D9"/>
                  <w:noWrap/>
                  <w:vAlign w:val="center"/>
                  <w:hideMark/>
                </w:tcPr>
                <w:p w14:paraId="0CD0A9AB"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3.28 </w:t>
                  </w:r>
                </w:p>
              </w:tc>
              <w:tc>
                <w:tcPr>
                  <w:tcW w:w="943" w:type="dxa"/>
                  <w:tcBorders>
                    <w:top w:val="nil"/>
                    <w:left w:val="nil"/>
                    <w:bottom w:val="single" w:sz="8" w:space="0" w:color="FFFFFF"/>
                    <w:right w:val="single" w:sz="8" w:space="0" w:color="FFFFFF"/>
                  </w:tcBorders>
                  <w:shd w:val="clear" w:color="000000" w:fill="FDE9D9"/>
                  <w:noWrap/>
                  <w:vAlign w:val="center"/>
                  <w:hideMark/>
                </w:tcPr>
                <w:p w14:paraId="3C09B527"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3.41 </w:t>
                  </w:r>
                </w:p>
              </w:tc>
              <w:tc>
                <w:tcPr>
                  <w:tcW w:w="943" w:type="dxa"/>
                  <w:tcBorders>
                    <w:top w:val="nil"/>
                    <w:left w:val="nil"/>
                    <w:bottom w:val="single" w:sz="8" w:space="0" w:color="FFFFFF"/>
                    <w:right w:val="single" w:sz="8" w:space="0" w:color="FFFFFF"/>
                  </w:tcBorders>
                  <w:shd w:val="clear" w:color="000000" w:fill="FDE9D9"/>
                  <w:noWrap/>
                  <w:vAlign w:val="center"/>
                  <w:hideMark/>
                </w:tcPr>
                <w:p w14:paraId="5B775D34"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3.88 </w:t>
                  </w:r>
                </w:p>
              </w:tc>
              <w:tc>
                <w:tcPr>
                  <w:tcW w:w="943" w:type="dxa"/>
                  <w:tcBorders>
                    <w:top w:val="nil"/>
                    <w:left w:val="nil"/>
                    <w:bottom w:val="single" w:sz="8" w:space="0" w:color="FFFFFF"/>
                    <w:right w:val="single" w:sz="8" w:space="0" w:color="FFFFFF"/>
                  </w:tcBorders>
                  <w:shd w:val="clear" w:color="000000" w:fill="FDE9D9"/>
                  <w:noWrap/>
                  <w:vAlign w:val="center"/>
                  <w:hideMark/>
                </w:tcPr>
                <w:p w14:paraId="0D3F6B09"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6.07 </w:t>
                  </w:r>
                </w:p>
              </w:tc>
              <w:tc>
                <w:tcPr>
                  <w:tcW w:w="1179" w:type="dxa"/>
                  <w:tcBorders>
                    <w:top w:val="nil"/>
                    <w:left w:val="nil"/>
                    <w:bottom w:val="single" w:sz="8" w:space="0" w:color="FFFFFF"/>
                    <w:right w:val="single" w:sz="8" w:space="0" w:color="FFFFFF"/>
                  </w:tcBorders>
                  <w:shd w:val="clear" w:color="000000" w:fill="FDE9D9"/>
                  <w:noWrap/>
                  <w:vAlign w:val="center"/>
                  <w:hideMark/>
                </w:tcPr>
                <w:p w14:paraId="54F9F543" w14:textId="77777777" w:rsidR="002E0C5D" w:rsidRPr="002E0C5D" w:rsidRDefault="002E0C5D" w:rsidP="002E0C5D">
                  <w:pPr>
                    <w:widowControl/>
                    <w:jc w:val="center"/>
                    <w:rPr>
                      <w:rFonts w:ascii="楷体" w:eastAsia="楷体" w:hAnsi="楷体" w:cs="宋体"/>
                      <w:color w:val="000000"/>
                      <w:kern w:val="0"/>
                      <w:sz w:val="20"/>
                      <w:szCs w:val="20"/>
                    </w:rPr>
                  </w:pPr>
                  <w:r w:rsidRPr="002E0C5D">
                    <w:rPr>
                      <w:rFonts w:ascii="楷体" w:eastAsia="楷体" w:hAnsi="楷体" w:cs="宋体" w:hint="eastAsia"/>
                      <w:color w:val="000000"/>
                      <w:kern w:val="0"/>
                      <w:sz w:val="20"/>
                      <w:szCs w:val="20"/>
                    </w:rPr>
                    <w:t>MTN3Y</w:t>
                  </w:r>
                </w:p>
              </w:tc>
              <w:tc>
                <w:tcPr>
                  <w:tcW w:w="943" w:type="dxa"/>
                  <w:tcBorders>
                    <w:top w:val="nil"/>
                    <w:left w:val="nil"/>
                    <w:bottom w:val="single" w:sz="8" w:space="0" w:color="FFFFFF"/>
                    <w:right w:val="single" w:sz="8" w:space="0" w:color="FFFFFF"/>
                  </w:tcBorders>
                  <w:shd w:val="clear" w:color="000000" w:fill="FDE9D9"/>
                  <w:noWrap/>
                  <w:vAlign w:val="center"/>
                  <w:hideMark/>
                </w:tcPr>
                <w:p w14:paraId="1442DFA3"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0.54 </w:t>
                  </w:r>
                </w:p>
              </w:tc>
              <w:tc>
                <w:tcPr>
                  <w:tcW w:w="943" w:type="dxa"/>
                  <w:tcBorders>
                    <w:top w:val="nil"/>
                    <w:left w:val="nil"/>
                    <w:bottom w:val="single" w:sz="8" w:space="0" w:color="FFFFFF"/>
                    <w:right w:val="single" w:sz="8" w:space="0" w:color="FFFFFF"/>
                  </w:tcBorders>
                  <w:shd w:val="clear" w:color="000000" w:fill="FDE9D9"/>
                  <w:noWrap/>
                  <w:vAlign w:val="center"/>
                  <w:hideMark/>
                </w:tcPr>
                <w:p w14:paraId="648A30F3"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0.67 </w:t>
                  </w:r>
                </w:p>
              </w:tc>
              <w:tc>
                <w:tcPr>
                  <w:tcW w:w="943" w:type="dxa"/>
                  <w:tcBorders>
                    <w:top w:val="nil"/>
                    <w:left w:val="nil"/>
                    <w:bottom w:val="single" w:sz="8" w:space="0" w:color="FFFFFF"/>
                    <w:right w:val="single" w:sz="8" w:space="0" w:color="FFFFFF"/>
                  </w:tcBorders>
                  <w:shd w:val="clear" w:color="000000" w:fill="FDE9D9"/>
                  <w:noWrap/>
                  <w:vAlign w:val="center"/>
                  <w:hideMark/>
                </w:tcPr>
                <w:p w14:paraId="2484D815"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1.14 </w:t>
                  </w:r>
                </w:p>
              </w:tc>
              <w:tc>
                <w:tcPr>
                  <w:tcW w:w="943" w:type="dxa"/>
                  <w:tcBorders>
                    <w:top w:val="nil"/>
                    <w:left w:val="nil"/>
                    <w:bottom w:val="single" w:sz="8" w:space="0" w:color="FFFFFF"/>
                    <w:right w:val="single" w:sz="8" w:space="0" w:color="FFFFFF"/>
                  </w:tcBorders>
                  <w:shd w:val="clear" w:color="000000" w:fill="FDE9D9"/>
                  <w:noWrap/>
                  <w:vAlign w:val="center"/>
                  <w:hideMark/>
                </w:tcPr>
                <w:p w14:paraId="1762767F"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3.33 </w:t>
                  </w:r>
                </w:p>
              </w:tc>
            </w:tr>
            <w:tr w:rsidR="002E0C5D" w:rsidRPr="002E0C5D" w14:paraId="2D3D9D35" w14:textId="77777777" w:rsidTr="002E0C5D">
              <w:trPr>
                <w:trHeight w:val="300"/>
              </w:trPr>
              <w:tc>
                <w:tcPr>
                  <w:tcW w:w="1151" w:type="dxa"/>
                  <w:tcBorders>
                    <w:top w:val="nil"/>
                    <w:left w:val="nil"/>
                    <w:bottom w:val="single" w:sz="8" w:space="0" w:color="FFFFFF"/>
                    <w:right w:val="single" w:sz="8" w:space="0" w:color="FFFFFF"/>
                  </w:tcBorders>
                  <w:shd w:val="clear" w:color="000000" w:fill="FCD5B4"/>
                  <w:noWrap/>
                  <w:vAlign w:val="center"/>
                  <w:hideMark/>
                </w:tcPr>
                <w:p w14:paraId="454C9184" w14:textId="77777777" w:rsidR="002E0C5D" w:rsidRPr="002E0C5D" w:rsidRDefault="002E0C5D" w:rsidP="002E0C5D">
                  <w:pPr>
                    <w:widowControl/>
                    <w:jc w:val="center"/>
                    <w:rPr>
                      <w:rFonts w:ascii="楷体" w:eastAsia="楷体" w:hAnsi="楷体" w:cs="宋体"/>
                      <w:color w:val="000000"/>
                      <w:kern w:val="0"/>
                      <w:sz w:val="20"/>
                      <w:szCs w:val="20"/>
                    </w:rPr>
                  </w:pPr>
                  <w:r w:rsidRPr="002E0C5D">
                    <w:rPr>
                      <w:rFonts w:ascii="楷体" w:eastAsia="楷体" w:hAnsi="楷体" w:cs="宋体" w:hint="eastAsia"/>
                      <w:color w:val="000000"/>
                      <w:kern w:val="0"/>
                      <w:sz w:val="20"/>
                      <w:szCs w:val="20"/>
                    </w:rPr>
                    <w:t>MTN5Y</w:t>
                  </w:r>
                </w:p>
              </w:tc>
              <w:tc>
                <w:tcPr>
                  <w:tcW w:w="943" w:type="dxa"/>
                  <w:tcBorders>
                    <w:top w:val="nil"/>
                    <w:left w:val="nil"/>
                    <w:bottom w:val="single" w:sz="8" w:space="0" w:color="FFFFFF"/>
                    <w:right w:val="single" w:sz="8" w:space="0" w:color="FFFFFF"/>
                  </w:tcBorders>
                  <w:shd w:val="clear" w:color="000000" w:fill="FCD5B4"/>
                  <w:noWrap/>
                  <w:vAlign w:val="center"/>
                  <w:hideMark/>
                </w:tcPr>
                <w:p w14:paraId="25773E4F"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3.55 </w:t>
                  </w:r>
                </w:p>
              </w:tc>
              <w:tc>
                <w:tcPr>
                  <w:tcW w:w="943" w:type="dxa"/>
                  <w:tcBorders>
                    <w:top w:val="nil"/>
                    <w:left w:val="nil"/>
                    <w:bottom w:val="single" w:sz="8" w:space="0" w:color="FFFFFF"/>
                    <w:right w:val="single" w:sz="8" w:space="0" w:color="FFFFFF"/>
                  </w:tcBorders>
                  <w:shd w:val="clear" w:color="000000" w:fill="FCD5B4"/>
                  <w:noWrap/>
                  <w:vAlign w:val="center"/>
                  <w:hideMark/>
                </w:tcPr>
                <w:p w14:paraId="6A9E2FDE"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3.79 </w:t>
                  </w:r>
                </w:p>
              </w:tc>
              <w:tc>
                <w:tcPr>
                  <w:tcW w:w="943" w:type="dxa"/>
                  <w:tcBorders>
                    <w:top w:val="nil"/>
                    <w:left w:val="nil"/>
                    <w:bottom w:val="single" w:sz="8" w:space="0" w:color="FFFFFF"/>
                    <w:right w:val="single" w:sz="8" w:space="0" w:color="FFFFFF"/>
                  </w:tcBorders>
                  <w:shd w:val="clear" w:color="000000" w:fill="FCD5B4"/>
                  <w:noWrap/>
                  <w:vAlign w:val="center"/>
                  <w:hideMark/>
                </w:tcPr>
                <w:p w14:paraId="519F4950"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4.36 </w:t>
                  </w:r>
                </w:p>
              </w:tc>
              <w:tc>
                <w:tcPr>
                  <w:tcW w:w="943" w:type="dxa"/>
                  <w:tcBorders>
                    <w:top w:val="nil"/>
                    <w:left w:val="nil"/>
                    <w:bottom w:val="single" w:sz="8" w:space="0" w:color="FFFFFF"/>
                    <w:right w:val="single" w:sz="8" w:space="0" w:color="FFFFFF"/>
                  </w:tcBorders>
                  <w:shd w:val="clear" w:color="000000" w:fill="FCD5B4"/>
                  <w:noWrap/>
                  <w:vAlign w:val="center"/>
                  <w:hideMark/>
                </w:tcPr>
                <w:p w14:paraId="66CC70F4"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6.55 </w:t>
                  </w:r>
                </w:p>
              </w:tc>
              <w:tc>
                <w:tcPr>
                  <w:tcW w:w="1179" w:type="dxa"/>
                  <w:tcBorders>
                    <w:top w:val="nil"/>
                    <w:left w:val="nil"/>
                    <w:bottom w:val="single" w:sz="8" w:space="0" w:color="FFFFFF"/>
                    <w:right w:val="single" w:sz="8" w:space="0" w:color="FFFFFF"/>
                  </w:tcBorders>
                  <w:shd w:val="clear" w:color="000000" w:fill="FCD5B4"/>
                  <w:noWrap/>
                  <w:vAlign w:val="center"/>
                  <w:hideMark/>
                </w:tcPr>
                <w:p w14:paraId="4C163A40" w14:textId="77777777" w:rsidR="002E0C5D" w:rsidRPr="002E0C5D" w:rsidRDefault="002E0C5D" w:rsidP="002E0C5D">
                  <w:pPr>
                    <w:widowControl/>
                    <w:jc w:val="center"/>
                    <w:rPr>
                      <w:rFonts w:ascii="楷体" w:eastAsia="楷体" w:hAnsi="楷体" w:cs="宋体"/>
                      <w:color w:val="000000"/>
                      <w:kern w:val="0"/>
                      <w:sz w:val="20"/>
                      <w:szCs w:val="20"/>
                    </w:rPr>
                  </w:pPr>
                  <w:r w:rsidRPr="002E0C5D">
                    <w:rPr>
                      <w:rFonts w:ascii="楷体" w:eastAsia="楷体" w:hAnsi="楷体" w:cs="宋体" w:hint="eastAsia"/>
                      <w:color w:val="000000"/>
                      <w:kern w:val="0"/>
                      <w:sz w:val="20"/>
                      <w:szCs w:val="20"/>
                    </w:rPr>
                    <w:t>MTN5Y</w:t>
                  </w:r>
                </w:p>
              </w:tc>
              <w:tc>
                <w:tcPr>
                  <w:tcW w:w="943" w:type="dxa"/>
                  <w:tcBorders>
                    <w:top w:val="nil"/>
                    <w:left w:val="nil"/>
                    <w:bottom w:val="single" w:sz="8" w:space="0" w:color="FFFFFF"/>
                    <w:right w:val="single" w:sz="8" w:space="0" w:color="FFFFFF"/>
                  </w:tcBorders>
                  <w:shd w:val="clear" w:color="000000" w:fill="FCD5B4"/>
                  <w:noWrap/>
                  <w:vAlign w:val="center"/>
                  <w:hideMark/>
                </w:tcPr>
                <w:p w14:paraId="0BC57B86"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0.66 </w:t>
                  </w:r>
                </w:p>
              </w:tc>
              <w:tc>
                <w:tcPr>
                  <w:tcW w:w="943" w:type="dxa"/>
                  <w:tcBorders>
                    <w:top w:val="nil"/>
                    <w:left w:val="nil"/>
                    <w:bottom w:val="single" w:sz="8" w:space="0" w:color="FFFFFF"/>
                    <w:right w:val="single" w:sz="8" w:space="0" w:color="FFFFFF"/>
                  </w:tcBorders>
                  <w:shd w:val="clear" w:color="000000" w:fill="FCD5B4"/>
                  <w:noWrap/>
                  <w:vAlign w:val="center"/>
                  <w:hideMark/>
                </w:tcPr>
                <w:p w14:paraId="32208817"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0.90 </w:t>
                  </w:r>
                </w:p>
              </w:tc>
              <w:tc>
                <w:tcPr>
                  <w:tcW w:w="943" w:type="dxa"/>
                  <w:tcBorders>
                    <w:top w:val="nil"/>
                    <w:left w:val="nil"/>
                    <w:bottom w:val="single" w:sz="8" w:space="0" w:color="FFFFFF"/>
                    <w:right w:val="single" w:sz="8" w:space="0" w:color="FFFFFF"/>
                  </w:tcBorders>
                  <w:shd w:val="clear" w:color="000000" w:fill="FCD5B4"/>
                  <w:noWrap/>
                  <w:vAlign w:val="center"/>
                  <w:hideMark/>
                </w:tcPr>
                <w:p w14:paraId="2511ADFA"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1.47 </w:t>
                  </w:r>
                </w:p>
              </w:tc>
              <w:tc>
                <w:tcPr>
                  <w:tcW w:w="943" w:type="dxa"/>
                  <w:tcBorders>
                    <w:top w:val="nil"/>
                    <w:left w:val="nil"/>
                    <w:bottom w:val="single" w:sz="8" w:space="0" w:color="FFFFFF"/>
                    <w:right w:val="single" w:sz="8" w:space="0" w:color="FFFFFF"/>
                  </w:tcBorders>
                  <w:shd w:val="clear" w:color="000000" w:fill="FCD5B4"/>
                  <w:noWrap/>
                  <w:vAlign w:val="center"/>
                  <w:hideMark/>
                </w:tcPr>
                <w:p w14:paraId="324C1E92"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3.66 </w:t>
                  </w:r>
                </w:p>
              </w:tc>
            </w:tr>
            <w:tr w:rsidR="002E0C5D" w:rsidRPr="002E0C5D" w14:paraId="019B3688" w14:textId="77777777" w:rsidTr="002E0C5D">
              <w:trPr>
                <w:trHeight w:val="300"/>
              </w:trPr>
              <w:tc>
                <w:tcPr>
                  <w:tcW w:w="1151" w:type="dxa"/>
                  <w:tcBorders>
                    <w:top w:val="nil"/>
                    <w:left w:val="nil"/>
                    <w:bottom w:val="single" w:sz="8" w:space="0" w:color="FFFFFF"/>
                    <w:right w:val="single" w:sz="8" w:space="0" w:color="FFFFFF"/>
                  </w:tcBorders>
                  <w:shd w:val="clear" w:color="000000" w:fill="FDE9D9"/>
                  <w:noWrap/>
                  <w:vAlign w:val="center"/>
                  <w:hideMark/>
                </w:tcPr>
                <w:p w14:paraId="2FC4CFC0" w14:textId="77777777" w:rsidR="002E0C5D" w:rsidRPr="002E0C5D" w:rsidRDefault="002E0C5D" w:rsidP="002E0C5D">
                  <w:pPr>
                    <w:widowControl/>
                    <w:jc w:val="center"/>
                    <w:rPr>
                      <w:rFonts w:ascii="楷体" w:eastAsia="楷体" w:hAnsi="楷体" w:cs="宋体"/>
                      <w:color w:val="000000"/>
                      <w:kern w:val="0"/>
                      <w:sz w:val="20"/>
                      <w:szCs w:val="20"/>
                    </w:rPr>
                  </w:pPr>
                  <w:r w:rsidRPr="002E0C5D">
                    <w:rPr>
                      <w:rFonts w:ascii="楷体" w:eastAsia="楷体" w:hAnsi="楷体" w:cs="宋体" w:hint="eastAsia"/>
                      <w:color w:val="000000"/>
                      <w:kern w:val="0"/>
                      <w:sz w:val="20"/>
                      <w:szCs w:val="20"/>
                    </w:rPr>
                    <w:t>企业债3Y</w:t>
                  </w:r>
                </w:p>
              </w:tc>
              <w:tc>
                <w:tcPr>
                  <w:tcW w:w="943" w:type="dxa"/>
                  <w:tcBorders>
                    <w:top w:val="nil"/>
                    <w:left w:val="nil"/>
                    <w:bottom w:val="single" w:sz="8" w:space="0" w:color="FFFFFF"/>
                    <w:right w:val="single" w:sz="8" w:space="0" w:color="FFFFFF"/>
                  </w:tcBorders>
                  <w:shd w:val="clear" w:color="000000" w:fill="FDE9D9"/>
                  <w:noWrap/>
                  <w:vAlign w:val="center"/>
                  <w:hideMark/>
                </w:tcPr>
                <w:p w14:paraId="2C62B5E5"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3.23 </w:t>
                  </w:r>
                </w:p>
              </w:tc>
              <w:tc>
                <w:tcPr>
                  <w:tcW w:w="943" w:type="dxa"/>
                  <w:tcBorders>
                    <w:top w:val="nil"/>
                    <w:left w:val="nil"/>
                    <w:bottom w:val="single" w:sz="8" w:space="0" w:color="FFFFFF"/>
                    <w:right w:val="single" w:sz="8" w:space="0" w:color="FFFFFF"/>
                  </w:tcBorders>
                  <w:shd w:val="clear" w:color="000000" w:fill="FDE9D9"/>
                  <w:noWrap/>
                  <w:vAlign w:val="center"/>
                  <w:hideMark/>
                </w:tcPr>
                <w:p w14:paraId="61E8CE0F"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3.43 </w:t>
                  </w:r>
                </w:p>
              </w:tc>
              <w:tc>
                <w:tcPr>
                  <w:tcW w:w="943" w:type="dxa"/>
                  <w:tcBorders>
                    <w:top w:val="nil"/>
                    <w:left w:val="nil"/>
                    <w:bottom w:val="single" w:sz="8" w:space="0" w:color="FFFFFF"/>
                    <w:right w:val="single" w:sz="8" w:space="0" w:color="FFFFFF"/>
                  </w:tcBorders>
                  <w:shd w:val="clear" w:color="000000" w:fill="FDE9D9"/>
                  <w:noWrap/>
                  <w:vAlign w:val="center"/>
                  <w:hideMark/>
                </w:tcPr>
                <w:p w14:paraId="3B35F44F"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3.91 </w:t>
                  </w:r>
                </w:p>
              </w:tc>
              <w:tc>
                <w:tcPr>
                  <w:tcW w:w="943" w:type="dxa"/>
                  <w:tcBorders>
                    <w:top w:val="nil"/>
                    <w:left w:val="nil"/>
                    <w:bottom w:val="single" w:sz="8" w:space="0" w:color="FFFFFF"/>
                    <w:right w:val="single" w:sz="8" w:space="0" w:color="FFFFFF"/>
                  </w:tcBorders>
                  <w:shd w:val="clear" w:color="000000" w:fill="FDE9D9"/>
                  <w:noWrap/>
                  <w:vAlign w:val="center"/>
                  <w:hideMark/>
                </w:tcPr>
                <w:p w14:paraId="1FEA52E4"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6.11 </w:t>
                  </w:r>
                </w:p>
              </w:tc>
              <w:tc>
                <w:tcPr>
                  <w:tcW w:w="1179" w:type="dxa"/>
                  <w:tcBorders>
                    <w:top w:val="nil"/>
                    <w:left w:val="nil"/>
                    <w:bottom w:val="single" w:sz="8" w:space="0" w:color="FFFFFF"/>
                    <w:right w:val="single" w:sz="8" w:space="0" w:color="FFFFFF"/>
                  </w:tcBorders>
                  <w:shd w:val="clear" w:color="000000" w:fill="FDE9D9"/>
                  <w:noWrap/>
                  <w:vAlign w:val="center"/>
                  <w:hideMark/>
                </w:tcPr>
                <w:p w14:paraId="7B7AC6A6" w14:textId="77777777" w:rsidR="002E0C5D" w:rsidRPr="002E0C5D" w:rsidRDefault="002E0C5D" w:rsidP="002E0C5D">
                  <w:pPr>
                    <w:widowControl/>
                    <w:jc w:val="center"/>
                    <w:rPr>
                      <w:rFonts w:ascii="楷体" w:eastAsia="楷体" w:hAnsi="楷体" w:cs="宋体"/>
                      <w:color w:val="000000"/>
                      <w:kern w:val="0"/>
                      <w:sz w:val="20"/>
                      <w:szCs w:val="20"/>
                    </w:rPr>
                  </w:pPr>
                  <w:r w:rsidRPr="002E0C5D">
                    <w:rPr>
                      <w:rFonts w:ascii="楷体" w:eastAsia="楷体" w:hAnsi="楷体" w:cs="宋体" w:hint="eastAsia"/>
                      <w:color w:val="000000"/>
                      <w:kern w:val="0"/>
                      <w:sz w:val="20"/>
                      <w:szCs w:val="20"/>
                    </w:rPr>
                    <w:t>企业债3Y</w:t>
                  </w:r>
                </w:p>
              </w:tc>
              <w:tc>
                <w:tcPr>
                  <w:tcW w:w="943" w:type="dxa"/>
                  <w:tcBorders>
                    <w:top w:val="nil"/>
                    <w:left w:val="nil"/>
                    <w:bottom w:val="single" w:sz="8" w:space="0" w:color="FFFFFF"/>
                    <w:right w:val="single" w:sz="8" w:space="0" w:color="FFFFFF"/>
                  </w:tcBorders>
                  <w:shd w:val="clear" w:color="000000" w:fill="FDE9D9"/>
                  <w:noWrap/>
                  <w:vAlign w:val="center"/>
                  <w:hideMark/>
                </w:tcPr>
                <w:p w14:paraId="3023B5A2"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0.50 </w:t>
                  </w:r>
                </w:p>
              </w:tc>
              <w:tc>
                <w:tcPr>
                  <w:tcW w:w="943" w:type="dxa"/>
                  <w:tcBorders>
                    <w:top w:val="nil"/>
                    <w:left w:val="nil"/>
                    <w:bottom w:val="single" w:sz="8" w:space="0" w:color="FFFFFF"/>
                    <w:right w:val="single" w:sz="8" w:space="0" w:color="FFFFFF"/>
                  </w:tcBorders>
                  <w:shd w:val="clear" w:color="000000" w:fill="FDE9D9"/>
                  <w:noWrap/>
                  <w:vAlign w:val="center"/>
                  <w:hideMark/>
                </w:tcPr>
                <w:p w14:paraId="64FBCDE8"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0.70 </w:t>
                  </w:r>
                </w:p>
              </w:tc>
              <w:tc>
                <w:tcPr>
                  <w:tcW w:w="943" w:type="dxa"/>
                  <w:tcBorders>
                    <w:top w:val="nil"/>
                    <w:left w:val="nil"/>
                    <w:bottom w:val="single" w:sz="8" w:space="0" w:color="FFFFFF"/>
                    <w:right w:val="single" w:sz="8" w:space="0" w:color="FFFFFF"/>
                  </w:tcBorders>
                  <w:shd w:val="clear" w:color="000000" w:fill="FDE9D9"/>
                  <w:noWrap/>
                  <w:vAlign w:val="center"/>
                  <w:hideMark/>
                </w:tcPr>
                <w:p w14:paraId="2B17371E"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1.18 </w:t>
                  </w:r>
                </w:p>
              </w:tc>
              <w:tc>
                <w:tcPr>
                  <w:tcW w:w="943" w:type="dxa"/>
                  <w:tcBorders>
                    <w:top w:val="nil"/>
                    <w:left w:val="nil"/>
                    <w:bottom w:val="single" w:sz="8" w:space="0" w:color="FFFFFF"/>
                    <w:right w:val="single" w:sz="8" w:space="0" w:color="FFFFFF"/>
                  </w:tcBorders>
                  <w:shd w:val="clear" w:color="000000" w:fill="FDE9D9"/>
                  <w:noWrap/>
                  <w:vAlign w:val="center"/>
                  <w:hideMark/>
                </w:tcPr>
                <w:p w14:paraId="34AA3AB6"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3.38 </w:t>
                  </w:r>
                </w:p>
              </w:tc>
            </w:tr>
            <w:tr w:rsidR="002E0C5D" w:rsidRPr="002E0C5D" w14:paraId="3458A1CE" w14:textId="77777777" w:rsidTr="002E0C5D">
              <w:trPr>
                <w:trHeight w:val="300"/>
              </w:trPr>
              <w:tc>
                <w:tcPr>
                  <w:tcW w:w="1151" w:type="dxa"/>
                  <w:tcBorders>
                    <w:top w:val="nil"/>
                    <w:left w:val="nil"/>
                    <w:bottom w:val="single" w:sz="8" w:space="0" w:color="FFFFFF"/>
                    <w:right w:val="single" w:sz="8" w:space="0" w:color="FFFFFF"/>
                  </w:tcBorders>
                  <w:shd w:val="clear" w:color="000000" w:fill="FCD5B4"/>
                  <w:noWrap/>
                  <w:vAlign w:val="center"/>
                  <w:hideMark/>
                </w:tcPr>
                <w:p w14:paraId="3A87ADCA" w14:textId="77777777" w:rsidR="002E0C5D" w:rsidRPr="002E0C5D" w:rsidRDefault="002E0C5D" w:rsidP="002E0C5D">
                  <w:pPr>
                    <w:widowControl/>
                    <w:jc w:val="center"/>
                    <w:rPr>
                      <w:rFonts w:ascii="楷体" w:eastAsia="楷体" w:hAnsi="楷体" w:cs="宋体"/>
                      <w:color w:val="000000"/>
                      <w:kern w:val="0"/>
                      <w:sz w:val="20"/>
                      <w:szCs w:val="20"/>
                    </w:rPr>
                  </w:pPr>
                  <w:r w:rsidRPr="002E0C5D">
                    <w:rPr>
                      <w:rFonts w:ascii="楷体" w:eastAsia="楷体" w:hAnsi="楷体" w:cs="宋体" w:hint="eastAsia"/>
                      <w:color w:val="000000"/>
                      <w:kern w:val="0"/>
                      <w:sz w:val="20"/>
                      <w:szCs w:val="20"/>
                    </w:rPr>
                    <w:t>企业债5Y</w:t>
                  </w:r>
                </w:p>
              </w:tc>
              <w:tc>
                <w:tcPr>
                  <w:tcW w:w="943" w:type="dxa"/>
                  <w:tcBorders>
                    <w:top w:val="nil"/>
                    <w:left w:val="nil"/>
                    <w:bottom w:val="single" w:sz="8" w:space="0" w:color="FFFFFF"/>
                    <w:right w:val="single" w:sz="8" w:space="0" w:color="FFFFFF"/>
                  </w:tcBorders>
                  <w:shd w:val="clear" w:color="000000" w:fill="FCD5B4"/>
                  <w:noWrap/>
                  <w:vAlign w:val="center"/>
                  <w:hideMark/>
                </w:tcPr>
                <w:p w14:paraId="0222E293"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3.49 </w:t>
                  </w:r>
                </w:p>
              </w:tc>
              <w:tc>
                <w:tcPr>
                  <w:tcW w:w="943" w:type="dxa"/>
                  <w:tcBorders>
                    <w:top w:val="nil"/>
                    <w:left w:val="nil"/>
                    <w:bottom w:val="single" w:sz="8" w:space="0" w:color="FFFFFF"/>
                    <w:right w:val="single" w:sz="8" w:space="0" w:color="FFFFFF"/>
                  </w:tcBorders>
                  <w:shd w:val="clear" w:color="000000" w:fill="FCD5B4"/>
                  <w:noWrap/>
                  <w:vAlign w:val="center"/>
                  <w:hideMark/>
                </w:tcPr>
                <w:p w14:paraId="0F5AC539"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3.74 </w:t>
                  </w:r>
                </w:p>
              </w:tc>
              <w:tc>
                <w:tcPr>
                  <w:tcW w:w="943" w:type="dxa"/>
                  <w:tcBorders>
                    <w:top w:val="nil"/>
                    <w:left w:val="nil"/>
                    <w:bottom w:val="single" w:sz="8" w:space="0" w:color="FFFFFF"/>
                    <w:right w:val="single" w:sz="8" w:space="0" w:color="FFFFFF"/>
                  </w:tcBorders>
                  <w:shd w:val="clear" w:color="000000" w:fill="FCD5B4"/>
                  <w:noWrap/>
                  <w:vAlign w:val="center"/>
                  <w:hideMark/>
                </w:tcPr>
                <w:p w14:paraId="284CC871"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4.35 </w:t>
                  </w:r>
                </w:p>
              </w:tc>
              <w:tc>
                <w:tcPr>
                  <w:tcW w:w="943" w:type="dxa"/>
                  <w:tcBorders>
                    <w:top w:val="nil"/>
                    <w:left w:val="nil"/>
                    <w:bottom w:val="single" w:sz="8" w:space="0" w:color="FFFFFF"/>
                    <w:right w:val="single" w:sz="8" w:space="0" w:color="FFFFFF"/>
                  </w:tcBorders>
                  <w:shd w:val="clear" w:color="000000" w:fill="FCD5B4"/>
                  <w:noWrap/>
                  <w:vAlign w:val="center"/>
                  <w:hideMark/>
                </w:tcPr>
                <w:p w14:paraId="24B27264"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6.55 </w:t>
                  </w:r>
                </w:p>
              </w:tc>
              <w:tc>
                <w:tcPr>
                  <w:tcW w:w="1179" w:type="dxa"/>
                  <w:tcBorders>
                    <w:top w:val="nil"/>
                    <w:left w:val="nil"/>
                    <w:bottom w:val="single" w:sz="8" w:space="0" w:color="FFFFFF"/>
                    <w:right w:val="single" w:sz="8" w:space="0" w:color="FFFFFF"/>
                  </w:tcBorders>
                  <w:shd w:val="clear" w:color="000000" w:fill="FCD5B4"/>
                  <w:noWrap/>
                  <w:vAlign w:val="center"/>
                  <w:hideMark/>
                </w:tcPr>
                <w:p w14:paraId="6CDB29E9" w14:textId="77777777" w:rsidR="002E0C5D" w:rsidRPr="002E0C5D" w:rsidRDefault="002E0C5D" w:rsidP="002E0C5D">
                  <w:pPr>
                    <w:widowControl/>
                    <w:jc w:val="center"/>
                    <w:rPr>
                      <w:rFonts w:ascii="楷体" w:eastAsia="楷体" w:hAnsi="楷体" w:cs="宋体"/>
                      <w:color w:val="000000"/>
                      <w:kern w:val="0"/>
                      <w:sz w:val="20"/>
                      <w:szCs w:val="20"/>
                    </w:rPr>
                  </w:pPr>
                  <w:r w:rsidRPr="002E0C5D">
                    <w:rPr>
                      <w:rFonts w:ascii="楷体" w:eastAsia="楷体" w:hAnsi="楷体" w:cs="宋体" w:hint="eastAsia"/>
                      <w:color w:val="000000"/>
                      <w:kern w:val="0"/>
                      <w:sz w:val="20"/>
                      <w:szCs w:val="20"/>
                    </w:rPr>
                    <w:t>企业债5Y</w:t>
                  </w:r>
                </w:p>
              </w:tc>
              <w:tc>
                <w:tcPr>
                  <w:tcW w:w="943" w:type="dxa"/>
                  <w:tcBorders>
                    <w:top w:val="nil"/>
                    <w:left w:val="nil"/>
                    <w:bottom w:val="single" w:sz="8" w:space="0" w:color="FFFFFF"/>
                    <w:right w:val="single" w:sz="8" w:space="0" w:color="FFFFFF"/>
                  </w:tcBorders>
                  <w:shd w:val="clear" w:color="000000" w:fill="FCD5B4"/>
                  <w:noWrap/>
                  <w:vAlign w:val="center"/>
                  <w:hideMark/>
                </w:tcPr>
                <w:p w14:paraId="2EE3C9B4"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0.61 </w:t>
                  </w:r>
                </w:p>
              </w:tc>
              <w:tc>
                <w:tcPr>
                  <w:tcW w:w="943" w:type="dxa"/>
                  <w:tcBorders>
                    <w:top w:val="nil"/>
                    <w:left w:val="nil"/>
                    <w:bottom w:val="single" w:sz="8" w:space="0" w:color="FFFFFF"/>
                    <w:right w:val="single" w:sz="8" w:space="0" w:color="FFFFFF"/>
                  </w:tcBorders>
                  <w:shd w:val="clear" w:color="000000" w:fill="FCD5B4"/>
                  <w:noWrap/>
                  <w:vAlign w:val="center"/>
                  <w:hideMark/>
                </w:tcPr>
                <w:p w14:paraId="73BDD42E"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0.85 </w:t>
                  </w:r>
                </w:p>
              </w:tc>
              <w:tc>
                <w:tcPr>
                  <w:tcW w:w="943" w:type="dxa"/>
                  <w:tcBorders>
                    <w:top w:val="nil"/>
                    <w:left w:val="nil"/>
                    <w:bottom w:val="single" w:sz="8" w:space="0" w:color="FFFFFF"/>
                    <w:right w:val="single" w:sz="8" w:space="0" w:color="FFFFFF"/>
                  </w:tcBorders>
                  <w:shd w:val="clear" w:color="000000" w:fill="FCD5B4"/>
                  <w:noWrap/>
                  <w:vAlign w:val="center"/>
                  <w:hideMark/>
                </w:tcPr>
                <w:p w14:paraId="5481E817"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1.46 </w:t>
                  </w:r>
                </w:p>
              </w:tc>
              <w:tc>
                <w:tcPr>
                  <w:tcW w:w="943" w:type="dxa"/>
                  <w:tcBorders>
                    <w:top w:val="nil"/>
                    <w:left w:val="nil"/>
                    <w:bottom w:val="single" w:sz="8" w:space="0" w:color="FFFFFF"/>
                    <w:right w:val="single" w:sz="8" w:space="0" w:color="FFFFFF"/>
                  </w:tcBorders>
                  <w:shd w:val="clear" w:color="000000" w:fill="FCD5B4"/>
                  <w:noWrap/>
                  <w:vAlign w:val="center"/>
                  <w:hideMark/>
                </w:tcPr>
                <w:p w14:paraId="16B18C1B"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3.66 </w:t>
                  </w:r>
                </w:p>
              </w:tc>
            </w:tr>
            <w:tr w:rsidR="002E0C5D" w:rsidRPr="002E0C5D" w14:paraId="3B75D2C8" w14:textId="77777777" w:rsidTr="002E0C5D">
              <w:trPr>
                <w:trHeight w:val="300"/>
              </w:trPr>
              <w:tc>
                <w:tcPr>
                  <w:tcW w:w="1151" w:type="dxa"/>
                  <w:tcBorders>
                    <w:top w:val="nil"/>
                    <w:left w:val="nil"/>
                    <w:bottom w:val="single" w:sz="8" w:space="0" w:color="FFFFFF"/>
                    <w:right w:val="single" w:sz="8" w:space="0" w:color="FFFFFF"/>
                  </w:tcBorders>
                  <w:shd w:val="clear" w:color="000000" w:fill="FDE9D9"/>
                  <w:noWrap/>
                  <w:vAlign w:val="center"/>
                  <w:hideMark/>
                </w:tcPr>
                <w:p w14:paraId="474425F1" w14:textId="77777777" w:rsidR="002E0C5D" w:rsidRPr="002E0C5D" w:rsidRDefault="002E0C5D" w:rsidP="002E0C5D">
                  <w:pPr>
                    <w:widowControl/>
                    <w:jc w:val="center"/>
                    <w:rPr>
                      <w:rFonts w:ascii="楷体" w:eastAsia="楷体" w:hAnsi="楷体" w:cs="宋体"/>
                      <w:color w:val="000000"/>
                      <w:kern w:val="0"/>
                      <w:sz w:val="20"/>
                      <w:szCs w:val="20"/>
                    </w:rPr>
                  </w:pPr>
                  <w:r w:rsidRPr="002E0C5D">
                    <w:rPr>
                      <w:rFonts w:ascii="楷体" w:eastAsia="楷体" w:hAnsi="楷体" w:cs="宋体" w:hint="eastAsia"/>
                      <w:color w:val="000000"/>
                      <w:kern w:val="0"/>
                      <w:sz w:val="20"/>
                      <w:szCs w:val="20"/>
                    </w:rPr>
                    <w:t>企业债7Y</w:t>
                  </w:r>
                </w:p>
              </w:tc>
              <w:tc>
                <w:tcPr>
                  <w:tcW w:w="943" w:type="dxa"/>
                  <w:tcBorders>
                    <w:top w:val="nil"/>
                    <w:left w:val="nil"/>
                    <w:bottom w:val="single" w:sz="8" w:space="0" w:color="FFFFFF"/>
                    <w:right w:val="single" w:sz="8" w:space="0" w:color="FFFFFF"/>
                  </w:tcBorders>
                  <w:shd w:val="clear" w:color="000000" w:fill="FDE9D9"/>
                  <w:noWrap/>
                  <w:vAlign w:val="center"/>
                  <w:hideMark/>
                </w:tcPr>
                <w:p w14:paraId="1C705AAE"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3.76 </w:t>
                  </w:r>
                </w:p>
              </w:tc>
              <w:tc>
                <w:tcPr>
                  <w:tcW w:w="943" w:type="dxa"/>
                  <w:tcBorders>
                    <w:top w:val="nil"/>
                    <w:left w:val="nil"/>
                    <w:bottom w:val="single" w:sz="8" w:space="0" w:color="FFFFFF"/>
                    <w:right w:val="single" w:sz="8" w:space="0" w:color="FFFFFF"/>
                  </w:tcBorders>
                  <w:shd w:val="clear" w:color="000000" w:fill="FDE9D9"/>
                  <w:noWrap/>
                  <w:vAlign w:val="center"/>
                  <w:hideMark/>
                </w:tcPr>
                <w:p w14:paraId="1D538DAB"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4.01 </w:t>
                  </w:r>
                </w:p>
              </w:tc>
              <w:tc>
                <w:tcPr>
                  <w:tcW w:w="943" w:type="dxa"/>
                  <w:tcBorders>
                    <w:top w:val="nil"/>
                    <w:left w:val="nil"/>
                    <w:bottom w:val="single" w:sz="8" w:space="0" w:color="FFFFFF"/>
                    <w:right w:val="single" w:sz="8" w:space="0" w:color="FFFFFF"/>
                  </w:tcBorders>
                  <w:shd w:val="clear" w:color="000000" w:fill="FDE9D9"/>
                  <w:noWrap/>
                  <w:vAlign w:val="center"/>
                  <w:hideMark/>
                </w:tcPr>
                <w:p w14:paraId="296EA566"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4.62 </w:t>
                  </w:r>
                </w:p>
              </w:tc>
              <w:tc>
                <w:tcPr>
                  <w:tcW w:w="943" w:type="dxa"/>
                  <w:tcBorders>
                    <w:top w:val="nil"/>
                    <w:left w:val="nil"/>
                    <w:bottom w:val="single" w:sz="8" w:space="0" w:color="FFFFFF"/>
                    <w:right w:val="single" w:sz="8" w:space="0" w:color="FFFFFF"/>
                  </w:tcBorders>
                  <w:shd w:val="clear" w:color="000000" w:fill="FDE9D9"/>
                  <w:noWrap/>
                  <w:vAlign w:val="center"/>
                  <w:hideMark/>
                </w:tcPr>
                <w:p w14:paraId="14CC1073"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6.82 </w:t>
                  </w:r>
                </w:p>
              </w:tc>
              <w:tc>
                <w:tcPr>
                  <w:tcW w:w="1179" w:type="dxa"/>
                  <w:tcBorders>
                    <w:top w:val="nil"/>
                    <w:left w:val="nil"/>
                    <w:bottom w:val="single" w:sz="8" w:space="0" w:color="FFFFFF"/>
                    <w:right w:val="single" w:sz="8" w:space="0" w:color="FFFFFF"/>
                  </w:tcBorders>
                  <w:shd w:val="clear" w:color="000000" w:fill="FDE9D9"/>
                  <w:noWrap/>
                  <w:vAlign w:val="center"/>
                  <w:hideMark/>
                </w:tcPr>
                <w:p w14:paraId="739FCFCF" w14:textId="77777777" w:rsidR="002E0C5D" w:rsidRPr="002E0C5D" w:rsidRDefault="002E0C5D" w:rsidP="002E0C5D">
                  <w:pPr>
                    <w:widowControl/>
                    <w:jc w:val="center"/>
                    <w:rPr>
                      <w:rFonts w:ascii="楷体" w:eastAsia="楷体" w:hAnsi="楷体" w:cs="宋体"/>
                      <w:color w:val="000000"/>
                      <w:kern w:val="0"/>
                      <w:sz w:val="20"/>
                      <w:szCs w:val="20"/>
                    </w:rPr>
                  </w:pPr>
                  <w:r w:rsidRPr="002E0C5D">
                    <w:rPr>
                      <w:rFonts w:ascii="楷体" w:eastAsia="楷体" w:hAnsi="楷体" w:cs="宋体" w:hint="eastAsia"/>
                      <w:color w:val="000000"/>
                      <w:kern w:val="0"/>
                      <w:sz w:val="20"/>
                      <w:szCs w:val="20"/>
                    </w:rPr>
                    <w:t>企业债7Y</w:t>
                  </w:r>
                </w:p>
              </w:tc>
              <w:tc>
                <w:tcPr>
                  <w:tcW w:w="943" w:type="dxa"/>
                  <w:tcBorders>
                    <w:top w:val="nil"/>
                    <w:left w:val="nil"/>
                    <w:bottom w:val="single" w:sz="8" w:space="0" w:color="FFFFFF"/>
                    <w:right w:val="single" w:sz="8" w:space="0" w:color="FFFFFF"/>
                  </w:tcBorders>
                  <w:shd w:val="clear" w:color="000000" w:fill="FDE9D9"/>
                  <w:noWrap/>
                  <w:vAlign w:val="center"/>
                  <w:hideMark/>
                </w:tcPr>
                <w:p w14:paraId="54F435B4"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0.75 </w:t>
                  </w:r>
                </w:p>
              </w:tc>
              <w:tc>
                <w:tcPr>
                  <w:tcW w:w="943" w:type="dxa"/>
                  <w:tcBorders>
                    <w:top w:val="nil"/>
                    <w:left w:val="nil"/>
                    <w:bottom w:val="single" w:sz="8" w:space="0" w:color="FFFFFF"/>
                    <w:right w:val="single" w:sz="8" w:space="0" w:color="FFFFFF"/>
                  </w:tcBorders>
                  <w:shd w:val="clear" w:color="000000" w:fill="FDE9D9"/>
                  <w:noWrap/>
                  <w:vAlign w:val="center"/>
                  <w:hideMark/>
                </w:tcPr>
                <w:p w14:paraId="37BD1DD2"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1.00 </w:t>
                  </w:r>
                </w:p>
              </w:tc>
              <w:tc>
                <w:tcPr>
                  <w:tcW w:w="943" w:type="dxa"/>
                  <w:tcBorders>
                    <w:top w:val="nil"/>
                    <w:left w:val="nil"/>
                    <w:bottom w:val="single" w:sz="8" w:space="0" w:color="FFFFFF"/>
                    <w:right w:val="single" w:sz="8" w:space="0" w:color="FFFFFF"/>
                  </w:tcBorders>
                  <w:shd w:val="clear" w:color="000000" w:fill="FDE9D9"/>
                  <w:noWrap/>
                  <w:vAlign w:val="center"/>
                  <w:hideMark/>
                </w:tcPr>
                <w:p w14:paraId="6D2DDC8D"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1.61 </w:t>
                  </w:r>
                </w:p>
              </w:tc>
              <w:tc>
                <w:tcPr>
                  <w:tcW w:w="943" w:type="dxa"/>
                  <w:tcBorders>
                    <w:top w:val="nil"/>
                    <w:left w:val="nil"/>
                    <w:bottom w:val="single" w:sz="8" w:space="0" w:color="FFFFFF"/>
                    <w:right w:val="single" w:sz="8" w:space="0" w:color="FFFFFF"/>
                  </w:tcBorders>
                  <w:shd w:val="clear" w:color="000000" w:fill="FDE9D9"/>
                  <w:noWrap/>
                  <w:vAlign w:val="center"/>
                  <w:hideMark/>
                </w:tcPr>
                <w:p w14:paraId="1372F035"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3.81 </w:t>
                  </w:r>
                </w:p>
              </w:tc>
            </w:tr>
            <w:tr w:rsidR="002E0C5D" w:rsidRPr="002E0C5D" w14:paraId="76860120" w14:textId="77777777" w:rsidTr="002E0C5D">
              <w:trPr>
                <w:trHeight w:val="300"/>
              </w:trPr>
              <w:tc>
                <w:tcPr>
                  <w:tcW w:w="1151" w:type="dxa"/>
                  <w:tcBorders>
                    <w:top w:val="nil"/>
                    <w:left w:val="nil"/>
                    <w:bottom w:val="single" w:sz="8" w:space="0" w:color="FFFFFF"/>
                    <w:right w:val="single" w:sz="8" w:space="0" w:color="FFFFFF"/>
                  </w:tcBorders>
                  <w:shd w:val="clear" w:color="000000" w:fill="FCD5B4"/>
                  <w:noWrap/>
                  <w:vAlign w:val="center"/>
                  <w:hideMark/>
                </w:tcPr>
                <w:p w14:paraId="32241EF8" w14:textId="77777777" w:rsidR="002E0C5D" w:rsidRPr="002E0C5D" w:rsidRDefault="002E0C5D" w:rsidP="002E0C5D">
                  <w:pPr>
                    <w:widowControl/>
                    <w:jc w:val="center"/>
                    <w:rPr>
                      <w:rFonts w:ascii="楷体" w:eastAsia="楷体" w:hAnsi="楷体" w:cs="宋体"/>
                      <w:color w:val="000000"/>
                      <w:kern w:val="0"/>
                      <w:sz w:val="20"/>
                      <w:szCs w:val="20"/>
                    </w:rPr>
                  </w:pPr>
                  <w:proofErr w:type="gramStart"/>
                  <w:r w:rsidRPr="002E0C5D">
                    <w:rPr>
                      <w:rFonts w:ascii="楷体" w:eastAsia="楷体" w:hAnsi="楷体" w:cs="宋体" w:hint="eastAsia"/>
                      <w:color w:val="000000"/>
                      <w:kern w:val="0"/>
                      <w:sz w:val="20"/>
                      <w:szCs w:val="20"/>
                    </w:rPr>
                    <w:t>城投债</w:t>
                  </w:r>
                  <w:proofErr w:type="gramEnd"/>
                  <w:r w:rsidRPr="002E0C5D">
                    <w:rPr>
                      <w:rFonts w:ascii="楷体" w:eastAsia="楷体" w:hAnsi="楷体" w:cs="宋体" w:hint="eastAsia"/>
                      <w:color w:val="000000"/>
                      <w:kern w:val="0"/>
                      <w:sz w:val="20"/>
                      <w:szCs w:val="20"/>
                    </w:rPr>
                    <w:t>3Y</w:t>
                  </w:r>
                </w:p>
              </w:tc>
              <w:tc>
                <w:tcPr>
                  <w:tcW w:w="943" w:type="dxa"/>
                  <w:tcBorders>
                    <w:top w:val="nil"/>
                    <w:left w:val="nil"/>
                    <w:bottom w:val="single" w:sz="8" w:space="0" w:color="FFFFFF"/>
                    <w:right w:val="single" w:sz="8" w:space="0" w:color="FFFFFF"/>
                  </w:tcBorders>
                  <w:shd w:val="clear" w:color="000000" w:fill="FCD5B4"/>
                  <w:noWrap/>
                  <w:vAlign w:val="center"/>
                  <w:hideMark/>
                </w:tcPr>
                <w:p w14:paraId="2EC4E18B"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3.27 </w:t>
                  </w:r>
                </w:p>
              </w:tc>
              <w:tc>
                <w:tcPr>
                  <w:tcW w:w="943" w:type="dxa"/>
                  <w:tcBorders>
                    <w:top w:val="nil"/>
                    <w:left w:val="nil"/>
                    <w:bottom w:val="single" w:sz="8" w:space="0" w:color="FFFFFF"/>
                    <w:right w:val="single" w:sz="8" w:space="0" w:color="FFFFFF"/>
                  </w:tcBorders>
                  <w:shd w:val="clear" w:color="000000" w:fill="FCD5B4"/>
                  <w:noWrap/>
                  <w:vAlign w:val="center"/>
                  <w:hideMark/>
                </w:tcPr>
                <w:p w14:paraId="520D55FB"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3.44 </w:t>
                  </w:r>
                </w:p>
              </w:tc>
              <w:tc>
                <w:tcPr>
                  <w:tcW w:w="943" w:type="dxa"/>
                  <w:tcBorders>
                    <w:top w:val="nil"/>
                    <w:left w:val="nil"/>
                    <w:bottom w:val="single" w:sz="8" w:space="0" w:color="FFFFFF"/>
                    <w:right w:val="single" w:sz="8" w:space="0" w:color="FFFFFF"/>
                  </w:tcBorders>
                  <w:shd w:val="clear" w:color="000000" w:fill="FCD5B4"/>
                  <w:noWrap/>
                  <w:vAlign w:val="center"/>
                  <w:hideMark/>
                </w:tcPr>
                <w:p w14:paraId="64A858C5"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3.67 </w:t>
                  </w:r>
                </w:p>
              </w:tc>
              <w:tc>
                <w:tcPr>
                  <w:tcW w:w="943" w:type="dxa"/>
                  <w:tcBorders>
                    <w:top w:val="nil"/>
                    <w:left w:val="nil"/>
                    <w:bottom w:val="single" w:sz="8" w:space="0" w:color="FFFFFF"/>
                    <w:right w:val="single" w:sz="8" w:space="0" w:color="FFFFFF"/>
                  </w:tcBorders>
                  <w:shd w:val="clear" w:color="000000" w:fill="FCD5B4"/>
                  <w:noWrap/>
                  <w:vAlign w:val="center"/>
                  <w:hideMark/>
                </w:tcPr>
                <w:p w14:paraId="29626E8F"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6.32 </w:t>
                  </w:r>
                </w:p>
              </w:tc>
              <w:tc>
                <w:tcPr>
                  <w:tcW w:w="1179" w:type="dxa"/>
                  <w:tcBorders>
                    <w:top w:val="nil"/>
                    <w:left w:val="nil"/>
                    <w:bottom w:val="single" w:sz="8" w:space="0" w:color="FFFFFF"/>
                    <w:right w:val="single" w:sz="8" w:space="0" w:color="FFFFFF"/>
                  </w:tcBorders>
                  <w:shd w:val="clear" w:color="000000" w:fill="FCD5B4"/>
                  <w:noWrap/>
                  <w:vAlign w:val="center"/>
                  <w:hideMark/>
                </w:tcPr>
                <w:p w14:paraId="40383A7E" w14:textId="77777777" w:rsidR="002E0C5D" w:rsidRPr="002E0C5D" w:rsidRDefault="002E0C5D" w:rsidP="002E0C5D">
                  <w:pPr>
                    <w:widowControl/>
                    <w:jc w:val="center"/>
                    <w:rPr>
                      <w:rFonts w:ascii="楷体" w:eastAsia="楷体" w:hAnsi="楷体" w:cs="宋体"/>
                      <w:color w:val="000000"/>
                      <w:kern w:val="0"/>
                      <w:sz w:val="20"/>
                      <w:szCs w:val="20"/>
                    </w:rPr>
                  </w:pPr>
                  <w:proofErr w:type="gramStart"/>
                  <w:r w:rsidRPr="002E0C5D">
                    <w:rPr>
                      <w:rFonts w:ascii="楷体" w:eastAsia="楷体" w:hAnsi="楷体" w:cs="宋体" w:hint="eastAsia"/>
                      <w:color w:val="000000"/>
                      <w:kern w:val="0"/>
                      <w:sz w:val="20"/>
                      <w:szCs w:val="20"/>
                    </w:rPr>
                    <w:t>城投债</w:t>
                  </w:r>
                  <w:proofErr w:type="gramEnd"/>
                  <w:r w:rsidRPr="002E0C5D">
                    <w:rPr>
                      <w:rFonts w:ascii="楷体" w:eastAsia="楷体" w:hAnsi="楷体" w:cs="宋体" w:hint="eastAsia"/>
                      <w:color w:val="000000"/>
                      <w:kern w:val="0"/>
                      <w:sz w:val="20"/>
                      <w:szCs w:val="20"/>
                    </w:rPr>
                    <w:t>3Y</w:t>
                  </w:r>
                </w:p>
              </w:tc>
              <w:tc>
                <w:tcPr>
                  <w:tcW w:w="943" w:type="dxa"/>
                  <w:tcBorders>
                    <w:top w:val="nil"/>
                    <w:left w:val="nil"/>
                    <w:bottom w:val="single" w:sz="8" w:space="0" w:color="FFFFFF"/>
                    <w:right w:val="single" w:sz="8" w:space="0" w:color="FFFFFF"/>
                  </w:tcBorders>
                  <w:shd w:val="clear" w:color="000000" w:fill="FCD5B4"/>
                  <w:noWrap/>
                  <w:vAlign w:val="center"/>
                  <w:hideMark/>
                </w:tcPr>
                <w:p w14:paraId="4828C5BF"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0.54 </w:t>
                  </w:r>
                </w:p>
              </w:tc>
              <w:tc>
                <w:tcPr>
                  <w:tcW w:w="943" w:type="dxa"/>
                  <w:tcBorders>
                    <w:top w:val="nil"/>
                    <w:left w:val="nil"/>
                    <w:bottom w:val="single" w:sz="8" w:space="0" w:color="FFFFFF"/>
                    <w:right w:val="single" w:sz="8" w:space="0" w:color="FFFFFF"/>
                  </w:tcBorders>
                  <w:shd w:val="clear" w:color="000000" w:fill="FCD5B4"/>
                  <w:noWrap/>
                  <w:vAlign w:val="center"/>
                  <w:hideMark/>
                </w:tcPr>
                <w:p w14:paraId="5F36FF49"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0.71 </w:t>
                  </w:r>
                </w:p>
              </w:tc>
              <w:tc>
                <w:tcPr>
                  <w:tcW w:w="943" w:type="dxa"/>
                  <w:tcBorders>
                    <w:top w:val="nil"/>
                    <w:left w:val="nil"/>
                    <w:bottom w:val="single" w:sz="8" w:space="0" w:color="FFFFFF"/>
                    <w:right w:val="single" w:sz="8" w:space="0" w:color="FFFFFF"/>
                  </w:tcBorders>
                  <w:shd w:val="clear" w:color="000000" w:fill="FCD5B4"/>
                  <w:noWrap/>
                  <w:vAlign w:val="center"/>
                  <w:hideMark/>
                </w:tcPr>
                <w:p w14:paraId="5BEC779F"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0.93 </w:t>
                  </w:r>
                </w:p>
              </w:tc>
              <w:tc>
                <w:tcPr>
                  <w:tcW w:w="943" w:type="dxa"/>
                  <w:tcBorders>
                    <w:top w:val="nil"/>
                    <w:left w:val="nil"/>
                    <w:bottom w:val="single" w:sz="8" w:space="0" w:color="FFFFFF"/>
                    <w:right w:val="single" w:sz="8" w:space="0" w:color="FFFFFF"/>
                  </w:tcBorders>
                  <w:shd w:val="clear" w:color="000000" w:fill="FCD5B4"/>
                  <w:noWrap/>
                  <w:vAlign w:val="center"/>
                  <w:hideMark/>
                </w:tcPr>
                <w:p w14:paraId="19B60261"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3.58 </w:t>
                  </w:r>
                </w:p>
              </w:tc>
            </w:tr>
            <w:tr w:rsidR="002E0C5D" w:rsidRPr="002E0C5D" w14:paraId="42107BF3" w14:textId="77777777" w:rsidTr="002E0C5D">
              <w:trPr>
                <w:trHeight w:val="300"/>
              </w:trPr>
              <w:tc>
                <w:tcPr>
                  <w:tcW w:w="1151" w:type="dxa"/>
                  <w:tcBorders>
                    <w:top w:val="nil"/>
                    <w:left w:val="nil"/>
                    <w:bottom w:val="single" w:sz="8" w:space="0" w:color="FFFFFF"/>
                    <w:right w:val="single" w:sz="8" w:space="0" w:color="FFFFFF"/>
                  </w:tcBorders>
                  <w:shd w:val="clear" w:color="000000" w:fill="FDE9D9"/>
                  <w:noWrap/>
                  <w:vAlign w:val="center"/>
                  <w:hideMark/>
                </w:tcPr>
                <w:p w14:paraId="0DE62A2E" w14:textId="77777777" w:rsidR="002E0C5D" w:rsidRPr="002E0C5D" w:rsidRDefault="002E0C5D" w:rsidP="002E0C5D">
                  <w:pPr>
                    <w:widowControl/>
                    <w:jc w:val="center"/>
                    <w:rPr>
                      <w:rFonts w:ascii="楷体" w:eastAsia="楷体" w:hAnsi="楷体" w:cs="宋体"/>
                      <w:color w:val="000000"/>
                      <w:kern w:val="0"/>
                      <w:sz w:val="20"/>
                      <w:szCs w:val="20"/>
                    </w:rPr>
                  </w:pPr>
                  <w:proofErr w:type="gramStart"/>
                  <w:r w:rsidRPr="002E0C5D">
                    <w:rPr>
                      <w:rFonts w:ascii="楷体" w:eastAsia="楷体" w:hAnsi="楷体" w:cs="宋体" w:hint="eastAsia"/>
                      <w:color w:val="000000"/>
                      <w:kern w:val="0"/>
                      <w:sz w:val="20"/>
                      <w:szCs w:val="20"/>
                    </w:rPr>
                    <w:t>城投债</w:t>
                  </w:r>
                  <w:proofErr w:type="gramEnd"/>
                  <w:r w:rsidRPr="002E0C5D">
                    <w:rPr>
                      <w:rFonts w:ascii="楷体" w:eastAsia="楷体" w:hAnsi="楷体" w:cs="宋体" w:hint="eastAsia"/>
                      <w:color w:val="000000"/>
                      <w:kern w:val="0"/>
                      <w:sz w:val="20"/>
                      <w:szCs w:val="20"/>
                    </w:rPr>
                    <w:t>5Y</w:t>
                  </w:r>
                </w:p>
              </w:tc>
              <w:tc>
                <w:tcPr>
                  <w:tcW w:w="943" w:type="dxa"/>
                  <w:tcBorders>
                    <w:top w:val="nil"/>
                    <w:left w:val="nil"/>
                    <w:bottom w:val="single" w:sz="8" w:space="0" w:color="FFFFFF"/>
                    <w:right w:val="single" w:sz="8" w:space="0" w:color="FFFFFF"/>
                  </w:tcBorders>
                  <w:shd w:val="clear" w:color="000000" w:fill="FDE9D9"/>
                  <w:noWrap/>
                  <w:vAlign w:val="center"/>
                  <w:hideMark/>
                </w:tcPr>
                <w:p w14:paraId="51ECDC6F"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3.58 </w:t>
                  </w:r>
                </w:p>
              </w:tc>
              <w:tc>
                <w:tcPr>
                  <w:tcW w:w="943" w:type="dxa"/>
                  <w:tcBorders>
                    <w:top w:val="nil"/>
                    <w:left w:val="nil"/>
                    <w:bottom w:val="single" w:sz="8" w:space="0" w:color="FFFFFF"/>
                    <w:right w:val="single" w:sz="8" w:space="0" w:color="FFFFFF"/>
                  </w:tcBorders>
                  <w:shd w:val="clear" w:color="000000" w:fill="FDE9D9"/>
                  <w:noWrap/>
                  <w:vAlign w:val="center"/>
                  <w:hideMark/>
                </w:tcPr>
                <w:p w14:paraId="06D1713C"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3.78 </w:t>
                  </w:r>
                </w:p>
              </w:tc>
              <w:tc>
                <w:tcPr>
                  <w:tcW w:w="943" w:type="dxa"/>
                  <w:tcBorders>
                    <w:top w:val="nil"/>
                    <w:left w:val="nil"/>
                    <w:bottom w:val="single" w:sz="8" w:space="0" w:color="FFFFFF"/>
                    <w:right w:val="single" w:sz="8" w:space="0" w:color="FFFFFF"/>
                  </w:tcBorders>
                  <w:shd w:val="clear" w:color="000000" w:fill="FDE9D9"/>
                  <w:noWrap/>
                  <w:vAlign w:val="center"/>
                  <w:hideMark/>
                </w:tcPr>
                <w:p w14:paraId="2BF1B548"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4.16 </w:t>
                  </w:r>
                </w:p>
              </w:tc>
              <w:tc>
                <w:tcPr>
                  <w:tcW w:w="943" w:type="dxa"/>
                  <w:tcBorders>
                    <w:top w:val="nil"/>
                    <w:left w:val="nil"/>
                    <w:bottom w:val="single" w:sz="8" w:space="0" w:color="FFFFFF"/>
                    <w:right w:val="single" w:sz="8" w:space="0" w:color="FFFFFF"/>
                  </w:tcBorders>
                  <w:shd w:val="clear" w:color="000000" w:fill="FDE9D9"/>
                  <w:noWrap/>
                  <w:vAlign w:val="center"/>
                  <w:hideMark/>
                </w:tcPr>
                <w:p w14:paraId="72C4649E"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7.10 </w:t>
                  </w:r>
                </w:p>
              </w:tc>
              <w:tc>
                <w:tcPr>
                  <w:tcW w:w="1179" w:type="dxa"/>
                  <w:tcBorders>
                    <w:top w:val="nil"/>
                    <w:left w:val="nil"/>
                    <w:bottom w:val="single" w:sz="8" w:space="0" w:color="FFFFFF"/>
                    <w:right w:val="single" w:sz="8" w:space="0" w:color="FFFFFF"/>
                  </w:tcBorders>
                  <w:shd w:val="clear" w:color="000000" w:fill="FDE9D9"/>
                  <w:noWrap/>
                  <w:vAlign w:val="center"/>
                  <w:hideMark/>
                </w:tcPr>
                <w:p w14:paraId="7354FCF4" w14:textId="77777777" w:rsidR="002E0C5D" w:rsidRPr="002E0C5D" w:rsidRDefault="002E0C5D" w:rsidP="002E0C5D">
                  <w:pPr>
                    <w:widowControl/>
                    <w:jc w:val="center"/>
                    <w:rPr>
                      <w:rFonts w:ascii="楷体" w:eastAsia="楷体" w:hAnsi="楷体" w:cs="宋体"/>
                      <w:color w:val="000000"/>
                      <w:kern w:val="0"/>
                      <w:sz w:val="20"/>
                      <w:szCs w:val="20"/>
                    </w:rPr>
                  </w:pPr>
                  <w:proofErr w:type="gramStart"/>
                  <w:r w:rsidRPr="002E0C5D">
                    <w:rPr>
                      <w:rFonts w:ascii="楷体" w:eastAsia="楷体" w:hAnsi="楷体" w:cs="宋体" w:hint="eastAsia"/>
                      <w:color w:val="000000"/>
                      <w:kern w:val="0"/>
                      <w:sz w:val="20"/>
                      <w:szCs w:val="20"/>
                    </w:rPr>
                    <w:t>城投债</w:t>
                  </w:r>
                  <w:proofErr w:type="gramEnd"/>
                  <w:r w:rsidRPr="002E0C5D">
                    <w:rPr>
                      <w:rFonts w:ascii="楷体" w:eastAsia="楷体" w:hAnsi="楷体" w:cs="宋体" w:hint="eastAsia"/>
                      <w:color w:val="000000"/>
                      <w:kern w:val="0"/>
                      <w:sz w:val="20"/>
                      <w:szCs w:val="20"/>
                    </w:rPr>
                    <w:t>5Y</w:t>
                  </w:r>
                </w:p>
              </w:tc>
              <w:tc>
                <w:tcPr>
                  <w:tcW w:w="943" w:type="dxa"/>
                  <w:tcBorders>
                    <w:top w:val="nil"/>
                    <w:left w:val="nil"/>
                    <w:bottom w:val="single" w:sz="8" w:space="0" w:color="FFFFFF"/>
                    <w:right w:val="single" w:sz="8" w:space="0" w:color="FFFFFF"/>
                  </w:tcBorders>
                  <w:shd w:val="clear" w:color="000000" w:fill="FDE9D9"/>
                  <w:noWrap/>
                  <w:vAlign w:val="center"/>
                  <w:hideMark/>
                </w:tcPr>
                <w:p w14:paraId="1E790AB6"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0.70 </w:t>
                  </w:r>
                </w:p>
              </w:tc>
              <w:tc>
                <w:tcPr>
                  <w:tcW w:w="943" w:type="dxa"/>
                  <w:tcBorders>
                    <w:top w:val="nil"/>
                    <w:left w:val="nil"/>
                    <w:bottom w:val="single" w:sz="8" w:space="0" w:color="FFFFFF"/>
                    <w:right w:val="single" w:sz="8" w:space="0" w:color="FFFFFF"/>
                  </w:tcBorders>
                  <w:shd w:val="clear" w:color="000000" w:fill="FDE9D9"/>
                  <w:noWrap/>
                  <w:vAlign w:val="center"/>
                  <w:hideMark/>
                </w:tcPr>
                <w:p w14:paraId="249CBB84"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0.90 </w:t>
                  </w:r>
                </w:p>
              </w:tc>
              <w:tc>
                <w:tcPr>
                  <w:tcW w:w="943" w:type="dxa"/>
                  <w:tcBorders>
                    <w:top w:val="nil"/>
                    <w:left w:val="nil"/>
                    <w:bottom w:val="single" w:sz="8" w:space="0" w:color="FFFFFF"/>
                    <w:right w:val="single" w:sz="8" w:space="0" w:color="FFFFFF"/>
                  </w:tcBorders>
                  <w:shd w:val="clear" w:color="000000" w:fill="FDE9D9"/>
                  <w:noWrap/>
                  <w:vAlign w:val="center"/>
                  <w:hideMark/>
                </w:tcPr>
                <w:p w14:paraId="2BD270CD"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1.27 </w:t>
                  </w:r>
                </w:p>
              </w:tc>
              <w:tc>
                <w:tcPr>
                  <w:tcW w:w="943" w:type="dxa"/>
                  <w:tcBorders>
                    <w:top w:val="nil"/>
                    <w:left w:val="nil"/>
                    <w:bottom w:val="single" w:sz="8" w:space="0" w:color="FFFFFF"/>
                    <w:right w:val="single" w:sz="8" w:space="0" w:color="FFFFFF"/>
                  </w:tcBorders>
                  <w:shd w:val="clear" w:color="000000" w:fill="FDE9D9"/>
                  <w:noWrap/>
                  <w:vAlign w:val="center"/>
                  <w:hideMark/>
                </w:tcPr>
                <w:p w14:paraId="433E24A4"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4.21 </w:t>
                  </w:r>
                </w:p>
              </w:tc>
            </w:tr>
            <w:tr w:rsidR="002E0C5D" w:rsidRPr="002E0C5D" w14:paraId="63E5A8EE" w14:textId="77777777" w:rsidTr="002E0C5D">
              <w:trPr>
                <w:trHeight w:val="300"/>
              </w:trPr>
              <w:tc>
                <w:tcPr>
                  <w:tcW w:w="1151" w:type="dxa"/>
                  <w:tcBorders>
                    <w:top w:val="nil"/>
                    <w:left w:val="nil"/>
                    <w:bottom w:val="nil"/>
                    <w:right w:val="nil"/>
                  </w:tcBorders>
                  <w:shd w:val="clear" w:color="000000" w:fill="FCD5B4"/>
                  <w:noWrap/>
                  <w:vAlign w:val="center"/>
                  <w:hideMark/>
                </w:tcPr>
                <w:p w14:paraId="0D6FE0FD" w14:textId="77777777" w:rsidR="002E0C5D" w:rsidRPr="002E0C5D" w:rsidRDefault="002E0C5D" w:rsidP="002E0C5D">
                  <w:pPr>
                    <w:widowControl/>
                    <w:jc w:val="center"/>
                    <w:rPr>
                      <w:rFonts w:ascii="楷体" w:eastAsia="楷体" w:hAnsi="楷体" w:cs="宋体"/>
                      <w:color w:val="000000"/>
                      <w:kern w:val="0"/>
                      <w:sz w:val="20"/>
                      <w:szCs w:val="20"/>
                    </w:rPr>
                  </w:pPr>
                  <w:proofErr w:type="gramStart"/>
                  <w:r w:rsidRPr="002E0C5D">
                    <w:rPr>
                      <w:rFonts w:ascii="楷体" w:eastAsia="楷体" w:hAnsi="楷体" w:cs="宋体" w:hint="eastAsia"/>
                      <w:color w:val="000000"/>
                      <w:kern w:val="0"/>
                      <w:sz w:val="20"/>
                      <w:szCs w:val="20"/>
                    </w:rPr>
                    <w:t>城投债</w:t>
                  </w:r>
                  <w:proofErr w:type="gramEnd"/>
                  <w:r w:rsidRPr="002E0C5D">
                    <w:rPr>
                      <w:rFonts w:ascii="楷体" w:eastAsia="楷体" w:hAnsi="楷体" w:cs="宋体" w:hint="eastAsia"/>
                      <w:color w:val="000000"/>
                      <w:kern w:val="0"/>
                      <w:sz w:val="20"/>
                      <w:szCs w:val="20"/>
                    </w:rPr>
                    <w:t>7Y</w:t>
                  </w:r>
                </w:p>
              </w:tc>
              <w:tc>
                <w:tcPr>
                  <w:tcW w:w="943" w:type="dxa"/>
                  <w:tcBorders>
                    <w:top w:val="nil"/>
                    <w:left w:val="nil"/>
                    <w:bottom w:val="single" w:sz="8" w:space="0" w:color="FFFFFF"/>
                    <w:right w:val="single" w:sz="8" w:space="0" w:color="FFFFFF"/>
                  </w:tcBorders>
                  <w:shd w:val="clear" w:color="000000" w:fill="FCD5B4"/>
                  <w:noWrap/>
                  <w:vAlign w:val="center"/>
                  <w:hideMark/>
                </w:tcPr>
                <w:p w14:paraId="1816F6DF"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3.88 </w:t>
                  </w:r>
                </w:p>
              </w:tc>
              <w:tc>
                <w:tcPr>
                  <w:tcW w:w="943" w:type="dxa"/>
                  <w:tcBorders>
                    <w:top w:val="nil"/>
                    <w:left w:val="nil"/>
                    <w:bottom w:val="single" w:sz="8" w:space="0" w:color="FFFFFF"/>
                    <w:right w:val="single" w:sz="8" w:space="0" w:color="FFFFFF"/>
                  </w:tcBorders>
                  <w:shd w:val="clear" w:color="000000" w:fill="FCD5B4"/>
                  <w:noWrap/>
                  <w:vAlign w:val="center"/>
                  <w:hideMark/>
                </w:tcPr>
                <w:p w14:paraId="44097BE3"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4.08 </w:t>
                  </w:r>
                </w:p>
              </w:tc>
              <w:tc>
                <w:tcPr>
                  <w:tcW w:w="943" w:type="dxa"/>
                  <w:tcBorders>
                    <w:top w:val="nil"/>
                    <w:left w:val="nil"/>
                    <w:bottom w:val="single" w:sz="8" w:space="0" w:color="FFFFFF"/>
                    <w:right w:val="single" w:sz="8" w:space="0" w:color="FFFFFF"/>
                  </w:tcBorders>
                  <w:shd w:val="clear" w:color="000000" w:fill="FCD5B4"/>
                  <w:noWrap/>
                  <w:vAlign w:val="center"/>
                  <w:hideMark/>
                </w:tcPr>
                <w:p w14:paraId="3AE29A1E"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4.58 </w:t>
                  </w:r>
                </w:p>
              </w:tc>
              <w:tc>
                <w:tcPr>
                  <w:tcW w:w="943" w:type="dxa"/>
                  <w:tcBorders>
                    <w:top w:val="nil"/>
                    <w:left w:val="nil"/>
                    <w:bottom w:val="single" w:sz="8" w:space="0" w:color="FFFFFF"/>
                    <w:right w:val="single" w:sz="8" w:space="0" w:color="FFFFFF"/>
                  </w:tcBorders>
                  <w:shd w:val="clear" w:color="000000" w:fill="FCD5B4"/>
                  <w:noWrap/>
                  <w:vAlign w:val="center"/>
                  <w:hideMark/>
                </w:tcPr>
                <w:p w14:paraId="223F44E5"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7.52 </w:t>
                  </w:r>
                </w:p>
              </w:tc>
              <w:tc>
                <w:tcPr>
                  <w:tcW w:w="1179" w:type="dxa"/>
                  <w:tcBorders>
                    <w:top w:val="nil"/>
                    <w:left w:val="nil"/>
                    <w:bottom w:val="nil"/>
                    <w:right w:val="nil"/>
                  </w:tcBorders>
                  <w:shd w:val="clear" w:color="000000" w:fill="FCD5B4"/>
                  <w:noWrap/>
                  <w:vAlign w:val="center"/>
                  <w:hideMark/>
                </w:tcPr>
                <w:p w14:paraId="7042D06B" w14:textId="77777777" w:rsidR="002E0C5D" w:rsidRPr="002E0C5D" w:rsidRDefault="002E0C5D" w:rsidP="002E0C5D">
                  <w:pPr>
                    <w:widowControl/>
                    <w:jc w:val="center"/>
                    <w:rPr>
                      <w:rFonts w:ascii="楷体" w:eastAsia="楷体" w:hAnsi="楷体" w:cs="宋体"/>
                      <w:color w:val="000000"/>
                      <w:kern w:val="0"/>
                      <w:sz w:val="20"/>
                      <w:szCs w:val="20"/>
                    </w:rPr>
                  </w:pPr>
                  <w:proofErr w:type="gramStart"/>
                  <w:r w:rsidRPr="002E0C5D">
                    <w:rPr>
                      <w:rFonts w:ascii="楷体" w:eastAsia="楷体" w:hAnsi="楷体" w:cs="宋体" w:hint="eastAsia"/>
                      <w:color w:val="000000"/>
                      <w:kern w:val="0"/>
                      <w:sz w:val="20"/>
                      <w:szCs w:val="20"/>
                    </w:rPr>
                    <w:t>城投债</w:t>
                  </w:r>
                  <w:proofErr w:type="gramEnd"/>
                  <w:r w:rsidRPr="002E0C5D">
                    <w:rPr>
                      <w:rFonts w:ascii="楷体" w:eastAsia="楷体" w:hAnsi="楷体" w:cs="宋体" w:hint="eastAsia"/>
                      <w:color w:val="000000"/>
                      <w:kern w:val="0"/>
                      <w:sz w:val="20"/>
                      <w:szCs w:val="20"/>
                    </w:rPr>
                    <w:t>7Y</w:t>
                  </w:r>
                </w:p>
              </w:tc>
              <w:tc>
                <w:tcPr>
                  <w:tcW w:w="943" w:type="dxa"/>
                  <w:tcBorders>
                    <w:top w:val="nil"/>
                    <w:left w:val="nil"/>
                    <w:bottom w:val="single" w:sz="8" w:space="0" w:color="FFFFFF"/>
                    <w:right w:val="single" w:sz="8" w:space="0" w:color="FFFFFF"/>
                  </w:tcBorders>
                  <w:shd w:val="clear" w:color="000000" w:fill="FCD5B4"/>
                  <w:noWrap/>
                  <w:vAlign w:val="center"/>
                  <w:hideMark/>
                </w:tcPr>
                <w:p w14:paraId="4E4280CC"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0.87 </w:t>
                  </w:r>
                </w:p>
              </w:tc>
              <w:tc>
                <w:tcPr>
                  <w:tcW w:w="943" w:type="dxa"/>
                  <w:tcBorders>
                    <w:top w:val="nil"/>
                    <w:left w:val="nil"/>
                    <w:bottom w:val="single" w:sz="8" w:space="0" w:color="FFFFFF"/>
                    <w:right w:val="single" w:sz="8" w:space="0" w:color="FFFFFF"/>
                  </w:tcBorders>
                  <w:shd w:val="clear" w:color="000000" w:fill="FCD5B4"/>
                  <w:noWrap/>
                  <w:vAlign w:val="center"/>
                  <w:hideMark/>
                </w:tcPr>
                <w:p w14:paraId="6853E98C"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1.07 </w:t>
                  </w:r>
                </w:p>
              </w:tc>
              <w:tc>
                <w:tcPr>
                  <w:tcW w:w="943" w:type="dxa"/>
                  <w:tcBorders>
                    <w:top w:val="nil"/>
                    <w:left w:val="nil"/>
                    <w:bottom w:val="single" w:sz="8" w:space="0" w:color="FFFFFF"/>
                    <w:right w:val="single" w:sz="8" w:space="0" w:color="FFFFFF"/>
                  </w:tcBorders>
                  <w:shd w:val="clear" w:color="000000" w:fill="FCD5B4"/>
                  <w:noWrap/>
                  <w:vAlign w:val="center"/>
                  <w:hideMark/>
                </w:tcPr>
                <w:p w14:paraId="76339F16"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1.57 </w:t>
                  </w:r>
                </w:p>
              </w:tc>
              <w:tc>
                <w:tcPr>
                  <w:tcW w:w="943" w:type="dxa"/>
                  <w:tcBorders>
                    <w:top w:val="nil"/>
                    <w:left w:val="nil"/>
                    <w:bottom w:val="single" w:sz="8" w:space="0" w:color="FFFFFF"/>
                    <w:right w:val="single" w:sz="8" w:space="0" w:color="FFFFFF"/>
                  </w:tcBorders>
                  <w:shd w:val="clear" w:color="000000" w:fill="FCD5B4"/>
                  <w:noWrap/>
                  <w:vAlign w:val="center"/>
                  <w:hideMark/>
                </w:tcPr>
                <w:p w14:paraId="356AF92B"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4.51 </w:t>
                  </w:r>
                </w:p>
              </w:tc>
            </w:tr>
            <w:tr w:rsidR="002E0C5D" w:rsidRPr="002E0C5D" w14:paraId="2795AE95" w14:textId="77777777" w:rsidTr="002E0C5D">
              <w:trPr>
                <w:trHeight w:val="150"/>
              </w:trPr>
              <w:tc>
                <w:tcPr>
                  <w:tcW w:w="1151" w:type="dxa"/>
                  <w:tcBorders>
                    <w:top w:val="nil"/>
                    <w:left w:val="nil"/>
                    <w:bottom w:val="nil"/>
                    <w:right w:val="nil"/>
                  </w:tcBorders>
                  <w:shd w:val="clear" w:color="auto" w:fill="auto"/>
                  <w:noWrap/>
                  <w:vAlign w:val="center"/>
                  <w:hideMark/>
                </w:tcPr>
                <w:p w14:paraId="7C8EA925" w14:textId="77777777" w:rsidR="002E0C5D" w:rsidRPr="002E0C5D" w:rsidRDefault="002E0C5D" w:rsidP="002E0C5D">
                  <w:pPr>
                    <w:widowControl/>
                    <w:jc w:val="center"/>
                    <w:rPr>
                      <w:rFonts w:eastAsia="等线" w:cs="Calibri"/>
                      <w:color w:val="000000"/>
                      <w:kern w:val="0"/>
                      <w:szCs w:val="21"/>
                    </w:rPr>
                  </w:pPr>
                </w:p>
              </w:tc>
              <w:tc>
                <w:tcPr>
                  <w:tcW w:w="943" w:type="dxa"/>
                  <w:tcBorders>
                    <w:top w:val="nil"/>
                    <w:left w:val="nil"/>
                    <w:bottom w:val="nil"/>
                    <w:right w:val="nil"/>
                  </w:tcBorders>
                  <w:shd w:val="clear" w:color="auto" w:fill="auto"/>
                  <w:noWrap/>
                  <w:vAlign w:val="center"/>
                  <w:hideMark/>
                </w:tcPr>
                <w:p w14:paraId="07FBE5DC" w14:textId="77777777" w:rsidR="002E0C5D" w:rsidRPr="002E0C5D" w:rsidRDefault="002E0C5D" w:rsidP="002E0C5D">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65ADCE4F" w14:textId="77777777" w:rsidR="002E0C5D" w:rsidRPr="002E0C5D" w:rsidRDefault="002E0C5D" w:rsidP="002E0C5D">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57D09F0A" w14:textId="77777777" w:rsidR="002E0C5D" w:rsidRPr="002E0C5D" w:rsidRDefault="002E0C5D" w:rsidP="002E0C5D">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79722383" w14:textId="77777777" w:rsidR="002E0C5D" w:rsidRPr="002E0C5D" w:rsidRDefault="002E0C5D" w:rsidP="002E0C5D">
                  <w:pPr>
                    <w:widowControl/>
                    <w:jc w:val="center"/>
                    <w:rPr>
                      <w:rFonts w:ascii="Times New Roman" w:eastAsia="Times New Roman" w:hAnsi="Times New Roman"/>
                      <w:kern w:val="0"/>
                      <w:sz w:val="20"/>
                      <w:szCs w:val="20"/>
                    </w:rPr>
                  </w:pPr>
                </w:p>
              </w:tc>
              <w:tc>
                <w:tcPr>
                  <w:tcW w:w="1179" w:type="dxa"/>
                  <w:tcBorders>
                    <w:top w:val="nil"/>
                    <w:left w:val="nil"/>
                    <w:bottom w:val="nil"/>
                    <w:right w:val="nil"/>
                  </w:tcBorders>
                  <w:shd w:val="clear" w:color="auto" w:fill="auto"/>
                  <w:noWrap/>
                  <w:vAlign w:val="center"/>
                  <w:hideMark/>
                </w:tcPr>
                <w:p w14:paraId="2AC95379" w14:textId="77777777" w:rsidR="002E0C5D" w:rsidRPr="002E0C5D" w:rsidRDefault="002E0C5D" w:rsidP="002E0C5D">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08941E9B" w14:textId="77777777" w:rsidR="002E0C5D" w:rsidRPr="002E0C5D" w:rsidRDefault="002E0C5D" w:rsidP="002E0C5D">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3566C506" w14:textId="77777777" w:rsidR="002E0C5D" w:rsidRPr="002E0C5D" w:rsidRDefault="002E0C5D" w:rsidP="002E0C5D">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42A1512B" w14:textId="77777777" w:rsidR="002E0C5D" w:rsidRPr="002E0C5D" w:rsidRDefault="002E0C5D" w:rsidP="002E0C5D">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41B3BE3B" w14:textId="77777777" w:rsidR="002E0C5D" w:rsidRPr="002E0C5D" w:rsidRDefault="002E0C5D" w:rsidP="002E0C5D">
                  <w:pPr>
                    <w:widowControl/>
                    <w:jc w:val="center"/>
                    <w:rPr>
                      <w:rFonts w:ascii="Times New Roman" w:eastAsia="Times New Roman" w:hAnsi="Times New Roman"/>
                      <w:kern w:val="0"/>
                      <w:sz w:val="20"/>
                      <w:szCs w:val="20"/>
                    </w:rPr>
                  </w:pPr>
                </w:p>
              </w:tc>
            </w:tr>
            <w:tr w:rsidR="002E0C5D" w:rsidRPr="002E0C5D" w14:paraId="3FE0B88F" w14:textId="77777777" w:rsidTr="002E0C5D">
              <w:trPr>
                <w:trHeight w:val="300"/>
              </w:trPr>
              <w:tc>
                <w:tcPr>
                  <w:tcW w:w="1151" w:type="dxa"/>
                  <w:tcBorders>
                    <w:top w:val="nil"/>
                    <w:left w:val="nil"/>
                    <w:bottom w:val="single" w:sz="12" w:space="0" w:color="FFFFFF"/>
                    <w:right w:val="single" w:sz="8" w:space="0" w:color="FFFFFF"/>
                  </w:tcBorders>
                  <w:shd w:val="clear" w:color="000000" w:fill="F79646"/>
                  <w:noWrap/>
                  <w:vAlign w:val="center"/>
                  <w:hideMark/>
                </w:tcPr>
                <w:p w14:paraId="3457591B" w14:textId="77777777" w:rsidR="002E0C5D" w:rsidRPr="002E0C5D" w:rsidRDefault="002E0C5D" w:rsidP="002E0C5D">
                  <w:pPr>
                    <w:widowControl/>
                    <w:jc w:val="center"/>
                    <w:rPr>
                      <w:rFonts w:ascii="楷体" w:eastAsia="楷体" w:hAnsi="楷体" w:cs="宋体"/>
                      <w:b/>
                      <w:bCs/>
                      <w:color w:val="FFFFFF"/>
                      <w:kern w:val="0"/>
                      <w:sz w:val="20"/>
                      <w:szCs w:val="20"/>
                    </w:rPr>
                  </w:pPr>
                  <w:proofErr w:type="gramStart"/>
                  <w:r w:rsidRPr="002E0C5D">
                    <w:rPr>
                      <w:rFonts w:ascii="楷体" w:eastAsia="楷体" w:hAnsi="楷体" w:cs="宋体" w:hint="eastAsia"/>
                      <w:b/>
                      <w:bCs/>
                      <w:color w:val="FFFFFF"/>
                      <w:kern w:val="0"/>
                      <w:sz w:val="20"/>
                      <w:szCs w:val="20"/>
                    </w:rPr>
                    <w:t>周变化</w:t>
                  </w:r>
                  <w:proofErr w:type="gramEnd"/>
                  <w:r w:rsidRPr="002E0C5D">
                    <w:rPr>
                      <w:rFonts w:ascii="楷体" w:eastAsia="楷体" w:hAnsi="楷体" w:cs="宋体" w:hint="eastAsia"/>
                      <w:b/>
                      <w:bCs/>
                      <w:color w:val="FFFFFF"/>
                      <w:kern w:val="0"/>
                      <w:sz w:val="20"/>
                      <w:szCs w:val="20"/>
                    </w:rPr>
                    <w:t>(BP)</w:t>
                  </w:r>
                </w:p>
              </w:tc>
              <w:tc>
                <w:tcPr>
                  <w:tcW w:w="943" w:type="dxa"/>
                  <w:tcBorders>
                    <w:top w:val="nil"/>
                    <w:left w:val="nil"/>
                    <w:bottom w:val="single" w:sz="12" w:space="0" w:color="FFFFFF"/>
                    <w:right w:val="single" w:sz="8" w:space="0" w:color="FFFFFF"/>
                  </w:tcBorders>
                  <w:shd w:val="clear" w:color="000000" w:fill="F79646"/>
                  <w:noWrap/>
                  <w:vAlign w:val="center"/>
                  <w:hideMark/>
                </w:tcPr>
                <w:p w14:paraId="16022585" w14:textId="77777777" w:rsidR="002E0C5D" w:rsidRPr="002E0C5D" w:rsidRDefault="002E0C5D" w:rsidP="002E0C5D">
                  <w:pPr>
                    <w:widowControl/>
                    <w:jc w:val="center"/>
                    <w:rPr>
                      <w:rFonts w:ascii="楷体" w:eastAsia="楷体" w:hAnsi="楷体" w:cs="宋体"/>
                      <w:b/>
                      <w:bCs/>
                      <w:color w:val="FFFFFF"/>
                      <w:kern w:val="0"/>
                      <w:sz w:val="20"/>
                      <w:szCs w:val="20"/>
                    </w:rPr>
                  </w:pPr>
                  <w:r w:rsidRPr="002E0C5D">
                    <w:rPr>
                      <w:rFonts w:ascii="楷体" w:eastAsia="楷体" w:hAnsi="楷体" w:cs="宋体" w:hint="eastAsia"/>
                      <w:b/>
                      <w:bCs/>
                      <w:color w:val="FFFFFF"/>
                      <w:kern w:val="0"/>
                      <w:sz w:val="20"/>
                      <w:szCs w:val="20"/>
                    </w:rPr>
                    <w:t>AAA</w:t>
                  </w:r>
                </w:p>
              </w:tc>
              <w:tc>
                <w:tcPr>
                  <w:tcW w:w="943" w:type="dxa"/>
                  <w:tcBorders>
                    <w:top w:val="nil"/>
                    <w:left w:val="nil"/>
                    <w:bottom w:val="single" w:sz="12" w:space="0" w:color="FFFFFF"/>
                    <w:right w:val="single" w:sz="8" w:space="0" w:color="FFFFFF"/>
                  </w:tcBorders>
                  <w:shd w:val="clear" w:color="000000" w:fill="F79646"/>
                  <w:noWrap/>
                  <w:vAlign w:val="center"/>
                  <w:hideMark/>
                </w:tcPr>
                <w:p w14:paraId="6B662872" w14:textId="77777777" w:rsidR="002E0C5D" w:rsidRPr="002E0C5D" w:rsidRDefault="002E0C5D" w:rsidP="002E0C5D">
                  <w:pPr>
                    <w:widowControl/>
                    <w:jc w:val="center"/>
                    <w:rPr>
                      <w:rFonts w:ascii="楷体" w:eastAsia="楷体" w:hAnsi="楷体" w:cs="宋体"/>
                      <w:b/>
                      <w:bCs/>
                      <w:color w:val="FFFFFF"/>
                      <w:kern w:val="0"/>
                      <w:sz w:val="20"/>
                      <w:szCs w:val="20"/>
                    </w:rPr>
                  </w:pPr>
                  <w:r w:rsidRPr="002E0C5D">
                    <w:rPr>
                      <w:rFonts w:ascii="楷体" w:eastAsia="楷体" w:hAnsi="楷体" w:cs="宋体" w:hint="eastAsia"/>
                      <w:b/>
                      <w:bCs/>
                      <w:color w:val="FFFFFF"/>
                      <w:kern w:val="0"/>
                      <w:sz w:val="20"/>
                      <w:szCs w:val="20"/>
                    </w:rPr>
                    <w:t>AA+</w:t>
                  </w:r>
                </w:p>
              </w:tc>
              <w:tc>
                <w:tcPr>
                  <w:tcW w:w="943" w:type="dxa"/>
                  <w:tcBorders>
                    <w:top w:val="nil"/>
                    <w:left w:val="nil"/>
                    <w:bottom w:val="single" w:sz="12" w:space="0" w:color="FFFFFF"/>
                    <w:right w:val="single" w:sz="8" w:space="0" w:color="FFFFFF"/>
                  </w:tcBorders>
                  <w:shd w:val="clear" w:color="000000" w:fill="F79646"/>
                  <w:noWrap/>
                  <w:vAlign w:val="center"/>
                  <w:hideMark/>
                </w:tcPr>
                <w:p w14:paraId="492A820B" w14:textId="77777777" w:rsidR="002E0C5D" w:rsidRPr="002E0C5D" w:rsidRDefault="002E0C5D" w:rsidP="002E0C5D">
                  <w:pPr>
                    <w:widowControl/>
                    <w:jc w:val="center"/>
                    <w:rPr>
                      <w:rFonts w:ascii="楷体" w:eastAsia="楷体" w:hAnsi="楷体" w:cs="宋体"/>
                      <w:b/>
                      <w:bCs/>
                      <w:color w:val="FFFFFF"/>
                      <w:kern w:val="0"/>
                      <w:sz w:val="20"/>
                      <w:szCs w:val="20"/>
                    </w:rPr>
                  </w:pPr>
                  <w:r w:rsidRPr="002E0C5D">
                    <w:rPr>
                      <w:rFonts w:ascii="楷体" w:eastAsia="楷体" w:hAnsi="楷体" w:cs="宋体" w:hint="eastAsia"/>
                      <w:b/>
                      <w:bCs/>
                      <w:color w:val="FFFFFF"/>
                      <w:kern w:val="0"/>
                      <w:sz w:val="20"/>
                      <w:szCs w:val="20"/>
                    </w:rPr>
                    <w:t>AA</w:t>
                  </w:r>
                </w:p>
              </w:tc>
              <w:tc>
                <w:tcPr>
                  <w:tcW w:w="943" w:type="dxa"/>
                  <w:tcBorders>
                    <w:top w:val="nil"/>
                    <w:left w:val="nil"/>
                    <w:bottom w:val="single" w:sz="12" w:space="0" w:color="FFFFFF"/>
                    <w:right w:val="single" w:sz="8" w:space="0" w:color="FFFFFF"/>
                  </w:tcBorders>
                  <w:shd w:val="clear" w:color="000000" w:fill="F79646"/>
                  <w:noWrap/>
                  <w:vAlign w:val="center"/>
                  <w:hideMark/>
                </w:tcPr>
                <w:p w14:paraId="7ECBB7BC" w14:textId="77777777" w:rsidR="002E0C5D" w:rsidRPr="002E0C5D" w:rsidRDefault="002E0C5D" w:rsidP="002E0C5D">
                  <w:pPr>
                    <w:widowControl/>
                    <w:jc w:val="center"/>
                    <w:rPr>
                      <w:rFonts w:ascii="楷体" w:eastAsia="楷体" w:hAnsi="楷体" w:cs="宋体"/>
                      <w:b/>
                      <w:bCs/>
                      <w:color w:val="FFFFFF"/>
                      <w:kern w:val="0"/>
                      <w:sz w:val="20"/>
                      <w:szCs w:val="20"/>
                    </w:rPr>
                  </w:pPr>
                  <w:r w:rsidRPr="002E0C5D">
                    <w:rPr>
                      <w:rFonts w:ascii="楷体" w:eastAsia="楷体" w:hAnsi="楷体" w:cs="宋体" w:hint="eastAsia"/>
                      <w:b/>
                      <w:bCs/>
                      <w:color w:val="FFFFFF"/>
                      <w:kern w:val="0"/>
                      <w:sz w:val="20"/>
                      <w:szCs w:val="20"/>
                    </w:rPr>
                    <w:t>AA-</w:t>
                  </w:r>
                </w:p>
              </w:tc>
              <w:tc>
                <w:tcPr>
                  <w:tcW w:w="1179" w:type="dxa"/>
                  <w:tcBorders>
                    <w:top w:val="nil"/>
                    <w:left w:val="nil"/>
                    <w:bottom w:val="single" w:sz="12" w:space="0" w:color="FFFFFF"/>
                    <w:right w:val="single" w:sz="8" w:space="0" w:color="FFFFFF"/>
                  </w:tcBorders>
                  <w:shd w:val="clear" w:color="000000" w:fill="F79646"/>
                  <w:noWrap/>
                  <w:vAlign w:val="center"/>
                  <w:hideMark/>
                </w:tcPr>
                <w:p w14:paraId="68549C08" w14:textId="77777777" w:rsidR="002E0C5D" w:rsidRPr="002E0C5D" w:rsidRDefault="002E0C5D" w:rsidP="002E0C5D">
                  <w:pPr>
                    <w:widowControl/>
                    <w:jc w:val="center"/>
                    <w:rPr>
                      <w:rFonts w:ascii="楷体" w:eastAsia="楷体" w:hAnsi="楷体" w:cs="宋体"/>
                      <w:b/>
                      <w:bCs/>
                      <w:color w:val="FFFFFF"/>
                      <w:kern w:val="0"/>
                      <w:sz w:val="20"/>
                      <w:szCs w:val="20"/>
                    </w:rPr>
                  </w:pPr>
                  <w:r w:rsidRPr="002E0C5D">
                    <w:rPr>
                      <w:rFonts w:ascii="楷体" w:eastAsia="楷体" w:hAnsi="楷体" w:cs="宋体" w:hint="eastAsia"/>
                      <w:b/>
                      <w:bCs/>
                      <w:color w:val="FFFFFF"/>
                      <w:kern w:val="0"/>
                      <w:sz w:val="20"/>
                      <w:szCs w:val="20"/>
                    </w:rPr>
                    <w:t>息差</w:t>
                  </w:r>
                </w:p>
              </w:tc>
              <w:tc>
                <w:tcPr>
                  <w:tcW w:w="943" w:type="dxa"/>
                  <w:tcBorders>
                    <w:top w:val="nil"/>
                    <w:left w:val="nil"/>
                    <w:bottom w:val="single" w:sz="12" w:space="0" w:color="FFFFFF"/>
                    <w:right w:val="single" w:sz="8" w:space="0" w:color="FFFFFF"/>
                  </w:tcBorders>
                  <w:shd w:val="clear" w:color="000000" w:fill="F79646"/>
                  <w:noWrap/>
                  <w:vAlign w:val="center"/>
                  <w:hideMark/>
                </w:tcPr>
                <w:p w14:paraId="10F2DF1D" w14:textId="77777777" w:rsidR="002E0C5D" w:rsidRPr="002E0C5D" w:rsidRDefault="002E0C5D" w:rsidP="002E0C5D">
                  <w:pPr>
                    <w:widowControl/>
                    <w:jc w:val="center"/>
                    <w:rPr>
                      <w:rFonts w:ascii="楷体" w:eastAsia="楷体" w:hAnsi="楷体" w:cs="宋体"/>
                      <w:b/>
                      <w:bCs/>
                      <w:color w:val="FFFFFF"/>
                      <w:kern w:val="0"/>
                      <w:sz w:val="20"/>
                      <w:szCs w:val="20"/>
                    </w:rPr>
                  </w:pPr>
                  <w:r w:rsidRPr="002E0C5D">
                    <w:rPr>
                      <w:rFonts w:ascii="楷体" w:eastAsia="楷体" w:hAnsi="楷体" w:cs="宋体" w:hint="eastAsia"/>
                      <w:b/>
                      <w:bCs/>
                      <w:color w:val="FFFFFF"/>
                      <w:kern w:val="0"/>
                      <w:sz w:val="20"/>
                      <w:szCs w:val="20"/>
                    </w:rPr>
                    <w:t>AAA</w:t>
                  </w:r>
                </w:p>
              </w:tc>
              <w:tc>
                <w:tcPr>
                  <w:tcW w:w="943" w:type="dxa"/>
                  <w:tcBorders>
                    <w:top w:val="nil"/>
                    <w:left w:val="nil"/>
                    <w:bottom w:val="single" w:sz="12" w:space="0" w:color="FFFFFF"/>
                    <w:right w:val="single" w:sz="8" w:space="0" w:color="FFFFFF"/>
                  </w:tcBorders>
                  <w:shd w:val="clear" w:color="000000" w:fill="F79646"/>
                  <w:noWrap/>
                  <w:vAlign w:val="center"/>
                  <w:hideMark/>
                </w:tcPr>
                <w:p w14:paraId="506606D8" w14:textId="77777777" w:rsidR="002E0C5D" w:rsidRPr="002E0C5D" w:rsidRDefault="002E0C5D" w:rsidP="002E0C5D">
                  <w:pPr>
                    <w:widowControl/>
                    <w:jc w:val="center"/>
                    <w:rPr>
                      <w:rFonts w:ascii="楷体" w:eastAsia="楷体" w:hAnsi="楷体" w:cs="宋体"/>
                      <w:b/>
                      <w:bCs/>
                      <w:color w:val="FFFFFF"/>
                      <w:kern w:val="0"/>
                      <w:sz w:val="20"/>
                      <w:szCs w:val="20"/>
                    </w:rPr>
                  </w:pPr>
                  <w:r w:rsidRPr="002E0C5D">
                    <w:rPr>
                      <w:rFonts w:ascii="楷体" w:eastAsia="楷体" w:hAnsi="楷体" w:cs="宋体" w:hint="eastAsia"/>
                      <w:b/>
                      <w:bCs/>
                      <w:color w:val="FFFFFF"/>
                      <w:kern w:val="0"/>
                      <w:sz w:val="20"/>
                      <w:szCs w:val="20"/>
                    </w:rPr>
                    <w:t>AA+</w:t>
                  </w:r>
                </w:p>
              </w:tc>
              <w:tc>
                <w:tcPr>
                  <w:tcW w:w="943" w:type="dxa"/>
                  <w:tcBorders>
                    <w:top w:val="nil"/>
                    <w:left w:val="nil"/>
                    <w:bottom w:val="single" w:sz="12" w:space="0" w:color="FFFFFF"/>
                    <w:right w:val="single" w:sz="8" w:space="0" w:color="FFFFFF"/>
                  </w:tcBorders>
                  <w:shd w:val="clear" w:color="000000" w:fill="F79646"/>
                  <w:noWrap/>
                  <w:vAlign w:val="center"/>
                  <w:hideMark/>
                </w:tcPr>
                <w:p w14:paraId="752165DB" w14:textId="77777777" w:rsidR="002E0C5D" w:rsidRPr="002E0C5D" w:rsidRDefault="002E0C5D" w:rsidP="002E0C5D">
                  <w:pPr>
                    <w:widowControl/>
                    <w:jc w:val="center"/>
                    <w:rPr>
                      <w:rFonts w:ascii="楷体" w:eastAsia="楷体" w:hAnsi="楷体" w:cs="宋体"/>
                      <w:b/>
                      <w:bCs/>
                      <w:color w:val="FFFFFF"/>
                      <w:kern w:val="0"/>
                      <w:sz w:val="20"/>
                      <w:szCs w:val="20"/>
                    </w:rPr>
                  </w:pPr>
                  <w:r w:rsidRPr="002E0C5D">
                    <w:rPr>
                      <w:rFonts w:ascii="楷体" w:eastAsia="楷体" w:hAnsi="楷体" w:cs="宋体" w:hint="eastAsia"/>
                      <w:b/>
                      <w:bCs/>
                      <w:color w:val="FFFFFF"/>
                      <w:kern w:val="0"/>
                      <w:sz w:val="20"/>
                      <w:szCs w:val="20"/>
                    </w:rPr>
                    <w:t>AA</w:t>
                  </w:r>
                </w:p>
              </w:tc>
              <w:tc>
                <w:tcPr>
                  <w:tcW w:w="943" w:type="dxa"/>
                  <w:tcBorders>
                    <w:top w:val="nil"/>
                    <w:left w:val="nil"/>
                    <w:bottom w:val="single" w:sz="12" w:space="0" w:color="FFFFFF"/>
                    <w:right w:val="single" w:sz="8" w:space="0" w:color="FFFFFF"/>
                  </w:tcBorders>
                  <w:shd w:val="clear" w:color="000000" w:fill="F79646"/>
                  <w:noWrap/>
                  <w:vAlign w:val="center"/>
                  <w:hideMark/>
                </w:tcPr>
                <w:p w14:paraId="1D4D7726" w14:textId="77777777" w:rsidR="002E0C5D" w:rsidRPr="002E0C5D" w:rsidRDefault="002E0C5D" w:rsidP="002E0C5D">
                  <w:pPr>
                    <w:widowControl/>
                    <w:jc w:val="center"/>
                    <w:rPr>
                      <w:rFonts w:ascii="楷体" w:eastAsia="楷体" w:hAnsi="楷体" w:cs="宋体"/>
                      <w:b/>
                      <w:bCs/>
                      <w:color w:val="FFFFFF"/>
                      <w:kern w:val="0"/>
                      <w:sz w:val="20"/>
                      <w:szCs w:val="20"/>
                    </w:rPr>
                  </w:pPr>
                  <w:r w:rsidRPr="002E0C5D">
                    <w:rPr>
                      <w:rFonts w:ascii="楷体" w:eastAsia="楷体" w:hAnsi="楷体" w:cs="宋体" w:hint="eastAsia"/>
                      <w:b/>
                      <w:bCs/>
                      <w:color w:val="FFFFFF"/>
                      <w:kern w:val="0"/>
                      <w:sz w:val="20"/>
                      <w:szCs w:val="20"/>
                    </w:rPr>
                    <w:t>AA-</w:t>
                  </w:r>
                </w:p>
              </w:tc>
            </w:tr>
            <w:tr w:rsidR="002E0C5D" w:rsidRPr="002E0C5D" w14:paraId="181B465E" w14:textId="77777777" w:rsidTr="002E0C5D">
              <w:trPr>
                <w:trHeight w:val="315"/>
              </w:trPr>
              <w:tc>
                <w:tcPr>
                  <w:tcW w:w="1151" w:type="dxa"/>
                  <w:tcBorders>
                    <w:top w:val="nil"/>
                    <w:left w:val="nil"/>
                    <w:bottom w:val="single" w:sz="8" w:space="0" w:color="FFFFFF"/>
                    <w:right w:val="single" w:sz="8" w:space="0" w:color="FFFFFF"/>
                  </w:tcBorders>
                  <w:shd w:val="clear" w:color="000000" w:fill="FCD5B4"/>
                  <w:noWrap/>
                  <w:vAlign w:val="center"/>
                  <w:hideMark/>
                </w:tcPr>
                <w:p w14:paraId="2B1511EE" w14:textId="77777777" w:rsidR="002E0C5D" w:rsidRPr="002E0C5D" w:rsidRDefault="002E0C5D" w:rsidP="002E0C5D">
                  <w:pPr>
                    <w:widowControl/>
                    <w:jc w:val="center"/>
                    <w:rPr>
                      <w:rFonts w:ascii="楷体" w:eastAsia="楷体" w:hAnsi="楷体" w:cs="宋体"/>
                      <w:color w:val="000000"/>
                      <w:kern w:val="0"/>
                      <w:sz w:val="20"/>
                      <w:szCs w:val="20"/>
                    </w:rPr>
                  </w:pPr>
                  <w:r w:rsidRPr="002E0C5D">
                    <w:rPr>
                      <w:rFonts w:ascii="楷体" w:eastAsia="楷体" w:hAnsi="楷体" w:cs="宋体" w:hint="eastAsia"/>
                      <w:color w:val="000000"/>
                      <w:kern w:val="0"/>
                      <w:sz w:val="20"/>
                      <w:szCs w:val="20"/>
                    </w:rPr>
                    <w:t>CP</w:t>
                  </w:r>
                </w:p>
              </w:tc>
              <w:tc>
                <w:tcPr>
                  <w:tcW w:w="943" w:type="dxa"/>
                  <w:tcBorders>
                    <w:top w:val="nil"/>
                    <w:left w:val="nil"/>
                    <w:bottom w:val="single" w:sz="8" w:space="0" w:color="FFFFFF"/>
                    <w:right w:val="single" w:sz="8" w:space="0" w:color="FFFFFF"/>
                  </w:tcBorders>
                  <w:shd w:val="clear" w:color="000000" w:fill="FCD5B4"/>
                  <w:noWrap/>
                  <w:vAlign w:val="center"/>
                  <w:hideMark/>
                </w:tcPr>
                <w:p w14:paraId="625D91FA"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-6.0 </w:t>
                  </w:r>
                </w:p>
              </w:tc>
              <w:tc>
                <w:tcPr>
                  <w:tcW w:w="943" w:type="dxa"/>
                  <w:tcBorders>
                    <w:top w:val="nil"/>
                    <w:left w:val="nil"/>
                    <w:bottom w:val="single" w:sz="8" w:space="0" w:color="FFFFFF"/>
                    <w:right w:val="single" w:sz="8" w:space="0" w:color="FFFFFF"/>
                  </w:tcBorders>
                  <w:shd w:val="clear" w:color="000000" w:fill="FCD5B4"/>
                  <w:noWrap/>
                  <w:vAlign w:val="center"/>
                  <w:hideMark/>
                </w:tcPr>
                <w:p w14:paraId="3AB61EB4"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-8.0 </w:t>
                  </w:r>
                </w:p>
              </w:tc>
              <w:tc>
                <w:tcPr>
                  <w:tcW w:w="943" w:type="dxa"/>
                  <w:tcBorders>
                    <w:top w:val="nil"/>
                    <w:left w:val="nil"/>
                    <w:bottom w:val="single" w:sz="8" w:space="0" w:color="FFFFFF"/>
                    <w:right w:val="single" w:sz="8" w:space="0" w:color="FFFFFF"/>
                  </w:tcBorders>
                  <w:shd w:val="clear" w:color="000000" w:fill="FCD5B4"/>
                  <w:noWrap/>
                  <w:vAlign w:val="center"/>
                  <w:hideMark/>
                </w:tcPr>
                <w:p w14:paraId="77C4B508"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-9.0 </w:t>
                  </w:r>
                </w:p>
              </w:tc>
              <w:tc>
                <w:tcPr>
                  <w:tcW w:w="943" w:type="dxa"/>
                  <w:tcBorders>
                    <w:top w:val="nil"/>
                    <w:left w:val="nil"/>
                    <w:bottom w:val="single" w:sz="8" w:space="0" w:color="FFFFFF"/>
                    <w:right w:val="single" w:sz="8" w:space="0" w:color="FFFFFF"/>
                  </w:tcBorders>
                  <w:shd w:val="clear" w:color="000000" w:fill="FCD5B4"/>
                  <w:noWrap/>
                  <w:vAlign w:val="center"/>
                  <w:hideMark/>
                </w:tcPr>
                <w:p w14:paraId="5061E559"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-9.0 </w:t>
                  </w:r>
                </w:p>
              </w:tc>
              <w:tc>
                <w:tcPr>
                  <w:tcW w:w="1179" w:type="dxa"/>
                  <w:tcBorders>
                    <w:top w:val="nil"/>
                    <w:left w:val="nil"/>
                    <w:bottom w:val="single" w:sz="8" w:space="0" w:color="FFFFFF"/>
                    <w:right w:val="single" w:sz="8" w:space="0" w:color="FFFFFF"/>
                  </w:tcBorders>
                  <w:shd w:val="clear" w:color="000000" w:fill="FCD5B4"/>
                  <w:noWrap/>
                  <w:vAlign w:val="center"/>
                  <w:hideMark/>
                </w:tcPr>
                <w:p w14:paraId="56A86178" w14:textId="77777777" w:rsidR="002E0C5D" w:rsidRPr="002E0C5D" w:rsidRDefault="002E0C5D" w:rsidP="002E0C5D">
                  <w:pPr>
                    <w:widowControl/>
                    <w:jc w:val="center"/>
                    <w:rPr>
                      <w:rFonts w:ascii="楷体" w:eastAsia="楷体" w:hAnsi="楷体" w:cs="宋体"/>
                      <w:color w:val="000000"/>
                      <w:kern w:val="0"/>
                      <w:sz w:val="20"/>
                      <w:szCs w:val="20"/>
                    </w:rPr>
                  </w:pPr>
                  <w:r w:rsidRPr="002E0C5D">
                    <w:rPr>
                      <w:rFonts w:ascii="楷体" w:eastAsia="楷体" w:hAnsi="楷体" w:cs="宋体" w:hint="eastAsia"/>
                      <w:color w:val="000000"/>
                      <w:kern w:val="0"/>
                      <w:sz w:val="20"/>
                      <w:szCs w:val="20"/>
                    </w:rPr>
                    <w:t>CP</w:t>
                  </w:r>
                </w:p>
              </w:tc>
              <w:tc>
                <w:tcPr>
                  <w:tcW w:w="943" w:type="dxa"/>
                  <w:tcBorders>
                    <w:top w:val="nil"/>
                    <w:left w:val="nil"/>
                    <w:bottom w:val="single" w:sz="8" w:space="0" w:color="FFFFFF"/>
                    <w:right w:val="single" w:sz="8" w:space="0" w:color="FFFFFF"/>
                  </w:tcBorders>
                  <w:shd w:val="clear" w:color="000000" w:fill="FCD5B4"/>
                  <w:noWrap/>
                  <w:vAlign w:val="center"/>
                  <w:hideMark/>
                </w:tcPr>
                <w:p w14:paraId="14B02624"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-0.8 </w:t>
                  </w:r>
                </w:p>
              </w:tc>
              <w:tc>
                <w:tcPr>
                  <w:tcW w:w="943" w:type="dxa"/>
                  <w:tcBorders>
                    <w:top w:val="nil"/>
                    <w:left w:val="nil"/>
                    <w:bottom w:val="single" w:sz="8" w:space="0" w:color="FFFFFF"/>
                    <w:right w:val="single" w:sz="8" w:space="0" w:color="FFFFFF"/>
                  </w:tcBorders>
                  <w:shd w:val="clear" w:color="000000" w:fill="FCD5B4"/>
                  <w:noWrap/>
                  <w:vAlign w:val="center"/>
                  <w:hideMark/>
                </w:tcPr>
                <w:p w14:paraId="44B3FBFC"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-2.8 </w:t>
                  </w:r>
                </w:p>
              </w:tc>
              <w:tc>
                <w:tcPr>
                  <w:tcW w:w="943" w:type="dxa"/>
                  <w:tcBorders>
                    <w:top w:val="nil"/>
                    <w:left w:val="nil"/>
                    <w:bottom w:val="single" w:sz="8" w:space="0" w:color="FFFFFF"/>
                    <w:right w:val="single" w:sz="8" w:space="0" w:color="FFFFFF"/>
                  </w:tcBorders>
                  <w:shd w:val="clear" w:color="000000" w:fill="FCD5B4"/>
                  <w:noWrap/>
                  <w:vAlign w:val="center"/>
                  <w:hideMark/>
                </w:tcPr>
                <w:p w14:paraId="47D6C245"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-3.8 </w:t>
                  </w:r>
                </w:p>
              </w:tc>
              <w:tc>
                <w:tcPr>
                  <w:tcW w:w="943" w:type="dxa"/>
                  <w:tcBorders>
                    <w:top w:val="nil"/>
                    <w:left w:val="nil"/>
                    <w:bottom w:val="single" w:sz="8" w:space="0" w:color="FFFFFF"/>
                    <w:right w:val="single" w:sz="8" w:space="0" w:color="FFFFFF"/>
                  </w:tcBorders>
                  <w:shd w:val="clear" w:color="000000" w:fill="FCD5B4"/>
                  <w:noWrap/>
                  <w:vAlign w:val="center"/>
                  <w:hideMark/>
                </w:tcPr>
                <w:p w14:paraId="14E7B519"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-3.8 </w:t>
                  </w:r>
                </w:p>
              </w:tc>
            </w:tr>
            <w:tr w:rsidR="002E0C5D" w:rsidRPr="002E0C5D" w14:paraId="311A9DB3" w14:textId="77777777" w:rsidTr="002E0C5D">
              <w:trPr>
                <w:trHeight w:val="300"/>
              </w:trPr>
              <w:tc>
                <w:tcPr>
                  <w:tcW w:w="1151" w:type="dxa"/>
                  <w:tcBorders>
                    <w:top w:val="nil"/>
                    <w:left w:val="nil"/>
                    <w:bottom w:val="single" w:sz="8" w:space="0" w:color="FFFFFF"/>
                    <w:right w:val="single" w:sz="8" w:space="0" w:color="FFFFFF"/>
                  </w:tcBorders>
                  <w:shd w:val="clear" w:color="000000" w:fill="FDE9D9"/>
                  <w:noWrap/>
                  <w:vAlign w:val="center"/>
                  <w:hideMark/>
                </w:tcPr>
                <w:p w14:paraId="69674628" w14:textId="77777777" w:rsidR="002E0C5D" w:rsidRPr="002E0C5D" w:rsidRDefault="002E0C5D" w:rsidP="002E0C5D">
                  <w:pPr>
                    <w:widowControl/>
                    <w:jc w:val="center"/>
                    <w:rPr>
                      <w:rFonts w:ascii="楷体" w:eastAsia="楷体" w:hAnsi="楷体" w:cs="宋体"/>
                      <w:color w:val="000000"/>
                      <w:kern w:val="0"/>
                      <w:sz w:val="20"/>
                      <w:szCs w:val="20"/>
                    </w:rPr>
                  </w:pPr>
                  <w:r w:rsidRPr="002E0C5D">
                    <w:rPr>
                      <w:rFonts w:ascii="楷体" w:eastAsia="楷体" w:hAnsi="楷体" w:cs="宋体" w:hint="eastAsia"/>
                      <w:color w:val="000000"/>
                      <w:kern w:val="0"/>
                      <w:sz w:val="20"/>
                      <w:szCs w:val="20"/>
                    </w:rPr>
                    <w:t>MTN3Y</w:t>
                  </w:r>
                </w:p>
              </w:tc>
              <w:tc>
                <w:tcPr>
                  <w:tcW w:w="943" w:type="dxa"/>
                  <w:tcBorders>
                    <w:top w:val="nil"/>
                    <w:left w:val="nil"/>
                    <w:bottom w:val="single" w:sz="8" w:space="0" w:color="FFFFFF"/>
                    <w:right w:val="single" w:sz="8" w:space="0" w:color="FFFFFF"/>
                  </w:tcBorders>
                  <w:shd w:val="clear" w:color="000000" w:fill="FDE9D9"/>
                  <w:noWrap/>
                  <w:vAlign w:val="center"/>
                  <w:hideMark/>
                </w:tcPr>
                <w:p w14:paraId="39FB6DB5"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-8.9 </w:t>
                  </w:r>
                </w:p>
              </w:tc>
              <w:tc>
                <w:tcPr>
                  <w:tcW w:w="943" w:type="dxa"/>
                  <w:tcBorders>
                    <w:top w:val="nil"/>
                    <w:left w:val="nil"/>
                    <w:bottom w:val="single" w:sz="8" w:space="0" w:color="FFFFFF"/>
                    <w:right w:val="single" w:sz="8" w:space="0" w:color="FFFFFF"/>
                  </w:tcBorders>
                  <w:shd w:val="clear" w:color="000000" w:fill="FDE9D9"/>
                  <w:noWrap/>
                  <w:vAlign w:val="center"/>
                  <w:hideMark/>
                </w:tcPr>
                <w:p w14:paraId="7DAC9849"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-13.9 </w:t>
                  </w:r>
                </w:p>
              </w:tc>
              <w:tc>
                <w:tcPr>
                  <w:tcW w:w="943" w:type="dxa"/>
                  <w:tcBorders>
                    <w:top w:val="nil"/>
                    <w:left w:val="nil"/>
                    <w:bottom w:val="single" w:sz="8" w:space="0" w:color="FFFFFF"/>
                    <w:right w:val="single" w:sz="8" w:space="0" w:color="FFFFFF"/>
                  </w:tcBorders>
                  <w:shd w:val="clear" w:color="000000" w:fill="FDE9D9"/>
                  <w:noWrap/>
                  <w:vAlign w:val="center"/>
                  <w:hideMark/>
                </w:tcPr>
                <w:p w14:paraId="615B190F"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-12.9 </w:t>
                  </w:r>
                </w:p>
              </w:tc>
              <w:tc>
                <w:tcPr>
                  <w:tcW w:w="943" w:type="dxa"/>
                  <w:tcBorders>
                    <w:top w:val="nil"/>
                    <w:left w:val="nil"/>
                    <w:bottom w:val="single" w:sz="8" w:space="0" w:color="FFFFFF"/>
                    <w:right w:val="single" w:sz="8" w:space="0" w:color="FFFFFF"/>
                  </w:tcBorders>
                  <w:shd w:val="clear" w:color="000000" w:fill="FDE9D9"/>
                  <w:noWrap/>
                  <w:vAlign w:val="center"/>
                  <w:hideMark/>
                </w:tcPr>
                <w:p w14:paraId="7EDD4E0E"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-12.9 </w:t>
                  </w:r>
                </w:p>
              </w:tc>
              <w:tc>
                <w:tcPr>
                  <w:tcW w:w="1179" w:type="dxa"/>
                  <w:tcBorders>
                    <w:top w:val="nil"/>
                    <w:left w:val="nil"/>
                    <w:bottom w:val="single" w:sz="8" w:space="0" w:color="FFFFFF"/>
                    <w:right w:val="single" w:sz="8" w:space="0" w:color="FFFFFF"/>
                  </w:tcBorders>
                  <w:shd w:val="clear" w:color="000000" w:fill="FDE9D9"/>
                  <w:noWrap/>
                  <w:vAlign w:val="center"/>
                  <w:hideMark/>
                </w:tcPr>
                <w:p w14:paraId="0B0867B9" w14:textId="77777777" w:rsidR="002E0C5D" w:rsidRPr="002E0C5D" w:rsidRDefault="002E0C5D" w:rsidP="002E0C5D">
                  <w:pPr>
                    <w:widowControl/>
                    <w:jc w:val="center"/>
                    <w:rPr>
                      <w:rFonts w:ascii="楷体" w:eastAsia="楷体" w:hAnsi="楷体" w:cs="宋体"/>
                      <w:color w:val="000000"/>
                      <w:kern w:val="0"/>
                      <w:sz w:val="20"/>
                      <w:szCs w:val="20"/>
                    </w:rPr>
                  </w:pPr>
                  <w:r w:rsidRPr="002E0C5D">
                    <w:rPr>
                      <w:rFonts w:ascii="楷体" w:eastAsia="楷体" w:hAnsi="楷体" w:cs="宋体" w:hint="eastAsia"/>
                      <w:color w:val="000000"/>
                      <w:kern w:val="0"/>
                      <w:sz w:val="20"/>
                      <w:szCs w:val="20"/>
                    </w:rPr>
                    <w:t>MTN3Y</w:t>
                  </w:r>
                </w:p>
              </w:tc>
              <w:tc>
                <w:tcPr>
                  <w:tcW w:w="943" w:type="dxa"/>
                  <w:tcBorders>
                    <w:top w:val="nil"/>
                    <w:left w:val="nil"/>
                    <w:bottom w:val="single" w:sz="8" w:space="0" w:color="FFFFFF"/>
                    <w:right w:val="single" w:sz="8" w:space="0" w:color="FFFFFF"/>
                  </w:tcBorders>
                  <w:shd w:val="clear" w:color="000000" w:fill="FDE9D9"/>
                  <w:noWrap/>
                  <w:vAlign w:val="center"/>
                  <w:hideMark/>
                </w:tcPr>
                <w:p w14:paraId="5C7FE8C4"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-5.5 </w:t>
                  </w:r>
                </w:p>
              </w:tc>
              <w:tc>
                <w:tcPr>
                  <w:tcW w:w="943" w:type="dxa"/>
                  <w:tcBorders>
                    <w:top w:val="nil"/>
                    <w:left w:val="nil"/>
                    <w:bottom w:val="single" w:sz="8" w:space="0" w:color="FFFFFF"/>
                    <w:right w:val="single" w:sz="8" w:space="0" w:color="FFFFFF"/>
                  </w:tcBorders>
                  <w:shd w:val="clear" w:color="000000" w:fill="FDE9D9"/>
                  <w:noWrap/>
                  <w:vAlign w:val="center"/>
                  <w:hideMark/>
                </w:tcPr>
                <w:p w14:paraId="321188C3"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-10.5 </w:t>
                  </w:r>
                </w:p>
              </w:tc>
              <w:tc>
                <w:tcPr>
                  <w:tcW w:w="943" w:type="dxa"/>
                  <w:tcBorders>
                    <w:top w:val="nil"/>
                    <w:left w:val="nil"/>
                    <w:bottom w:val="single" w:sz="8" w:space="0" w:color="FFFFFF"/>
                    <w:right w:val="single" w:sz="8" w:space="0" w:color="FFFFFF"/>
                  </w:tcBorders>
                  <w:shd w:val="clear" w:color="000000" w:fill="FDE9D9"/>
                  <w:noWrap/>
                  <w:vAlign w:val="center"/>
                  <w:hideMark/>
                </w:tcPr>
                <w:p w14:paraId="65B86758"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-9.5 </w:t>
                  </w:r>
                </w:p>
              </w:tc>
              <w:tc>
                <w:tcPr>
                  <w:tcW w:w="943" w:type="dxa"/>
                  <w:tcBorders>
                    <w:top w:val="nil"/>
                    <w:left w:val="nil"/>
                    <w:bottom w:val="single" w:sz="8" w:space="0" w:color="FFFFFF"/>
                    <w:right w:val="single" w:sz="8" w:space="0" w:color="FFFFFF"/>
                  </w:tcBorders>
                  <w:shd w:val="clear" w:color="000000" w:fill="FDE9D9"/>
                  <w:noWrap/>
                  <w:vAlign w:val="center"/>
                  <w:hideMark/>
                </w:tcPr>
                <w:p w14:paraId="6E61983F"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-9.5 </w:t>
                  </w:r>
                </w:p>
              </w:tc>
            </w:tr>
            <w:tr w:rsidR="002E0C5D" w:rsidRPr="002E0C5D" w14:paraId="666495F6" w14:textId="77777777" w:rsidTr="002E0C5D">
              <w:trPr>
                <w:trHeight w:val="300"/>
              </w:trPr>
              <w:tc>
                <w:tcPr>
                  <w:tcW w:w="1151" w:type="dxa"/>
                  <w:tcBorders>
                    <w:top w:val="nil"/>
                    <w:left w:val="nil"/>
                    <w:bottom w:val="single" w:sz="8" w:space="0" w:color="FFFFFF"/>
                    <w:right w:val="single" w:sz="8" w:space="0" w:color="FFFFFF"/>
                  </w:tcBorders>
                  <w:shd w:val="clear" w:color="000000" w:fill="FCD5B4"/>
                  <w:noWrap/>
                  <w:vAlign w:val="center"/>
                  <w:hideMark/>
                </w:tcPr>
                <w:p w14:paraId="6520BCC2" w14:textId="77777777" w:rsidR="002E0C5D" w:rsidRPr="002E0C5D" w:rsidRDefault="002E0C5D" w:rsidP="002E0C5D">
                  <w:pPr>
                    <w:widowControl/>
                    <w:jc w:val="center"/>
                    <w:rPr>
                      <w:rFonts w:ascii="楷体" w:eastAsia="楷体" w:hAnsi="楷体" w:cs="宋体"/>
                      <w:color w:val="000000"/>
                      <w:kern w:val="0"/>
                      <w:sz w:val="20"/>
                      <w:szCs w:val="20"/>
                    </w:rPr>
                  </w:pPr>
                  <w:r w:rsidRPr="002E0C5D">
                    <w:rPr>
                      <w:rFonts w:ascii="楷体" w:eastAsia="楷体" w:hAnsi="楷体" w:cs="宋体" w:hint="eastAsia"/>
                      <w:color w:val="000000"/>
                      <w:kern w:val="0"/>
                      <w:sz w:val="20"/>
                      <w:szCs w:val="20"/>
                    </w:rPr>
                    <w:t>MTN5Y</w:t>
                  </w:r>
                </w:p>
              </w:tc>
              <w:tc>
                <w:tcPr>
                  <w:tcW w:w="943" w:type="dxa"/>
                  <w:tcBorders>
                    <w:top w:val="nil"/>
                    <w:left w:val="nil"/>
                    <w:bottom w:val="single" w:sz="8" w:space="0" w:color="FFFFFF"/>
                    <w:right w:val="single" w:sz="8" w:space="0" w:color="FFFFFF"/>
                  </w:tcBorders>
                  <w:shd w:val="clear" w:color="000000" w:fill="FCD5B4"/>
                  <w:noWrap/>
                  <w:vAlign w:val="center"/>
                  <w:hideMark/>
                </w:tcPr>
                <w:p w14:paraId="33F64B6C"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-10.9 </w:t>
                  </w:r>
                </w:p>
              </w:tc>
              <w:tc>
                <w:tcPr>
                  <w:tcW w:w="943" w:type="dxa"/>
                  <w:tcBorders>
                    <w:top w:val="nil"/>
                    <w:left w:val="nil"/>
                    <w:bottom w:val="single" w:sz="8" w:space="0" w:color="FFFFFF"/>
                    <w:right w:val="single" w:sz="8" w:space="0" w:color="FFFFFF"/>
                  </w:tcBorders>
                  <w:shd w:val="clear" w:color="000000" w:fill="FCD5B4"/>
                  <w:noWrap/>
                  <w:vAlign w:val="center"/>
                  <w:hideMark/>
                </w:tcPr>
                <w:p w14:paraId="0AB84C20"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-8.9 </w:t>
                  </w:r>
                </w:p>
              </w:tc>
              <w:tc>
                <w:tcPr>
                  <w:tcW w:w="943" w:type="dxa"/>
                  <w:tcBorders>
                    <w:top w:val="nil"/>
                    <w:left w:val="nil"/>
                    <w:bottom w:val="single" w:sz="8" w:space="0" w:color="FFFFFF"/>
                    <w:right w:val="single" w:sz="8" w:space="0" w:color="FFFFFF"/>
                  </w:tcBorders>
                  <w:shd w:val="clear" w:color="000000" w:fill="FCD5B4"/>
                  <w:noWrap/>
                  <w:vAlign w:val="center"/>
                  <w:hideMark/>
                </w:tcPr>
                <w:p w14:paraId="5B4D0B97"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-6.9 </w:t>
                  </w:r>
                </w:p>
              </w:tc>
              <w:tc>
                <w:tcPr>
                  <w:tcW w:w="943" w:type="dxa"/>
                  <w:tcBorders>
                    <w:top w:val="nil"/>
                    <w:left w:val="nil"/>
                    <w:bottom w:val="single" w:sz="8" w:space="0" w:color="FFFFFF"/>
                    <w:right w:val="single" w:sz="8" w:space="0" w:color="FFFFFF"/>
                  </w:tcBorders>
                  <w:shd w:val="clear" w:color="000000" w:fill="FCD5B4"/>
                  <w:noWrap/>
                  <w:vAlign w:val="center"/>
                  <w:hideMark/>
                </w:tcPr>
                <w:p w14:paraId="35C280E3"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-5.9 </w:t>
                  </w:r>
                </w:p>
              </w:tc>
              <w:tc>
                <w:tcPr>
                  <w:tcW w:w="1179" w:type="dxa"/>
                  <w:tcBorders>
                    <w:top w:val="nil"/>
                    <w:left w:val="nil"/>
                    <w:bottom w:val="single" w:sz="8" w:space="0" w:color="FFFFFF"/>
                    <w:right w:val="single" w:sz="8" w:space="0" w:color="FFFFFF"/>
                  </w:tcBorders>
                  <w:shd w:val="clear" w:color="000000" w:fill="FCD5B4"/>
                  <w:noWrap/>
                  <w:vAlign w:val="center"/>
                  <w:hideMark/>
                </w:tcPr>
                <w:p w14:paraId="01D766ED" w14:textId="77777777" w:rsidR="002E0C5D" w:rsidRPr="002E0C5D" w:rsidRDefault="002E0C5D" w:rsidP="002E0C5D">
                  <w:pPr>
                    <w:widowControl/>
                    <w:jc w:val="center"/>
                    <w:rPr>
                      <w:rFonts w:ascii="楷体" w:eastAsia="楷体" w:hAnsi="楷体" w:cs="宋体"/>
                      <w:color w:val="000000"/>
                      <w:kern w:val="0"/>
                      <w:sz w:val="20"/>
                      <w:szCs w:val="20"/>
                    </w:rPr>
                  </w:pPr>
                  <w:r w:rsidRPr="002E0C5D">
                    <w:rPr>
                      <w:rFonts w:ascii="楷体" w:eastAsia="楷体" w:hAnsi="楷体" w:cs="宋体" w:hint="eastAsia"/>
                      <w:color w:val="000000"/>
                      <w:kern w:val="0"/>
                      <w:sz w:val="20"/>
                      <w:szCs w:val="20"/>
                    </w:rPr>
                    <w:t>MTN5Y</w:t>
                  </w:r>
                </w:p>
              </w:tc>
              <w:tc>
                <w:tcPr>
                  <w:tcW w:w="943" w:type="dxa"/>
                  <w:tcBorders>
                    <w:top w:val="nil"/>
                    <w:left w:val="nil"/>
                    <w:bottom w:val="single" w:sz="8" w:space="0" w:color="FFFFFF"/>
                    <w:right w:val="single" w:sz="8" w:space="0" w:color="FFFFFF"/>
                  </w:tcBorders>
                  <w:shd w:val="clear" w:color="000000" w:fill="FCD5B4"/>
                  <w:noWrap/>
                  <w:vAlign w:val="center"/>
                  <w:hideMark/>
                </w:tcPr>
                <w:p w14:paraId="3F943923"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-4.7 </w:t>
                  </w:r>
                </w:p>
              </w:tc>
              <w:tc>
                <w:tcPr>
                  <w:tcW w:w="943" w:type="dxa"/>
                  <w:tcBorders>
                    <w:top w:val="nil"/>
                    <w:left w:val="nil"/>
                    <w:bottom w:val="single" w:sz="8" w:space="0" w:color="FFFFFF"/>
                    <w:right w:val="single" w:sz="8" w:space="0" w:color="FFFFFF"/>
                  </w:tcBorders>
                  <w:shd w:val="clear" w:color="000000" w:fill="FCD5B4"/>
                  <w:noWrap/>
                  <w:vAlign w:val="center"/>
                  <w:hideMark/>
                </w:tcPr>
                <w:p w14:paraId="3460BF8C"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-2.7 </w:t>
                  </w:r>
                </w:p>
              </w:tc>
              <w:tc>
                <w:tcPr>
                  <w:tcW w:w="943" w:type="dxa"/>
                  <w:tcBorders>
                    <w:top w:val="nil"/>
                    <w:left w:val="nil"/>
                    <w:bottom w:val="single" w:sz="8" w:space="0" w:color="FFFFFF"/>
                    <w:right w:val="single" w:sz="8" w:space="0" w:color="FFFFFF"/>
                  </w:tcBorders>
                  <w:shd w:val="clear" w:color="000000" w:fill="FCD5B4"/>
                  <w:noWrap/>
                  <w:vAlign w:val="center"/>
                  <w:hideMark/>
                </w:tcPr>
                <w:p w14:paraId="7EA12171"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-0.7 </w:t>
                  </w:r>
                </w:p>
              </w:tc>
              <w:tc>
                <w:tcPr>
                  <w:tcW w:w="943" w:type="dxa"/>
                  <w:tcBorders>
                    <w:top w:val="nil"/>
                    <w:left w:val="nil"/>
                    <w:bottom w:val="single" w:sz="8" w:space="0" w:color="FFFFFF"/>
                    <w:right w:val="single" w:sz="8" w:space="0" w:color="FFFFFF"/>
                  </w:tcBorders>
                  <w:shd w:val="clear" w:color="000000" w:fill="FCD5B4"/>
                  <w:noWrap/>
                  <w:vAlign w:val="center"/>
                  <w:hideMark/>
                </w:tcPr>
                <w:p w14:paraId="068CE61D"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0.3 </w:t>
                  </w:r>
                </w:p>
              </w:tc>
            </w:tr>
            <w:tr w:rsidR="002E0C5D" w:rsidRPr="002E0C5D" w14:paraId="1975C16A" w14:textId="77777777" w:rsidTr="002E0C5D">
              <w:trPr>
                <w:trHeight w:val="300"/>
              </w:trPr>
              <w:tc>
                <w:tcPr>
                  <w:tcW w:w="1151" w:type="dxa"/>
                  <w:tcBorders>
                    <w:top w:val="nil"/>
                    <w:left w:val="nil"/>
                    <w:bottom w:val="single" w:sz="8" w:space="0" w:color="FFFFFF"/>
                    <w:right w:val="single" w:sz="8" w:space="0" w:color="FFFFFF"/>
                  </w:tcBorders>
                  <w:shd w:val="clear" w:color="000000" w:fill="FDE9D9"/>
                  <w:noWrap/>
                  <w:vAlign w:val="center"/>
                  <w:hideMark/>
                </w:tcPr>
                <w:p w14:paraId="3BD9FDBF" w14:textId="77777777" w:rsidR="002E0C5D" w:rsidRPr="002E0C5D" w:rsidRDefault="002E0C5D" w:rsidP="002E0C5D">
                  <w:pPr>
                    <w:widowControl/>
                    <w:jc w:val="center"/>
                    <w:rPr>
                      <w:rFonts w:ascii="楷体" w:eastAsia="楷体" w:hAnsi="楷体" w:cs="宋体"/>
                      <w:color w:val="000000"/>
                      <w:kern w:val="0"/>
                      <w:sz w:val="20"/>
                      <w:szCs w:val="20"/>
                    </w:rPr>
                  </w:pPr>
                  <w:r w:rsidRPr="002E0C5D">
                    <w:rPr>
                      <w:rFonts w:ascii="楷体" w:eastAsia="楷体" w:hAnsi="楷体" w:cs="宋体" w:hint="eastAsia"/>
                      <w:color w:val="000000"/>
                      <w:kern w:val="0"/>
                      <w:sz w:val="20"/>
                      <w:szCs w:val="20"/>
                    </w:rPr>
                    <w:t>企业债3Y</w:t>
                  </w:r>
                </w:p>
              </w:tc>
              <w:tc>
                <w:tcPr>
                  <w:tcW w:w="943" w:type="dxa"/>
                  <w:tcBorders>
                    <w:top w:val="nil"/>
                    <w:left w:val="nil"/>
                    <w:bottom w:val="single" w:sz="8" w:space="0" w:color="FFFFFF"/>
                    <w:right w:val="single" w:sz="8" w:space="0" w:color="FFFFFF"/>
                  </w:tcBorders>
                  <w:shd w:val="clear" w:color="000000" w:fill="FDE9D9"/>
                  <w:noWrap/>
                  <w:vAlign w:val="center"/>
                  <w:hideMark/>
                </w:tcPr>
                <w:p w14:paraId="34E85A22"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-12.0 </w:t>
                  </w:r>
                </w:p>
              </w:tc>
              <w:tc>
                <w:tcPr>
                  <w:tcW w:w="943" w:type="dxa"/>
                  <w:tcBorders>
                    <w:top w:val="nil"/>
                    <w:left w:val="nil"/>
                    <w:bottom w:val="single" w:sz="8" w:space="0" w:color="FFFFFF"/>
                    <w:right w:val="single" w:sz="8" w:space="0" w:color="FFFFFF"/>
                  </w:tcBorders>
                  <w:shd w:val="clear" w:color="000000" w:fill="FDE9D9"/>
                  <w:noWrap/>
                  <w:vAlign w:val="center"/>
                  <w:hideMark/>
                </w:tcPr>
                <w:p w14:paraId="50D6AAB5"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-14.1 </w:t>
                  </w:r>
                </w:p>
              </w:tc>
              <w:tc>
                <w:tcPr>
                  <w:tcW w:w="943" w:type="dxa"/>
                  <w:tcBorders>
                    <w:top w:val="nil"/>
                    <w:left w:val="nil"/>
                    <w:bottom w:val="single" w:sz="8" w:space="0" w:color="FFFFFF"/>
                    <w:right w:val="single" w:sz="8" w:space="0" w:color="FFFFFF"/>
                  </w:tcBorders>
                  <w:shd w:val="clear" w:color="000000" w:fill="FDE9D9"/>
                  <w:noWrap/>
                  <w:vAlign w:val="center"/>
                  <w:hideMark/>
                </w:tcPr>
                <w:p w14:paraId="565FD238"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-7.1 </w:t>
                  </w:r>
                </w:p>
              </w:tc>
              <w:tc>
                <w:tcPr>
                  <w:tcW w:w="943" w:type="dxa"/>
                  <w:tcBorders>
                    <w:top w:val="nil"/>
                    <w:left w:val="nil"/>
                    <w:bottom w:val="single" w:sz="8" w:space="0" w:color="FFFFFF"/>
                    <w:right w:val="single" w:sz="8" w:space="0" w:color="FFFFFF"/>
                  </w:tcBorders>
                  <w:shd w:val="clear" w:color="000000" w:fill="FDE9D9"/>
                  <w:noWrap/>
                  <w:vAlign w:val="center"/>
                  <w:hideMark/>
                </w:tcPr>
                <w:p w14:paraId="3510A0D6"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-8.0 </w:t>
                  </w:r>
                </w:p>
              </w:tc>
              <w:tc>
                <w:tcPr>
                  <w:tcW w:w="1179" w:type="dxa"/>
                  <w:tcBorders>
                    <w:top w:val="nil"/>
                    <w:left w:val="nil"/>
                    <w:bottom w:val="single" w:sz="8" w:space="0" w:color="FFFFFF"/>
                    <w:right w:val="single" w:sz="8" w:space="0" w:color="FFFFFF"/>
                  </w:tcBorders>
                  <w:shd w:val="clear" w:color="000000" w:fill="FDE9D9"/>
                  <w:noWrap/>
                  <w:vAlign w:val="center"/>
                  <w:hideMark/>
                </w:tcPr>
                <w:p w14:paraId="59F6FA32" w14:textId="77777777" w:rsidR="002E0C5D" w:rsidRPr="002E0C5D" w:rsidRDefault="002E0C5D" w:rsidP="002E0C5D">
                  <w:pPr>
                    <w:widowControl/>
                    <w:jc w:val="center"/>
                    <w:rPr>
                      <w:rFonts w:ascii="楷体" w:eastAsia="楷体" w:hAnsi="楷体" w:cs="宋体"/>
                      <w:color w:val="000000"/>
                      <w:kern w:val="0"/>
                      <w:sz w:val="20"/>
                      <w:szCs w:val="20"/>
                    </w:rPr>
                  </w:pPr>
                  <w:r w:rsidRPr="002E0C5D">
                    <w:rPr>
                      <w:rFonts w:ascii="楷体" w:eastAsia="楷体" w:hAnsi="楷体" w:cs="宋体" w:hint="eastAsia"/>
                      <w:color w:val="000000"/>
                      <w:kern w:val="0"/>
                      <w:sz w:val="20"/>
                      <w:szCs w:val="20"/>
                    </w:rPr>
                    <w:t>企业债3Y</w:t>
                  </w:r>
                </w:p>
              </w:tc>
              <w:tc>
                <w:tcPr>
                  <w:tcW w:w="943" w:type="dxa"/>
                  <w:tcBorders>
                    <w:top w:val="nil"/>
                    <w:left w:val="nil"/>
                    <w:bottom w:val="single" w:sz="8" w:space="0" w:color="FFFFFF"/>
                    <w:right w:val="single" w:sz="8" w:space="0" w:color="FFFFFF"/>
                  </w:tcBorders>
                  <w:shd w:val="clear" w:color="000000" w:fill="FDE9D9"/>
                  <w:noWrap/>
                  <w:vAlign w:val="center"/>
                  <w:hideMark/>
                </w:tcPr>
                <w:p w14:paraId="72E942CD"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-8.6 </w:t>
                  </w:r>
                </w:p>
              </w:tc>
              <w:tc>
                <w:tcPr>
                  <w:tcW w:w="943" w:type="dxa"/>
                  <w:tcBorders>
                    <w:top w:val="nil"/>
                    <w:left w:val="nil"/>
                    <w:bottom w:val="single" w:sz="8" w:space="0" w:color="FFFFFF"/>
                    <w:right w:val="single" w:sz="8" w:space="0" w:color="FFFFFF"/>
                  </w:tcBorders>
                  <w:shd w:val="clear" w:color="000000" w:fill="FDE9D9"/>
                  <w:noWrap/>
                  <w:vAlign w:val="center"/>
                  <w:hideMark/>
                </w:tcPr>
                <w:p w14:paraId="79B4AF3A"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-10.6 </w:t>
                  </w:r>
                </w:p>
              </w:tc>
              <w:tc>
                <w:tcPr>
                  <w:tcW w:w="943" w:type="dxa"/>
                  <w:tcBorders>
                    <w:top w:val="nil"/>
                    <w:left w:val="nil"/>
                    <w:bottom w:val="single" w:sz="8" w:space="0" w:color="FFFFFF"/>
                    <w:right w:val="single" w:sz="8" w:space="0" w:color="FFFFFF"/>
                  </w:tcBorders>
                  <w:shd w:val="clear" w:color="000000" w:fill="FDE9D9"/>
                  <w:noWrap/>
                  <w:vAlign w:val="center"/>
                  <w:hideMark/>
                </w:tcPr>
                <w:p w14:paraId="23B32E8C"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-3.6 </w:t>
                  </w:r>
                </w:p>
              </w:tc>
              <w:tc>
                <w:tcPr>
                  <w:tcW w:w="943" w:type="dxa"/>
                  <w:tcBorders>
                    <w:top w:val="nil"/>
                    <w:left w:val="nil"/>
                    <w:bottom w:val="single" w:sz="8" w:space="0" w:color="FFFFFF"/>
                    <w:right w:val="single" w:sz="8" w:space="0" w:color="FFFFFF"/>
                  </w:tcBorders>
                  <w:shd w:val="clear" w:color="000000" w:fill="FDE9D9"/>
                  <w:noWrap/>
                  <w:vAlign w:val="center"/>
                  <w:hideMark/>
                </w:tcPr>
                <w:p w14:paraId="2C0D68AF"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-4.6 </w:t>
                  </w:r>
                </w:p>
              </w:tc>
            </w:tr>
            <w:tr w:rsidR="002E0C5D" w:rsidRPr="002E0C5D" w14:paraId="42DC117C" w14:textId="77777777" w:rsidTr="002E0C5D">
              <w:trPr>
                <w:trHeight w:val="300"/>
              </w:trPr>
              <w:tc>
                <w:tcPr>
                  <w:tcW w:w="1151" w:type="dxa"/>
                  <w:tcBorders>
                    <w:top w:val="nil"/>
                    <w:left w:val="nil"/>
                    <w:bottom w:val="single" w:sz="8" w:space="0" w:color="FFFFFF"/>
                    <w:right w:val="single" w:sz="8" w:space="0" w:color="FFFFFF"/>
                  </w:tcBorders>
                  <w:shd w:val="clear" w:color="000000" w:fill="FCD5B4"/>
                  <w:noWrap/>
                  <w:vAlign w:val="center"/>
                  <w:hideMark/>
                </w:tcPr>
                <w:p w14:paraId="5589D00E" w14:textId="77777777" w:rsidR="002E0C5D" w:rsidRPr="002E0C5D" w:rsidRDefault="002E0C5D" w:rsidP="002E0C5D">
                  <w:pPr>
                    <w:widowControl/>
                    <w:jc w:val="center"/>
                    <w:rPr>
                      <w:rFonts w:ascii="楷体" w:eastAsia="楷体" w:hAnsi="楷体" w:cs="宋体"/>
                      <w:color w:val="000000"/>
                      <w:kern w:val="0"/>
                      <w:sz w:val="20"/>
                      <w:szCs w:val="20"/>
                    </w:rPr>
                  </w:pPr>
                  <w:r w:rsidRPr="002E0C5D">
                    <w:rPr>
                      <w:rFonts w:ascii="楷体" w:eastAsia="楷体" w:hAnsi="楷体" w:cs="宋体" w:hint="eastAsia"/>
                      <w:color w:val="000000"/>
                      <w:kern w:val="0"/>
                      <w:sz w:val="20"/>
                      <w:szCs w:val="20"/>
                    </w:rPr>
                    <w:t>企业债5Y</w:t>
                  </w:r>
                </w:p>
              </w:tc>
              <w:tc>
                <w:tcPr>
                  <w:tcW w:w="943" w:type="dxa"/>
                  <w:tcBorders>
                    <w:top w:val="nil"/>
                    <w:left w:val="nil"/>
                    <w:bottom w:val="single" w:sz="8" w:space="0" w:color="FFFFFF"/>
                    <w:right w:val="single" w:sz="8" w:space="0" w:color="FFFFFF"/>
                  </w:tcBorders>
                  <w:shd w:val="clear" w:color="000000" w:fill="FCD5B4"/>
                  <w:noWrap/>
                  <w:vAlign w:val="center"/>
                  <w:hideMark/>
                </w:tcPr>
                <w:p w14:paraId="22FF8D0B"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-9.7 </w:t>
                  </w:r>
                </w:p>
              </w:tc>
              <w:tc>
                <w:tcPr>
                  <w:tcW w:w="943" w:type="dxa"/>
                  <w:tcBorders>
                    <w:top w:val="nil"/>
                    <w:left w:val="nil"/>
                    <w:bottom w:val="single" w:sz="8" w:space="0" w:color="FFFFFF"/>
                    <w:right w:val="single" w:sz="8" w:space="0" w:color="FFFFFF"/>
                  </w:tcBorders>
                  <w:shd w:val="clear" w:color="000000" w:fill="FCD5B4"/>
                  <w:noWrap/>
                  <w:vAlign w:val="center"/>
                  <w:hideMark/>
                </w:tcPr>
                <w:p w14:paraId="40D29E50"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-7.7 </w:t>
                  </w:r>
                </w:p>
              </w:tc>
              <w:tc>
                <w:tcPr>
                  <w:tcW w:w="943" w:type="dxa"/>
                  <w:tcBorders>
                    <w:top w:val="nil"/>
                    <w:left w:val="nil"/>
                    <w:bottom w:val="single" w:sz="8" w:space="0" w:color="FFFFFF"/>
                    <w:right w:val="single" w:sz="8" w:space="0" w:color="FFFFFF"/>
                  </w:tcBorders>
                  <w:shd w:val="clear" w:color="000000" w:fill="FCD5B4"/>
                  <w:noWrap/>
                  <w:vAlign w:val="center"/>
                  <w:hideMark/>
                </w:tcPr>
                <w:p w14:paraId="6B102931"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-6.7 </w:t>
                  </w:r>
                </w:p>
              </w:tc>
              <w:tc>
                <w:tcPr>
                  <w:tcW w:w="943" w:type="dxa"/>
                  <w:tcBorders>
                    <w:top w:val="nil"/>
                    <w:left w:val="nil"/>
                    <w:bottom w:val="single" w:sz="8" w:space="0" w:color="FFFFFF"/>
                    <w:right w:val="single" w:sz="8" w:space="0" w:color="FFFFFF"/>
                  </w:tcBorders>
                  <w:shd w:val="clear" w:color="000000" w:fill="FCD5B4"/>
                  <w:noWrap/>
                  <w:vAlign w:val="center"/>
                  <w:hideMark/>
                </w:tcPr>
                <w:p w14:paraId="66093D9A"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-6.7 </w:t>
                  </w:r>
                </w:p>
              </w:tc>
              <w:tc>
                <w:tcPr>
                  <w:tcW w:w="1179" w:type="dxa"/>
                  <w:tcBorders>
                    <w:top w:val="nil"/>
                    <w:left w:val="nil"/>
                    <w:bottom w:val="single" w:sz="8" w:space="0" w:color="FFFFFF"/>
                    <w:right w:val="single" w:sz="8" w:space="0" w:color="FFFFFF"/>
                  </w:tcBorders>
                  <w:shd w:val="clear" w:color="000000" w:fill="FCD5B4"/>
                  <w:noWrap/>
                  <w:vAlign w:val="center"/>
                  <w:hideMark/>
                </w:tcPr>
                <w:p w14:paraId="0B8D2014" w14:textId="77777777" w:rsidR="002E0C5D" w:rsidRPr="002E0C5D" w:rsidRDefault="002E0C5D" w:rsidP="002E0C5D">
                  <w:pPr>
                    <w:widowControl/>
                    <w:jc w:val="center"/>
                    <w:rPr>
                      <w:rFonts w:ascii="楷体" w:eastAsia="楷体" w:hAnsi="楷体" w:cs="宋体"/>
                      <w:color w:val="000000"/>
                      <w:kern w:val="0"/>
                      <w:sz w:val="20"/>
                      <w:szCs w:val="20"/>
                    </w:rPr>
                  </w:pPr>
                  <w:r w:rsidRPr="002E0C5D">
                    <w:rPr>
                      <w:rFonts w:ascii="楷体" w:eastAsia="楷体" w:hAnsi="楷体" w:cs="宋体" w:hint="eastAsia"/>
                      <w:color w:val="000000"/>
                      <w:kern w:val="0"/>
                      <w:sz w:val="20"/>
                      <w:szCs w:val="20"/>
                    </w:rPr>
                    <w:t>企业债5Y</w:t>
                  </w:r>
                </w:p>
              </w:tc>
              <w:tc>
                <w:tcPr>
                  <w:tcW w:w="943" w:type="dxa"/>
                  <w:tcBorders>
                    <w:top w:val="nil"/>
                    <w:left w:val="nil"/>
                    <w:bottom w:val="single" w:sz="8" w:space="0" w:color="FFFFFF"/>
                    <w:right w:val="single" w:sz="8" w:space="0" w:color="FFFFFF"/>
                  </w:tcBorders>
                  <w:shd w:val="clear" w:color="000000" w:fill="FCD5B4"/>
                  <w:noWrap/>
                  <w:vAlign w:val="center"/>
                  <w:hideMark/>
                </w:tcPr>
                <w:p w14:paraId="40145EA8"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-3.6 </w:t>
                  </w:r>
                </w:p>
              </w:tc>
              <w:tc>
                <w:tcPr>
                  <w:tcW w:w="943" w:type="dxa"/>
                  <w:tcBorders>
                    <w:top w:val="nil"/>
                    <w:left w:val="nil"/>
                    <w:bottom w:val="single" w:sz="8" w:space="0" w:color="FFFFFF"/>
                    <w:right w:val="single" w:sz="8" w:space="0" w:color="FFFFFF"/>
                  </w:tcBorders>
                  <w:shd w:val="clear" w:color="000000" w:fill="FCD5B4"/>
                  <w:noWrap/>
                  <w:vAlign w:val="center"/>
                  <w:hideMark/>
                </w:tcPr>
                <w:p w14:paraId="68802021"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-1.6 </w:t>
                  </w:r>
                </w:p>
              </w:tc>
              <w:tc>
                <w:tcPr>
                  <w:tcW w:w="943" w:type="dxa"/>
                  <w:tcBorders>
                    <w:top w:val="nil"/>
                    <w:left w:val="nil"/>
                    <w:bottom w:val="single" w:sz="8" w:space="0" w:color="FFFFFF"/>
                    <w:right w:val="single" w:sz="8" w:space="0" w:color="FFFFFF"/>
                  </w:tcBorders>
                  <w:shd w:val="clear" w:color="000000" w:fill="FCD5B4"/>
                  <w:noWrap/>
                  <w:vAlign w:val="center"/>
                  <w:hideMark/>
                </w:tcPr>
                <w:p w14:paraId="165D8EAC"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-0.6 </w:t>
                  </w:r>
                </w:p>
              </w:tc>
              <w:tc>
                <w:tcPr>
                  <w:tcW w:w="943" w:type="dxa"/>
                  <w:tcBorders>
                    <w:top w:val="nil"/>
                    <w:left w:val="nil"/>
                    <w:bottom w:val="single" w:sz="8" w:space="0" w:color="FFFFFF"/>
                    <w:right w:val="single" w:sz="8" w:space="0" w:color="FFFFFF"/>
                  </w:tcBorders>
                  <w:shd w:val="clear" w:color="000000" w:fill="FCD5B4"/>
                  <w:noWrap/>
                  <w:vAlign w:val="center"/>
                  <w:hideMark/>
                </w:tcPr>
                <w:p w14:paraId="1E37198E"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-0.6 </w:t>
                  </w:r>
                </w:p>
              </w:tc>
            </w:tr>
            <w:tr w:rsidR="002E0C5D" w:rsidRPr="002E0C5D" w14:paraId="2D0DFEA3" w14:textId="77777777" w:rsidTr="002E0C5D">
              <w:trPr>
                <w:trHeight w:val="300"/>
              </w:trPr>
              <w:tc>
                <w:tcPr>
                  <w:tcW w:w="1151" w:type="dxa"/>
                  <w:tcBorders>
                    <w:top w:val="nil"/>
                    <w:left w:val="nil"/>
                    <w:bottom w:val="single" w:sz="8" w:space="0" w:color="FFFFFF"/>
                    <w:right w:val="single" w:sz="8" w:space="0" w:color="FFFFFF"/>
                  </w:tcBorders>
                  <w:shd w:val="clear" w:color="000000" w:fill="FDE9D9"/>
                  <w:noWrap/>
                  <w:vAlign w:val="center"/>
                  <w:hideMark/>
                </w:tcPr>
                <w:p w14:paraId="0F97A508" w14:textId="77777777" w:rsidR="002E0C5D" w:rsidRPr="002E0C5D" w:rsidRDefault="002E0C5D" w:rsidP="002E0C5D">
                  <w:pPr>
                    <w:widowControl/>
                    <w:jc w:val="center"/>
                    <w:rPr>
                      <w:rFonts w:ascii="楷体" w:eastAsia="楷体" w:hAnsi="楷体" w:cs="宋体"/>
                      <w:color w:val="000000"/>
                      <w:kern w:val="0"/>
                      <w:sz w:val="20"/>
                      <w:szCs w:val="20"/>
                    </w:rPr>
                  </w:pPr>
                  <w:r w:rsidRPr="002E0C5D">
                    <w:rPr>
                      <w:rFonts w:ascii="楷体" w:eastAsia="楷体" w:hAnsi="楷体" w:cs="宋体" w:hint="eastAsia"/>
                      <w:color w:val="000000"/>
                      <w:kern w:val="0"/>
                      <w:sz w:val="20"/>
                      <w:szCs w:val="20"/>
                    </w:rPr>
                    <w:t>企业债7Y</w:t>
                  </w:r>
                </w:p>
              </w:tc>
              <w:tc>
                <w:tcPr>
                  <w:tcW w:w="943" w:type="dxa"/>
                  <w:tcBorders>
                    <w:top w:val="nil"/>
                    <w:left w:val="nil"/>
                    <w:bottom w:val="single" w:sz="8" w:space="0" w:color="FFFFFF"/>
                    <w:right w:val="single" w:sz="8" w:space="0" w:color="FFFFFF"/>
                  </w:tcBorders>
                  <w:shd w:val="clear" w:color="000000" w:fill="FDE9D9"/>
                  <w:noWrap/>
                  <w:vAlign w:val="center"/>
                  <w:hideMark/>
                </w:tcPr>
                <w:p w14:paraId="47A2D55C"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-8.2 </w:t>
                  </w:r>
                </w:p>
              </w:tc>
              <w:tc>
                <w:tcPr>
                  <w:tcW w:w="943" w:type="dxa"/>
                  <w:tcBorders>
                    <w:top w:val="nil"/>
                    <w:left w:val="nil"/>
                    <w:bottom w:val="single" w:sz="8" w:space="0" w:color="FFFFFF"/>
                    <w:right w:val="single" w:sz="8" w:space="0" w:color="FFFFFF"/>
                  </w:tcBorders>
                  <w:shd w:val="clear" w:color="000000" w:fill="FDE9D9"/>
                  <w:noWrap/>
                  <w:vAlign w:val="center"/>
                  <w:hideMark/>
                </w:tcPr>
                <w:p w14:paraId="4CDFFFC4"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-8.2 </w:t>
                  </w:r>
                </w:p>
              </w:tc>
              <w:tc>
                <w:tcPr>
                  <w:tcW w:w="943" w:type="dxa"/>
                  <w:tcBorders>
                    <w:top w:val="nil"/>
                    <w:left w:val="nil"/>
                    <w:bottom w:val="single" w:sz="8" w:space="0" w:color="FFFFFF"/>
                    <w:right w:val="single" w:sz="8" w:space="0" w:color="FFFFFF"/>
                  </w:tcBorders>
                  <w:shd w:val="clear" w:color="000000" w:fill="FDE9D9"/>
                  <w:noWrap/>
                  <w:vAlign w:val="center"/>
                  <w:hideMark/>
                </w:tcPr>
                <w:p w14:paraId="4863D7C5"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-6.2 </w:t>
                  </w:r>
                </w:p>
              </w:tc>
              <w:tc>
                <w:tcPr>
                  <w:tcW w:w="943" w:type="dxa"/>
                  <w:tcBorders>
                    <w:top w:val="nil"/>
                    <w:left w:val="nil"/>
                    <w:bottom w:val="single" w:sz="8" w:space="0" w:color="FFFFFF"/>
                    <w:right w:val="single" w:sz="8" w:space="0" w:color="FFFFFF"/>
                  </w:tcBorders>
                  <w:shd w:val="clear" w:color="000000" w:fill="FDE9D9"/>
                  <w:noWrap/>
                  <w:vAlign w:val="center"/>
                  <w:hideMark/>
                </w:tcPr>
                <w:p w14:paraId="39598B0A"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-6.2 </w:t>
                  </w:r>
                </w:p>
              </w:tc>
              <w:tc>
                <w:tcPr>
                  <w:tcW w:w="1179" w:type="dxa"/>
                  <w:tcBorders>
                    <w:top w:val="nil"/>
                    <w:left w:val="nil"/>
                    <w:bottom w:val="single" w:sz="8" w:space="0" w:color="FFFFFF"/>
                    <w:right w:val="single" w:sz="8" w:space="0" w:color="FFFFFF"/>
                  </w:tcBorders>
                  <w:shd w:val="clear" w:color="000000" w:fill="FDE9D9"/>
                  <w:noWrap/>
                  <w:vAlign w:val="center"/>
                  <w:hideMark/>
                </w:tcPr>
                <w:p w14:paraId="3B37DCBE" w14:textId="77777777" w:rsidR="002E0C5D" w:rsidRPr="002E0C5D" w:rsidRDefault="002E0C5D" w:rsidP="002E0C5D">
                  <w:pPr>
                    <w:widowControl/>
                    <w:jc w:val="center"/>
                    <w:rPr>
                      <w:rFonts w:ascii="楷体" w:eastAsia="楷体" w:hAnsi="楷体" w:cs="宋体"/>
                      <w:color w:val="000000"/>
                      <w:kern w:val="0"/>
                      <w:sz w:val="20"/>
                      <w:szCs w:val="20"/>
                    </w:rPr>
                  </w:pPr>
                  <w:r w:rsidRPr="002E0C5D">
                    <w:rPr>
                      <w:rFonts w:ascii="楷体" w:eastAsia="楷体" w:hAnsi="楷体" w:cs="宋体" w:hint="eastAsia"/>
                      <w:color w:val="000000"/>
                      <w:kern w:val="0"/>
                      <w:sz w:val="20"/>
                      <w:szCs w:val="20"/>
                    </w:rPr>
                    <w:t>企业债7Y</w:t>
                  </w:r>
                </w:p>
              </w:tc>
              <w:tc>
                <w:tcPr>
                  <w:tcW w:w="943" w:type="dxa"/>
                  <w:tcBorders>
                    <w:top w:val="nil"/>
                    <w:left w:val="nil"/>
                    <w:bottom w:val="single" w:sz="8" w:space="0" w:color="FFFFFF"/>
                    <w:right w:val="single" w:sz="8" w:space="0" w:color="FFFFFF"/>
                  </w:tcBorders>
                  <w:shd w:val="clear" w:color="000000" w:fill="FDE9D9"/>
                  <w:noWrap/>
                  <w:vAlign w:val="center"/>
                  <w:hideMark/>
                </w:tcPr>
                <w:p w14:paraId="691C4441"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0.1 </w:t>
                  </w:r>
                </w:p>
              </w:tc>
              <w:tc>
                <w:tcPr>
                  <w:tcW w:w="943" w:type="dxa"/>
                  <w:tcBorders>
                    <w:top w:val="nil"/>
                    <w:left w:val="nil"/>
                    <w:bottom w:val="single" w:sz="8" w:space="0" w:color="FFFFFF"/>
                    <w:right w:val="single" w:sz="8" w:space="0" w:color="FFFFFF"/>
                  </w:tcBorders>
                  <w:shd w:val="clear" w:color="000000" w:fill="FDE9D9"/>
                  <w:noWrap/>
                  <w:vAlign w:val="center"/>
                  <w:hideMark/>
                </w:tcPr>
                <w:p w14:paraId="7C736CA4"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0.1 </w:t>
                  </w:r>
                </w:p>
              </w:tc>
              <w:tc>
                <w:tcPr>
                  <w:tcW w:w="943" w:type="dxa"/>
                  <w:tcBorders>
                    <w:top w:val="nil"/>
                    <w:left w:val="nil"/>
                    <w:bottom w:val="single" w:sz="8" w:space="0" w:color="FFFFFF"/>
                    <w:right w:val="single" w:sz="8" w:space="0" w:color="FFFFFF"/>
                  </w:tcBorders>
                  <w:shd w:val="clear" w:color="000000" w:fill="FDE9D9"/>
                  <w:noWrap/>
                  <w:vAlign w:val="center"/>
                  <w:hideMark/>
                </w:tcPr>
                <w:p w14:paraId="731BD985"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2.1 </w:t>
                  </w:r>
                </w:p>
              </w:tc>
              <w:tc>
                <w:tcPr>
                  <w:tcW w:w="943" w:type="dxa"/>
                  <w:tcBorders>
                    <w:top w:val="nil"/>
                    <w:left w:val="nil"/>
                    <w:bottom w:val="single" w:sz="8" w:space="0" w:color="FFFFFF"/>
                    <w:right w:val="single" w:sz="8" w:space="0" w:color="FFFFFF"/>
                  </w:tcBorders>
                  <w:shd w:val="clear" w:color="000000" w:fill="FDE9D9"/>
                  <w:noWrap/>
                  <w:vAlign w:val="center"/>
                  <w:hideMark/>
                </w:tcPr>
                <w:p w14:paraId="0E74AC98"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2.1 </w:t>
                  </w:r>
                </w:p>
              </w:tc>
            </w:tr>
            <w:tr w:rsidR="002E0C5D" w:rsidRPr="002E0C5D" w14:paraId="13E5BCB6" w14:textId="77777777" w:rsidTr="002E0C5D">
              <w:trPr>
                <w:trHeight w:val="300"/>
              </w:trPr>
              <w:tc>
                <w:tcPr>
                  <w:tcW w:w="1151" w:type="dxa"/>
                  <w:tcBorders>
                    <w:top w:val="nil"/>
                    <w:left w:val="nil"/>
                    <w:bottom w:val="single" w:sz="8" w:space="0" w:color="FFFFFF"/>
                    <w:right w:val="single" w:sz="8" w:space="0" w:color="FFFFFF"/>
                  </w:tcBorders>
                  <w:shd w:val="clear" w:color="000000" w:fill="FCD5B4"/>
                  <w:noWrap/>
                  <w:vAlign w:val="center"/>
                  <w:hideMark/>
                </w:tcPr>
                <w:p w14:paraId="0CEE8EA1" w14:textId="77777777" w:rsidR="002E0C5D" w:rsidRPr="002E0C5D" w:rsidRDefault="002E0C5D" w:rsidP="002E0C5D">
                  <w:pPr>
                    <w:widowControl/>
                    <w:jc w:val="center"/>
                    <w:rPr>
                      <w:rFonts w:ascii="楷体" w:eastAsia="楷体" w:hAnsi="楷体" w:cs="宋体"/>
                      <w:color w:val="000000"/>
                      <w:kern w:val="0"/>
                      <w:sz w:val="20"/>
                      <w:szCs w:val="20"/>
                    </w:rPr>
                  </w:pPr>
                  <w:proofErr w:type="gramStart"/>
                  <w:r w:rsidRPr="002E0C5D">
                    <w:rPr>
                      <w:rFonts w:ascii="楷体" w:eastAsia="楷体" w:hAnsi="楷体" w:cs="宋体" w:hint="eastAsia"/>
                      <w:color w:val="000000"/>
                      <w:kern w:val="0"/>
                      <w:sz w:val="20"/>
                      <w:szCs w:val="20"/>
                    </w:rPr>
                    <w:t>城投债</w:t>
                  </w:r>
                  <w:proofErr w:type="gramEnd"/>
                  <w:r w:rsidRPr="002E0C5D">
                    <w:rPr>
                      <w:rFonts w:ascii="楷体" w:eastAsia="楷体" w:hAnsi="楷体" w:cs="宋体" w:hint="eastAsia"/>
                      <w:color w:val="000000"/>
                      <w:kern w:val="0"/>
                      <w:sz w:val="20"/>
                      <w:szCs w:val="20"/>
                    </w:rPr>
                    <w:t>3Y</w:t>
                  </w:r>
                </w:p>
              </w:tc>
              <w:tc>
                <w:tcPr>
                  <w:tcW w:w="943" w:type="dxa"/>
                  <w:tcBorders>
                    <w:top w:val="nil"/>
                    <w:left w:val="nil"/>
                    <w:bottom w:val="single" w:sz="8" w:space="0" w:color="FFFFFF"/>
                    <w:right w:val="single" w:sz="8" w:space="0" w:color="FFFFFF"/>
                  </w:tcBorders>
                  <w:shd w:val="clear" w:color="000000" w:fill="FCD5B4"/>
                  <w:noWrap/>
                  <w:vAlign w:val="center"/>
                  <w:hideMark/>
                </w:tcPr>
                <w:p w14:paraId="36E2810B"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-8.5 </w:t>
                  </w:r>
                </w:p>
              </w:tc>
              <w:tc>
                <w:tcPr>
                  <w:tcW w:w="943" w:type="dxa"/>
                  <w:tcBorders>
                    <w:top w:val="nil"/>
                    <w:left w:val="nil"/>
                    <w:bottom w:val="single" w:sz="8" w:space="0" w:color="FFFFFF"/>
                    <w:right w:val="single" w:sz="8" w:space="0" w:color="FFFFFF"/>
                  </w:tcBorders>
                  <w:shd w:val="clear" w:color="000000" w:fill="FCD5B4"/>
                  <w:noWrap/>
                  <w:vAlign w:val="center"/>
                  <w:hideMark/>
                </w:tcPr>
                <w:p w14:paraId="2A7D5292"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-9.5 </w:t>
                  </w:r>
                </w:p>
              </w:tc>
              <w:tc>
                <w:tcPr>
                  <w:tcW w:w="943" w:type="dxa"/>
                  <w:tcBorders>
                    <w:top w:val="nil"/>
                    <w:left w:val="nil"/>
                    <w:bottom w:val="single" w:sz="8" w:space="0" w:color="FFFFFF"/>
                    <w:right w:val="single" w:sz="8" w:space="0" w:color="FFFFFF"/>
                  </w:tcBorders>
                  <w:shd w:val="clear" w:color="000000" w:fill="FCD5B4"/>
                  <w:noWrap/>
                  <w:vAlign w:val="center"/>
                  <w:hideMark/>
                </w:tcPr>
                <w:p w14:paraId="24D58122"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-5.5 </w:t>
                  </w:r>
                </w:p>
              </w:tc>
              <w:tc>
                <w:tcPr>
                  <w:tcW w:w="943" w:type="dxa"/>
                  <w:tcBorders>
                    <w:top w:val="nil"/>
                    <w:left w:val="nil"/>
                    <w:bottom w:val="single" w:sz="8" w:space="0" w:color="FFFFFF"/>
                    <w:right w:val="single" w:sz="8" w:space="0" w:color="FFFFFF"/>
                  </w:tcBorders>
                  <w:shd w:val="clear" w:color="000000" w:fill="FCD5B4"/>
                  <w:noWrap/>
                  <w:vAlign w:val="center"/>
                  <w:hideMark/>
                </w:tcPr>
                <w:p w14:paraId="2DC7C3E1"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-3.5 </w:t>
                  </w:r>
                </w:p>
              </w:tc>
              <w:tc>
                <w:tcPr>
                  <w:tcW w:w="1179" w:type="dxa"/>
                  <w:tcBorders>
                    <w:top w:val="nil"/>
                    <w:left w:val="nil"/>
                    <w:bottom w:val="single" w:sz="8" w:space="0" w:color="FFFFFF"/>
                    <w:right w:val="single" w:sz="8" w:space="0" w:color="FFFFFF"/>
                  </w:tcBorders>
                  <w:shd w:val="clear" w:color="000000" w:fill="FCD5B4"/>
                  <w:noWrap/>
                  <w:vAlign w:val="center"/>
                  <w:hideMark/>
                </w:tcPr>
                <w:p w14:paraId="63B25000" w14:textId="77777777" w:rsidR="002E0C5D" w:rsidRPr="002E0C5D" w:rsidRDefault="002E0C5D" w:rsidP="002E0C5D">
                  <w:pPr>
                    <w:widowControl/>
                    <w:jc w:val="center"/>
                    <w:rPr>
                      <w:rFonts w:ascii="楷体" w:eastAsia="楷体" w:hAnsi="楷体" w:cs="宋体"/>
                      <w:color w:val="000000"/>
                      <w:kern w:val="0"/>
                      <w:sz w:val="20"/>
                      <w:szCs w:val="20"/>
                    </w:rPr>
                  </w:pPr>
                  <w:proofErr w:type="gramStart"/>
                  <w:r w:rsidRPr="002E0C5D">
                    <w:rPr>
                      <w:rFonts w:ascii="楷体" w:eastAsia="楷体" w:hAnsi="楷体" w:cs="宋体" w:hint="eastAsia"/>
                      <w:color w:val="000000"/>
                      <w:kern w:val="0"/>
                      <w:sz w:val="20"/>
                      <w:szCs w:val="20"/>
                    </w:rPr>
                    <w:t>城投债</w:t>
                  </w:r>
                  <w:proofErr w:type="gramEnd"/>
                  <w:r w:rsidRPr="002E0C5D">
                    <w:rPr>
                      <w:rFonts w:ascii="楷体" w:eastAsia="楷体" w:hAnsi="楷体" w:cs="宋体" w:hint="eastAsia"/>
                      <w:color w:val="000000"/>
                      <w:kern w:val="0"/>
                      <w:sz w:val="20"/>
                      <w:szCs w:val="20"/>
                    </w:rPr>
                    <w:t>3Y</w:t>
                  </w:r>
                </w:p>
              </w:tc>
              <w:tc>
                <w:tcPr>
                  <w:tcW w:w="943" w:type="dxa"/>
                  <w:tcBorders>
                    <w:top w:val="nil"/>
                    <w:left w:val="nil"/>
                    <w:bottom w:val="single" w:sz="8" w:space="0" w:color="FFFFFF"/>
                    <w:right w:val="single" w:sz="8" w:space="0" w:color="FFFFFF"/>
                  </w:tcBorders>
                  <w:shd w:val="clear" w:color="000000" w:fill="FCD5B4"/>
                  <w:noWrap/>
                  <w:vAlign w:val="center"/>
                  <w:hideMark/>
                </w:tcPr>
                <w:p w14:paraId="4AB3F1DB"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-5.0 </w:t>
                  </w:r>
                </w:p>
              </w:tc>
              <w:tc>
                <w:tcPr>
                  <w:tcW w:w="943" w:type="dxa"/>
                  <w:tcBorders>
                    <w:top w:val="nil"/>
                    <w:left w:val="nil"/>
                    <w:bottom w:val="single" w:sz="8" w:space="0" w:color="FFFFFF"/>
                    <w:right w:val="single" w:sz="8" w:space="0" w:color="FFFFFF"/>
                  </w:tcBorders>
                  <w:shd w:val="clear" w:color="000000" w:fill="FCD5B4"/>
                  <w:noWrap/>
                  <w:vAlign w:val="center"/>
                  <w:hideMark/>
                </w:tcPr>
                <w:p w14:paraId="745240F0"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-6.0 </w:t>
                  </w:r>
                </w:p>
              </w:tc>
              <w:tc>
                <w:tcPr>
                  <w:tcW w:w="943" w:type="dxa"/>
                  <w:tcBorders>
                    <w:top w:val="nil"/>
                    <w:left w:val="nil"/>
                    <w:bottom w:val="single" w:sz="8" w:space="0" w:color="FFFFFF"/>
                    <w:right w:val="single" w:sz="8" w:space="0" w:color="FFFFFF"/>
                  </w:tcBorders>
                  <w:shd w:val="clear" w:color="000000" w:fill="FCD5B4"/>
                  <w:noWrap/>
                  <w:vAlign w:val="center"/>
                  <w:hideMark/>
                </w:tcPr>
                <w:p w14:paraId="129223FD"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-2.0 </w:t>
                  </w:r>
                </w:p>
              </w:tc>
              <w:tc>
                <w:tcPr>
                  <w:tcW w:w="943" w:type="dxa"/>
                  <w:tcBorders>
                    <w:top w:val="nil"/>
                    <w:left w:val="nil"/>
                    <w:bottom w:val="single" w:sz="8" w:space="0" w:color="FFFFFF"/>
                    <w:right w:val="single" w:sz="8" w:space="0" w:color="FFFFFF"/>
                  </w:tcBorders>
                  <w:shd w:val="clear" w:color="000000" w:fill="FCD5B4"/>
                  <w:noWrap/>
                  <w:vAlign w:val="center"/>
                  <w:hideMark/>
                </w:tcPr>
                <w:p w14:paraId="0B7B4A80"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-0.0 </w:t>
                  </w:r>
                </w:p>
              </w:tc>
            </w:tr>
            <w:tr w:rsidR="002E0C5D" w:rsidRPr="002E0C5D" w14:paraId="1D6BB85D" w14:textId="77777777" w:rsidTr="002E0C5D">
              <w:trPr>
                <w:trHeight w:val="300"/>
              </w:trPr>
              <w:tc>
                <w:tcPr>
                  <w:tcW w:w="1151" w:type="dxa"/>
                  <w:tcBorders>
                    <w:top w:val="nil"/>
                    <w:left w:val="nil"/>
                    <w:bottom w:val="single" w:sz="8" w:space="0" w:color="FFFFFF"/>
                    <w:right w:val="single" w:sz="8" w:space="0" w:color="FFFFFF"/>
                  </w:tcBorders>
                  <w:shd w:val="clear" w:color="000000" w:fill="FDE9D9"/>
                  <w:noWrap/>
                  <w:vAlign w:val="center"/>
                  <w:hideMark/>
                </w:tcPr>
                <w:p w14:paraId="6F854C09" w14:textId="77777777" w:rsidR="002E0C5D" w:rsidRPr="002E0C5D" w:rsidRDefault="002E0C5D" w:rsidP="002E0C5D">
                  <w:pPr>
                    <w:widowControl/>
                    <w:jc w:val="center"/>
                    <w:rPr>
                      <w:rFonts w:ascii="楷体" w:eastAsia="楷体" w:hAnsi="楷体" w:cs="宋体"/>
                      <w:color w:val="000000"/>
                      <w:kern w:val="0"/>
                      <w:sz w:val="20"/>
                      <w:szCs w:val="20"/>
                    </w:rPr>
                  </w:pPr>
                  <w:proofErr w:type="gramStart"/>
                  <w:r w:rsidRPr="002E0C5D">
                    <w:rPr>
                      <w:rFonts w:ascii="楷体" w:eastAsia="楷体" w:hAnsi="楷体" w:cs="宋体" w:hint="eastAsia"/>
                      <w:color w:val="000000"/>
                      <w:kern w:val="0"/>
                      <w:sz w:val="20"/>
                      <w:szCs w:val="20"/>
                    </w:rPr>
                    <w:t>城投债</w:t>
                  </w:r>
                  <w:proofErr w:type="gramEnd"/>
                  <w:r w:rsidRPr="002E0C5D">
                    <w:rPr>
                      <w:rFonts w:ascii="楷体" w:eastAsia="楷体" w:hAnsi="楷体" w:cs="宋体" w:hint="eastAsia"/>
                      <w:color w:val="000000"/>
                      <w:kern w:val="0"/>
                      <w:sz w:val="20"/>
                      <w:szCs w:val="20"/>
                    </w:rPr>
                    <w:t>5Y</w:t>
                  </w:r>
                </w:p>
              </w:tc>
              <w:tc>
                <w:tcPr>
                  <w:tcW w:w="943" w:type="dxa"/>
                  <w:tcBorders>
                    <w:top w:val="nil"/>
                    <w:left w:val="nil"/>
                    <w:bottom w:val="single" w:sz="8" w:space="0" w:color="FFFFFF"/>
                    <w:right w:val="single" w:sz="8" w:space="0" w:color="FFFFFF"/>
                  </w:tcBorders>
                  <w:shd w:val="clear" w:color="000000" w:fill="FDE9D9"/>
                  <w:noWrap/>
                  <w:vAlign w:val="center"/>
                  <w:hideMark/>
                </w:tcPr>
                <w:p w14:paraId="67C2DEC4"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-9.7 </w:t>
                  </w:r>
                </w:p>
              </w:tc>
              <w:tc>
                <w:tcPr>
                  <w:tcW w:w="943" w:type="dxa"/>
                  <w:tcBorders>
                    <w:top w:val="nil"/>
                    <w:left w:val="nil"/>
                    <w:bottom w:val="single" w:sz="8" w:space="0" w:color="FFFFFF"/>
                    <w:right w:val="single" w:sz="8" w:space="0" w:color="FFFFFF"/>
                  </w:tcBorders>
                  <w:shd w:val="clear" w:color="000000" w:fill="FDE9D9"/>
                  <w:noWrap/>
                  <w:vAlign w:val="center"/>
                  <w:hideMark/>
                </w:tcPr>
                <w:p w14:paraId="39E8FBD1"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-9.7 </w:t>
                  </w:r>
                </w:p>
              </w:tc>
              <w:tc>
                <w:tcPr>
                  <w:tcW w:w="943" w:type="dxa"/>
                  <w:tcBorders>
                    <w:top w:val="nil"/>
                    <w:left w:val="nil"/>
                    <w:bottom w:val="single" w:sz="8" w:space="0" w:color="FFFFFF"/>
                    <w:right w:val="single" w:sz="8" w:space="0" w:color="FFFFFF"/>
                  </w:tcBorders>
                  <w:shd w:val="clear" w:color="000000" w:fill="FDE9D9"/>
                  <w:noWrap/>
                  <w:vAlign w:val="center"/>
                  <w:hideMark/>
                </w:tcPr>
                <w:p w14:paraId="3A114902"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-9.7 </w:t>
                  </w:r>
                </w:p>
              </w:tc>
              <w:tc>
                <w:tcPr>
                  <w:tcW w:w="943" w:type="dxa"/>
                  <w:tcBorders>
                    <w:top w:val="nil"/>
                    <w:left w:val="nil"/>
                    <w:bottom w:val="single" w:sz="8" w:space="0" w:color="FFFFFF"/>
                    <w:right w:val="single" w:sz="8" w:space="0" w:color="FFFFFF"/>
                  </w:tcBorders>
                  <w:shd w:val="clear" w:color="000000" w:fill="FDE9D9"/>
                  <w:noWrap/>
                  <w:vAlign w:val="center"/>
                  <w:hideMark/>
                </w:tcPr>
                <w:p w14:paraId="442AA186"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-10.7 </w:t>
                  </w:r>
                </w:p>
              </w:tc>
              <w:tc>
                <w:tcPr>
                  <w:tcW w:w="1179" w:type="dxa"/>
                  <w:tcBorders>
                    <w:top w:val="nil"/>
                    <w:left w:val="nil"/>
                    <w:bottom w:val="single" w:sz="8" w:space="0" w:color="FFFFFF"/>
                    <w:right w:val="single" w:sz="8" w:space="0" w:color="FFFFFF"/>
                  </w:tcBorders>
                  <w:shd w:val="clear" w:color="000000" w:fill="FDE9D9"/>
                  <w:noWrap/>
                  <w:vAlign w:val="center"/>
                  <w:hideMark/>
                </w:tcPr>
                <w:p w14:paraId="32837CAE" w14:textId="77777777" w:rsidR="002E0C5D" w:rsidRPr="002E0C5D" w:rsidRDefault="002E0C5D" w:rsidP="002E0C5D">
                  <w:pPr>
                    <w:widowControl/>
                    <w:jc w:val="center"/>
                    <w:rPr>
                      <w:rFonts w:ascii="楷体" w:eastAsia="楷体" w:hAnsi="楷体" w:cs="宋体"/>
                      <w:color w:val="000000"/>
                      <w:kern w:val="0"/>
                      <w:sz w:val="20"/>
                      <w:szCs w:val="20"/>
                    </w:rPr>
                  </w:pPr>
                  <w:proofErr w:type="gramStart"/>
                  <w:r w:rsidRPr="002E0C5D">
                    <w:rPr>
                      <w:rFonts w:ascii="楷体" w:eastAsia="楷体" w:hAnsi="楷体" w:cs="宋体" w:hint="eastAsia"/>
                      <w:color w:val="000000"/>
                      <w:kern w:val="0"/>
                      <w:sz w:val="20"/>
                      <w:szCs w:val="20"/>
                    </w:rPr>
                    <w:t>城投债</w:t>
                  </w:r>
                  <w:proofErr w:type="gramEnd"/>
                  <w:r w:rsidRPr="002E0C5D">
                    <w:rPr>
                      <w:rFonts w:ascii="楷体" w:eastAsia="楷体" w:hAnsi="楷体" w:cs="宋体" w:hint="eastAsia"/>
                      <w:color w:val="000000"/>
                      <w:kern w:val="0"/>
                      <w:sz w:val="20"/>
                      <w:szCs w:val="20"/>
                    </w:rPr>
                    <w:t>5Y</w:t>
                  </w:r>
                </w:p>
              </w:tc>
              <w:tc>
                <w:tcPr>
                  <w:tcW w:w="943" w:type="dxa"/>
                  <w:tcBorders>
                    <w:top w:val="nil"/>
                    <w:left w:val="nil"/>
                    <w:bottom w:val="single" w:sz="8" w:space="0" w:color="FFFFFF"/>
                    <w:right w:val="single" w:sz="8" w:space="0" w:color="FFFFFF"/>
                  </w:tcBorders>
                  <w:shd w:val="clear" w:color="000000" w:fill="FDE9D9"/>
                  <w:noWrap/>
                  <w:vAlign w:val="center"/>
                  <w:hideMark/>
                </w:tcPr>
                <w:p w14:paraId="7952E15F"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-3.6 </w:t>
                  </w:r>
                </w:p>
              </w:tc>
              <w:tc>
                <w:tcPr>
                  <w:tcW w:w="943" w:type="dxa"/>
                  <w:tcBorders>
                    <w:top w:val="nil"/>
                    <w:left w:val="nil"/>
                    <w:bottom w:val="single" w:sz="8" w:space="0" w:color="FFFFFF"/>
                    <w:right w:val="single" w:sz="8" w:space="0" w:color="FFFFFF"/>
                  </w:tcBorders>
                  <w:shd w:val="clear" w:color="000000" w:fill="FDE9D9"/>
                  <w:noWrap/>
                  <w:vAlign w:val="center"/>
                  <w:hideMark/>
                </w:tcPr>
                <w:p w14:paraId="7B9CE242"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-3.6 </w:t>
                  </w:r>
                </w:p>
              </w:tc>
              <w:tc>
                <w:tcPr>
                  <w:tcW w:w="943" w:type="dxa"/>
                  <w:tcBorders>
                    <w:top w:val="nil"/>
                    <w:left w:val="nil"/>
                    <w:bottom w:val="single" w:sz="8" w:space="0" w:color="FFFFFF"/>
                    <w:right w:val="single" w:sz="8" w:space="0" w:color="FFFFFF"/>
                  </w:tcBorders>
                  <w:shd w:val="clear" w:color="000000" w:fill="FDE9D9"/>
                  <w:noWrap/>
                  <w:vAlign w:val="center"/>
                  <w:hideMark/>
                </w:tcPr>
                <w:p w14:paraId="4CA0FBC8"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-3.6 </w:t>
                  </w:r>
                </w:p>
              </w:tc>
              <w:tc>
                <w:tcPr>
                  <w:tcW w:w="943" w:type="dxa"/>
                  <w:tcBorders>
                    <w:top w:val="nil"/>
                    <w:left w:val="nil"/>
                    <w:bottom w:val="single" w:sz="8" w:space="0" w:color="FFFFFF"/>
                    <w:right w:val="single" w:sz="8" w:space="0" w:color="FFFFFF"/>
                  </w:tcBorders>
                  <w:shd w:val="clear" w:color="000000" w:fill="FDE9D9"/>
                  <w:noWrap/>
                  <w:vAlign w:val="center"/>
                  <w:hideMark/>
                </w:tcPr>
                <w:p w14:paraId="56E80098"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-4.6 </w:t>
                  </w:r>
                </w:p>
              </w:tc>
            </w:tr>
            <w:tr w:rsidR="002E0C5D" w:rsidRPr="002E0C5D" w14:paraId="40AF5180" w14:textId="77777777" w:rsidTr="002E0C5D">
              <w:trPr>
                <w:trHeight w:val="300"/>
              </w:trPr>
              <w:tc>
                <w:tcPr>
                  <w:tcW w:w="1151" w:type="dxa"/>
                  <w:tcBorders>
                    <w:top w:val="nil"/>
                    <w:left w:val="nil"/>
                    <w:bottom w:val="nil"/>
                    <w:right w:val="nil"/>
                  </w:tcBorders>
                  <w:shd w:val="clear" w:color="000000" w:fill="FCD5B4"/>
                  <w:noWrap/>
                  <w:vAlign w:val="center"/>
                  <w:hideMark/>
                </w:tcPr>
                <w:p w14:paraId="488C85E7" w14:textId="77777777" w:rsidR="002E0C5D" w:rsidRPr="002E0C5D" w:rsidRDefault="002E0C5D" w:rsidP="002E0C5D">
                  <w:pPr>
                    <w:widowControl/>
                    <w:jc w:val="center"/>
                    <w:rPr>
                      <w:rFonts w:ascii="楷体" w:eastAsia="楷体" w:hAnsi="楷体" w:cs="宋体"/>
                      <w:color w:val="000000"/>
                      <w:kern w:val="0"/>
                      <w:sz w:val="20"/>
                      <w:szCs w:val="20"/>
                    </w:rPr>
                  </w:pPr>
                  <w:proofErr w:type="gramStart"/>
                  <w:r w:rsidRPr="002E0C5D">
                    <w:rPr>
                      <w:rFonts w:ascii="楷体" w:eastAsia="楷体" w:hAnsi="楷体" w:cs="宋体" w:hint="eastAsia"/>
                      <w:color w:val="000000"/>
                      <w:kern w:val="0"/>
                      <w:sz w:val="20"/>
                      <w:szCs w:val="20"/>
                    </w:rPr>
                    <w:t>城投债</w:t>
                  </w:r>
                  <w:proofErr w:type="gramEnd"/>
                  <w:r w:rsidRPr="002E0C5D">
                    <w:rPr>
                      <w:rFonts w:ascii="楷体" w:eastAsia="楷体" w:hAnsi="楷体" w:cs="宋体" w:hint="eastAsia"/>
                      <w:color w:val="000000"/>
                      <w:kern w:val="0"/>
                      <w:sz w:val="20"/>
                      <w:szCs w:val="20"/>
                    </w:rPr>
                    <w:t>7Y</w:t>
                  </w:r>
                </w:p>
              </w:tc>
              <w:tc>
                <w:tcPr>
                  <w:tcW w:w="943" w:type="dxa"/>
                  <w:tcBorders>
                    <w:top w:val="nil"/>
                    <w:left w:val="nil"/>
                    <w:bottom w:val="single" w:sz="8" w:space="0" w:color="FFFFFF"/>
                    <w:right w:val="single" w:sz="8" w:space="0" w:color="FFFFFF"/>
                  </w:tcBorders>
                  <w:shd w:val="clear" w:color="000000" w:fill="FCD5B4"/>
                  <w:noWrap/>
                  <w:vAlign w:val="center"/>
                  <w:hideMark/>
                </w:tcPr>
                <w:p w14:paraId="51F9B8A6"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-5.0 </w:t>
                  </w:r>
                </w:p>
              </w:tc>
              <w:tc>
                <w:tcPr>
                  <w:tcW w:w="943" w:type="dxa"/>
                  <w:tcBorders>
                    <w:top w:val="nil"/>
                    <w:left w:val="nil"/>
                    <w:bottom w:val="single" w:sz="8" w:space="0" w:color="FFFFFF"/>
                    <w:right w:val="single" w:sz="8" w:space="0" w:color="FFFFFF"/>
                  </w:tcBorders>
                  <w:shd w:val="clear" w:color="000000" w:fill="FCD5B4"/>
                  <w:noWrap/>
                  <w:vAlign w:val="center"/>
                  <w:hideMark/>
                </w:tcPr>
                <w:p w14:paraId="742D87F3"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-5.9 </w:t>
                  </w:r>
                </w:p>
              </w:tc>
              <w:tc>
                <w:tcPr>
                  <w:tcW w:w="943" w:type="dxa"/>
                  <w:tcBorders>
                    <w:top w:val="nil"/>
                    <w:left w:val="nil"/>
                    <w:bottom w:val="single" w:sz="8" w:space="0" w:color="FFFFFF"/>
                    <w:right w:val="single" w:sz="8" w:space="0" w:color="FFFFFF"/>
                  </w:tcBorders>
                  <w:shd w:val="clear" w:color="000000" w:fill="FCD5B4"/>
                  <w:noWrap/>
                  <w:vAlign w:val="center"/>
                  <w:hideMark/>
                </w:tcPr>
                <w:p w14:paraId="11C578B4"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-5.0 </w:t>
                  </w:r>
                </w:p>
              </w:tc>
              <w:tc>
                <w:tcPr>
                  <w:tcW w:w="943" w:type="dxa"/>
                  <w:tcBorders>
                    <w:top w:val="nil"/>
                    <w:left w:val="nil"/>
                    <w:bottom w:val="single" w:sz="8" w:space="0" w:color="FFFFFF"/>
                    <w:right w:val="single" w:sz="8" w:space="0" w:color="FFFFFF"/>
                  </w:tcBorders>
                  <w:shd w:val="clear" w:color="000000" w:fill="FCD5B4"/>
                  <w:noWrap/>
                  <w:vAlign w:val="center"/>
                  <w:hideMark/>
                </w:tcPr>
                <w:p w14:paraId="5FB45BF1"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FF0000"/>
                      <w:kern w:val="0"/>
                      <w:szCs w:val="21"/>
                    </w:rPr>
                    <w:t xml:space="preserve">-5.9 </w:t>
                  </w:r>
                </w:p>
              </w:tc>
              <w:tc>
                <w:tcPr>
                  <w:tcW w:w="1179" w:type="dxa"/>
                  <w:tcBorders>
                    <w:top w:val="nil"/>
                    <w:left w:val="nil"/>
                    <w:bottom w:val="nil"/>
                    <w:right w:val="nil"/>
                  </w:tcBorders>
                  <w:shd w:val="clear" w:color="000000" w:fill="FCD5B4"/>
                  <w:noWrap/>
                  <w:vAlign w:val="center"/>
                  <w:hideMark/>
                </w:tcPr>
                <w:p w14:paraId="2538227D" w14:textId="77777777" w:rsidR="002E0C5D" w:rsidRPr="002E0C5D" w:rsidRDefault="002E0C5D" w:rsidP="002E0C5D">
                  <w:pPr>
                    <w:widowControl/>
                    <w:jc w:val="center"/>
                    <w:rPr>
                      <w:rFonts w:ascii="楷体" w:eastAsia="楷体" w:hAnsi="楷体" w:cs="宋体"/>
                      <w:color w:val="000000"/>
                      <w:kern w:val="0"/>
                      <w:sz w:val="20"/>
                      <w:szCs w:val="20"/>
                    </w:rPr>
                  </w:pPr>
                  <w:proofErr w:type="gramStart"/>
                  <w:r w:rsidRPr="002E0C5D">
                    <w:rPr>
                      <w:rFonts w:ascii="楷体" w:eastAsia="楷体" w:hAnsi="楷体" w:cs="宋体" w:hint="eastAsia"/>
                      <w:color w:val="000000"/>
                      <w:kern w:val="0"/>
                      <w:sz w:val="20"/>
                      <w:szCs w:val="20"/>
                    </w:rPr>
                    <w:t>城投债</w:t>
                  </w:r>
                  <w:proofErr w:type="gramEnd"/>
                  <w:r w:rsidRPr="002E0C5D">
                    <w:rPr>
                      <w:rFonts w:ascii="楷体" w:eastAsia="楷体" w:hAnsi="楷体" w:cs="宋体" w:hint="eastAsia"/>
                      <w:color w:val="000000"/>
                      <w:kern w:val="0"/>
                      <w:sz w:val="20"/>
                      <w:szCs w:val="20"/>
                    </w:rPr>
                    <w:t>7Y</w:t>
                  </w:r>
                </w:p>
              </w:tc>
              <w:tc>
                <w:tcPr>
                  <w:tcW w:w="943" w:type="dxa"/>
                  <w:tcBorders>
                    <w:top w:val="nil"/>
                    <w:left w:val="nil"/>
                    <w:bottom w:val="single" w:sz="8" w:space="0" w:color="FFFFFF"/>
                    <w:right w:val="single" w:sz="8" w:space="0" w:color="FFFFFF"/>
                  </w:tcBorders>
                  <w:shd w:val="clear" w:color="000000" w:fill="FCD5B4"/>
                  <w:noWrap/>
                  <w:vAlign w:val="center"/>
                  <w:hideMark/>
                </w:tcPr>
                <w:p w14:paraId="758FEB80"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3.3 </w:t>
                  </w:r>
                </w:p>
              </w:tc>
              <w:tc>
                <w:tcPr>
                  <w:tcW w:w="943" w:type="dxa"/>
                  <w:tcBorders>
                    <w:top w:val="nil"/>
                    <w:left w:val="nil"/>
                    <w:bottom w:val="single" w:sz="8" w:space="0" w:color="FFFFFF"/>
                    <w:right w:val="single" w:sz="8" w:space="0" w:color="FFFFFF"/>
                  </w:tcBorders>
                  <w:shd w:val="clear" w:color="000000" w:fill="FCD5B4"/>
                  <w:noWrap/>
                  <w:vAlign w:val="center"/>
                  <w:hideMark/>
                </w:tcPr>
                <w:p w14:paraId="2D4A8264"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2.3 </w:t>
                  </w:r>
                </w:p>
              </w:tc>
              <w:tc>
                <w:tcPr>
                  <w:tcW w:w="943" w:type="dxa"/>
                  <w:tcBorders>
                    <w:top w:val="nil"/>
                    <w:left w:val="nil"/>
                    <w:bottom w:val="single" w:sz="8" w:space="0" w:color="FFFFFF"/>
                    <w:right w:val="single" w:sz="8" w:space="0" w:color="FFFFFF"/>
                  </w:tcBorders>
                  <w:shd w:val="clear" w:color="000000" w:fill="FCD5B4"/>
                  <w:noWrap/>
                  <w:vAlign w:val="center"/>
                  <w:hideMark/>
                </w:tcPr>
                <w:p w14:paraId="1E78F798"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3.3 </w:t>
                  </w:r>
                </w:p>
              </w:tc>
              <w:tc>
                <w:tcPr>
                  <w:tcW w:w="943" w:type="dxa"/>
                  <w:tcBorders>
                    <w:top w:val="nil"/>
                    <w:left w:val="nil"/>
                    <w:bottom w:val="single" w:sz="8" w:space="0" w:color="FFFFFF"/>
                    <w:right w:val="single" w:sz="8" w:space="0" w:color="FFFFFF"/>
                  </w:tcBorders>
                  <w:shd w:val="clear" w:color="000000" w:fill="FCD5B4"/>
                  <w:noWrap/>
                  <w:vAlign w:val="center"/>
                  <w:hideMark/>
                </w:tcPr>
                <w:p w14:paraId="21BF3DB7"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 xml:space="preserve">2.3 </w:t>
                  </w:r>
                </w:p>
              </w:tc>
            </w:tr>
            <w:tr w:rsidR="002E0C5D" w:rsidRPr="002E0C5D" w14:paraId="0E34222F" w14:textId="77777777" w:rsidTr="002E0C5D">
              <w:trPr>
                <w:trHeight w:val="150"/>
              </w:trPr>
              <w:tc>
                <w:tcPr>
                  <w:tcW w:w="1151" w:type="dxa"/>
                  <w:tcBorders>
                    <w:top w:val="nil"/>
                    <w:left w:val="nil"/>
                    <w:bottom w:val="nil"/>
                    <w:right w:val="nil"/>
                  </w:tcBorders>
                  <w:shd w:val="clear" w:color="auto" w:fill="auto"/>
                  <w:noWrap/>
                  <w:vAlign w:val="center"/>
                  <w:hideMark/>
                </w:tcPr>
                <w:p w14:paraId="20D661EF" w14:textId="77777777" w:rsidR="002E0C5D" w:rsidRPr="002E0C5D" w:rsidRDefault="002E0C5D" w:rsidP="002E0C5D">
                  <w:pPr>
                    <w:widowControl/>
                    <w:jc w:val="center"/>
                    <w:rPr>
                      <w:rFonts w:eastAsia="等线" w:cs="Calibri"/>
                      <w:color w:val="000000"/>
                      <w:kern w:val="0"/>
                      <w:szCs w:val="21"/>
                    </w:rPr>
                  </w:pPr>
                </w:p>
              </w:tc>
              <w:tc>
                <w:tcPr>
                  <w:tcW w:w="943" w:type="dxa"/>
                  <w:tcBorders>
                    <w:top w:val="nil"/>
                    <w:left w:val="nil"/>
                    <w:bottom w:val="nil"/>
                    <w:right w:val="nil"/>
                  </w:tcBorders>
                  <w:shd w:val="clear" w:color="auto" w:fill="auto"/>
                  <w:noWrap/>
                  <w:vAlign w:val="center"/>
                  <w:hideMark/>
                </w:tcPr>
                <w:p w14:paraId="5B77DDC5" w14:textId="77777777" w:rsidR="002E0C5D" w:rsidRPr="002E0C5D" w:rsidRDefault="002E0C5D" w:rsidP="002E0C5D">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2083C781" w14:textId="77777777" w:rsidR="002E0C5D" w:rsidRPr="002E0C5D" w:rsidRDefault="002E0C5D" w:rsidP="002E0C5D">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7A8959C8" w14:textId="77777777" w:rsidR="002E0C5D" w:rsidRPr="002E0C5D" w:rsidRDefault="002E0C5D" w:rsidP="002E0C5D">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02463729" w14:textId="77777777" w:rsidR="002E0C5D" w:rsidRPr="002E0C5D" w:rsidRDefault="002E0C5D" w:rsidP="002E0C5D">
                  <w:pPr>
                    <w:widowControl/>
                    <w:jc w:val="center"/>
                    <w:rPr>
                      <w:rFonts w:ascii="Times New Roman" w:eastAsia="Times New Roman" w:hAnsi="Times New Roman"/>
                      <w:kern w:val="0"/>
                      <w:sz w:val="20"/>
                      <w:szCs w:val="20"/>
                    </w:rPr>
                  </w:pPr>
                </w:p>
              </w:tc>
              <w:tc>
                <w:tcPr>
                  <w:tcW w:w="1179" w:type="dxa"/>
                  <w:tcBorders>
                    <w:top w:val="nil"/>
                    <w:left w:val="nil"/>
                    <w:bottom w:val="nil"/>
                    <w:right w:val="nil"/>
                  </w:tcBorders>
                  <w:shd w:val="clear" w:color="auto" w:fill="auto"/>
                  <w:noWrap/>
                  <w:vAlign w:val="center"/>
                  <w:hideMark/>
                </w:tcPr>
                <w:p w14:paraId="5ABEC9C7" w14:textId="77777777" w:rsidR="002E0C5D" w:rsidRPr="002E0C5D" w:rsidRDefault="002E0C5D" w:rsidP="002E0C5D">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644FC5BD" w14:textId="77777777" w:rsidR="002E0C5D" w:rsidRPr="002E0C5D" w:rsidRDefault="002E0C5D" w:rsidP="002E0C5D">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6361CA76" w14:textId="77777777" w:rsidR="002E0C5D" w:rsidRPr="002E0C5D" w:rsidRDefault="002E0C5D" w:rsidP="002E0C5D">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39A0F2CD" w14:textId="77777777" w:rsidR="002E0C5D" w:rsidRPr="002E0C5D" w:rsidRDefault="002E0C5D" w:rsidP="002E0C5D">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6E8F6575" w14:textId="77777777" w:rsidR="002E0C5D" w:rsidRPr="002E0C5D" w:rsidRDefault="002E0C5D" w:rsidP="002E0C5D">
                  <w:pPr>
                    <w:widowControl/>
                    <w:jc w:val="center"/>
                    <w:rPr>
                      <w:rFonts w:ascii="Times New Roman" w:eastAsia="Times New Roman" w:hAnsi="Times New Roman"/>
                      <w:kern w:val="0"/>
                      <w:sz w:val="20"/>
                      <w:szCs w:val="20"/>
                    </w:rPr>
                  </w:pPr>
                </w:p>
              </w:tc>
            </w:tr>
            <w:tr w:rsidR="002E0C5D" w:rsidRPr="002E0C5D" w14:paraId="035BBE22" w14:textId="77777777" w:rsidTr="002E0C5D">
              <w:trPr>
                <w:trHeight w:val="300"/>
              </w:trPr>
              <w:tc>
                <w:tcPr>
                  <w:tcW w:w="1151" w:type="dxa"/>
                  <w:tcBorders>
                    <w:top w:val="nil"/>
                    <w:left w:val="nil"/>
                    <w:bottom w:val="single" w:sz="12" w:space="0" w:color="FFFFFF"/>
                    <w:right w:val="single" w:sz="8" w:space="0" w:color="FFFFFF"/>
                  </w:tcBorders>
                  <w:shd w:val="clear" w:color="000000" w:fill="F79646"/>
                  <w:noWrap/>
                  <w:vAlign w:val="center"/>
                  <w:hideMark/>
                </w:tcPr>
                <w:p w14:paraId="01100F1D" w14:textId="77777777" w:rsidR="002E0C5D" w:rsidRPr="002E0C5D" w:rsidRDefault="002E0C5D" w:rsidP="002E0C5D">
                  <w:pPr>
                    <w:widowControl/>
                    <w:jc w:val="center"/>
                    <w:rPr>
                      <w:rFonts w:ascii="楷体" w:eastAsia="楷体" w:hAnsi="楷体" w:cs="宋体"/>
                      <w:b/>
                      <w:bCs/>
                      <w:color w:val="FFFFFF"/>
                      <w:kern w:val="0"/>
                      <w:sz w:val="20"/>
                      <w:szCs w:val="20"/>
                    </w:rPr>
                  </w:pPr>
                  <w:r w:rsidRPr="002E0C5D">
                    <w:rPr>
                      <w:rFonts w:ascii="楷体" w:eastAsia="楷体" w:hAnsi="楷体" w:cs="宋体" w:hint="eastAsia"/>
                      <w:b/>
                      <w:bCs/>
                      <w:color w:val="FFFFFF"/>
                      <w:kern w:val="0"/>
                      <w:sz w:val="20"/>
                      <w:szCs w:val="20"/>
                    </w:rPr>
                    <w:t>收益率分位</w:t>
                  </w:r>
                </w:p>
              </w:tc>
              <w:tc>
                <w:tcPr>
                  <w:tcW w:w="943" w:type="dxa"/>
                  <w:tcBorders>
                    <w:top w:val="nil"/>
                    <w:left w:val="nil"/>
                    <w:bottom w:val="single" w:sz="12" w:space="0" w:color="FFFFFF"/>
                    <w:right w:val="single" w:sz="8" w:space="0" w:color="FFFFFF"/>
                  </w:tcBorders>
                  <w:shd w:val="clear" w:color="000000" w:fill="F79646"/>
                  <w:noWrap/>
                  <w:vAlign w:val="center"/>
                  <w:hideMark/>
                </w:tcPr>
                <w:p w14:paraId="60207B30" w14:textId="77777777" w:rsidR="002E0C5D" w:rsidRPr="002E0C5D" w:rsidRDefault="002E0C5D" w:rsidP="002E0C5D">
                  <w:pPr>
                    <w:widowControl/>
                    <w:jc w:val="center"/>
                    <w:rPr>
                      <w:rFonts w:ascii="楷体" w:eastAsia="楷体" w:hAnsi="楷体" w:cs="宋体"/>
                      <w:b/>
                      <w:bCs/>
                      <w:color w:val="FFFFFF"/>
                      <w:kern w:val="0"/>
                      <w:sz w:val="20"/>
                      <w:szCs w:val="20"/>
                    </w:rPr>
                  </w:pPr>
                  <w:r w:rsidRPr="002E0C5D">
                    <w:rPr>
                      <w:rFonts w:ascii="楷体" w:eastAsia="楷体" w:hAnsi="楷体" w:cs="宋体" w:hint="eastAsia"/>
                      <w:b/>
                      <w:bCs/>
                      <w:color w:val="FFFFFF"/>
                      <w:kern w:val="0"/>
                      <w:sz w:val="20"/>
                      <w:szCs w:val="20"/>
                    </w:rPr>
                    <w:t>AAA</w:t>
                  </w:r>
                </w:p>
              </w:tc>
              <w:tc>
                <w:tcPr>
                  <w:tcW w:w="943" w:type="dxa"/>
                  <w:tcBorders>
                    <w:top w:val="nil"/>
                    <w:left w:val="nil"/>
                    <w:bottom w:val="single" w:sz="12" w:space="0" w:color="FFFFFF"/>
                    <w:right w:val="single" w:sz="8" w:space="0" w:color="FFFFFF"/>
                  </w:tcBorders>
                  <w:shd w:val="clear" w:color="000000" w:fill="F79646"/>
                  <w:noWrap/>
                  <w:vAlign w:val="center"/>
                  <w:hideMark/>
                </w:tcPr>
                <w:p w14:paraId="5922CE5B" w14:textId="77777777" w:rsidR="002E0C5D" w:rsidRPr="002E0C5D" w:rsidRDefault="002E0C5D" w:rsidP="002E0C5D">
                  <w:pPr>
                    <w:widowControl/>
                    <w:jc w:val="center"/>
                    <w:rPr>
                      <w:rFonts w:ascii="楷体" w:eastAsia="楷体" w:hAnsi="楷体" w:cs="宋体"/>
                      <w:b/>
                      <w:bCs/>
                      <w:color w:val="FFFFFF"/>
                      <w:kern w:val="0"/>
                      <w:sz w:val="20"/>
                      <w:szCs w:val="20"/>
                    </w:rPr>
                  </w:pPr>
                  <w:r w:rsidRPr="002E0C5D">
                    <w:rPr>
                      <w:rFonts w:ascii="楷体" w:eastAsia="楷体" w:hAnsi="楷体" w:cs="宋体" w:hint="eastAsia"/>
                      <w:b/>
                      <w:bCs/>
                      <w:color w:val="FFFFFF"/>
                      <w:kern w:val="0"/>
                      <w:sz w:val="20"/>
                      <w:szCs w:val="20"/>
                    </w:rPr>
                    <w:t>AA+</w:t>
                  </w:r>
                </w:p>
              </w:tc>
              <w:tc>
                <w:tcPr>
                  <w:tcW w:w="943" w:type="dxa"/>
                  <w:tcBorders>
                    <w:top w:val="nil"/>
                    <w:left w:val="nil"/>
                    <w:bottom w:val="single" w:sz="12" w:space="0" w:color="FFFFFF"/>
                    <w:right w:val="single" w:sz="8" w:space="0" w:color="FFFFFF"/>
                  </w:tcBorders>
                  <w:shd w:val="clear" w:color="000000" w:fill="F79646"/>
                  <w:noWrap/>
                  <w:vAlign w:val="center"/>
                  <w:hideMark/>
                </w:tcPr>
                <w:p w14:paraId="27537045" w14:textId="77777777" w:rsidR="002E0C5D" w:rsidRPr="002E0C5D" w:rsidRDefault="002E0C5D" w:rsidP="002E0C5D">
                  <w:pPr>
                    <w:widowControl/>
                    <w:jc w:val="center"/>
                    <w:rPr>
                      <w:rFonts w:ascii="楷体" w:eastAsia="楷体" w:hAnsi="楷体" w:cs="宋体"/>
                      <w:b/>
                      <w:bCs/>
                      <w:color w:val="FFFFFF"/>
                      <w:kern w:val="0"/>
                      <w:sz w:val="20"/>
                      <w:szCs w:val="20"/>
                    </w:rPr>
                  </w:pPr>
                  <w:r w:rsidRPr="002E0C5D">
                    <w:rPr>
                      <w:rFonts w:ascii="楷体" w:eastAsia="楷体" w:hAnsi="楷体" w:cs="宋体" w:hint="eastAsia"/>
                      <w:b/>
                      <w:bCs/>
                      <w:color w:val="FFFFFF"/>
                      <w:kern w:val="0"/>
                      <w:sz w:val="20"/>
                      <w:szCs w:val="20"/>
                    </w:rPr>
                    <w:t>AA</w:t>
                  </w:r>
                </w:p>
              </w:tc>
              <w:tc>
                <w:tcPr>
                  <w:tcW w:w="943" w:type="dxa"/>
                  <w:tcBorders>
                    <w:top w:val="nil"/>
                    <w:left w:val="nil"/>
                    <w:bottom w:val="single" w:sz="12" w:space="0" w:color="FFFFFF"/>
                    <w:right w:val="single" w:sz="8" w:space="0" w:color="FFFFFF"/>
                  </w:tcBorders>
                  <w:shd w:val="clear" w:color="000000" w:fill="F79646"/>
                  <w:noWrap/>
                  <w:vAlign w:val="center"/>
                  <w:hideMark/>
                </w:tcPr>
                <w:p w14:paraId="4706E088" w14:textId="77777777" w:rsidR="002E0C5D" w:rsidRPr="002E0C5D" w:rsidRDefault="002E0C5D" w:rsidP="002E0C5D">
                  <w:pPr>
                    <w:widowControl/>
                    <w:jc w:val="center"/>
                    <w:rPr>
                      <w:rFonts w:ascii="楷体" w:eastAsia="楷体" w:hAnsi="楷体" w:cs="宋体"/>
                      <w:b/>
                      <w:bCs/>
                      <w:color w:val="FFFFFF"/>
                      <w:kern w:val="0"/>
                      <w:sz w:val="20"/>
                      <w:szCs w:val="20"/>
                    </w:rPr>
                  </w:pPr>
                  <w:r w:rsidRPr="002E0C5D">
                    <w:rPr>
                      <w:rFonts w:ascii="楷体" w:eastAsia="楷体" w:hAnsi="楷体" w:cs="宋体" w:hint="eastAsia"/>
                      <w:b/>
                      <w:bCs/>
                      <w:color w:val="FFFFFF"/>
                      <w:kern w:val="0"/>
                      <w:sz w:val="20"/>
                      <w:szCs w:val="20"/>
                    </w:rPr>
                    <w:t>AA-</w:t>
                  </w:r>
                </w:p>
              </w:tc>
              <w:tc>
                <w:tcPr>
                  <w:tcW w:w="1179" w:type="dxa"/>
                  <w:tcBorders>
                    <w:top w:val="nil"/>
                    <w:left w:val="nil"/>
                    <w:bottom w:val="single" w:sz="12" w:space="0" w:color="FFFFFF"/>
                    <w:right w:val="single" w:sz="8" w:space="0" w:color="FFFFFF"/>
                  </w:tcBorders>
                  <w:shd w:val="clear" w:color="000000" w:fill="F79646"/>
                  <w:noWrap/>
                  <w:vAlign w:val="center"/>
                  <w:hideMark/>
                </w:tcPr>
                <w:p w14:paraId="6DE09699" w14:textId="77777777" w:rsidR="002E0C5D" w:rsidRPr="002E0C5D" w:rsidRDefault="002E0C5D" w:rsidP="002E0C5D">
                  <w:pPr>
                    <w:widowControl/>
                    <w:jc w:val="center"/>
                    <w:rPr>
                      <w:rFonts w:ascii="楷体" w:eastAsia="楷体" w:hAnsi="楷体" w:cs="宋体"/>
                      <w:b/>
                      <w:bCs/>
                      <w:color w:val="FFFFFF"/>
                      <w:kern w:val="0"/>
                      <w:sz w:val="20"/>
                      <w:szCs w:val="20"/>
                    </w:rPr>
                  </w:pPr>
                  <w:r w:rsidRPr="002E0C5D">
                    <w:rPr>
                      <w:rFonts w:ascii="楷体" w:eastAsia="楷体" w:hAnsi="楷体" w:cs="宋体" w:hint="eastAsia"/>
                      <w:b/>
                      <w:bCs/>
                      <w:color w:val="FFFFFF"/>
                      <w:kern w:val="0"/>
                      <w:sz w:val="20"/>
                      <w:szCs w:val="20"/>
                    </w:rPr>
                    <w:t>息差</w:t>
                  </w:r>
                </w:p>
              </w:tc>
              <w:tc>
                <w:tcPr>
                  <w:tcW w:w="943" w:type="dxa"/>
                  <w:tcBorders>
                    <w:top w:val="nil"/>
                    <w:left w:val="nil"/>
                    <w:bottom w:val="single" w:sz="12" w:space="0" w:color="FFFFFF"/>
                    <w:right w:val="single" w:sz="8" w:space="0" w:color="FFFFFF"/>
                  </w:tcBorders>
                  <w:shd w:val="clear" w:color="000000" w:fill="F79646"/>
                  <w:noWrap/>
                  <w:vAlign w:val="center"/>
                  <w:hideMark/>
                </w:tcPr>
                <w:p w14:paraId="5BFE5993" w14:textId="77777777" w:rsidR="002E0C5D" w:rsidRPr="002E0C5D" w:rsidRDefault="002E0C5D" w:rsidP="002E0C5D">
                  <w:pPr>
                    <w:widowControl/>
                    <w:jc w:val="center"/>
                    <w:rPr>
                      <w:rFonts w:ascii="楷体" w:eastAsia="楷体" w:hAnsi="楷体" w:cs="宋体"/>
                      <w:b/>
                      <w:bCs/>
                      <w:color w:val="FFFFFF"/>
                      <w:kern w:val="0"/>
                      <w:sz w:val="20"/>
                      <w:szCs w:val="20"/>
                    </w:rPr>
                  </w:pPr>
                  <w:r w:rsidRPr="002E0C5D">
                    <w:rPr>
                      <w:rFonts w:ascii="楷体" w:eastAsia="楷体" w:hAnsi="楷体" w:cs="宋体" w:hint="eastAsia"/>
                      <w:b/>
                      <w:bCs/>
                      <w:color w:val="FFFFFF"/>
                      <w:kern w:val="0"/>
                      <w:sz w:val="20"/>
                      <w:szCs w:val="20"/>
                    </w:rPr>
                    <w:t>AAA</w:t>
                  </w:r>
                </w:p>
              </w:tc>
              <w:tc>
                <w:tcPr>
                  <w:tcW w:w="943" w:type="dxa"/>
                  <w:tcBorders>
                    <w:top w:val="nil"/>
                    <w:left w:val="nil"/>
                    <w:bottom w:val="single" w:sz="12" w:space="0" w:color="FFFFFF"/>
                    <w:right w:val="single" w:sz="8" w:space="0" w:color="FFFFFF"/>
                  </w:tcBorders>
                  <w:shd w:val="clear" w:color="000000" w:fill="F79646"/>
                  <w:noWrap/>
                  <w:vAlign w:val="center"/>
                  <w:hideMark/>
                </w:tcPr>
                <w:p w14:paraId="47BF4F1E" w14:textId="77777777" w:rsidR="002E0C5D" w:rsidRPr="002E0C5D" w:rsidRDefault="002E0C5D" w:rsidP="002E0C5D">
                  <w:pPr>
                    <w:widowControl/>
                    <w:jc w:val="center"/>
                    <w:rPr>
                      <w:rFonts w:ascii="楷体" w:eastAsia="楷体" w:hAnsi="楷体" w:cs="宋体"/>
                      <w:b/>
                      <w:bCs/>
                      <w:color w:val="FFFFFF"/>
                      <w:kern w:val="0"/>
                      <w:sz w:val="20"/>
                      <w:szCs w:val="20"/>
                    </w:rPr>
                  </w:pPr>
                  <w:r w:rsidRPr="002E0C5D">
                    <w:rPr>
                      <w:rFonts w:ascii="楷体" w:eastAsia="楷体" w:hAnsi="楷体" w:cs="宋体" w:hint="eastAsia"/>
                      <w:b/>
                      <w:bCs/>
                      <w:color w:val="FFFFFF"/>
                      <w:kern w:val="0"/>
                      <w:sz w:val="20"/>
                      <w:szCs w:val="20"/>
                    </w:rPr>
                    <w:t>AA+</w:t>
                  </w:r>
                </w:p>
              </w:tc>
              <w:tc>
                <w:tcPr>
                  <w:tcW w:w="943" w:type="dxa"/>
                  <w:tcBorders>
                    <w:top w:val="nil"/>
                    <w:left w:val="nil"/>
                    <w:bottom w:val="single" w:sz="12" w:space="0" w:color="FFFFFF"/>
                    <w:right w:val="single" w:sz="8" w:space="0" w:color="FFFFFF"/>
                  </w:tcBorders>
                  <w:shd w:val="clear" w:color="000000" w:fill="F79646"/>
                  <w:noWrap/>
                  <w:vAlign w:val="center"/>
                  <w:hideMark/>
                </w:tcPr>
                <w:p w14:paraId="114B0F43" w14:textId="77777777" w:rsidR="002E0C5D" w:rsidRPr="002E0C5D" w:rsidRDefault="002E0C5D" w:rsidP="002E0C5D">
                  <w:pPr>
                    <w:widowControl/>
                    <w:jc w:val="center"/>
                    <w:rPr>
                      <w:rFonts w:ascii="楷体" w:eastAsia="楷体" w:hAnsi="楷体" w:cs="宋体"/>
                      <w:b/>
                      <w:bCs/>
                      <w:color w:val="FFFFFF"/>
                      <w:kern w:val="0"/>
                      <w:sz w:val="20"/>
                      <w:szCs w:val="20"/>
                    </w:rPr>
                  </w:pPr>
                  <w:r w:rsidRPr="002E0C5D">
                    <w:rPr>
                      <w:rFonts w:ascii="楷体" w:eastAsia="楷体" w:hAnsi="楷体" w:cs="宋体" w:hint="eastAsia"/>
                      <w:b/>
                      <w:bCs/>
                      <w:color w:val="FFFFFF"/>
                      <w:kern w:val="0"/>
                      <w:sz w:val="20"/>
                      <w:szCs w:val="20"/>
                    </w:rPr>
                    <w:t>AA</w:t>
                  </w:r>
                </w:p>
              </w:tc>
              <w:tc>
                <w:tcPr>
                  <w:tcW w:w="943" w:type="dxa"/>
                  <w:tcBorders>
                    <w:top w:val="nil"/>
                    <w:left w:val="nil"/>
                    <w:bottom w:val="single" w:sz="12" w:space="0" w:color="FFFFFF"/>
                    <w:right w:val="single" w:sz="8" w:space="0" w:color="FFFFFF"/>
                  </w:tcBorders>
                  <w:shd w:val="clear" w:color="000000" w:fill="F79646"/>
                  <w:noWrap/>
                  <w:vAlign w:val="center"/>
                  <w:hideMark/>
                </w:tcPr>
                <w:p w14:paraId="07953D42" w14:textId="77777777" w:rsidR="002E0C5D" w:rsidRPr="002E0C5D" w:rsidRDefault="002E0C5D" w:rsidP="002E0C5D">
                  <w:pPr>
                    <w:widowControl/>
                    <w:jc w:val="center"/>
                    <w:rPr>
                      <w:rFonts w:ascii="楷体" w:eastAsia="楷体" w:hAnsi="楷体" w:cs="宋体"/>
                      <w:b/>
                      <w:bCs/>
                      <w:color w:val="FFFFFF"/>
                      <w:kern w:val="0"/>
                      <w:sz w:val="20"/>
                      <w:szCs w:val="20"/>
                    </w:rPr>
                  </w:pPr>
                  <w:r w:rsidRPr="002E0C5D">
                    <w:rPr>
                      <w:rFonts w:ascii="楷体" w:eastAsia="楷体" w:hAnsi="楷体" w:cs="宋体" w:hint="eastAsia"/>
                      <w:b/>
                      <w:bCs/>
                      <w:color w:val="FFFFFF"/>
                      <w:kern w:val="0"/>
                      <w:sz w:val="20"/>
                      <w:szCs w:val="20"/>
                    </w:rPr>
                    <w:t>AA-</w:t>
                  </w:r>
                </w:p>
              </w:tc>
            </w:tr>
            <w:tr w:rsidR="002E0C5D" w:rsidRPr="002E0C5D" w14:paraId="098C32E1" w14:textId="77777777" w:rsidTr="002E0C5D">
              <w:trPr>
                <w:trHeight w:val="315"/>
              </w:trPr>
              <w:tc>
                <w:tcPr>
                  <w:tcW w:w="1151" w:type="dxa"/>
                  <w:tcBorders>
                    <w:top w:val="nil"/>
                    <w:left w:val="nil"/>
                    <w:bottom w:val="single" w:sz="8" w:space="0" w:color="FFFFFF"/>
                    <w:right w:val="single" w:sz="8" w:space="0" w:color="FFFFFF"/>
                  </w:tcBorders>
                  <w:shd w:val="clear" w:color="000000" w:fill="FCD5B4"/>
                  <w:noWrap/>
                  <w:vAlign w:val="center"/>
                  <w:hideMark/>
                </w:tcPr>
                <w:p w14:paraId="7199D7D2" w14:textId="77777777" w:rsidR="002E0C5D" w:rsidRPr="002E0C5D" w:rsidRDefault="002E0C5D" w:rsidP="002E0C5D">
                  <w:pPr>
                    <w:widowControl/>
                    <w:jc w:val="center"/>
                    <w:rPr>
                      <w:rFonts w:ascii="楷体" w:eastAsia="楷体" w:hAnsi="楷体" w:cs="宋体"/>
                      <w:color w:val="000000"/>
                      <w:kern w:val="0"/>
                      <w:sz w:val="20"/>
                      <w:szCs w:val="20"/>
                    </w:rPr>
                  </w:pPr>
                  <w:r w:rsidRPr="002E0C5D">
                    <w:rPr>
                      <w:rFonts w:ascii="楷体" w:eastAsia="楷体" w:hAnsi="楷体" w:cs="宋体" w:hint="eastAsia"/>
                      <w:color w:val="000000"/>
                      <w:kern w:val="0"/>
                      <w:sz w:val="20"/>
                      <w:szCs w:val="20"/>
                    </w:rPr>
                    <w:t>CP</w:t>
                  </w:r>
                </w:p>
              </w:tc>
              <w:tc>
                <w:tcPr>
                  <w:tcW w:w="943" w:type="dxa"/>
                  <w:tcBorders>
                    <w:top w:val="nil"/>
                    <w:left w:val="nil"/>
                    <w:bottom w:val="single" w:sz="8" w:space="0" w:color="FFFFFF"/>
                    <w:right w:val="single" w:sz="8" w:space="0" w:color="FFFFFF"/>
                  </w:tcBorders>
                  <w:shd w:val="clear" w:color="000000" w:fill="FCD5B4"/>
                  <w:noWrap/>
                  <w:vAlign w:val="center"/>
                  <w:hideMark/>
                </w:tcPr>
                <w:p w14:paraId="35F97958"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20%</w:t>
                  </w:r>
                </w:p>
              </w:tc>
              <w:tc>
                <w:tcPr>
                  <w:tcW w:w="943" w:type="dxa"/>
                  <w:tcBorders>
                    <w:top w:val="nil"/>
                    <w:left w:val="nil"/>
                    <w:bottom w:val="single" w:sz="8" w:space="0" w:color="FFFFFF"/>
                    <w:right w:val="single" w:sz="8" w:space="0" w:color="FFFFFF"/>
                  </w:tcBorders>
                  <w:shd w:val="clear" w:color="000000" w:fill="FCD5B4"/>
                  <w:noWrap/>
                  <w:vAlign w:val="center"/>
                  <w:hideMark/>
                </w:tcPr>
                <w:p w14:paraId="3EB0E7BB"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17%</w:t>
                  </w:r>
                </w:p>
              </w:tc>
              <w:tc>
                <w:tcPr>
                  <w:tcW w:w="943" w:type="dxa"/>
                  <w:tcBorders>
                    <w:top w:val="nil"/>
                    <w:left w:val="nil"/>
                    <w:bottom w:val="single" w:sz="8" w:space="0" w:color="FFFFFF"/>
                    <w:right w:val="single" w:sz="8" w:space="0" w:color="FFFFFF"/>
                  </w:tcBorders>
                  <w:shd w:val="clear" w:color="000000" w:fill="FCD5B4"/>
                  <w:noWrap/>
                  <w:vAlign w:val="center"/>
                  <w:hideMark/>
                </w:tcPr>
                <w:p w14:paraId="23B6C4B5"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17%</w:t>
                  </w:r>
                </w:p>
              </w:tc>
              <w:tc>
                <w:tcPr>
                  <w:tcW w:w="943" w:type="dxa"/>
                  <w:tcBorders>
                    <w:top w:val="nil"/>
                    <w:left w:val="nil"/>
                    <w:bottom w:val="single" w:sz="8" w:space="0" w:color="FFFFFF"/>
                    <w:right w:val="single" w:sz="8" w:space="0" w:color="FFFFFF"/>
                  </w:tcBorders>
                  <w:shd w:val="clear" w:color="000000" w:fill="FCD5B4"/>
                  <w:noWrap/>
                  <w:vAlign w:val="center"/>
                  <w:hideMark/>
                </w:tcPr>
                <w:p w14:paraId="35A50A14"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46%</w:t>
                  </w:r>
                </w:p>
              </w:tc>
              <w:tc>
                <w:tcPr>
                  <w:tcW w:w="1179" w:type="dxa"/>
                  <w:tcBorders>
                    <w:top w:val="nil"/>
                    <w:left w:val="nil"/>
                    <w:bottom w:val="single" w:sz="8" w:space="0" w:color="FFFFFF"/>
                    <w:right w:val="single" w:sz="8" w:space="0" w:color="FFFFFF"/>
                  </w:tcBorders>
                  <w:shd w:val="clear" w:color="000000" w:fill="FCD5B4"/>
                  <w:noWrap/>
                  <w:vAlign w:val="center"/>
                  <w:hideMark/>
                </w:tcPr>
                <w:p w14:paraId="17806F32" w14:textId="77777777" w:rsidR="002E0C5D" w:rsidRPr="002E0C5D" w:rsidRDefault="002E0C5D" w:rsidP="002E0C5D">
                  <w:pPr>
                    <w:widowControl/>
                    <w:jc w:val="center"/>
                    <w:rPr>
                      <w:rFonts w:ascii="楷体" w:eastAsia="楷体" w:hAnsi="楷体" w:cs="宋体"/>
                      <w:color w:val="000000"/>
                      <w:kern w:val="0"/>
                      <w:sz w:val="20"/>
                      <w:szCs w:val="20"/>
                    </w:rPr>
                  </w:pPr>
                  <w:r w:rsidRPr="002E0C5D">
                    <w:rPr>
                      <w:rFonts w:ascii="楷体" w:eastAsia="楷体" w:hAnsi="楷体" w:cs="宋体" w:hint="eastAsia"/>
                      <w:color w:val="000000"/>
                      <w:kern w:val="0"/>
                      <w:sz w:val="20"/>
                      <w:szCs w:val="20"/>
                    </w:rPr>
                    <w:t>CP</w:t>
                  </w:r>
                </w:p>
              </w:tc>
              <w:tc>
                <w:tcPr>
                  <w:tcW w:w="943" w:type="dxa"/>
                  <w:tcBorders>
                    <w:top w:val="nil"/>
                    <w:left w:val="nil"/>
                    <w:bottom w:val="single" w:sz="8" w:space="0" w:color="FFFFFF"/>
                    <w:right w:val="single" w:sz="8" w:space="0" w:color="FFFFFF"/>
                  </w:tcBorders>
                  <w:shd w:val="clear" w:color="000000" w:fill="FCD5B4"/>
                  <w:noWrap/>
                  <w:vAlign w:val="center"/>
                  <w:hideMark/>
                </w:tcPr>
                <w:p w14:paraId="3536810B"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6%</w:t>
                  </w:r>
                </w:p>
              </w:tc>
              <w:tc>
                <w:tcPr>
                  <w:tcW w:w="943" w:type="dxa"/>
                  <w:tcBorders>
                    <w:top w:val="nil"/>
                    <w:left w:val="nil"/>
                    <w:bottom w:val="single" w:sz="8" w:space="0" w:color="FFFFFF"/>
                    <w:right w:val="single" w:sz="8" w:space="0" w:color="FFFFFF"/>
                  </w:tcBorders>
                  <w:shd w:val="clear" w:color="000000" w:fill="FCD5B4"/>
                  <w:noWrap/>
                  <w:vAlign w:val="center"/>
                  <w:hideMark/>
                </w:tcPr>
                <w:p w14:paraId="07015F76"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2%</w:t>
                  </w:r>
                </w:p>
              </w:tc>
              <w:tc>
                <w:tcPr>
                  <w:tcW w:w="943" w:type="dxa"/>
                  <w:tcBorders>
                    <w:top w:val="nil"/>
                    <w:left w:val="nil"/>
                    <w:bottom w:val="single" w:sz="8" w:space="0" w:color="FFFFFF"/>
                    <w:right w:val="single" w:sz="8" w:space="0" w:color="FFFFFF"/>
                  </w:tcBorders>
                  <w:shd w:val="clear" w:color="000000" w:fill="FCD5B4"/>
                  <w:noWrap/>
                  <w:vAlign w:val="center"/>
                  <w:hideMark/>
                </w:tcPr>
                <w:p w14:paraId="5AB7EAE3"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4%</w:t>
                  </w:r>
                </w:p>
              </w:tc>
              <w:tc>
                <w:tcPr>
                  <w:tcW w:w="943" w:type="dxa"/>
                  <w:tcBorders>
                    <w:top w:val="nil"/>
                    <w:left w:val="nil"/>
                    <w:bottom w:val="single" w:sz="8" w:space="0" w:color="FFFFFF"/>
                    <w:right w:val="single" w:sz="8" w:space="0" w:color="FFFFFF"/>
                  </w:tcBorders>
                  <w:shd w:val="clear" w:color="000000" w:fill="FCD5B4"/>
                  <w:noWrap/>
                  <w:vAlign w:val="center"/>
                  <w:hideMark/>
                </w:tcPr>
                <w:p w14:paraId="5CBAE912"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61%</w:t>
                  </w:r>
                </w:p>
              </w:tc>
            </w:tr>
            <w:tr w:rsidR="002E0C5D" w:rsidRPr="002E0C5D" w14:paraId="21BF29AE" w14:textId="77777777" w:rsidTr="002E0C5D">
              <w:trPr>
                <w:trHeight w:val="300"/>
              </w:trPr>
              <w:tc>
                <w:tcPr>
                  <w:tcW w:w="1151" w:type="dxa"/>
                  <w:tcBorders>
                    <w:top w:val="nil"/>
                    <w:left w:val="nil"/>
                    <w:bottom w:val="single" w:sz="8" w:space="0" w:color="FFFFFF"/>
                    <w:right w:val="single" w:sz="8" w:space="0" w:color="FFFFFF"/>
                  </w:tcBorders>
                  <w:shd w:val="clear" w:color="000000" w:fill="FDE9D9"/>
                  <w:noWrap/>
                  <w:vAlign w:val="center"/>
                  <w:hideMark/>
                </w:tcPr>
                <w:p w14:paraId="6288A552" w14:textId="77777777" w:rsidR="002E0C5D" w:rsidRPr="002E0C5D" w:rsidRDefault="002E0C5D" w:rsidP="002E0C5D">
                  <w:pPr>
                    <w:widowControl/>
                    <w:jc w:val="center"/>
                    <w:rPr>
                      <w:rFonts w:ascii="楷体" w:eastAsia="楷体" w:hAnsi="楷体" w:cs="宋体"/>
                      <w:color w:val="000000"/>
                      <w:kern w:val="0"/>
                      <w:sz w:val="20"/>
                      <w:szCs w:val="20"/>
                    </w:rPr>
                  </w:pPr>
                  <w:r w:rsidRPr="002E0C5D">
                    <w:rPr>
                      <w:rFonts w:ascii="楷体" w:eastAsia="楷体" w:hAnsi="楷体" w:cs="宋体" w:hint="eastAsia"/>
                      <w:color w:val="000000"/>
                      <w:kern w:val="0"/>
                      <w:sz w:val="20"/>
                      <w:szCs w:val="20"/>
                    </w:rPr>
                    <w:t>MTN3Y</w:t>
                  </w:r>
                </w:p>
              </w:tc>
              <w:tc>
                <w:tcPr>
                  <w:tcW w:w="943" w:type="dxa"/>
                  <w:tcBorders>
                    <w:top w:val="nil"/>
                    <w:left w:val="nil"/>
                    <w:bottom w:val="single" w:sz="8" w:space="0" w:color="FFFFFF"/>
                    <w:right w:val="single" w:sz="8" w:space="0" w:color="FFFFFF"/>
                  </w:tcBorders>
                  <w:shd w:val="clear" w:color="000000" w:fill="FDE9D9"/>
                  <w:noWrap/>
                  <w:vAlign w:val="center"/>
                  <w:hideMark/>
                </w:tcPr>
                <w:p w14:paraId="2F3B34D9"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14%</w:t>
                  </w:r>
                </w:p>
              </w:tc>
              <w:tc>
                <w:tcPr>
                  <w:tcW w:w="943" w:type="dxa"/>
                  <w:tcBorders>
                    <w:top w:val="nil"/>
                    <w:left w:val="nil"/>
                    <w:bottom w:val="single" w:sz="8" w:space="0" w:color="FFFFFF"/>
                    <w:right w:val="single" w:sz="8" w:space="0" w:color="FFFFFF"/>
                  </w:tcBorders>
                  <w:shd w:val="clear" w:color="000000" w:fill="FDE9D9"/>
                  <w:noWrap/>
                  <w:vAlign w:val="center"/>
                  <w:hideMark/>
                </w:tcPr>
                <w:p w14:paraId="0D673E8E"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10%</w:t>
                  </w:r>
                </w:p>
              </w:tc>
              <w:tc>
                <w:tcPr>
                  <w:tcW w:w="943" w:type="dxa"/>
                  <w:tcBorders>
                    <w:top w:val="nil"/>
                    <w:left w:val="nil"/>
                    <w:bottom w:val="single" w:sz="8" w:space="0" w:color="FFFFFF"/>
                    <w:right w:val="single" w:sz="8" w:space="0" w:color="FFFFFF"/>
                  </w:tcBorders>
                  <w:shd w:val="clear" w:color="000000" w:fill="FDE9D9"/>
                  <w:noWrap/>
                  <w:vAlign w:val="center"/>
                  <w:hideMark/>
                </w:tcPr>
                <w:p w14:paraId="4CD77945"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12%</w:t>
                  </w:r>
                </w:p>
              </w:tc>
              <w:tc>
                <w:tcPr>
                  <w:tcW w:w="943" w:type="dxa"/>
                  <w:tcBorders>
                    <w:top w:val="nil"/>
                    <w:left w:val="nil"/>
                    <w:bottom w:val="single" w:sz="8" w:space="0" w:color="FFFFFF"/>
                    <w:right w:val="single" w:sz="8" w:space="0" w:color="FFFFFF"/>
                  </w:tcBorders>
                  <w:shd w:val="clear" w:color="000000" w:fill="FDE9D9"/>
                  <w:noWrap/>
                  <w:vAlign w:val="center"/>
                  <w:hideMark/>
                </w:tcPr>
                <w:p w14:paraId="015421F0"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47%</w:t>
                  </w:r>
                </w:p>
              </w:tc>
              <w:tc>
                <w:tcPr>
                  <w:tcW w:w="1179" w:type="dxa"/>
                  <w:tcBorders>
                    <w:top w:val="nil"/>
                    <w:left w:val="nil"/>
                    <w:bottom w:val="single" w:sz="8" w:space="0" w:color="FFFFFF"/>
                    <w:right w:val="single" w:sz="8" w:space="0" w:color="FFFFFF"/>
                  </w:tcBorders>
                  <w:shd w:val="clear" w:color="000000" w:fill="FDE9D9"/>
                  <w:noWrap/>
                  <w:vAlign w:val="center"/>
                  <w:hideMark/>
                </w:tcPr>
                <w:p w14:paraId="13A6ADCF" w14:textId="77777777" w:rsidR="002E0C5D" w:rsidRPr="002E0C5D" w:rsidRDefault="002E0C5D" w:rsidP="002E0C5D">
                  <w:pPr>
                    <w:widowControl/>
                    <w:jc w:val="center"/>
                    <w:rPr>
                      <w:rFonts w:ascii="楷体" w:eastAsia="楷体" w:hAnsi="楷体" w:cs="宋体"/>
                      <w:color w:val="000000"/>
                      <w:kern w:val="0"/>
                      <w:sz w:val="20"/>
                      <w:szCs w:val="20"/>
                    </w:rPr>
                  </w:pPr>
                  <w:r w:rsidRPr="002E0C5D">
                    <w:rPr>
                      <w:rFonts w:ascii="楷体" w:eastAsia="楷体" w:hAnsi="楷体" w:cs="宋体" w:hint="eastAsia"/>
                      <w:color w:val="000000"/>
                      <w:kern w:val="0"/>
                      <w:sz w:val="20"/>
                      <w:szCs w:val="20"/>
                    </w:rPr>
                    <w:t>MTN3Y</w:t>
                  </w:r>
                </w:p>
              </w:tc>
              <w:tc>
                <w:tcPr>
                  <w:tcW w:w="943" w:type="dxa"/>
                  <w:tcBorders>
                    <w:top w:val="nil"/>
                    <w:left w:val="nil"/>
                    <w:bottom w:val="single" w:sz="8" w:space="0" w:color="FFFFFF"/>
                    <w:right w:val="single" w:sz="8" w:space="0" w:color="FFFFFF"/>
                  </w:tcBorders>
                  <w:shd w:val="clear" w:color="000000" w:fill="FDE9D9"/>
                  <w:noWrap/>
                  <w:vAlign w:val="center"/>
                  <w:hideMark/>
                </w:tcPr>
                <w:p w14:paraId="7C66ABD3"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2%</w:t>
                  </w:r>
                </w:p>
              </w:tc>
              <w:tc>
                <w:tcPr>
                  <w:tcW w:w="943" w:type="dxa"/>
                  <w:tcBorders>
                    <w:top w:val="nil"/>
                    <w:left w:val="nil"/>
                    <w:bottom w:val="single" w:sz="8" w:space="0" w:color="FFFFFF"/>
                    <w:right w:val="single" w:sz="8" w:space="0" w:color="FFFFFF"/>
                  </w:tcBorders>
                  <w:shd w:val="clear" w:color="000000" w:fill="FDE9D9"/>
                  <w:noWrap/>
                  <w:vAlign w:val="center"/>
                  <w:hideMark/>
                </w:tcPr>
                <w:p w14:paraId="09DAA9E4"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0%</w:t>
                  </w:r>
                </w:p>
              </w:tc>
              <w:tc>
                <w:tcPr>
                  <w:tcW w:w="943" w:type="dxa"/>
                  <w:tcBorders>
                    <w:top w:val="nil"/>
                    <w:left w:val="nil"/>
                    <w:bottom w:val="single" w:sz="8" w:space="0" w:color="FFFFFF"/>
                    <w:right w:val="single" w:sz="8" w:space="0" w:color="FFFFFF"/>
                  </w:tcBorders>
                  <w:shd w:val="clear" w:color="000000" w:fill="FDE9D9"/>
                  <w:noWrap/>
                  <w:vAlign w:val="center"/>
                  <w:hideMark/>
                </w:tcPr>
                <w:p w14:paraId="24B43ECF"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8%</w:t>
                  </w:r>
                </w:p>
              </w:tc>
              <w:tc>
                <w:tcPr>
                  <w:tcW w:w="943" w:type="dxa"/>
                  <w:tcBorders>
                    <w:top w:val="nil"/>
                    <w:left w:val="nil"/>
                    <w:bottom w:val="single" w:sz="8" w:space="0" w:color="FFFFFF"/>
                    <w:right w:val="single" w:sz="8" w:space="0" w:color="FFFFFF"/>
                  </w:tcBorders>
                  <w:shd w:val="clear" w:color="000000" w:fill="FDE9D9"/>
                  <w:noWrap/>
                  <w:vAlign w:val="center"/>
                  <w:hideMark/>
                </w:tcPr>
                <w:p w14:paraId="31DA60C5"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57%</w:t>
                  </w:r>
                </w:p>
              </w:tc>
            </w:tr>
            <w:tr w:rsidR="002E0C5D" w:rsidRPr="002E0C5D" w14:paraId="0663C0CC" w14:textId="77777777" w:rsidTr="002E0C5D">
              <w:trPr>
                <w:trHeight w:val="300"/>
              </w:trPr>
              <w:tc>
                <w:tcPr>
                  <w:tcW w:w="1151" w:type="dxa"/>
                  <w:tcBorders>
                    <w:top w:val="nil"/>
                    <w:left w:val="nil"/>
                    <w:bottom w:val="single" w:sz="8" w:space="0" w:color="FFFFFF"/>
                    <w:right w:val="single" w:sz="8" w:space="0" w:color="FFFFFF"/>
                  </w:tcBorders>
                  <w:shd w:val="clear" w:color="000000" w:fill="FCD5B4"/>
                  <w:noWrap/>
                  <w:vAlign w:val="center"/>
                  <w:hideMark/>
                </w:tcPr>
                <w:p w14:paraId="3DAEAFF5" w14:textId="77777777" w:rsidR="002E0C5D" w:rsidRPr="002E0C5D" w:rsidRDefault="002E0C5D" w:rsidP="002E0C5D">
                  <w:pPr>
                    <w:widowControl/>
                    <w:jc w:val="center"/>
                    <w:rPr>
                      <w:rFonts w:ascii="楷体" w:eastAsia="楷体" w:hAnsi="楷体" w:cs="宋体"/>
                      <w:color w:val="000000"/>
                      <w:kern w:val="0"/>
                      <w:sz w:val="20"/>
                      <w:szCs w:val="20"/>
                    </w:rPr>
                  </w:pPr>
                  <w:r w:rsidRPr="002E0C5D">
                    <w:rPr>
                      <w:rFonts w:ascii="楷体" w:eastAsia="楷体" w:hAnsi="楷体" w:cs="宋体" w:hint="eastAsia"/>
                      <w:color w:val="000000"/>
                      <w:kern w:val="0"/>
                      <w:sz w:val="20"/>
                      <w:szCs w:val="20"/>
                    </w:rPr>
                    <w:t>MTN5Y</w:t>
                  </w:r>
                </w:p>
              </w:tc>
              <w:tc>
                <w:tcPr>
                  <w:tcW w:w="943" w:type="dxa"/>
                  <w:tcBorders>
                    <w:top w:val="nil"/>
                    <w:left w:val="nil"/>
                    <w:bottom w:val="single" w:sz="8" w:space="0" w:color="FFFFFF"/>
                    <w:right w:val="single" w:sz="8" w:space="0" w:color="FFFFFF"/>
                  </w:tcBorders>
                  <w:shd w:val="clear" w:color="000000" w:fill="FCD5B4"/>
                  <w:noWrap/>
                  <w:vAlign w:val="center"/>
                  <w:hideMark/>
                </w:tcPr>
                <w:p w14:paraId="71A1293C"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10%</w:t>
                  </w:r>
                </w:p>
              </w:tc>
              <w:tc>
                <w:tcPr>
                  <w:tcW w:w="943" w:type="dxa"/>
                  <w:tcBorders>
                    <w:top w:val="nil"/>
                    <w:left w:val="nil"/>
                    <w:bottom w:val="single" w:sz="8" w:space="0" w:color="FFFFFF"/>
                    <w:right w:val="single" w:sz="8" w:space="0" w:color="FFFFFF"/>
                  </w:tcBorders>
                  <w:shd w:val="clear" w:color="000000" w:fill="FCD5B4"/>
                  <w:noWrap/>
                  <w:vAlign w:val="center"/>
                  <w:hideMark/>
                </w:tcPr>
                <w:p w14:paraId="4EB7DDD4"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7%</w:t>
                  </w:r>
                </w:p>
              </w:tc>
              <w:tc>
                <w:tcPr>
                  <w:tcW w:w="943" w:type="dxa"/>
                  <w:tcBorders>
                    <w:top w:val="nil"/>
                    <w:left w:val="nil"/>
                    <w:bottom w:val="single" w:sz="8" w:space="0" w:color="FFFFFF"/>
                    <w:right w:val="single" w:sz="8" w:space="0" w:color="FFFFFF"/>
                  </w:tcBorders>
                  <w:shd w:val="clear" w:color="000000" w:fill="FCD5B4"/>
                  <w:noWrap/>
                  <w:vAlign w:val="center"/>
                  <w:hideMark/>
                </w:tcPr>
                <w:p w14:paraId="7EC5F1BE"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10%</w:t>
                  </w:r>
                </w:p>
              </w:tc>
              <w:tc>
                <w:tcPr>
                  <w:tcW w:w="943" w:type="dxa"/>
                  <w:tcBorders>
                    <w:top w:val="nil"/>
                    <w:left w:val="nil"/>
                    <w:bottom w:val="single" w:sz="8" w:space="0" w:color="FFFFFF"/>
                    <w:right w:val="single" w:sz="8" w:space="0" w:color="FFFFFF"/>
                  </w:tcBorders>
                  <w:shd w:val="clear" w:color="000000" w:fill="FCD5B4"/>
                  <w:noWrap/>
                  <w:vAlign w:val="center"/>
                  <w:hideMark/>
                </w:tcPr>
                <w:p w14:paraId="0AD7FD2A"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46%</w:t>
                  </w:r>
                </w:p>
              </w:tc>
              <w:tc>
                <w:tcPr>
                  <w:tcW w:w="1179" w:type="dxa"/>
                  <w:tcBorders>
                    <w:top w:val="nil"/>
                    <w:left w:val="nil"/>
                    <w:bottom w:val="single" w:sz="8" w:space="0" w:color="FFFFFF"/>
                    <w:right w:val="single" w:sz="8" w:space="0" w:color="FFFFFF"/>
                  </w:tcBorders>
                  <w:shd w:val="clear" w:color="000000" w:fill="FCD5B4"/>
                  <w:noWrap/>
                  <w:vAlign w:val="center"/>
                  <w:hideMark/>
                </w:tcPr>
                <w:p w14:paraId="1B17E08B" w14:textId="77777777" w:rsidR="002E0C5D" w:rsidRPr="002E0C5D" w:rsidRDefault="002E0C5D" w:rsidP="002E0C5D">
                  <w:pPr>
                    <w:widowControl/>
                    <w:jc w:val="center"/>
                    <w:rPr>
                      <w:rFonts w:ascii="楷体" w:eastAsia="楷体" w:hAnsi="楷体" w:cs="宋体"/>
                      <w:color w:val="000000"/>
                      <w:kern w:val="0"/>
                      <w:sz w:val="20"/>
                      <w:szCs w:val="20"/>
                    </w:rPr>
                  </w:pPr>
                  <w:r w:rsidRPr="002E0C5D">
                    <w:rPr>
                      <w:rFonts w:ascii="楷体" w:eastAsia="楷体" w:hAnsi="楷体" w:cs="宋体" w:hint="eastAsia"/>
                      <w:color w:val="000000"/>
                      <w:kern w:val="0"/>
                      <w:sz w:val="20"/>
                      <w:szCs w:val="20"/>
                    </w:rPr>
                    <w:t>MTN5Y</w:t>
                  </w:r>
                </w:p>
              </w:tc>
              <w:tc>
                <w:tcPr>
                  <w:tcW w:w="943" w:type="dxa"/>
                  <w:tcBorders>
                    <w:top w:val="nil"/>
                    <w:left w:val="nil"/>
                    <w:bottom w:val="single" w:sz="8" w:space="0" w:color="FFFFFF"/>
                    <w:right w:val="single" w:sz="8" w:space="0" w:color="FFFFFF"/>
                  </w:tcBorders>
                  <w:shd w:val="clear" w:color="000000" w:fill="FCD5B4"/>
                  <w:noWrap/>
                  <w:vAlign w:val="center"/>
                  <w:hideMark/>
                </w:tcPr>
                <w:p w14:paraId="7E0DF561"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4%</w:t>
                  </w:r>
                </w:p>
              </w:tc>
              <w:tc>
                <w:tcPr>
                  <w:tcW w:w="943" w:type="dxa"/>
                  <w:tcBorders>
                    <w:top w:val="nil"/>
                    <w:left w:val="nil"/>
                    <w:bottom w:val="single" w:sz="8" w:space="0" w:color="FFFFFF"/>
                    <w:right w:val="single" w:sz="8" w:space="0" w:color="FFFFFF"/>
                  </w:tcBorders>
                  <w:shd w:val="clear" w:color="000000" w:fill="FCD5B4"/>
                  <w:noWrap/>
                  <w:vAlign w:val="center"/>
                  <w:hideMark/>
                </w:tcPr>
                <w:p w14:paraId="788B95FA"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1%</w:t>
                  </w:r>
                </w:p>
              </w:tc>
              <w:tc>
                <w:tcPr>
                  <w:tcW w:w="943" w:type="dxa"/>
                  <w:tcBorders>
                    <w:top w:val="nil"/>
                    <w:left w:val="nil"/>
                    <w:bottom w:val="single" w:sz="8" w:space="0" w:color="FFFFFF"/>
                    <w:right w:val="single" w:sz="8" w:space="0" w:color="FFFFFF"/>
                  </w:tcBorders>
                  <w:shd w:val="clear" w:color="000000" w:fill="FCD5B4"/>
                  <w:noWrap/>
                  <w:vAlign w:val="center"/>
                  <w:hideMark/>
                </w:tcPr>
                <w:p w14:paraId="1E058EE2"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6%</w:t>
                  </w:r>
                </w:p>
              </w:tc>
              <w:tc>
                <w:tcPr>
                  <w:tcW w:w="943" w:type="dxa"/>
                  <w:tcBorders>
                    <w:top w:val="nil"/>
                    <w:left w:val="nil"/>
                    <w:bottom w:val="single" w:sz="8" w:space="0" w:color="FFFFFF"/>
                    <w:right w:val="single" w:sz="8" w:space="0" w:color="FFFFFF"/>
                  </w:tcBorders>
                  <w:shd w:val="clear" w:color="000000" w:fill="FCD5B4"/>
                  <w:noWrap/>
                  <w:vAlign w:val="center"/>
                  <w:hideMark/>
                </w:tcPr>
                <w:p w14:paraId="56473FB4"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57%</w:t>
                  </w:r>
                </w:p>
              </w:tc>
            </w:tr>
            <w:tr w:rsidR="002E0C5D" w:rsidRPr="002E0C5D" w14:paraId="7418C47B" w14:textId="77777777" w:rsidTr="002E0C5D">
              <w:trPr>
                <w:trHeight w:val="300"/>
              </w:trPr>
              <w:tc>
                <w:tcPr>
                  <w:tcW w:w="1151" w:type="dxa"/>
                  <w:tcBorders>
                    <w:top w:val="nil"/>
                    <w:left w:val="nil"/>
                    <w:bottom w:val="single" w:sz="8" w:space="0" w:color="FFFFFF"/>
                    <w:right w:val="single" w:sz="8" w:space="0" w:color="FFFFFF"/>
                  </w:tcBorders>
                  <w:shd w:val="clear" w:color="000000" w:fill="FDE9D9"/>
                  <w:noWrap/>
                  <w:vAlign w:val="center"/>
                  <w:hideMark/>
                </w:tcPr>
                <w:p w14:paraId="3BE814DF" w14:textId="77777777" w:rsidR="002E0C5D" w:rsidRPr="002E0C5D" w:rsidRDefault="002E0C5D" w:rsidP="002E0C5D">
                  <w:pPr>
                    <w:widowControl/>
                    <w:jc w:val="center"/>
                    <w:rPr>
                      <w:rFonts w:ascii="楷体" w:eastAsia="楷体" w:hAnsi="楷体" w:cs="宋体"/>
                      <w:color w:val="000000"/>
                      <w:kern w:val="0"/>
                      <w:sz w:val="20"/>
                      <w:szCs w:val="20"/>
                    </w:rPr>
                  </w:pPr>
                  <w:r w:rsidRPr="002E0C5D">
                    <w:rPr>
                      <w:rFonts w:ascii="楷体" w:eastAsia="楷体" w:hAnsi="楷体" w:cs="宋体" w:hint="eastAsia"/>
                      <w:color w:val="000000"/>
                      <w:kern w:val="0"/>
                      <w:sz w:val="20"/>
                      <w:szCs w:val="20"/>
                    </w:rPr>
                    <w:t>企业债3Y</w:t>
                  </w:r>
                </w:p>
              </w:tc>
              <w:tc>
                <w:tcPr>
                  <w:tcW w:w="943" w:type="dxa"/>
                  <w:tcBorders>
                    <w:top w:val="nil"/>
                    <w:left w:val="nil"/>
                    <w:bottom w:val="single" w:sz="8" w:space="0" w:color="FFFFFF"/>
                    <w:right w:val="single" w:sz="8" w:space="0" w:color="FFFFFF"/>
                  </w:tcBorders>
                  <w:shd w:val="clear" w:color="000000" w:fill="FDE9D9"/>
                  <w:noWrap/>
                  <w:vAlign w:val="center"/>
                  <w:hideMark/>
                </w:tcPr>
                <w:p w14:paraId="517582C8"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12%</w:t>
                  </w:r>
                </w:p>
              </w:tc>
              <w:tc>
                <w:tcPr>
                  <w:tcW w:w="943" w:type="dxa"/>
                  <w:tcBorders>
                    <w:top w:val="nil"/>
                    <w:left w:val="nil"/>
                    <w:bottom w:val="single" w:sz="8" w:space="0" w:color="FFFFFF"/>
                    <w:right w:val="single" w:sz="8" w:space="0" w:color="FFFFFF"/>
                  </w:tcBorders>
                  <w:shd w:val="clear" w:color="000000" w:fill="FDE9D9"/>
                  <w:noWrap/>
                  <w:vAlign w:val="center"/>
                  <w:hideMark/>
                </w:tcPr>
                <w:p w14:paraId="24270F58"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11%</w:t>
                  </w:r>
                </w:p>
              </w:tc>
              <w:tc>
                <w:tcPr>
                  <w:tcW w:w="943" w:type="dxa"/>
                  <w:tcBorders>
                    <w:top w:val="nil"/>
                    <w:left w:val="nil"/>
                    <w:bottom w:val="single" w:sz="8" w:space="0" w:color="FFFFFF"/>
                    <w:right w:val="single" w:sz="8" w:space="0" w:color="FFFFFF"/>
                  </w:tcBorders>
                  <w:shd w:val="clear" w:color="000000" w:fill="FDE9D9"/>
                  <w:noWrap/>
                  <w:vAlign w:val="center"/>
                  <w:hideMark/>
                </w:tcPr>
                <w:p w14:paraId="098470E6"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13%</w:t>
                  </w:r>
                </w:p>
              </w:tc>
              <w:tc>
                <w:tcPr>
                  <w:tcW w:w="943" w:type="dxa"/>
                  <w:tcBorders>
                    <w:top w:val="nil"/>
                    <w:left w:val="nil"/>
                    <w:bottom w:val="single" w:sz="8" w:space="0" w:color="FFFFFF"/>
                    <w:right w:val="single" w:sz="8" w:space="0" w:color="FFFFFF"/>
                  </w:tcBorders>
                  <w:shd w:val="clear" w:color="000000" w:fill="FDE9D9"/>
                  <w:noWrap/>
                  <w:vAlign w:val="center"/>
                  <w:hideMark/>
                </w:tcPr>
                <w:p w14:paraId="38EBD76F"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48%</w:t>
                  </w:r>
                </w:p>
              </w:tc>
              <w:tc>
                <w:tcPr>
                  <w:tcW w:w="1179" w:type="dxa"/>
                  <w:tcBorders>
                    <w:top w:val="nil"/>
                    <w:left w:val="nil"/>
                    <w:bottom w:val="single" w:sz="8" w:space="0" w:color="FFFFFF"/>
                    <w:right w:val="single" w:sz="8" w:space="0" w:color="FFFFFF"/>
                  </w:tcBorders>
                  <w:shd w:val="clear" w:color="000000" w:fill="FDE9D9"/>
                  <w:noWrap/>
                  <w:vAlign w:val="center"/>
                  <w:hideMark/>
                </w:tcPr>
                <w:p w14:paraId="4AB499C9" w14:textId="77777777" w:rsidR="002E0C5D" w:rsidRPr="002E0C5D" w:rsidRDefault="002E0C5D" w:rsidP="002E0C5D">
                  <w:pPr>
                    <w:widowControl/>
                    <w:jc w:val="center"/>
                    <w:rPr>
                      <w:rFonts w:ascii="楷体" w:eastAsia="楷体" w:hAnsi="楷体" w:cs="宋体"/>
                      <w:color w:val="000000"/>
                      <w:kern w:val="0"/>
                      <w:sz w:val="20"/>
                      <w:szCs w:val="20"/>
                    </w:rPr>
                  </w:pPr>
                  <w:r w:rsidRPr="002E0C5D">
                    <w:rPr>
                      <w:rFonts w:ascii="楷体" w:eastAsia="楷体" w:hAnsi="楷体" w:cs="宋体" w:hint="eastAsia"/>
                      <w:color w:val="000000"/>
                      <w:kern w:val="0"/>
                      <w:sz w:val="20"/>
                      <w:szCs w:val="20"/>
                    </w:rPr>
                    <w:t>企业债3Y</w:t>
                  </w:r>
                </w:p>
              </w:tc>
              <w:tc>
                <w:tcPr>
                  <w:tcW w:w="943" w:type="dxa"/>
                  <w:tcBorders>
                    <w:top w:val="nil"/>
                    <w:left w:val="nil"/>
                    <w:bottom w:val="single" w:sz="8" w:space="0" w:color="FFFFFF"/>
                    <w:right w:val="single" w:sz="8" w:space="0" w:color="FFFFFF"/>
                  </w:tcBorders>
                  <w:shd w:val="clear" w:color="000000" w:fill="FDE9D9"/>
                  <w:noWrap/>
                  <w:vAlign w:val="center"/>
                  <w:hideMark/>
                </w:tcPr>
                <w:p w14:paraId="0D7C9368"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1%</w:t>
                  </w:r>
                </w:p>
              </w:tc>
              <w:tc>
                <w:tcPr>
                  <w:tcW w:w="943" w:type="dxa"/>
                  <w:tcBorders>
                    <w:top w:val="nil"/>
                    <w:left w:val="nil"/>
                    <w:bottom w:val="single" w:sz="8" w:space="0" w:color="FFFFFF"/>
                    <w:right w:val="single" w:sz="8" w:space="0" w:color="FFFFFF"/>
                  </w:tcBorders>
                  <w:shd w:val="clear" w:color="000000" w:fill="FDE9D9"/>
                  <w:noWrap/>
                  <w:vAlign w:val="center"/>
                  <w:hideMark/>
                </w:tcPr>
                <w:p w14:paraId="7F2FB905"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0%</w:t>
                  </w:r>
                </w:p>
              </w:tc>
              <w:tc>
                <w:tcPr>
                  <w:tcW w:w="943" w:type="dxa"/>
                  <w:tcBorders>
                    <w:top w:val="nil"/>
                    <w:left w:val="nil"/>
                    <w:bottom w:val="single" w:sz="8" w:space="0" w:color="FFFFFF"/>
                    <w:right w:val="single" w:sz="8" w:space="0" w:color="FFFFFF"/>
                  </w:tcBorders>
                  <w:shd w:val="clear" w:color="000000" w:fill="FDE9D9"/>
                  <w:noWrap/>
                  <w:vAlign w:val="center"/>
                  <w:hideMark/>
                </w:tcPr>
                <w:p w14:paraId="64D9F684"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11%</w:t>
                  </w:r>
                </w:p>
              </w:tc>
              <w:tc>
                <w:tcPr>
                  <w:tcW w:w="943" w:type="dxa"/>
                  <w:tcBorders>
                    <w:top w:val="nil"/>
                    <w:left w:val="nil"/>
                    <w:bottom w:val="single" w:sz="8" w:space="0" w:color="FFFFFF"/>
                    <w:right w:val="single" w:sz="8" w:space="0" w:color="FFFFFF"/>
                  </w:tcBorders>
                  <w:shd w:val="clear" w:color="000000" w:fill="FDE9D9"/>
                  <w:noWrap/>
                  <w:vAlign w:val="center"/>
                  <w:hideMark/>
                </w:tcPr>
                <w:p w14:paraId="18D30FFB"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59%</w:t>
                  </w:r>
                </w:p>
              </w:tc>
            </w:tr>
            <w:tr w:rsidR="002E0C5D" w:rsidRPr="002E0C5D" w14:paraId="16688910" w14:textId="77777777" w:rsidTr="002E0C5D">
              <w:trPr>
                <w:trHeight w:val="300"/>
              </w:trPr>
              <w:tc>
                <w:tcPr>
                  <w:tcW w:w="1151" w:type="dxa"/>
                  <w:tcBorders>
                    <w:top w:val="nil"/>
                    <w:left w:val="nil"/>
                    <w:bottom w:val="single" w:sz="8" w:space="0" w:color="FFFFFF"/>
                    <w:right w:val="single" w:sz="8" w:space="0" w:color="FFFFFF"/>
                  </w:tcBorders>
                  <w:shd w:val="clear" w:color="000000" w:fill="FCD5B4"/>
                  <w:noWrap/>
                  <w:vAlign w:val="center"/>
                  <w:hideMark/>
                </w:tcPr>
                <w:p w14:paraId="75369AA4" w14:textId="77777777" w:rsidR="002E0C5D" w:rsidRPr="002E0C5D" w:rsidRDefault="002E0C5D" w:rsidP="002E0C5D">
                  <w:pPr>
                    <w:widowControl/>
                    <w:jc w:val="center"/>
                    <w:rPr>
                      <w:rFonts w:ascii="楷体" w:eastAsia="楷体" w:hAnsi="楷体" w:cs="宋体"/>
                      <w:color w:val="000000"/>
                      <w:kern w:val="0"/>
                      <w:sz w:val="20"/>
                      <w:szCs w:val="20"/>
                    </w:rPr>
                  </w:pPr>
                  <w:r w:rsidRPr="002E0C5D">
                    <w:rPr>
                      <w:rFonts w:ascii="楷体" w:eastAsia="楷体" w:hAnsi="楷体" w:cs="宋体" w:hint="eastAsia"/>
                      <w:color w:val="000000"/>
                      <w:kern w:val="0"/>
                      <w:sz w:val="20"/>
                      <w:szCs w:val="20"/>
                    </w:rPr>
                    <w:t>企业债5Y</w:t>
                  </w:r>
                </w:p>
              </w:tc>
              <w:tc>
                <w:tcPr>
                  <w:tcW w:w="943" w:type="dxa"/>
                  <w:tcBorders>
                    <w:top w:val="nil"/>
                    <w:left w:val="nil"/>
                    <w:bottom w:val="single" w:sz="8" w:space="0" w:color="FFFFFF"/>
                    <w:right w:val="single" w:sz="8" w:space="0" w:color="FFFFFF"/>
                  </w:tcBorders>
                  <w:shd w:val="clear" w:color="000000" w:fill="FCD5B4"/>
                  <w:noWrap/>
                  <w:vAlign w:val="center"/>
                  <w:hideMark/>
                </w:tcPr>
                <w:p w14:paraId="4AD77E70"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10%</w:t>
                  </w:r>
                </w:p>
              </w:tc>
              <w:tc>
                <w:tcPr>
                  <w:tcW w:w="943" w:type="dxa"/>
                  <w:tcBorders>
                    <w:top w:val="nil"/>
                    <w:left w:val="nil"/>
                    <w:bottom w:val="single" w:sz="8" w:space="0" w:color="FFFFFF"/>
                    <w:right w:val="single" w:sz="8" w:space="0" w:color="FFFFFF"/>
                  </w:tcBorders>
                  <w:shd w:val="clear" w:color="000000" w:fill="FCD5B4"/>
                  <w:noWrap/>
                  <w:vAlign w:val="center"/>
                  <w:hideMark/>
                </w:tcPr>
                <w:p w14:paraId="481A6814"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6%</w:t>
                  </w:r>
                </w:p>
              </w:tc>
              <w:tc>
                <w:tcPr>
                  <w:tcW w:w="943" w:type="dxa"/>
                  <w:tcBorders>
                    <w:top w:val="nil"/>
                    <w:left w:val="nil"/>
                    <w:bottom w:val="single" w:sz="8" w:space="0" w:color="FFFFFF"/>
                    <w:right w:val="single" w:sz="8" w:space="0" w:color="FFFFFF"/>
                  </w:tcBorders>
                  <w:shd w:val="clear" w:color="000000" w:fill="FCD5B4"/>
                  <w:noWrap/>
                  <w:vAlign w:val="center"/>
                  <w:hideMark/>
                </w:tcPr>
                <w:p w14:paraId="3817957E"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10%</w:t>
                  </w:r>
                </w:p>
              </w:tc>
              <w:tc>
                <w:tcPr>
                  <w:tcW w:w="943" w:type="dxa"/>
                  <w:tcBorders>
                    <w:top w:val="nil"/>
                    <w:left w:val="nil"/>
                    <w:bottom w:val="single" w:sz="8" w:space="0" w:color="FFFFFF"/>
                    <w:right w:val="single" w:sz="8" w:space="0" w:color="FFFFFF"/>
                  </w:tcBorders>
                  <w:shd w:val="clear" w:color="000000" w:fill="FCD5B4"/>
                  <w:noWrap/>
                  <w:vAlign w:val="center"/>
                  <w:hideMark/>
                </w:tcPr>
                <w:p w14:paraId="7BCECE86"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43%</w:t>
                  </w:r>
                </w:p>
              </w:tc>
              <w:tc>
                <w:tcPr>
                  <w:tcW w:w="1179" w:type="dxa"/>
                  <w:tcBorders>
                    <w:top w:val="nil"/>
                    <w:left w:val="nil"/>
                    <w:bottom w:val="single" w:sz="8" w:space="0" w:color="FFFFFF"/>
                    <w:right w:val="single" w:sz="8" w:space="0" w:color="FFFFFF"/>
                  </w:tcBorders>
                  <w:shd w:val="clear" w:color="000000" w:fill="FCD5B4"/>
                  <w:noWrap/>
                  <w:vAlign w:val="center"/>
                  <w:hideMark/>
                </w:tcPr>
                <w:p w14:paraId="47D5DD05" w14:textId="77777777" w:rsidR="002E0C5D" w:rsidRPr="002E0C5D" w:rsidRDefault="002E0C5D" w:rsidP="002E0C5D">
                  <w:pPr>
                    <w:widowControl/>
                    <w:jc w:val="center"/>
                    <w:rPr>
                      <w:rFonts w:ascii="楷体" w:eastAsia="楷体" w:hAnsi="楷体" w:cs="宋体"/>
                      <w:color w:val="000000"/>
                      <w:kern w:val="0"/>
                      <w:sz w:val="20"/>
                      <w:szCs w:val="20"/>
                    </w:rPr>
                  </w:pPr>
                  <w:r w:rsidRPr="002E0C5D">
                    <w:rPr>
                      <w:rFonts w:ascii="楷体" w:eastAsia="楷体" w:hAnsi="楷体" w:cs="宋体" w:hint="eastAsia"/>
                      <w:color w:val="000000"/>
                      <w:kern w:val="0"/>
                      <w:sz w:val="20"/>
                      <w:szCs w:val="20"/>
                    </w:rPr>
                    <w:t>企业债5Y</w:t>
                  </w:r>
                </w:p>
              </w:tc>
              <w:tc>
                <w:tcPr>
                  <w:tcW w:w="943" w:type="dxa"/>
                  <w:tcBorders>
                    <w:top w:val="nil"/>
                    <w:left w:val="nil"/>
                    <w:bottom w:val="single" w:sz="8" w:space="0" w:color="FFFFFF"/>
                    <w:right w:val="single" w:sz="8" w:space="0" w:color="FFFFFF"/>
                  </w:tcBorders>
                  <w:shd w:val="clear" w:color="000000" w:fill="FCD5B4"/>
                  <w:noWrap/>
                  <w:vAlign w:val="center"/>
                  <w:hideMark/>
                </w:tcPr>
                <w:p w14:paraId="728CE9D9"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1%</w:t>
                  </w:r>
                </w:p>
              </w:tc>
              <w:tc>
                <w:tcPr>
                  <w:tcW w:w="943" w:type="dxa"/>
                  <w:tcBorders>
                    <w:top w:val="nil"/>
                    <w:left w:val="nil"/>
                    <w:bottom w:val="single" w:sz="8" w:space="0" w:color="FFFFFF"/>
                    <w:right w:val="single" w:sz="8" w:space="0" w:color="FFFFFF"/>
                  </w:tcBorders>
                  <w:shd w:val="clear" w:color="000000" w:fill="FCD5B4"/>
                  <w:noWrap/>
                  <w:vAlign w:val="center"/>
                  <w:hideMark/>
                </w:tcPr>
                <w:p w14:paraId="22F40C4A"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0%</w:t>
                  </w:r>
                </w:p>
              </w:tc>
              <w:tc>
                <w:tcPr>
                  <w:tcW w:w="943" w:type="dxa"/>
                  <w:tcBorders>
                    <w:top w:val="nil"/>
                    <w:left w:val="nil"/>
                    <w:bottom w:val="single" w:sz="8" w:space="0" w:color="FFFFFF"/>
                    <w:right w:val="single" w:sz="8" w:space="0" w:color="FFFFFF"/>
                  </w:tcBorders>
                  <w:shd w:val="clear" w:color="000000" w:fill="FCD5B4"/>
                  <w:noWrap/>
                  <w:vAlign w:val="center"/>
                  <w:hideMark/>
                </w:tcPr>
                <w:p w14:paraId="07884070"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5%</w:t>
                  </w:r>
                </w:p>
              </w:tc>
              <w:tc>
                <w:tcPr>
                  <w:tcW w:w="943" w:type="dxa"/>
                  <w:tcBorders>
                    <w:top w:val="nil"/>
                    <w:left w:val="nil"/>
                    <w:bottom w:val="single" w:sz="8" w:space="0" w:color="FFFFFF"/>
                    <w:right w:val="single" w:sz="8" w:space="0" w:color="FFFFFF"/>
                  </w:tcBorders>
                  <w:shd w:val="clear" w:color="000000" w:fill="FCD5B4"/>
                  <w:noWrap/>
                  <w:vAlign w:val="center"/>
                  <w:hideMark/>
                </w:tcPr>
                <w:p w14:paraId="111CBC17"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56%</w:t>
                  </w:r>
                </w:p>
              </w:tc>
            </w:tr>
            <w:tr w:rsidR="002E0C5D" w:rsidRPr="002E0C5D" w14:paraId="74F195DB" w14:textId="77777777" w:rsidTr="002E0C5D">
              <w:trPr>
                <w:trHeight w:val="300"/>
              </w:trPr>
              <w:tc>
                <w:tcPr>
                  <w:tcW w:w="1151" w:type="dxa"/>
                  <w:tcBorders>
                    <w:top w:val="nil"/>
                    <w:left w:val="nil"/>
                    <w:bottom w:val="single" w:sz="8" w:space="0" w:color="FFFFFF"/>
                    <w:right w:val="single" w:sz="8" w:space="0" w:color="FFFFFF"/>
                  </w:tcBorders>
                  <w:shd w:val="clear" w:color="000000" w:fill="FDE9D9"/>
                  <w:noWrap/>
                  <w:vAlign w:val="center"/>
                  <w:hideMark/>
                </w:tcPr>
                <w:p w14:paraId="435EE1F6" w14:textId="77777777" w:rsidR="002E0C5D" w:rsidRPr="002E0C5D" w:rsidRDefault="002E0C5D" w:rsidP="002E0C5D">
                  <w:pPr>
                    <w:widowControl/>
                    <w:jc w:val="center"/>
                    <w:rPr>
                      <w:rFonts w:ascii="楷体" w:eastAsia="楷体" w:hAnsi="楷体" w:cs="宋体"/>
                      <w:color w:val="000000"/>
                      <w:kern w:val="0"/>
                      <w:sz w:val="20"/>
                      <w:szCs w:val="20"/>
                    </w:rPr>
                  </w:pPr>
                  <w:r w:rsidRPr="002E0C5D">
                    <w:rPr>
                      <w:rFonts w:ascii="楷体" w:eastAsia="楷体" w:hAnsi="楷体" w:cs="宋体" w:hint="eastAsia"/>
                      <w:color w:val="000000"/>
                      <w:kern w:val="0"/>
                      <w:sz w:val="20"/>
                      <w:szCs w:val="20"/>
                    </w:rPr>
                    <w:t>企业债7Y</w:t>
                  </w:r>
                </w:p>
              </w:tc>
              <w:tc>
                <w:tcPr>
                  <w:tcW w:w="943" w:type="dxa"/>
                  <w:tcBorders>
                    <w:top w:val="nil"/>
                    <w:left w:val="nil"/>
                    <w:bottom w:val="single" w:sz="8" w:space="0" w:color="FFFFFF"/>
                    <w:right w:val="single" w:sz="8" w:space="0" w:color="FFFFFF"/>
                  </w:tcBorders>
                  <w:shd w:val="clear" w:color="000000" w:fill="FDE9D9"/>
                  <w:noWrap/>
                  <w:vAlign w:val="center"/>
                  <w:hideMark/>
                </w:tcPr>
                <w:p w14:paraId="2A0F6838"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9%</w:t>
                  </w:r>
                </w:p>
              </w:tc>
              <w:tc>
                <w:tcPr>
                  <w:tcW w:w="943" w:type="dxa"/>
                  <w:tcBorders>
                    <w:top w:val="nil"/>
                    <w:left w:val="nil"/>
                    <w:bottom w:val="single" w:sz="8" w:space="0" w:color="FFFFFF"/>
                    <w:right w:val="single" w:sz="8" w:space="0" w:color="FFFFFF"/>
                  </w:tcBorders>
                  <w:shd w:val="clear" w:color="000000" w:fill="FDE9D9"/>
                  <w:noWrap/>
                  <w:vAlign w:val="center"/>
                  <w:hideMark/>
                </w:tcPr>
                <w:p w14:paraId="2C1DFB9F"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5%</w:t>
                  </w:r>
                </w:p>
              </w:tc>
              <w:tc>
                <w:tcPr>
                  <w:tcW w:w="943" w:type="dxa"/>
                  <w:tcBorders>
                    <w:top w:val="nil"/>
                    <w:left w:val="nil"/>
                    <w:bottom w:val="single" w:sz="8" w:space="0" w:color="FFFFFF"/>
                    <w:right w:val="single" w:sz="8" w:space="0" w:color="FFFFFF"/>
                  </w:tcBorders>
                  <w:shd w:val="clear" w:color="000000" w:fill="FDE9D9"/>
                  <w:noWrap/>
                  <w:vAlign w:val="center"/>
                  <w:hideMark/>
                </w:tcPr>
                <w:p w14:paraId="154ABCFC"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6%</w:t>
                  </w:r>
                </w:p>
              </w:tc>
              <w:tc>
                <w:tcPr>
                  <w:tcW w:w="943" w:type="dxa"/>
                  <w:tcBorders>
                    <w:top w:val="nil"/>
                    <w:left w:val="nil"/>
                    <w:bottom w:val="single" w:sz="8" w:space="0" w:color="FFFFFF"/>
                    <w:right w:val="single" w:sz="8" w:space="0" w:color="FFFFFF"/>
                  </w:tcBorders>
                  <w:shd w:val="clear" w:color="000000" w:fill="FDE9D9"/>
                  <w:noWrap/>
                  <w:vAlign w:val="center"/>
                  <w:hideMark/>
                </w:tcPr>
                <w:p w14:paraId="6F40C831"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36%</w:t>
                  </w:r>
                </w:p>
              </w:tc>
              <w:tc>
                <w:tcPr>
                  <w:tcW w:w="1179" w:type="dxa"/>
                  <w:tcBorders>
                    <w:top w:val="nil"/>
                    <w:left w:val="nil"/>
                    <w:bottom w:val="single" w:sz="8" w:space="0" w:color="FFFFFF"/>
                    <w:right w:val="single" w:sz="8" w:space="0" w:color="FFFFFF"/>
                  </w:tcBorders>
                  <w:shd w:val="clear" w:color="000000" w:fill="FDE9D9"/>
                  <w:noWrap/>
                  <w:vAlign w:val="center"/>
                  <w:hideMark/>
                </w:tcPr>
                <w:p w14:paraId="234CE5EE" w14:textId="77777777" w:rsidR="002E0C5D" w:rsidRPr="002E0C5D" w:rsidRDefault="002E0C5D" w:rsidP="002E0C5D">
                  <w:pPr>
                    <w:widowControl/>
                    <w:jc w:val="center"/>
                    <w:rPr>
                      <w:rFonts w:ascii="楷体" w:eastAsia="楷体" w:hAnsi="楷体" w:cs="宋体"/>
                      <w:color w:val="000000"/>
                      <w:kern w:val="0"/>
                      <w:sz w:val="20"/>
                      <w:szCs w:val="20"/>
                    </w:rPr>
                  </w:pPr>
                  <w:r w:rsidRPr="002E0C5D">
                    <w:rPr>
                      <w:rFonts w:ascii="楷体" w:eastAsia="楷体" w:hAnsi="楷体" w:cs="宋体" w:hint="eastAsia"/>
                      <w:color w:val="000000"/>
                      <w:kern w:val="0"/>
                      <w:sz w:val="20"/>
                      <w:szCs w:val="20"/>
                    </w:rPr>
                    <w:t>企业债7Y</w:t>
                  </w:r>
                </w:p>
              </w:tc>
              <w:tc>
                <w:tcPr>
                  <w:tcW w:w="943" w:type="dxa"/>
                  <w:tcBorders>
                    <w:top w:val="nil"/>
                    <w:left w:val="nil"/>
                    <w:bottom w:val="single" w:sz="8" w:space="0" w:color="FFFFFF"/>
                    <w:right w:val="single" w:sz="8" w:space="0" w:color="FFFFFF"/>
                  </w:tcBorders>
                  <w:shd w:val="clear" w:color="000000" w:fill="FDE9D9"/>
                  <w:noWrap/>
                  <w:vAlign w:val="center"/>
                  <w:hideMark/>
                </w:tcPr>
                <w:p w14:paraId="581DA51D"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7%</w:t>
                  </w:r>
                </w:p>
              </w:tc>
              <w:tc>
                <w:tcPr>
                  <w:tcW w:w="943" w:type="dxa"/>
                  <w:tcBorders>
                    <w:top w:val="nil"/>
                    <w:left w:val="nil"/>
                    <w:bottom w:val="single" w:sz="8" w:space="0" w:color="FFFFFF"/>
                    <w:right w:val="single" w:sz="8" w:space="0" w:color="FFFFFF"/>
                  </w:tcBorders>
                  <w:shd w:val="clear" w:color="000000" w:fill="FDE9D9"/>
                  <w:noWrap/>
                  <w:vAlign w:val="center"/>
                  <w:hideMark/>
                </w:tcPr>
                <w:p w14:paraId="04543895"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4%</w:t>
                  </w:r>
                </w:p>
              </w:tc>
              <w:tc>
                <w:tcPr>
                  <w:tcW w:w="943" w:type="dxa"/>
                  <w:tcBorders>
                    <w:top w:val="nil"/>
                    <w:left w:val="nil"/>
                    <w:bottom w:val="single" w:sz="8" w:space="0" w:color="FFFFFF"/>
                    <w:right w:val="single" w:sz="8" w:space="0" w:color="FFFFFF"/>
                  </w:tcBorders>
                  <w:shd w:val="clear" w:color="000000" w:fill="FDE9D9"/>
                  <w:noWrap/>
                  <w:vAlign w:val="center"/>
                  <w:hideMark/>
                </w:tcPr>
                <w:p w14:paraId="2E0B66F3"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9%</w:t>
                  </w:r>
                </w:p>
              </w:tc>
              <w:tc>
                <w:tcPr>
                  <w:tcW w:w="943" w:type="dxa"/>
                  <w:tcBorders>
                    <w:top w:val="nil"/>
                    <w:left w:val="nil"/>
                    <w:bottom w:val="single" w:sz="8" w:space="0" w:color="FFFFFF"/>
                    <w:right w:val="single" w:sz="8" w:space="0" w:color="FFFFFF"/>
                  </w:tcBorders>
                  <w:shd w:val="clear" w:color="000000" w:fill="FDE9D9"/>
                  <w:noWrap/>
                  <w:vAlign w:val="center"/>
                  <w:hideMark/>
                </w:tcPr>
                <w:p w14:paraId="0679424F"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54%</w:t>
                  </w:r>
                </w:p>
              </w:tc>
            </w:tr>
            <w:tr w:rsidR="002E0C5D" w:rsidRPr="002E0C5D" w14:paraId="0C8FEA7B" w14:textId="77777777" w:rsidTr="002E0C5D">
              <w:trPr>
                <w:trHeight w:val="300"/>
              </w:trPr>
              <w:tc>
                <w:tcPr>
                  <w:tcW w:w="1151" w:type="dxa"/>
                  <w:tcBorders>
                    <w:top w:val="nil"/>
                    <w:left w:val="nil"/>
                    <w:bottom w:val="single" w:sz="8" w:space="0" w:color="FFFFFF"/>
                    <w:right w:val="single" w:sz="8" w:space="0" w:color="FFFFFF"/>
                  </w:tcBorders>
                  <w:shd w:val="clear" w:color="000000" w:fill="FCD5B4"/>
                  <w:noWrap/>
                  <w:vAlign w:val="center"/>
                  <w:hideMark/>
                </w:tcPr>
                <w:p w14:paraId="730EE57F" w14:textId="77777777" w:rsidR="002E0C5D" w:rsidRPr="002E0C5D" w:rsidRDefault="002E0C5D" w:rsidP="002E0C5D">
                  <w:pPr>
                    <w:widowControl/>
                    <w:jc w:val="center"/>
                    <w:rPr>
                      <w:rFonts w:ascii="楷体" w:eastAsia="楷体" w:hAnsi="楷体" w:cs="宋体"/>
                      <w:color w:val="000000"/>
                      <w:kern w:val="0"/>
                      <w:sz w:val="20"/>
                      <w:szCs w:val="20"/>
                    </w:rPr>
                  </w:pPr>
                  <w:proofErr w:type="gramStart"/>
                  <w:r w:rsidRPr="002E0C5D">
                    <w:rPr>
                      <w:rFonts w:ascii="楷体" w:eastAsia="楷体" w:hAnsi="楷体" w:cs="宋体" w:hint="eastAsia"/>
                      <w:color w:val="000000"/>
                      <w:kern w:val="0"/>
                      <w:sz w:val="20"/>
                      <w:szCs w:val="20"/>
                    </w:rPr>
                    <w:t>城投债</w:t>
                  </w:r>
                  <w:proofErr w:type="gramEnd"/>
                  <w:r w:rsidRPr="002E0C5D">
                    <w:rPr>
                      <w:rFonts w:ascii="楷体" w:eastAsia="楷体" w:hAnsi="楷体" w:cs="宋体" w:hint="eastAsia"/>
                      <w:color w:val="000000"/>
                      <w:kern w:val="0"/>
                      <w:sz w:val="20"/>
                      <w:szCs w:val="20"/>
                    </w:rPr>
                    <w:t>3Y</w:t>
                  </w:r>
                </w:p>
              </w:tc>
              <w:tc>
                <w:tcPr>
                  <w:tcW w:w="943" w:type="dxa"/>
                  <w:tcBorders>
                    <w:top w:val="nil"/>
                    <w:left w:val="nil"/>
                    <w:bottom w:val="single" w:sz="8" w:space="0" w:color="FFFFFF"/>
                    <w:right w:val="single" w:sz="8" w:space="0" w:color="FFFFFF"/>
                  </w:tcBorders>
                  <w:shd w:val="clear" w:color="000000" w:fill="FCD5B4"/>
                  <w:noWrap/>
                  <w:vAlign w:val="center"/>
                  <w:hideMark/>
                </w:tcPr>
                <w:p w14:paraId="1D872B8E"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11%</w:t>
                  </w:r>
                </w:p>
              </w:tc>
              <w:tc>
                <w:tcPr>
                  <w:tcW w:w="943" w:type="dxa"/>
                  <w:tcBorders>
                    <w:top w:val="nil"/>
                    <w:left w:val="nil"/>
                    <w:bottom w:val="single" w:sz="8" w:space="0" w:color="FFFFFF"/>
                    <w:right w:val="single" w:sz="8" w:space="0" w:color="FFFFFF"/>
                  </w:tcBorders>
                  <w:shd w:val="clear" w:color="000000" w:fill="FCD5B4"/>
                  <w:noWrap/>
                  <w:vAlign w:val="center"/>
                  <w:hideMark/>
                </w:tcPr>
                <w:p w14:paraId="659EA825"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9%</w:t>
                  </w:r>
                </w:p>
              </w:tc>
              <w:tc>
                <w:tcPr>
                  <w:tcW w:w="943" w:type="dxa"/>
                  <w:tcBorders>
                    <w:top w:val="nil"/>
                    <w:left w:val="nil"/>
                    <w:bottom w:val="single" w:sz="8" w:space="0" w:color="FFFFFF"/>
                    <w:right w:val="single" w:sz="8" w:space="0" w:color="FFFFFF"/>
                  </w:tcBorders>
                  <w:shd w:val="clear" w:color="000000" w:fill="FCD5B4"/>
                  <w:noWrap/>
                  <w:vAlign w:val="center"/>
                  <w:hideMark/>
                </w:tcPr>
                <w:p w14:paraId="12A5912D"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9%</w:t>
                  </w:r>
                </w:p>
              </w:tc>
              <w:tc>
                <w:tcPr>
                  <w:tcW w:w="943" w:type="dxa"/>
                  <w:tcBorders>
                    <w:top w:val="nil"/>
                    <w:left w:val="nil"/>
                    <w:bottom w:val="single" w:sz="8" w:space="0" w:color="FFFFFF"/>
                    <w:right w:val="single" w:sz="8" w:space="0" w:color="FFFFFF"/>
                  </w:tcBorders>
                  <w:shd w:val="clear" w:color="000000" w:fill="FCD5B4"/>
                  <w:noWrap/>
                  <w:vAlign w:val="center"/>
                  <w:hideMark/>
                </w:tcPr>
                <w:p w14:paraId="74BF16E1"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61%</w:t>
                  </w:r>
                </w:p>
              </w:tc>
              <w:tc>
                <w:tcPr>
                  <w:tcW w:w="1179" w:type="dxa"/>
                  <w:tcBorders>
                    <w:top w:val="nil"/>
                    <w:left w:val="nil"/>
                    <w:bottom w:val="single" w:sz="8" w:space="0" w:color="FFFFFF"/>
                    <w:right w:val="single" w:sz="8" w:space="0" w:color="FFFFFF"/>
                  </w:tcBorders>
                  <w:shd w:val="clear" w:color="000000" w:fill="FCD5B4"/>
                  <w:noWrap/>
                  <w:vAlign w:val="center"/>
                  <w:hideMark/>
                </w:tcPr>
                <w:p w14:paraId="61DDA408" w14:textId="77777777" w:rsidR="002E0C5D" w:rsidRPr="002E0C5D" w:rsidRDefault="002E0C5D" w:rsidP="002E0C5D">
                  <w:pPr>
                    <w:widowControl/>
                    <w:jc w:val="center"/>
                    <w:rPr>
                      <w:rFonts w:ascii="楷体" w:eastAsia="楷体" w:hAnsi="楷体" w:cs="宋体"/>
                      <w:color w:val="000000"/>
                      <w:kern w:val="0"/>
                      <w:sz w:val="20"/>
                      <w:szCs w:val="20"/>
                    </w:rPr>
                  </w:pPr>
                  <w:proofErr w:type="gramStart"/>
                  <w:r w:rsidRPr="002E0C5D">
                    <w:rPr>
                      <w:rFonts w:ascii="楷体" w:eastAsia="楷体" w:hAnsi="楷体" w:cs="宋体" w:hint="eastAsia"/>
                      <w:color w:val="000000"/>
                      <w:kern w:val="0"/>
                      <w:sz w:val="20"/>
                      <w:szCs w:val="20"/>
                    </w:rPr>
                    <w:t>城投债</w:t>
                  </w:r>
                  <w:proofErr w:type="gramEnd"/>
                  <w:r w:rsidRPr="002E0C5D">
                    <w:rPr>
                      <w:rFonts w:ascii="楷体" w:eastAsia="楷体" w:hAnsi="楷体" w:cs="宋体" w:hint="eastAsia"/>
                      <w:color w:val="000000"/>
                      <w:kern w:val="0"/>
                      <w:sz w:val="20"/>
                      <w:szCs w:val="20"/>
                    </w:rPr>
                    <w:t>3Y</w:t>
                  </w:r>
                </w:p>
              </w:tc>
              <w:tc>
                <w:tcPr>
                  <w:tcW w:w="943" w:type="dxa"/>
                  <w:tcBorders>
                    <w:top w:val="nil"/>
                    <w:left w:val="nil"/>
                    <w:bottom w:val="single" w:sz="8" w:space="0" w:color="FFFFFF"/>
                    <w:right w:val="single" w:sz="8" w:space="0" w:color="FFFFFF"/>
                  </w:tcBorders>
                  <w:shd w:val="clear" w:color="000000" w:fill="FCD5B4"/>
                  <w:noWrap/>
                  <w:vAlign w:val="center"/>
                  <w:hideMark/>
                </w:tcPr>
                <w:p w14:paraId="0EEAAF23"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1%</w:t>
                  </w:r>
                </w:p>
              </w:tc>
              <w:tc>
                <w:tcPr>
                  <w:tcW w:w="943" w:type="dxa"/>
                  <w:tcBorders>
                    <w:top w:val="nil"/>
                    <w:left w:val="nil"/>
                    <w:bottom w:val="single" w:sz="8" w:space="0" w:color="FFFFFF"/>
                    <w:right w:val="single" w:sz="8" w:space="0" w:color="FFFFFF"/>
                  </w:tcBorders>
                  <w:shd w:val="clear" w:color="000000" w:fill="FCD5B4"/>
                  <w:noWrap/>
                  <w:vAlign w:val="center"/>
                  <w:hideMark/>
                </w:tcPr>
                <w:p w14:paraId="5C4D783A"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3%</w:t>
                  </w:r>
                </w:p>
              </w:tc>
              <w:tc>
                <w:tcPr>
                  <w:tcW w:w="943" w:type="dxa"/>
                  <w:tcBorders>
                    <w:top w:val="nil"/>
                    <w:left w:val="nil"/>
                    <w:bottom w:val="single" w:sz="8" w:space="0" w:color="FFFFFF"/>
                    <w:right w:val="single" w:sz="8" w:space="0" w:color="FFFFFF"/>
                  </w:tcBorders>
                  <w:shd w:val="clear" w:color="000000" w:fill="FCD5B4"/>
                  <w:noWrap/>
                  <w:vAlign w:val="center"/>
                  <w:hideMark/>
                </w:tcPr>
                <w:p w14:paraId="230A30D9"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5%</w:t>
                  </w:r>
                </w:p>
              </w:tc>
              <w:tc>
                <w:tcPr>
                  <w:tcW w:w="943" w:type="dxa"/>
                  <w:tcBorders>
                    <w:top w:val="nil"/>
                    <w:left w:val="nil"/>
                    <w:bottom w:val="single" w:sz="8" w:space="0" w:color="FFFFFF"/>
                    <w:right w:val="single" w:sz="8" w:space="0" w:color="FFFFFF"/>
                  </w:tcBorders>
                  <w:shd w:val="clear" w:color="000000" w:fill="FCD5B4"/>
                  <w:noWrap/>
                  <w:vAlign w:val="center"/>
                  <w:hideMark/>
                </w:tcPr>
                <w:p w14:paraId="5900BE43"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78%</w:t>
                  </w:r>
                </w:p>
              </w:tc>
            </w:tr>
            <w:tr w:rsidR="002E0C5D" w:rsidRPr="002E0C5D" w14:paraId="09BEE52A" w14:textId="77777777" w:rsidTr="002E0C5D">
              <w:trPr>
                <w:trHeight w:val="300"/>
              </w:trPr>
              <w:tc>
                <w:tcPr>
                  <w:tcW w:w="1151" w:type="dxa"/>
                  <w:tcBorders>
                    <w:top w:val="nil"/>
                    <w:left w:val="nil"/>
                    <w:bottom w:val="single" w:sz="8" w:space="0" w:color="FFFFFF"/>
                    <w:right w:val="single" w:sz="8" w:space="0" w:color="FFFFFF"/>
                  </w:tcBorders>
                  <w:shd w:val="clear" w:color="000000" w:fill="FDE9D9"/>
                  <w:noWrap/>
                  <w:vAlign w:val="center"/>
                  <w:hideMark/>
                </w:tcPr>
                <w:p w14:paraId="082337DF" w14:textId="77777777" w:rsidR="002E0C5D" w:rsidRPr="002E0C5D" w:rsidRDefault="002E0C5D" w:rsidP="002E0C5D">
                  <w:pPr>
                    <w:widowControl/>
                    <w:jc w:val="center"/>
                    <w:rPr>
                      <w:rFonts w:ascii="楷体" w:eastAsia="楷体" w:hAnsi="楷体" w:cs="宋体"/>
                      <w:color w:val="000000"/>
                      <w:kern w:val="0"/>
                      <w:sz w:val="20"/>
                      <w:szCs w:val="20"/>
                    </w:rPr>
                  </w:pPr>
                  <w:proofErr w:type="gramStart"/>
                  <w:r w:rsidRPr="002E0C5D">
                    <w:rPr>
                      <w:rFonts w:ascii="楷体" w:eastAsia="楷体" w:hAnsi="楷体" w:cs="宋体" w:hint="eastAsia"/>
                      <w:color w:val="000000"/>
                      <w:kern w:val="0"/>
                      <w:sz w:val="20"/>
                      <w:szCs w:val="20"/>
                    </w:rPr>
                    <w:t>城投债</w:t>
                  </w:r>
                  <w:proofErr w:type="gramEnd"/>
                  <w:r w:rsidRPr="002E0C5D">
                    <w:rPr>
                      <w:rFonts w:ascii="楷体" w:eastAsia="楷体" w:hAnsi="楷体" w:cs="宋体" w:hint="eastAsia"/>
                      <w:color w:val="000000"/>
                      <w:kern w:val="0"/>
                      <w:sz w:val="20"/>
                      <w:szCs w:val="20"/>
                    </w:rPr>
                    <w:t>5Y</w:t>
                  </w:r>
                </w:p>
              </w:tc>
              <w:tc>
                <w:tcPr>
                  <w:tcW w:w="943" w:type="dxa"/>
                  <w:tcBorders>
                    <w:top w:val="nil"/>
                    <w:left w:val="nil"/>
                    <w:bottom w:val="single" w:sz="8" w:space="0" w:color="FFFFFF"/>
                    <w:right w:val="single" w:sz="8" w:space="0" w:color="FFFFFF"/>
                  </w:tcBorders>
                  <w:shd w:val="clear" w:color="000000" w:fill="FDE9D9"/>
                  <w:noWrap/>
                  <w:vAlign w:val="center"/>
                  <w:hideMark/>
                </w:tcPr>
                <w:p w14:paraId="4A23088E"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9%</w:t>
                  </w:r>
                </w:p>
              </w:tc>
              <w:tc>
                <w:tcPr>
                  <w:tcW w:w="943" w:type="dxa"/>
                  <w:tcBorders>
                    <w:top w:val="nil"/>
                    <w:left w:val="nil"/>
                    <w:bottom w:val="single" w:sz="8" w:space="0" w:color="FFFFFF"/>
                    <w:right w:val="single" w:sz="8" w:space="0" w:color="FFFFFF"/>
                  </w:tcBorders>
                  <w:shd w:val="clear" w:color="000000" w:fill="FDE9D9"/>
                  <w:noWrap/>
                  <w:vAlign w:val="center"/>
                  <w:hideMark/>
                </w:tcPr>
                <w:p w14:paraId="3D0BFF4F"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9%</w:t>
                  </w:r>
                </w:p>
              </w:tc>
              <w:tc>
                <w:tcPr>
                  <w:tcW w:w="943" w:type="dxa"/>
                  <w:tcBorders>
                    <w:top w:val="nil"/>
                    <w:left w:val="nil"/>
                    <w:bottom w:val="single" w:sz="8" w:space="0" w:color="FFFFFF"/>
                    <w:right w:val="single" w:sz="8" w:space="0" w:color="FFFFFF"/>
                  </w:tcBorders>
                  <w:shd w:val="clear" w:color="000000" w:fill="FDE9D9"/>
                  <w:noWrap/>
                  <w:vAlign w:val="center"/>
                  <w:hideMark/>
                </w:tcPr>
                <w:p w14:paraId="104E5DBB"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11%</w:t>
                  </w:r>
                </w:p>
              </w:tc>
              <w:tc>
                <w:tcPr>
                  <w:tcW w:w="943" w:type="dxa"/>
                  <w:tcBorders>
                    <w:top w:val="nil"/>
                    <w:left w:val="nil"/>
                    <w:bottom w:val="single" w:sz="8" w:space="0" w:color="FFFFFF"/>
                    <w:right w:val="single" w:sz="8" w:space="0" w:color="FFFFFF"/>
                  </w:tcBorders>
                  <w:shd w:val="clear" w:color="000000" w:fill="FDE9D9"/>
                  <w:noWrap/>
                  <w:vAlign w:val="center"/>
                  <w:hideMark/>
                </w:tcPr>
                <w:p w14:paraId="296E9538"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72%</w:t>
                  </w:r>
                </w:p>
              </w:tc>
              <w:tc>
                <w:tcPr>
                  <w:tcW w:w="1179" w:type="dxa"/>
                  <w:tcBorders>
                    <w:top w:val="nil"/>
                    <w:left w:val="nil"/>
                    <w:bottom w:val="single" w:sz="8" w:space="0" w:color="FFFFFF"/>
                    <w:right w:val="single" w:sz="8" w:space="0" w:color="FFFFFF"/>
                  </w:tcBorders>
                  <w:shd w:val="clear" w:color="000000" w:fill="FDE9D9"/>
                  <w:noWrap/>
                  <w:vAlign w:val="center"/>
                  <w:hideMark/>
                </w:tcPr>
                <w:p w14:paraId="125F475C" w14:textId="77777777" w:rsidR="002E0C5D" w:rsidRPr="002E0C5D" w:rsidRDefault="002E0C5D" w:rsidP="002E0C5D">
                  <w:pPr>
                    <w:widowControl/>
                    <w:jc w:val="center"/>
                    <w:rPr>
                      <w:rFonts w:ascii="楷体" w:eastAsia="楷体" w:hAnsi="楷体" w:cs="宋体"/>
                      <w:color w:val="000000"/>
                      <w:kern w:val="0"/>
                      <w:sz w:val="20"/>
                      <w:szCs w:val="20"/>
                    </w:rPr>
                  </w:pPr>
                  <w:proofErr w:type="gramStart"/>
                  <w:r w:rsidRPr="002E0C5D">
                    <w:rPr>
                      <w:rFonts w:ascii="楷体" w:eastAsia="楷体" w:hAnsi="楷体" w:cs="宋体" w:hint="eastAsia"/>
                      <w:color w:val="000000"/>
                      <w:kern w:val="0"/>
                      <w:sz w:val="20"/>
                      <w:szCs w:val="20"/>
                    </w:rPr>
                    <w:t>城投债</w:t>
                  </w:r>
                  <w:proofErr w:type="gramEnd"/>
                  <w:r w:rsidRPr="002E0C5D">
                    <w:rPr>
                      <w:rFonts w:ascii="楷体" w:eastAsia="楷体" w:hAnsi="楷体" w:cs="宋体" w:hint="eastAsia"/>
                      <w:color w:val="000000"/>
                      <w:kern w:val="0"/>
                      <w:sz w:val="20"/>
                      <w:szCs w:val="20"/>
                    </w:rPr>
                    <w:t>5Y</w:t>
                  </w:r>
                </w:p>
              </w:tc>
              <w:tc>
                <w:tcPr>
                  <w:tcW w:w="943" w:type="dxa"/>
                  <w:tcBorders>
                    <w:top w:val="nil"/>
                    <w:left w:val="nil"/>
                    <w:bottom w:val="single" w:sz="8" w:space="0" w:color="FFFFFF"/>
                    <w:right w:val="single" w:sz="8" w:space="0" w:color="FFFFFF"/>
                  </w:tcBorders>
                  <w:shd w:val="clear" w:color="000000" w:fill="FDE9D9"/>
                  <w:noWrap/>
                  <w:vAlign w:val="center"/>
                  <w:hideMark/>
                </w:tcPr>
                <w:p w14:paraId="6C4148DF"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4%</w:t>
                  </w:r>
                </w:p>
              </w:tc>
              <w:tc>
                <w:tcPr>
                  <w:tcW w:w="943" w:type="dxa"/>
                  <w:tcBorders>
                    <w:top w:val="nil"/>
                    <w:left w:val="nil"/>
                    <w:bottom w:val="single" w:sz="8" w:space="0" w:color="FFFFFF"/>
                    <w:right w:val="single" w:sz="8" w:space="0" w:color="FFFFFF"/>
                  </w:tcBorders>
                  <w:shd w:val="clear" w:color="000000" w:fill="FDE9D9"/>
                  <w:noWrap/>
                  <w:vAlign w:val="center"/>
                  <w:hideMark/>
                </w:tcPr>
                <w:p w14:paraId="1F95728C"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6%</w:t>
                  </w:r>
                </w:p>
              </w:tc>
              <w:tc>
                <w:tcPr>
                  <w:tcW w:w="943" w:type="dxa"/>
                  <w:tcBorders>
                    <w:top w:val="nil"/>
                    <w:left w:val="nil"/>
                    <w:bottom w:val="single" w:sz="8" w:space="0" w:color="FFFFFF"/>
                    <w:right w:val="single" w:sz="8" w:space="0" w:color="FFFFFF"/>
                  </w:tcBorders>
                  <w:shd w:val="clear" w:color="000000" w:fill="FDE9D9"/>
                  <w:noWrap/>
                  <w:vAlign w:val="center"/>
                  <w:hideMark/>
                </w:tcPr>
                <w:p w14:paraId="43582F1D"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10%</w:t>
                  </w:r>
                </w:p>
              </w:tc>
              <w:tc>
                <w:tcPr>
                  <w:tcW w:w="943" w:type="dxa"/>
                  <w:tcBorders>
                    <w:top w:val="nil"/>
                    <w:left w:val="nil"/>
                    <w:bottom w:val="single" w:sz="8" w:space="0" w:color="FFFFFF"/>
                    <w:right w:val="single" w:sz="8" w:space="0" w:color="FFFFFF"/>
                  </w:tcBorders>
                  <w:shd w:val="clear" w:color="000000" w:fill="FFC7CE"/>
                  <w:noWrap/>
                  <w:vAlign w:val="center"/>
                  <w:hideMark/>
                </w:tcPr>
                <w:p w14:paraId="2914459A" w14:textId="77777777" w:rsidR="002E0C5D" w:rsidRPr="002E0C5D" w:rsidRDefault="002E0C5D" w:rsidP="002E0C5D">
                  <w:pPr>
                    <w:widowControl/>
                    <w:jc w:val="center"/>
                    <w:rPr>
                      <w:rFonts w:eastAsia="等线" w:cs="Calibri"/>
                      <w:color w:val="9C0006"/>
                      <w:kern w:val="0"/>
                      <w:szCs w:val="21"/>
                    </w:rPr>
                  </w:pPr>
                  <w:r w:rsidRPr="002E0C5D">
                    <w:rPr>
                      <w:rFonts w:eastAsia="等线" w:cs="Calibri"/>
                      <w:color w:val="9C0006"/>
                      <w:kern w:val="0"/>
                      <w:szCs w:val="21"/>
                    </w:rPr>
                    <w:t>87%</w:t>
                  </w:r>
                </w:p>
              </w:tc>
            </w:tr>
            <w:tr w:rsidR="002E0C5D" w:rsidRPr="002E0C5D" w14:paraId="5CC37EC9" w14:textId="77777777" w:rsidTr="002E0C5D">
              <w:trPr>
                <w:trHeight w:val="300"/>
              </w:trPr>
              <w:tc>
                <w:tcPr>
                  <w:tcW w:w="1151" w:type="dxa"/>
                  <w:tcBorders>
                    <w:top w:val="nil"/>
                    <w:left w:val="nil"/>
                    <w:bottom w:val="nil"/>
                    <w:right w:val="nil"/>
                  </w:tcBorders>
                  <w:shd w:val="clear" w:color="000000" w:fill="FCD5B4"/>
                  <w:noWrap/>
                  <w:vAlign w:val="center"/>
                  <w:hideMark/>
                </w:tcPr>
                <w:p w14:paraId="7B6A22EB" w14:textId="77777777" w:rsidR="002E0C5D" w:rsidRPr="002E0C5D" w:rsidRDefault="002E0C5D" w:rsidP="002E0C5D">
                  <w:pPr>
                    <w:widowControl/>
                    <w:jc w:val="center"/>
                    <w:rPr>
                      <w:rFonts w:ascii="楷体" w:eastAsia="楷体" w:hAnsi="楷体" w:cs="宋体"/>
                      <w:color w:val="000000"/>
                      <w:kern w:val="0"/>
                      <w:sz w:val="20"/>
                      <w:szCs w:val="20"/>
                    </w:rPr>
                  </w:pPr>
                  <w:proofErr w:type="gramStart"/>
                  <w:r w:rsidRPr="002E0C5D">
                    <w:rPr>
                      <w:rFonts w:ascii="楷体" w:eastAsia="楷体" w:hAnsi="楷体" w:cs="宋体" w:hint="eastAsia"/>
                      <w:color w:val="000000"/>
                      <w:kern w:val="0"/>
                      <w:sz w:val="20"/>
                      <w:szCs w:val="20"/>
                    </w:rPr>
                    <w:t>城投债</w:t>
                  </w:r>
                  <w:proofErr w:type="gramEnd"/>
                  <w:r w:rsidRPr="002E0C5D">
                    <w:rPr>
                      <w:rFonts w:ascii="楷体" w:eastAsia="楷体" w:hAnsi="楷体" w:cs="宋体" w:hint="eastAsia"/>
                      <w:color w:val="000000"/>
                      <w:kern w:val="0"/>
                      <w:sz w:val="20"/>
                      <w:szCs w:val="20"/>
                    </w:rPr>
                    <w:t>7Y</w:t>
                  </w:r>
                </w:p>
              </w:tc>
              <w:tc>
                <w:tcPr>
                  <w:tcW w:w="943" w:type="dxa"/>
                  <w:tcBorders>
                    <w:top w:val="nil"/>
                    <w:left w:val="nil"/>
                    <w:bottom w:val="single" w:sz="8" w:space="0" w:color="FFFFFF"/>
                    <w:right w:val="single" w:sz="8" w:space="0" w:color="FFFFFF"/>
                  </w:tcBorders>
                  <w:shd w:val="clear" w:color="000000" w:fill="FCD5B4"/>
                  <w:noWrap/>
                  <w:vAlign w:val="center"/>
                  <w:hideMark/>
                </w:tcPr>
                <w:p w14:paraId="31CA8716"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10%</w:t>
                  </w:r>
                </w:p>
              </w:tc>
              <w:tc>
                <w:tcPr>
                  <w:tcW w:w="943" w:type="dxa"/>
                  <w:tcBorders>
                    <w:top w:val="nil"/>
                    <w:left w:val="nil"/>
                    <w:bottom w:val="single" w:sz="8" w:space="0" w:color="FFFFFF"/>
                    <w:right w:val="single" w:sz="8" w:space="0" w:color="FFFFFF"/>
                  </w:tcBorders>
                  <w:shd w:val="clear" w:color="000000" w:fill="FCD5B4"/>
                  <w:noWrap/>
                  <w:vAlign w:val="center"/>
                  <w:hideMark/>
                </w:tcPr>
                <w:p w14:paraId="41AD1841"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8%</w:t>
                  </w:r>
                </w:p>
              </w:tc>
              <w:tc>
                <w:tcPr>
                  <w:tcW w:w="943" w:type="dxa"/>
                  <w:tcBorders>
                    <w:top w:val="nil"/>
                    <w:left w:val="nil"/>
                    <w:bottom w:val="single" w:sz="8" w:space="0" w:color="FFFFFF"/>
                    <w:right w:val="single" w:sz="8" w:space="0" w:color="FFFFFF"/>
                  </w:tcBorders>
                  <w:shd w:val="clear" w:color="000000" w:fill="FCD5B4"/>
                  <w:noWrap/>
                  <w:vAlign w:val="center"/>
                  <w:hideMark/>
                </w:tcPr>
                <w:p w14:paraId="28885779"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11%</w:t>
                  </w:r>
                </w:p>
              </w:tc>
              <w:tc>
                <w:tcPr>
                  <w:tcW w:w="943" w:type="dxa"/>
                  <w:tcBorders>
                    <w:top w:val="nil"/>
                    <w:left w:val="nil"/>
                    <w:bottom w:val="single" w:sz="8" w:space="0" w:color="FFFFFF"/>
                    <w:right w:val="single" w:sz="8" w:space="0" w:color="FFFFFF"/>
                  </w:tcBorders>
                  <w:shd w:val="clear" w:color="000000" w:fill="FCD5B4"/>
                  <w:noWrap/>
                  <w:vAlign w:val="center"/>
                  <w:hideMark/>
                </w:tcPr>
                <w:p w14:paraId="119078FA"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71%</w:t>
                  </w:r>
                </w:p>
              </w:tc>
              <w:tc>
                <w:tcPr>
                  <w:tcW w:w="1179" w:type="dxa"/>
                  <w:tcBorders>
                    <w:top w:val="nil"/>
                    <w:left w:val="nil"/>
                    <w:bottom w:val="nil"/>
                    <w:right w:val="nil"/>
                  </w:tcBorders>
                  <w:shd w:val="clear" w:color="000000" w:fill="FCD5B4"/>
                  <w:noWrap/>
                  <w:vAlign w:val="center"/>
                  <w:hideMark/>
                </w:tcPr>
                <w:p w14:paraId="6E7DD540" w14:textId="77777777" w:rsidR="002E0C5D" w:rsidRPr="002E0C5D" w:rsidRDefault="002E0C5D" w:rsidP="002E0C5D">
                  <w:pPr>
                    <w:widowControl/>
                    <w:jc w:val="center"/>
                    <w:rPr>
                      <w:rFonts w:ascii="楷体" w:eastAsia="楷体" w:hAnsi="楷体" w:cs="宋体"/>
                      <w:color w:val="000000"/>
                      <w:kern w:val="0"/>
                      <w:sz w:val="20"/>
                      <w:szCs w:val="20"/>
                    </w:rPr>
                  </w:pPr>
                  <w:proofErr w:type="gramStart"/>
                  <w:r w:rsidRPr="002E0C5D">
                    <w:rPr>
                      <w:rFonts w:ascii="楷体" w:eastAsia="楷体" w:hAnsi="楷体" w:cs="宋体" w:hint="eastAsia"/>
                      <w:color w:val="000000"/>
                      <w:kern w:val="0"/>
                      <w:sz w:val="20"/>
                      <w:szCs w:val="20"/>
                    </w:rPr>
                    <w:t>城投债</w:t>
                  </w:r>
                  <w:proofErr w:type="gramEnd"/>
                  <w:r w:rsidRPr="002E0C5D">
                    <w:rPr>
                      <w:rFonts w:ascii="楷体" w:eastAsia="楷体" w:hAnsi="楷体" w:cs="宋体" w:hint="eastAsia"/>
                      <w:color w:val="000000"/>
                      <w:kern w:val="0"/>
                      <w:sz w:val="20"/>
                      <w:szCs w:val="20"/>
                    </w:rPr>
                    <w:t>7Y</w:t>
                  </w:r>
                </w:p>
              </w:tc>
              <w:tc>
                <w:tcPr>
                  <w:tcW w:w="943" w:type="dxa"/>
                  <w:tcBorders>
                    <w:top w:val="nil"/>
                    <w:left w:val="nil"/>
                    <w:bottom w:val="single" w:sz="8" w:space="0" w:color="FFFFFF"/>
                    <w:right w:val="single" w:sz="8" w:space="0" w:color="FFFFFF"/>
                  </w:tcBorders>
                  <w:shd w:val="clear" w:color="000000" w:fill="FCD5B4"/>
                  <w:noWrap/>
                  <w:vAlign w:val="center"/>
                  <w:hideMark/>
                </w:tcPr>
                <w:p w14:paraId="6C6AEE8F"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9%</w:t>
                  </w:r>
                </w:p>
              </w:tc>
              <w:tc>
                <w:tcPr>
                  <w:tcW w:w="943" w:type="dxa"/>
                  <w:tcBorders>
                    <w:top w:val="nil"/>
                    <w:left w:val="nil"/>
                    <w:bottom w:val="single" w:sz="8" w:space="0" w:color="FFFFFF"/>
                    <w:right w:val="single" w:sz="8" w:space="0" w:color="FFFFFF"/>
                  </w:tcBorders>
                  <w:shd w:val="clear" w:color="000000" w:fill="FCD5B4"/>
                  <w:noWrap/>
                  <w:vAlign w:val="center"/>
                  <w:hideMark/>
                </w:tcPr>
                <w:p w14:paraId="5D4EDCF5"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7%</w:t>
                  </w:r>
                </w:p>
              </w:tc>
              <w:tc>
                <w:tcPr>
                  <w:tcW w:w="943" w:type="dxa"/>
                  <w:tcBorders>
                    <w:top w:val="nil"/>
                    <w:left w:val="nil"/>
                    <w:bottom w:val="single" w:sz="8" w:space="0" w:color="FFFFFF"/>
                    <w:right w:val="single" w:sz="8" w:space="0" w:color="FFFFFF"/>
                  </w:tcBorders>
                  <w:shd w:val="clear" w:color="000000" w:fill="FCD5B4"/>
                  <w:noWrap/>
                  <w:vAlign w:val="center"/>
                  <w:hideMark/>
                </w:tcPr>
                <w:p w14:paraId="357F8A55" w14:textId="77777777" w:rsidR="002E0C5D" w:rsidRPr="002E0C5D" w:rsidRDefault="002E0C5D" w:rsidP="002E0C5D">
                  <w:pPr>
                    <w:widowControl/>
                    <w:jc w:val="center"/>
                    <w:rPr>
                      <w:rFonts w:eastAsia="等线" w:cs="Calibri"/>
                      <w:color w:val="000000"/>
                      <w:kern w:val="0"/>
                      <w:szCs w:val="21"/>
                    </w:rPr>
                  </w:pPr>
                  <w:r w:rsidRPr="002E0C5D">
                    <w:rPr>
                      <w:rFonts w:eastAsia="等线" w:cs="Calibri"/>
                      <w:color w:val="000000"/>
                      <w:kern w:val="0"/>
                      <w:szCs w:val="21"/>
                    </w:rPr>
                    <w:t>16%</w:t>
                  </w:r>
                </w:p>
              </w:tc>
              <w:tc>
                <w:tcPr>
                  <w:tcW w:w="943" w:type="dxa"/>
                  <w:tcBorders>
                    <w:top w:val="nil"/>
                    <w:left w:val="nil"/>
                    <w:bottom w:val="single" w:sz="8" w:space="0" w:color="FFFFFF"/>
                    <w:right w:val="single" w:sz="8" w:space="0" w:color="FFFFFF"/>
                  </w:tcBorders>
                  <w:shd w:val="clear" w:color="000000" w:fill="FFC7CE"/>
                  <w:noWrap/>
                  <w:vAlign w:val="center"/>
                  <w:hideMark/>
                </w:tcPr>
                <w:p w14:paraId="78EAA4DC" w14:textId="77777777" w:rsidR="002E0C5D" w:rsidRPr="002E0C5D" w:rsidRDefault="002E0C5D" w:rsidP="002E0C5D">
                  <w:pPr>
                    <w:widowControl/>
                    <w:jc w:val="center"/>
                    <w:rPr>
                      <w:rFonts w:eastAsia="等线" w:cs="Calibri"/>
                      <w:color w:val="9C0006"/>
                      <w:kern w:val="0"/>
                      <w:szCs w:val="21"/>
                    </w:rPr>
                  </w:pPr>
                  <w:r w:rsidRPr="002E0C5D">
                    <w:rPr>
                      <w:rFonts w:eastAsia="等线" w:cs="Calibri"/>
                      <w:color w:val="9C0006"/>
                      <w:kern w:val="0"/>
                      <w:szCs w:val="21"/>
                    </w:rPr>
                    <w:t>87%</w:t>
                  </w:r>
                </w:p>
              </w:tc>
            </w:tr>
          </w:tbl>
          <w:p w14:paraId="446C7D6E" w14:textId="294F6511" w:rsidR="00E0626C" w:rsidRPr="003C1CC8" w:rsidRDefault="00E0626C" w:rsidP="0092340D">
            <w:pPr>
              <w:rPr>
                <w:noProof/>
                <w:szCs w:val="18"/>
              </w:rPr>
            </w:pPr>
          </w:p>
        </w:tc>
      </w:tr>
      <w:tr w:rsidR="00E0626C" w:rsidRPr="006A5F34" w14:paraId="01D36A65" w14:textId="77777777" w:rsidTr="00220902">
        <w:trPr>
          <w:trHeight w:val="60"/>
          <w:jc w:val="center"/>
        </w:trPr>
        <w:tc>
          <w:tcPr>
            <w:tcW w:w="9713" w:type="dxa"/>
            <w:vAlign w:val="center"/>
          </w:tcPr>
          <w:p w14:paraId="6284202E" w14:textId="2B61B5A0" w:rsidR="00E0626C" w:rsidRPr="006A5F34" w:rsidRDefault="00E0626C" w:rsidP="009A2BA0">
            <w:pPr>
              <w:pStyle w:val="Source"/>
              <w:jc w:val="both"/>
              <w:rPr>
                <w:kern w:val="0"/>
              </w:rPr>
            </w:pPr>
            <w:r w:rsidRPr="006A5F34">
              <w:rPr>
                <w:rFonts w:hint="eastAsia"/>
                <w:kern w:val="0"/>
              </w:rPr>
              <w:lastRenderedPageBreak/>
              <w:t>资料来源：万得</w:t>
            </w:r>
            <w:r>
              <w:rPr>
                <w:rFonts w:hint="eastAsia"/>
                <w:kern w:val="0"/>
              </w:rPr>
              <w:t>，富荣基金；利差基准为同期限国债</w:t>
            </w:r>
          </w:p>
        </w:tc>
      </w:tr>
    </w:tbl>
    <w:p w14:paraId="26A54476" w14:textId="77777777" w:rsidR="00E0626C" w:rsidRPr="009B0E57"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1CA500C4" w:rsidR="00C37204" w:rsidRPr="00C16434" w:rsidRDefault="003926C0" w:rsidP="00416C5F">
      <w:pPr>
        <w:pStyle w:val="Body-text"/>
        <w:spacing w:after="240"/>
        <w:ind w:firstLineChars="200" w:firstLine="480"/>
        <w:rPr>
          <w:rFonts w:ascii="华文楷体" w:hAnsi="华文楷体"/>
          <w:sz w:val="24"/>
          <w:szCs w:val="24"/>
          <w:lang w:eastAsia="zh-CN"/>
        </w:rPr>
      </w:pPr>
      <w:r w:rsidRPr="003926C0">
        <w:rPr>
          <w:rFonts w:ascii="华文楷体" w:hAnsi="华文楷体" w:hint="eastAsia"/>
          <w:sz w:val="24"/>
          <w:szCs w:val="24"/>
          <w:lang w:eastAsia="zh-CN"/>
        </w:rPr>
        <w:t>权益</w:t>
      </w:r>
      <w:r>
        <w:rPr>
          <w:rFonts w:ascii="华文楷体" w:hAnsi="华文楷体" w:hint="eastAsia"/>
          <w:sz w:val="24"/>
          <w:szCs w:val="24"/>
          <w:lang w:eastAsia="zh-CN"/>
        </w:rPr>
        <w:t>市场</w:t>
      </w:r>
      <w:r w:rsidR="005437B0">
        <w:rPr>
          <w:rFonts w:ascii="华文楷体" w:hAnsi="华文楷体" w:hint="eastAsia"/>
          <w:sz w:val="24"/>
          <w:szCs w:val="24"/>
          <w:lang w:eastAsia="zh-CN"/>
        </w:rPr>
        <w:t>，</w:t>
      </w:r>
      <w:r w:rsidR="00980B5C" w:rsidRPr="00980B5C">
        <w:rPr>
          <w:rFonts w:ascii="华文楷体" w:hAnsi="华文楷体" w:hint="eastAsia"/>
          <w:sz w:val="24"/>
          <w:szCs w:val="24"/>
          <w:lang w:eastAsia="zh-CN"/>
        </w:rPr>
        <w:t>各主要板块指数</w:t>
      </w:r>
      <w:r w:rsidR="001945D2">
        <w:rPr>
          <w:rFonts w:ascii="华文楷体" w:hAnsi="华文楷体" w:hint="eastAsia"/>
          <w:sz w:val="24"/>
          <w:szCs w:val="24"/>
          <w:lang w:eastAsia="zh-CN"/>
        </w:rPr>
        <w:t>适度</w:t>
      </w:r>
      <w:r w:rsidR="00EA1B8C">
        <w:rPr>
          <w:rFonts w:ascii="华文楷体" w:hAnsi="华文楷体" w:hint="eastAsia"/>
          <w:sz w:val="24"/>
          <w:szCs w:val="24"/>
          <w:lang w:eastAsia="zh-CN"/>
        </w:rPr>
        <w:t>上</w:t>
      </w:r>
      <w:r w:rsidR="001945D2">
        <w:rPr>
          <w:rFonts w:ascii="华文楷体" w:hAnsi="华文楷体" w:hint="eastAsia"/>
          <w:sz w:val="24"/>
          <w:szCs w:val="24"/>
          <w:lang w:eastAsia="zh-CN"/>
        </w:rPr>
        <w:t>行</w:t>
      </w:r>
      <w:r w:rsidR="00657F44">
        <w:rPr>
          <w:rFonts w:ascii="华文楷体" w:hAnsi="华文楷体" w:hint="eastAsia"/>
          <w:sz w:val="24"/>
          <w:szCs w:val="24"/>
          <w:lang w:eastAsia="zh-CN"/>
        </w:rPr>
        <w:t>，多数成交量小幅</w:t>
      </w:r>
      <w:r w:rsidR="00EA1B8C">
        <w:rPr>
          <w:rFonts w:ascii="华文楷体" w:hAnsi="华文楷体" w:hint="eastAsia"/>
          <w:sz w:val="24"/>
          <w:szCs w:val="24"/>
          <w:lang w:eastAsia="zh-CN"/>
        </w:rPr>
        <w:t>扩张</w:t>
      </w:r>
      <w:r w:rsidR="00980B5C" w:rsidRPr="00980B5C">
        <w:rPr>
          <w:rFonts w:ascii="华文楷体" w:hAnsi="华文楷体" w:hint="eastAsia"/>
          <w:sz w:val="24"/>
          <w:szCs w:val="24"/>
          <w:lang w:eastAsia="zh-CN"/>
        </w:rPr>
        <w:t>。</w:t>
      </w:r>
      <w:r w:rsidR="00705D32">
        <w:rPr>
          <w:rFonts w:ascii="华文楷体" w:hAnsi="华文楷体" w:hint="eastAsia"/>
          <w:sz w:val="24"/>
          <w:szCs w:val="24"/>
          <w:lang w:eastAsia="zh-CN"/>
        </w:rPr>
        <w:t>市场表现</w:t>
      </w:r>
      <w:r w:rsidR="00591DD3">
        <w:rPr>
          <w:rFonts w:ascii="华文楷体" w:hAnsi="华文楷体" w:hint="eastAsia"/>
          <w:sz w:val="24"/>
          <w:szCs w:val="24"/>
          <w:lang w:eastAsia="zh-CN"/>
        </w:rPr>
        <w:t>，</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300表现</w:t>
      </w:r>
      <w:r w:rsidR="00AC28BB">
        <w:rPr>
          <w:rFonts w:ascii="华文楷体" w:hAnsi="华文楷体"/>
          <w:sz w:val="24"/>
          <w:szCs w:val="24"/>
          <w:lang w:eastAsia="zh-CN"/>
        </w:rPr>
        <w:t>分别为</w:t>
      </w:r>
      <w:r w:rsidR="00EA1B8C">
        <w:rPr>
          <w:rFonts w:ascii="华文楷体" w:hAnsi="华文楷体" w:hint="eastAsia"/>
          <w:sz w:val="24"/>
          <w:szCs w:val="24"/>
          <w:lang w:eastAsia="zh-CN"/>
        </w:rPr>
        <w:t>+0.2</w:t>
      </w:r>
      <w:r w:rsidR="00AC28BB">
        <w:rPr>
          <w:rFonts w:ascii="华文楷体" w:hAnsi="华文楷体"/>
          <w:sz w:val="24"/>
          <w:szCs w:val="24"/>
          <w:lang w:eastAsia="zh-CN"/>
        </w:rPr>
        <w:t>%、</w:t>
      </w:r>
      <w:r w:rsidR="00EA1B8C">
        <w:rPr>
          <w:rFonts w:ascii="华文楷体" w:hAnsi="华文楷体" w:hint="eastAsia"/>
          <w:sz w:val="24"/>
          <w:szCs w:val="24"/>
          <w:lang w:eastAsia="zh-CN"/>
        </w:rPr>
        <w:t>+2.3</w:t>
      </w:r>
      <w:r w:rsidR="00AC28BB">
        <w:rPr>
          <w:rFonts w:ascii="华文楷体" w:hAnsi="华文楷体"/>
          <w:sz w:val="24"/>
          <w:szCs w:val="24"/>
          <w:lang w:eastAsia="zh-CN"/>
        </w:rPr>
        <w:t>%、</w:t>
      </w:r>
      <w:r w:rsidR="001945D2">
        <w:rPr>
          <w:rFonts w:ascii="华文楷体" w:hAnsi="华文楷体" w:hint="eastAsia"/>
          <w:sz w:val="24"/>
          <w:szCs w:val="24"/>
          <w:lang w:eastAsia="zh-CN"/>
        </w:rPr>
        <w:t>-</w:t>
      </w:r>
      <w:r w:rsidR="00EA1B8C">
        <w:rPr>
          <w:rFonts w:ascii="华文楷体" w:hAnsi="华文楷体" w:hint="eastAsia"/>
          <w:sz w:val="24"/>
          <w:szCs w:val="24"/>
          <w:lang w:eastAsia="zh-CN"/>
        </w:rPr>
        <w:t>1.4</w:t>
      </w:r>
      <w:r w:rsidR="00307DB0">
        <w:rPr>
          <w:rFonts w:ascii="华文楷体" w:hAnsi="华文楷体" w:hint="eastAsia"/>
          <w:sz w:val="24"/>
          <w:szCs w:val="24"/>
          <w:lang w:eastAsia="zh-CN"/>
        </w:rPr>
        <w:t>%</w:t>
      </w:r>
      <w:r w:rsidR="00AC28BB">
        <w:rPr>
          <w:rFonts w:ascii="华文楷体" w:hAnsi="华文楷体" w:hint="eastAsia"/>
          <w:sz w:val="24"/>
          <w:szCs w:val="24"/>
          <w:lang w:eastAsia="zh-CN"/>
        </w:rPr>
        <w:t>和</w:t>
      </w:r>
      <w:r w:rsidR="001945D2">
        <w:rPr>
          <w:rFonts w:ascii="华文楷体" w:hAnsi="华文楷体" w:hint="eastAsia"/>
          <w:sz w:val="24"/>
          <w:szCs w:val="24"/>
          <w:lang w:eastAsia="zh-CN"/>
        </w:rPr>
        <w:t>-0</w:t>
      </w:r>
      <w:r w:rsidR="00EA1B8C">
        <w:rPr>
          <w:rFonts w:ascii="华文楷体" w:hAnsi="华文楷体" w:hint="eastAsia"/>
          <w:sz w:val="24"/>
          <w:szCs w:val="24"/>
          <w:lang w:eastAsia="zh-CN"/>
        </w:rPr>
        <w:t>.2</w:t>
      </w:r>
      <w:r w:rsidR="00AC28BB">
        <w:rPr>
          <w:rFonts w:ascii="华文楷体" w:hAnsi="华文楷体"/>
          <w:sz w:val="24"/>
          <w:szCs w:val="24"/>
          <w:lang w:eastAsia="zh-CN"/>
        </w:rPr>
        <w:t>%</w:t>
      </w:r>
      <w:r w:rsidR="00AC28BB">
        <w:rPr>
          <w:rFonts w:ascii="华文楷体" w:hAnsi="华文楷体" w:hint="eastAsia"/>
          <w:sz w:val="24"/>
          <w:szCs w:val="24"/>
          <w:lang w:eastAsia="zh-CN"/>
        </w:rPr>
        <w:t>。</w:t>
      </w:r>
      <w:r w:rsidR="00C16434">
        <w:rPr>
          <w:rFonts w:ascii="华文楷体" w:hAnsi="华文楷体" w:hint="eastAsia"/>
          <w:sz w:val="24"/>
          <w:szCs w:val="24"/>
          <w:lang w:eastAsia="zh-CN"/>
        </w:rPr>
        <w:t>转债市场</w:t>
      </w:r>
      <w:r w:rsidR="00307DB0">
        <w:rPr>
          <w:rFonts w:ascii="华文楷体" w:hAnsi="华文楷体" w:hint="eastAsia"/>
          <w:sz w:val="24"/>
          <w:szCs w:val="24"/>
          <w:lang w:eastAsia="zh-CN"/>
        </w:rPr>
        <w:t>本周</w:t>
      </w:r>
      <w:r w:rsidR="00EA1B8C">
        <w:rPr>
          <w:rFonts w:ascii="华文楷体" w:hAnsi="华文楷体" w:hint="eastAsia"/>
          <w:sz w:val="24"/>
          <w:szCs w:val="24"/>
          <w:lang w:eastAsia="zh-CN"/>
        </w:rPr>
        <w:t>表现略好于权益</w:t>
      </w:r>
      <w:r w:rsidR="00DC05C7">
        <w:rPr>
          <w:rFonts w:ascii="华文楷体" w:hAnsi="华文楷体" w:hint="eastAsia"/>
          <w:sz w:val="24"/>
          <w:szCs w:val="24"/>
          <w:lang w:eastAsia="zh-CN"/>
        </w:rPr>
        <w:t>，</w:t>
      </w:r>
      <w:r w:rsidR="00C16434">
        <w:rPr>
          <w:rFonts w:ascii="华文楷体" w:hAnsi="华文楷体" w:hint="eastAsia"/>
          <w:sz w:val="24"/>
          <w:szCs w:val="24"/>
          <w:lang w:eastAsia="zh-CN"/>
        </w:rPr>
        <w:t>中</w:t>
      </w:r>
      <w:proofErr w:type="gramStart"/>
      <w:r w:rsidR="00C16434">
        <w:rPr>
          <w:rFonts w:ascii="华文楷体" w:hAnsi="华文楷体" w:hint="eastAsia"/>
          <w:sz w:val="24"/>
          <w:szCs w:val="24"/>
          <w:lang w:eastAsia="zh-CN"/>
        </w:rPr>
        <w:t>证转债指数</w:t>
      </w:r>
      <w:proofErr w:type="gramEnd"/>
      <w:r w:rsidR="00EA1B8C">
        <w:rPr>
          <w:rFonts w:ascii="华文楷体" w:hAnsi="华文楷体" w:hint="eastAsia"/>
          <w:sz w:val="24"/>
          <w:szCs w:val="24"/>
          <w:lang w:eastAsia="zh-CN"/>
        </w:rPr>
        <w:t>上涨1.9</w:t>
      </w:r>
      <w:r w:rsidR="00DE343B" w:rsidRPr="00DE343B">
        <w:rPr>
          <w:rFonts w:ascii="华文楷体" w:hAnsi="华文楷体" w:hint="eastAsia"/>
          <w:sz w:val="24"/>
          <w:szCs w:val="24"/>
          <w:lang w:eastAsia="zh-CN"/>
        </w:rPr>
        <w:t>%</w:t>
      </w:r>
      <w:r w:rsidR="00D86E50">
        <w:rPr>
          <w:rFonts w:ascii="华文楷体" w:hAnsi="华文楷体" w:hint="eastAsia"/>
          <w:sz w:val="24"/>
          <w:szCs w:val="24"/>
          <w:lang w:eastAsia="zh-CN"/>
        </w:rPr>
        <w:t>。</w:t>
      </w:r>
      <w:r w:rsidR="00EA1B8C">
        <w:rPr>
          <w:rFonts w:ascii="华文楷体" w:hAnsi="华文楷体" w:hint="eastAsia"/>
          <w:sz w:val="24"/>
          <w:szCs w:val="24"/>
          <w:lang w:eastAsia="zh-CN"/>
        </w:rPr>
        <w:t>策略</w:t>
      </w:r>
      <w:r w:rsidR="00A045C5">
        <w:rPr>
          <w:rFonts w:ascii="华文楷体" w:hAnsi="华文楷体" w:hint="eastAsia"/>
          <w:sz w:val="24"/>
          <w:szCs w:val="24"/>
          <w:lang w:eastAsia="zh-CN"/>
        </w:rPr>
        <w:t>上，</w:t>
      </w:r>
      <w:r w:rsidR="00EA1B8C" w:rsidRPr="00EA1B8C">
        <w:rPr>
          <w:rFonts w:ascii="华文楷体" w:hAnsi="华文楷体" w:hint="eastAsia"/>
          <w:sz w:val="24"/>
          <w:szCs w:val="24"/>
          <w:lang w:eastAsia="zh-CN"/>
        </w:rPr>
        <w:t>优选中报高景气与</w:t>
      </w:r>
      <w:proofErr w:type="gramStart"/>
      <w:r w:rsidR="00EA1B8C" w:rsidRPr="00EA1B8C">
        <w:rPr>
          <w:rFonts w:ascii="华文楷体" w:hAnsi="华文楷体" w:hint="eastAsia"/>
          <w:sz w:val="24"/>
          <w:szCs w:val="24"/>
          <w:lang w:eastAsia="zh-CN"/>
        </w:rPr>
        <w:t>转债性价</w:t>
      </w:r>
      <w:proofErr w:type="gramEnd"/>
      <w:r w:rsidR="00EA1B8C" w:rsidRPr="00EA1B8C">
        <w:rPr>
          <w:rFonts w:ascii="华文楷体" w:hAnsi="华文楷体" w:hint="eastAsia"/>
          <w:sz w:val="24"/>
          <w:szCs w:val="24"/>
          <w:lang w:eastAsia="zh-CN"/>
        </w:rPr>
        <w:t>比兼具的存量品种。对可能赎回的高价</w:t>
      </w:r>
      <w:proofErr w:type="gramStart"/>
      <w:r w:rsidR="00EA1B8C" w:rsidRPr="00EA1B8C">
        <w:rPr>
          <w:rFonts w:ascii="华文楷体" w:hAnsi="华文楷体" w:hint="eastAsia"/>
          <w:sz w:val="24"/>
          <w:szCs w:val="24"/>
          <w:lang w:eastAsia="zh-CN"/>
        </w:rPr>
        <w:t>券</w:t>
      </w:r>
      <w:proofErr w:type="gramEnd"/>
      <w:r w:rsidR="00EA1B8C" w:rsidRPr="00EA1B8C">
        <w:rPr>
          <w:rFonts w:ascii="华文楷体" w:hAnsi="华文楷体" w:hint="eastAsia"/>
          <w:sz w:val="24"/>
          <w:szCs w:val="24"/>
          <w:lang w:eastAsia="zh-CN"/>
        </w:rPr>
        <w:t>及时止盈，板块间平衡配置，</w:t>
      </w:r>
      <w:r w:rsidR="001C4D69">
        <w:rPr>
          <w:rFonts w:ascii="华文楷体" w:hAnsi="华文楷体" w:hint="eastAsia"/>
          <w:sz w:val="24"/>
          <w:szCs w:val="24"/>
          <w:lang w:eastAsia="zh-CN"/>
        </w:rPr>
        <w:t>关注</w:t>
      </w:r>
      <w:r w:rsidR="00EA1B8C" w:rsidRPr="00EA1B8C">
        <w:rPr>
          <w:rFonts w:ascii="华文楷体" w:hAnsi="华文楷体" w:hint="eastAsia"/>
          <w:sz w:val="24"/>
          <w:szCs w:val="24"/>
          <w:lang w:eastAsia="zh-CN"/>
        </w:rPr>
        <w:t>中报</w:t>
      </w:r>
      <w:r w:rsidR="001C4D69">
        <w:rPr>
          <w:rFonts w:ascii="华文楷体" w:hAnsi="华文楷体" w:hint="eastAsia"/>
          <w:sz w:val="24"/>
          <w:szCs w:val="24"/>
          <w:lang w:eastAsia="zh-CN"/>
        </w:rPr>
        <w:t>披露情况</w:t>
      </w:r>
      <w:r w:rsidR="00EA1B8C" w:rsidRPr="00EA1B8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9537C5">
        <w:tblPrEx>
          <w:tblCellMar>
            <w:left w:w="108" w:type="dxa"/>
            <w:right w:w="108" w:type="dxa"/>
          </w:tblCellMar>
        </w:tblPrEx>
        <w:trPr>
          <w:trHeight w:val="2921"/>
          <w:jc w:val="center"/>
        </w:trPr>
        <w:tc>
          <w:tcPr>
            <w:tcW w:w="4939" w:type="dxa"/>
            <w:vAlign w:val="center"/>
          </w:tcPr>
          <w:p w14:paraId="5C83721A" w14:textId="6617428F" w:rsidR="00E0626C" w:rsidRPr="00345C30" w:rsidRDefault="00157B30" w:rsidP="00345C30">
            <w:pPr>
              <w:widowControl/>
              <w:jc w:val="left"/>
              <w:rPr>
                <w:rFonts w:ascii="宋体" w:hAnsi="宋体" w:cs="宋体"/>
                <w:kern w:val="0"/>
                <w:sz w:val="24"/>
                <w:szCs w:val="24"/>
              </w:rPr>
            </w:pPr>
            <w:r w:rsidRPr="00157B30">
              <w:rPr>
                <w:rFonts w:ascii="宋体" w:hAnsi="宋体" w:cs="宋体"/>
                <w:noProof/>
                <w:kern w:val="0"/>
                <w:sz w:val="24"/>
                <w:szCs w:val="24"/>
              </w:rPr>
              <w:drawing>
                <wp:inline distT="0" distB="0" distL="0" distR="0" wp14:anchorId="25615E90" wp14:editId="76A4424E">
                  <wp:extent cx="3145536" cy="1952625"/>
                  <wp:effectExtent l="0" t="0" r="0" b="0"/>
                  <wp:docPr id="7" name="图片 7" descr="C:\Users\Tang\AppData\Roaming\Tencent\Users\2720568963\QQ\WinTemp\RichOle\)FYPR_S%FYU81CI9FF$~]]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Tang\AppData\Roaming\Tencent\Users\2720568963\QQ\WinTemp\RichOle\)FYPR_S%FYU81CI9FF$~]]6.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81304" cy="1974829"/>
                          </a:xfrm>
                          <a:prstGeom prst="rect">
                            <a:avLst/>
                          </a:prstGeom>
                          <a:noFill/>
                          <a:ln>
                            <a:noFill/>
                          </a:ln>
                        </pic:spPr>
                      </pic:pic>
                    </a:graphicData>
                  </a:graphic>
                </wp:inline>
              </w:drawing>
            </w:r>
          </w:p>
        </w:tc>
        <w:tc>
          <w:tcPr>
            <w:tcW w:w="4938" w:type="dxa"/>
            <w:vAlign w:val="center"/>
          </w:tcPr>
          <w:p w14:paraId="39BD4383" w14:textId="5AAEFDBA" w:rsidR="00E0626C" w:rsidRPr="007E0340" w:rsidRDefault="009537C5" w:rsidP="009A2BA0">
            <w:pPr>
              <w:jc w:val="center"/>
              <w:rPr>
                <w:noProof/>
                <w:szCs w:val="18"/>
              </w:rPr>
            </w:pPr>
            <w:r>
              <w:rPr>
                <w:noProof/>
              </w:rPr>
              <w:drawing>
                <wp:inline distT="0" distB="0" distL="0" distR="0" wp14:anchorId="0648BF30" wp14:editId="47FB9C6B">
                  <wp:extent cx="2998470" cy="1902689"/>
                  <wp:effectExtent l="0" t="0" r="0" b="2540"/>
                  <wp:docPr id="8" name="图表 8">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BE2819" w:rsidRDefault="00FF7903" w:rsidP="009A2BA0">
      <w:pPr>
        <w:pStyle w:val="Header2"/>
        <w:rPr>
          <w:rFonts w:eastAsia="PMingLiU"/>
          <w:sz w:val="28"/>
          <w:szCs w:val="21"/>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00FC877D" w:rsidR="00882FA5" w:rsidRPr="003E42BE" w:rsidRDefault="00E34B22" w:rsidP="003F00C6">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生产</w:t>
      </w:r>
      <w:r w:rsidR="00CC2F5D" w:rsidRPr="00D67BD7">
        <w:rPr>
          <w:rFonts w:ascii="华文楷体" w:hAnsi="华文楷体" w:hint="eastAsia"/>
          <w:b/>
          <w:bCs/>
          <w:sz w:val="24"/>
          <w:szCs w:val="24"/>
          <w:lang w:eastAsia="zh-CN"/>
        </w:rPr>
        <w:t>：</w:t>
      </w:r>
      <w:r w:rsidR="007E213A">
        <w:rPr>
          <w:rFonts w:ascii="华文楷体" w:hAnsi="华文楷体" w:hint="eastAsia"/>
          <w:sz w:val="24"/>
          <w:szCs w:val="24"/>
          <w:lang w:eastAsia="zh-CN"/>
        </w:rPr>
        <w:t>上</w:t>
      </w:r>
      <w:r w:rsidR="00F46081" w:rsidRPr="00F46081">
        <w:rPr>
          <w:rFonts w:ascii="华文楷体" w:hAnsi="华文楷体" w:hint="eastAsia"/>
          <w:sz w:val="24"/>
          <w:szCs w:val="24"/>
          <w:lang w:eastAsia="zh-CN"/>
        </w:rPr>
        <w:t>周主要港口动力煤平均价环比下跌1.12%。PTA产业链负荷率下降4个百分点至80%。南华玻璃指数均值在3775.8，环比上升2.0%。国内长江有色市场铜价上涨0.8%，铝、铅、锌价分别涨1.0%、1.0%、1.3%；海外方面，LME铜、铝、铅、</w:t>
      </w:r>
      <w:proofErr w:type="gramStart"/>
      <w:r w:rsidR="00F46081" w:rsidRPr="00F46081">
        <w:rPr>
          <w:rFonts w:ascii="华文楷体" w:hAnsi="华文楷体" w:hint="eastAsia"/>
          <w:sz w:val="24"/>
          <w:szCs w:val="24"/>
          <w:lang w:eastAsia="zh-CN"/>
        </w:rPr>
        <w:t>锌环比</w:t>
      </w:r>
      <w:proofErr w:type="gramEnd"/>
      <w:r w:rsidR="00F46081" w:rsidRPr="00F46081">
        <w:rPr>
          <w:rFonts w:ascii="华文楷体" w:hAnsi="华文楷体" w:hint="eastAsia"/>
          <w:sz w:val="24"/>
          <w:szCs w:val="24"/>
          <w:lang w:eastAsia="zh-CN"/>
        </w:rPr>
        <w:t>分别上涨1.2%、0.3%、1.6%、0.1%</w:t>
      </w:r>
      <w:r w:rsidR="00D3254A" w:rsidRPr="00D3254A">
        <w:rPr>
          <w:rFonts w:ascii="华文楷体" w:hAnsi="华文楷体" w:hint="eastAsia"/>
          <w:sz w:val="24"/>
          <w:szCs w:val="24"/>
          <w:lang w:eastAsia="zh-CN"/>
        </w:rPr>
        <w:t>。</w:t>
      </w:r>
    </w:p>
    <w:p w14:paraId="21425444" w14:textId="72E685CC" w:rsidR="00FA22A8" w:rsidRDefault="00E34B22" w:rsidP="0007254B">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F704B5">
        <w:rPr>
          <w:rFonts w:ascii="华文楷体" w:hAnsi="华文楷体" w:hint="eastAsia"/>
          <w:b/>
          <w:bCs/>
          <w:sz w:val="24"/>
          <w:szCs w:val="24"/>
          <w:lang w:eastAsia="zh-CN"/>
        </w:rPr>
        <w:t>：</w:t>
      </w:r>
      <w:r w:rsidR="00F46081" w:rsidRPr="00F46081">
        <w:rPr>
          <w:rFonts w:ascii="华文楷体" w:hAnsi="华文楷体" w:hint="eastAsia"/>
          <w:sz w:val="24"/>
          <w:szCs w:val="24"/>
          <w:lang w:eastAsia="zh-CN"/>
        </w:rPr>
        <w:t>30大中城市商品房平均成交</w:t>
      </w:r>
      <w:proofErr w:type="gramStart"/>
      <w:r w:rsidR="00F46081" w:rsidRPr="00F46081">
        <w:rPr>
          <w:rFonts w:ascii="华文楷体" w:hAnsi="华文楷体" w:hint="eastAsia"/>
          <w:sz w:val="24"/>
          <w:szCs w:val="24"/>
          <w:lang w:eastAsia="zh-CN"/>
        </w:rPr>
        <w:t>面积环</w:t>
      </w:r>
      <w:proofErr w:type="gramEnd"/>
      <w:r w:rsidR="00F46081" w:rsidRPr="00F46081">
        <w:rPr>
          <w:rFonts w:ascii="华文楷体" w:hAnsi="华文楷体" w:hint="eastAsia"/>
          <w:sz w:val="24"/>
          <w:szCs w:val="24"/>
          <w:lang w:eastAsia="zh-CN"/>
        </w:rPr>
        <w:t>比增长6%，一、二、三线城市分别变化-19%、+18%、+6%，二手房成交规模持稳。拿地方面，上</w:t>
      </w:r>
      <w:r w:rsidR="007E213A">
        <w:rPr>
          <w:rFonts w:ascii="华文楷体" w:hAnsi="华文楷体" w:hint="eastAsia"/>
          <w:sz w:val="24"/>
          <w:szCs w:val="24"/>
          <w:lang w:eastAsia="zh-CN"/>
        </w:rPr>
        <w:t>一</w:t>
      </w:r>
      <w:r w:rsidR="00F46081" w:rsidRPr="00F46081">
        <w:rPr>
          <w:rFonts w:ascii="华文楷体" w:hAnsi="华文楷体" w:hint="eastAsia"/>
          <w:sz w:val="24"/>
          <w:szCs w:val="24"/>
          <w:lang w:eastAsia="zh-CN"/>
        </w:rPr>
        <w:t>周100大中城市土地成交</w:t>
      </w:r>
      <w:proofErr w:type="gramStart"/>
      <w:r w:rsidR="00F46081" w:rsidRPr="00F46081">
        <w:rPr>
          <w:rFonts w:ascii="华文楷体" w:hAnsi="华文楷体" w:hint="eastAsia"/>
          <w:sz w:val="24"/>
          <w:szCs w:val="24"/>
          <w:lang w:eastAsia="zh-CN"/>
        </w:rPr>
        <w:t>面积环</w:t>
      </w:r>
      <w:proofErr w:type="gramEnd"/>
      <w:r w:rsidR="00F46081" w:rsidRPr="00F46081">
        <w:rPr>
          <w:rFonts w:ascii="华文楷体" w:hAnsi="华文楷体" w:hint="eastAsia"/>
          <w:sz w:val="24"/>
          <w:szCs w:val="24"/>
          <w:lang w:eastAsia="zh-CN"/>
        </w:rPr>
        <w:t>比上升4.4%，一、二、三线分别变化-64%、-9%、+25%</w:t>
      </w:r>
      <w:r w:rsidR="00A81E83">
        <w:rPr>
          <w:rFonts w:ascii="华文楷体" w:hAnsi="华文楷体" w:hint="eastAsia"/>
          <w:sz w:val="24"/>
          <w:szCs w:val="24"/>
          <w:lang w:eastAsia="zh-CN"/>
        </w:rPr>
        <w:t>。</w:t>
      </w:r>
    </w:p>
    <w:p w14:paraId="77CCCEDF" w14:textId="11DFA730" w:rsidR="007F6B5C" w:rsidRDefault="005D478C" w:rsidP="00153A65">
      <w:pPr>
        <w:pStyle w:val="Body-text"/>
        <w:ind w:firstLineChars="200" w:firstLine="480"/>
        <w:rPr>
          <w:rFonts w:ascii="华文楷体" w:hAnsi="华文楷体"/>
          <w:bCs/>
          <w:sz w:val="24"/>
          <w:szCs w:val="24"/>
          <w:lang w:eastAsia="zh-CN"/>
        </w:rPr>
      </w:pPr>
      <w:r w:rsidRPr="0063487B">
        <w:rPr>
          <w:rFonts w:ascii="华文楷体" w:hAnsi="华文楷体" w:hint="eastAsia"/>
          <w:b/>
          <w:bCs/>
          <w:sz w:val="24"/>
          <w:szCs w:val="24"/>
          <w:lang w:eastAsia="zh-CN"/>
        </w:rPr>
        <w:t>进出口</w:t>
      </w:r>
      <w:r w:rsidR="00CC2F5D" w:rsidRPr="0063487B">
        <w:rPr>
          <w:rFonts w:ascii="华文楷体" w:hAnsi="华文楷体" w:hint="eastAsia"/>
          <w:b/>
          <w:bCs/>
          <w:sz w:val="24"/>
          <w:szCs w:val="24"/>
          <w:lang w:eastAsia="zh-CN"/>
        </w:rPr>
        <w:t>：</w:t>
      </w:r>
      <w:r w:rsidR="001F098C" w:rsidRPr="001F098C">
        <w:rPr>
          <w:rFonts w:ascii="华文楷体" w:hAnsi="华文楷体" w:hint="eastAsia"/>
          <w:sz w:val="24"/>
          <w:szCs w:val="24"/>
          <w:lang w:eastAsia="zh-CN"/>
        </w:rPr>
        <w:t>出口方面，</w:t>
      </w:r>
      <w:r w:rsidR="002B1530" w:rsidRPr="002B1530">
        <w:rPr>
          <w:rFonts w:ascii="华文楷体" w:hAnsi="华文楷体" w:hint="eastAsia"/>
          <w:bCs/>
          <w:sz w:val="24"/>
          <w:szCs w:val="24"/>
          <w:lang w:eastAsia="zh-CN"/>
        </w:rPr>
        <w:t>上海出口集装箱指数（SCFI）</w:t>
      </w:r>
      <w:r w:rsidR="007E213A">
        <w:rPr>
          <w:rFonts w:ascii="华文楷体" w:hAnsi="华文楷体" w:hint="eastAsia"/>
          <w:bCs/>
          <w:sz w:val="24"/>
          <w:szCs w:val="24"/>
          <w:lang w:eastAsia="zh-CN"/>
        </w:rPr>
        <w:t>上</w:t>
      </w:r>
      <w:r w:rsidR="002B1530" w:rsidRPr="002B1530">
        <w:rPr>
          <w:rFonts w:ascii="华文楷体" w:hAnsi="华文楷体" w:hint="eastAsia"/>
          <w:bCs/>
          <w:sz w:val="24"/>
          <w:szCs w:val="24"/>
          <w:lang w:eastAsia="zh-CN"/>
        </w:rPr>
        <w:t>周环比回升0.7%，中国出口集装箱运价指数（CCFI）上行1.72%</w:t>
      </w:r>
      <w:r w:rsidR="003B19EF" w:rsidRPr="003B19EF">
        <w:rPr>
          <w:rFonts w:ascii="华文楷体" w:hAnsi="华文楷体" w:hint="eastAsia"/>
          <w:bCs/>
          <w:sz w:val="24"/>
          <w:szCs w:val="24"/>
          <w:lang w:eastAsia="zh-CN"/>
        </w:rPr>
        <w:t>。</w:t>
      </w:r>
      <w:r w:rsidR="001F098C">
        <w:rPr>
          <w:rFonts w:ascii="华文楷体" w:hAnsi="华文楷体" w:hint="eastAsia"/>
          <w:bCs/>
          <w:sz w:val="24"/>
          <w:szCs w:val="24"/>
          <w:lang w:eastAsia="zh-CN"/>
        </w:rPr>
        <w:t>进口方面，</w:t>
      </w:r>
      <w:r w:rsidR="002B1530" w:rsidRPr="002B1530">
        <w:rPr>
          <w:rFonts w:ascii="华文楷体" w:hAnsi="华文楷体" w:hint="eastAsia"/>
          <w:bCs/>
          <w:sz w:val="24"/>
          <w:szCs w:val="24"/>
          <w:lang w:eastAsia="zh-CN"/>
        </w:rPr>
        <w:t>波罗的海干散货</w:t>
      </w:r>
      <w:proofErr w:type="gramStart"/>
      <w:r w:rsidR="002B1530" w:rsidRPr="002B1530">
        <w:rPr>
          <w:rFonts w:ascii="华文楷体" w:hAnsi="华文楷体" w:hint="eastAsia"/>
          <w:bCs/>
          <w:sz w:val="24"/>
          <w:szCs w:val="24"/>
          <w:lang w:eastAsia="zh-CN"/>
        </w:rPr>
        <w:t>指数环</w:t>
      </w:r>
      <w:proofErr w:type="gramEnd"/>
      <w:r w:rsidR="002B1530" w:rsidRPr="002B1530">
        <w:rPr>
          <w:rFonts w:ascii="华文楷体" w:hAnsi="华文楷体" w:hint="eastAsia"/>
          <w:bCs/>
          <w:sz w:val="24"/>
          <w:szCs w:val="24"/>
          <w:lang w:eastAsia="zh-CN"/>
        </w:rPr>
        <w:t>比下行3.53%，中国进口干散货运价</w:t>
      </w:r>
      <w:proofErr w:type="gramStart"/>
      <w:r w:rsidR="002B1530" w:rsidRPr="002B1530">
        <w:rPr>
          <w:rFonts w:ascii="华文楷体" w:hAnsi="华文楷体" w:hint="eastAsia"/>
          <w:bCs/>
          <w:sz w:val="24"/>
          <w:szCs w:val="24"/>
          <w:lang w:eastAsia="zh-CN"/>
        </w:rPr>
        <w:t>指数环</w:t>
      </w:r>
      <w:proofErr w:type="gramEnd"/>
      <w:r w:rsidR="002B1530" w:rsidRPr="002B1530">
        <w:rPr>
          <w:rFonts w:ascii="华文楷体" w:hAnsi="华文楷体" w:hint="eastAsia"/>
          <w:bCs/>
          <w:sz w:val="24"/>
          <w:szCs w:val="24"/>
          <w:lang w:eastAsia="zh-CN"/>
        </w:rPr>
        <w:t>比回落2%。</w:t>
      </w:r>
    </w:p>
    <w:p w14:paraId="50CC8233" w14:textId="46506F6E" w:rsidR="00065754" w:rsidRDefault="00E34B22" w:rsidP="00153A65">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E5436" w:rsidRPr="00AE5436">
        <w:rPr>
          <w:rFonts w:ascii="华文楷体" w:hAnsi="华文楷体" w:hint="eastAsia"/>
          <w:bCs/>
          <w:sz w:val="24"/>
          <w:szCs w:val="24"/>
          <w:lang w:eastAsia="zh-CN"/>
        </w:rPr>
        <w:t>食品价格方面，</w:t>
      </w:r>
      <w:r w:rsidR="002B1530">
        <w:rPr>
          <w:rFonts w:ascii="华文楷体" w:hAnsi="华文楷体" w:hint="eastAsia"/>
          <w:bCs/>
          <w:sz w:val="24"/>
          <w:szCs w:val="24"/>
          <w:lang w:eastAsia="zh-CN"/>
        </w:rPr>
        <w:t>猪肉</w:t>
      </w:r>
      <w:r w:rsidR="002B1530" w:rsidRPr="002B1530">
        <w:rPr>
          <w:rFonts w:ascii="华文楷体" w:hAnsi="华文楷体" w:hint="eastAsia"/>
          <w:bCs/>
          <w:sz w:val="24"/>
          <w:szCs w:val="24"/>
          <w:lang w:eastAsia="zh-CN"/>
        </w:rPr>
        <w:t>全国平均批发价</w:t>
      </w:r>
      <w:r w:rsidR="007E213A">
        <w:rPr>
          <w:rFonts w:ascii="华文楷体" w:hAnsi="华文楷体" w:hint="eastAsia"/>
          <w:bCs/>
          <w:sz w:val="24"/>
          <w:szCs w:val="24"/>
          <w:lang w:eastAsia="zh-CN"/>
        </w:rPr>
        <w:t>为</w:t>
      </w:r>
      <w:r w:rsidR="002B1530" w:rsidRPr="002B1530">
        <w:rPr>
          <w:rFonts w:ascii="华文楷体" w:hAnsi="华文楷体" w:hint="eastAsia"/>
          <w:bCs/>
          <w:sz w:val="24"/>
          <w:szCs w:val="24"/>
          <w:lang w:eastAsia="zh-CN"/>
        </w:rPr>
        <w:t>22.43元/公斤，环比下跌1.02%</w:t>
      </w:r>
      <w:r w:rsidR="002B1530">
        <w:rPr>
          <w:rFonts w:ascii="华文楷体" w:hAnsi="华文楷体" w:hint="eastAsia"/>
          <w:bCs/>
          <w:sz w:val="24"/>
          <w:szCs w:val="24"/>
          <w:lang w:eastAsia="zh-CN"/>
        </w:rPr>
        <w:t>，周内</w:t>
      </w:r>
      <w:r w:rsidR="002B1530" w:rsidRPr="002B1530">
        <w:rPr>
          <w:rFonts w:ascii="华文楷体" w:hAnsi="华文楷体" w:hint="eastAsia"/>
          <w:bCs/>
          <w:sz w:val="24"/>
          <w:szCs w:val="24"/>
          <w:lang w:eastAsia="zh-CN"/>
        </w:rPr>
        <w:t>窄幅震荡。农产品和菜篮子批发价格200指数分别下降0.97%和1.12%</w:t>
      </w:r>
      <w:r w:rsidR="00D3254A" w:rsidRPr="00D3254A">
        <w:rPr>
          <w:rFonts w:ascii="华文楷体" w:hAnsi="华文楷体" w:hint="eastAsia"/>
          <w:bCs/>
          <w:sz w:val="24"/>
          <w:szCs w:val="24"/>
          <w:lang w:eastAsia="zh-CN"/>
        </w:rPr>
        <w:t>。</w:t>
      </w:r>
      <w:r w:rsidR="003B19EF" w:rsidRPr="003B19EF">
        <w:rPr>
          <w:rFonts w:ascii="华文楷体" w:hAnsi="华文楷体" w:hint="eastAsia"/>
          <w:bCs/>
          <w:sz w:val="24"/>
          <w:szCs w:val="24"/>
          <w:lang w:eastAsia="zh-CN"/>
        </w:rPr>
        <w:t>工业品价格方面，</w:t>
      </w:r>
      <w:proofErr w:type="spellStart"/>
      <w:r w:rsidR="002B1530" w:rsidRPr="002B1530">
        <w:rPr>
          <w:rFonts w:ascii="华文楷体" w:hAnsi="华文楷体" w:hint="eastAsia"/>
          <w:bCs/>
          <w:sz w:val="24"/>
          <w:szCs w:val="24"/>
          <w:lang w:eastAsia="zh-CN"/>
        </w:rPr>
        <w:t>Myspic</w:t>
      </w:r>
      <w:proofErr w:type="spellEnd"/>
      <w:r w:rsidR="002B1530" w:rsidRPr="002B1530">
        <w:rPr>
          <w:rFonts w:ascii="华文楷体" w:hAnsi="华文楷体" w:hint="eastAsia"/>
          <w:bCs/>
          <w:sz w:val="24"/>
          <w:szCs w:val="24"/>
          <w:lang w:eastAsia="zh-CN"/>
        </w:rPr>
        <w:t>综合全国钢铁价格指数上行1.78%，主要钢材品种价格环比上涨1-2%。按品种看，螺纹钢、热卷、高线价格分别上涨1.8%、2.4%、1.3%；库存方面，主要钢材继续累库，库存环比上行2%，其中螺纹钢、热卷、线材库存分别上升3.1%、0.4%、0.8%。</w:t>
      </w:r>
    </w:p>
    <w:p w14:paraId="3425BC76" w14:textId="5106ED11" w:rsidR="00095AFC" w:rsidRDefault="00DC2C5F" w:rsidP="00153A65">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消费</w:t>
      </w:r>
      <w:r w:rsidR="008D4119" w:rsidRPr="008D4119">
        <w:rPr>
          <w:rFonts w:ascii="华文楷体" w:hAnsi="华文楷体" w:hint="eastAsia"/>
          <w:b/>
          <w:bCs/>
          <w:sz w:val="24"/>
          <w:szCs w:val="24"/>
          <w:lang w:eastAsia="zh-CN"/>
        </w:rPr>
        <w:t>：</w:t>
      </w:r>
      <w:bookmarkStart w:id="1" w:name="_Hlk21205334"/>
      <w:r w:rsidR="00AE5690" w:rsidRPr="00AE5690">
        <w:rPr>
          <w:rFonts w:ascii="华文楷体" w:hAnsi="华文楷体" w:hint="eastAsia"/>
          <w:bCs/>
          <w:sz w:val="24"/>
          <w:szCs w:val="24"/>
          <w:lang w:eastAsia="zh-CN"/>
        </w:rPr>
        <w:t>乘联会最新数据显示，</w:t>
      </w:r>
      <w:r w:rsidR="002B1530" w:rsidRPr="002B1530">
        <w:rPr>
          <w:rFonts w:ascii="华文楷体" w:hAnsi="华文楷体" w:hint="eastAsia"/>
          <w:bCs/>
          <w:sz w:val="24"/>
          <w:szCs w:val="24"/>
          <w:lang w:eastAsia="zh-CN"/>
        </w:rPr>
        <w:t>日均零售在7.5万辆左右，环比5月下滑7%，同比下降10%</w:t>
      </w:r>
      <w:r w:rsidR="00D3254A" w:rsidRPr="00D3254A">
        <w:rPr>
          <w:rFonts w:ascii="华文楷体" w:hAnsi="华文楷体" w:hint="eastAsia"/>
          <w:bCs/>
          <w:sz w:val="24"/>
          <w:szCs w:val="24"/>
          <w:lang w:eastAsia="zh-CN"/>
        </w:rPr>
        <w:t>。</w:t>
      </w:r>
      <w:r w:rsidR="00D3254A" w:rsidRPr="00D3254A">
        <w:rPr>
          <w:rFonts w:ascii="华文楷体" w:hAnsi="华文楷体" w:hint="eastAsia"/>
          <w:bCs/>
          <w:sz w:val="24"/>
          <w:szCs w:val="24"/>
          <w:lang w:eastAsia="zh-CN"/>
        </w:rPr>
        <w:lastRenderedPageBreak/>
        <w:t>批发方面，</w:t>
      </w:r>
      <w:bookmarkStart w:id="2" w:name="_GoBack"/>
      <w:bookmarkEnd w:id="2"/>
      <w:r w:rsidR="00700A52" w:rsidRPr="002B1530">
        <w:rPr>
          <w:rFonts w:ascii="华文楷体" w:hAnsi="华文楷体" w:hint="eastAsia"/>
          <w:bCs/>
          <w:sz w:val="24"/>
          <w:szCs w:val="24"/>
          <w:lang w:eastAsia="zh-CN"/>
        </w:rPr>
        <w:t xml:space="preserve"> </w:t>
      </w:r>
      <w:r w:rsidR="002B1530" w:rsidRPr="002B1530">
        <w:rPr>
          <w:rFonts w:ascii="华文楷体" w:hAnsi="华文楷体" w:hint="eastAsia"/>
          <w:bCs/>
          <w:sz w:val="24"/>
          <w:szCs w:val="24"/>
          <w:lang w:eastAsia="zh-CN"/>
        </w:rPr>
        <w:t>6月下旬主要厂商批发销量为日均7.96万辆，环比增长9%，同比微增3%；全月批发销量同比降6%，环比降15%</w:t>
      </w:r>
      <w:r w:rsidR="005E049B">
        <w:rPr>
          <w:rFonts w:ascii="华文楷体" w:hAnsi="华文楷体" w:hint="eastAsia"/>
          <w:bCs/>
          <w:sz w:val="24"/>
          <w:szCs w:val="24"/>
          <w:lang w:eastAsia="zh-CN"/>
        </w:rPr>
        <w:t>。</w:t>
      </w:r>
    </w:p>
    <w:p w14:paraId="6C0621FD" w14:textId="16CF9D7D" w:rsidR="00DC2C5F" w:rsidRPr="00EB6DED" w:rsidRDefault="00DC2C5F" w:rsidP="00153A65">
      <w:pPr>
        <w:pStyle w:val="Body-text"/>
        <w:ind w:firstLineChars="200" w:firstLine="480"/>
        <w:rPr>
          <w:rFonts w:ascii="华文楷体" w:hAnsi="华文楷体"/>
          <w:bCs/>
          <w:sz w:val="24"/>
          <w:szCs w:val="24"/>
          <w:lang w:eastAsia="zh-CN"/>
        </w:rPr>
      </w:pPr>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2B1530" w:rsidRPr="002B1530">
        <w:rPr>
          <w:rFonts w:ascii="华文楷体" w:hAnsi="华文楷体" w:hint="eastAsia"/>
          <w:bCs/>
          <w:sz w:val="24"/>
          <w:szCs w:val="24"/>
          <w:lang w:eastAsia="zh-CN"/>
        </w:rPr>
        <w:t>布伦</w:t>
      </w:r>
      <w:proofErr w:type="gramStart"/>
      <w:r w:rsidR="002B1530" w:rsidRPr="002B1530">
        <w:rPr>
          <w:rFonts w:ascii="华文楷体" w:hAnsi="华文楷体" w:hint="eastAsia"/>
          <w:bCs/>
          <w:sz w:val="24"/>
          <w:szCs w:val="24"/>
          <w:lang w:eastAsia="zh-CN"/>
        </w:rPr>
        <w:t>特</w:t>
      </w:r>
      <w:proofErr w:type="gramEnd"/>
      <w:r w:rsidR="002B1530" w:rsidRPr="002B1530">
        <w:rPr>
          <w:rFonts w:ascii="华文楷体" w:hAnsi="华文楷体" w:hint="eastAsia"/>
          <w:bCs/>
          <w:sz w:val="24"/>
          <w:szCs w:val="24"/>
          <w:lang w:eastAsia="zh-CN"/>
        </w:rPr>
        <w:t>原油环比上</w:t>
      </w:r>
      <w:r w:rsidR="007E213A">
        <w:rPr>
          <w:rFonts w:ascii="华文楷体" w:hAnsi="华文楷体" w:hint="eastAsia"/>
          <w:bCs/>
          <w:sz w:val="24"/>
          <w:szCs w:val="24"/>
          <w:lang w:eastAsia="zh-CN"/>
        </w:rPr>
        <w:t>一</w:t>
      </w:r>
      <w:r w:rsidR="002B1530" w:rsidRPr="002B1530">
        <w:rPr>
          <w:rFonts w:ascii="华文楷体" w:hAnsi="华文楷体" w:hint="eastAsia"/>
          <w:bCs/>
          <w:sz w:val="24"/>
          <w:szCs w:val="24"/>
          <w:lang w:eastAsia="zh-CN"/>
        </w:rPr>
        <w:t>周五跌0.81%至75.55美元/桶；WTI原油价格回落0.8%至74.56美元/桶</w:t>
      </w:r>
      <w:r w:rsidR="005E049B" w:rsidRPr="005E049B">
        <w:rPr>
          <w:rFonts w:ascii="华文楷体" w:hAnsi="华文楷体" w:hint="eastAsia"/>
          <w:bCs/>
          <w:sz w:val="24"/>
          <w:szCs w:val="24"/>
          <w:lang w:eastAsia="zh-CN"/>
        </w:rPr>
        <w:t>。</w:t>
      </w:r>
    </w:p>
    <w:p w14:paraId="35D3E229" w14:textId="6F56A13D" w:rsidR="00DA6262" w:rsidRDefault="00A058AB" w:rsidP="00F07541">
      <w:pPr>
        <w:pStyle w:val="Body-text"/>
        <w:ind w:firstLineChars="200" w:firstLine="480"/>
        <w:rPr>
          <w:rFonts w:ascii="Helvetica" w:hAnsi="Helvetica"/>
          <w:color w:val="000000"/>
          <w:spacing w:val="8"/>
          <w:sz w:val="23"/>
          <w:szCs w:val="23"/>
          <w:shd w:val="clear" w:color="auto" w:fill="FFFFFF"/>
          <w:lang w:eastAsia="zh-CN"/>
        </w:rPr>
      </w:pPr>
      <w:r w:rsidRPr="00C866C2">
        <w:rPr>
          <w:rFonts w:ascii="华文楷体" w:hAnsi="华文楷体" w:hint="eastAsia"/>
          <w:b/>
          <w:bCs/>
          <w:sz w:val="24"/>
          <w:szCs w:val="24"/>
          <w:lang w:eastAsia="zh-CN"/>
        </w:rPr>
        <w:t>下周</w:t>
      </w:r>
      <w:r>
        <w:rPr>
          <w:rFonts w:ascii="华文楷体" w:hAnsi="华文楷体" w:hint="eastAsia"/>
          <w:b/>
          <w:bCs/>
          <w:sz w:val="24"/>
          <w:szCs w:val="24"/>
          <w:lang w:eastAsia="zh-CN"/>
        </w:rPr>
        <w:t>关注</w:t>
      </w:r>
      <w:r>
        <w:rPr>
          <w:rFonts w:ascii="华文楷体" w:hAnsi="华文楷体" w:hint="eastAsia"/>
          <w:bCs/>
          <w:sz w:val="24"/>
          <w:szCs w:val="24"/>
          <w:lang w:eastAsia="zh-CN"/>
        </w:rPr>
        <w:t>：</w:t>
      </w:r>
      <w:r w:rsidR="002A7950" w:rsidRPr="002A7950">
        <w:rPr>
          <w:rFonts w:ascii="华文楷体" w:hAnsi="华文楷体" w:hint="eastAsia"/>
          <w:sz w:val="24"/>
          <w:szCs w:val="24"/>
          <w:lang w:eastAsia="zh-CN"/>
        </w:rPr>
        <w:t>6月地产数据，6月发电量数据，6月工业增加值和固定资产投资数据，二季度GDP。</w:t>
      </w:r>
    </w:p>
    <w:p w14:paraId="45E291AF" w14:textId="77777777" w:rsidR="006E7D2B" w:rsidRPr="006E7D2B" w:rsidRDefault="006E7D2B" w:rsidP="00F07541">
      <w:pPr>
        <w:pStyle w:val="Body-text"/>
        <w:ind w:firstLineChars="200" w:firstLine="480"/>
        <w:rPr>
          <w:rFonts w:ascii="华文楷体" w:hAnsi="华文楷体"/>
          <w:bCs/>
          <w:sz w:val="24"/>
          <w:szCs w:val="24"/>
          <w:lang w:eastAsia="zh-CN"/>
        </w:rPr>
      </w:pPr>
    </w:p>
    <w:bookmarkEnd w:id="1"/>
    <w:p w14:paraId="07860EC8" w14:textId="41BD2FBB"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8125E2">
        <w:rPr>
          <w:rFonts w:hint="eastAsia"/>
          <w:sz w:val="28"/>
          <w:szCs w:val="21"/>
          <w:lang w:eastAsia="zh-CN"/>
        </w:rPr>
        <w:t>下周</w:t>
      </w:r>
      <w:r w:rsidR="00E0626C">
        <w:rPr>
          <w:rFonts w:hint="eastAsia"/>
          <w:sz w:val="28"/>
          <w:szCs w:val="21"/>
          <w:lang w:eastAsia="zh-CN"/>
        </w:rPr>
        <w:t>债市</w:t>
      </w:r>
      <w:r w:rsidR="00EE070C">
        <w:rPr>
          <w:rFonts w:hint="eastAsia"/>
          <w:sz w:val="28"/>
          <w:szCs w:val="21"/>
          <w:lang w:eastAsia="zh-CN"/>
        </w:rPr>
        <w:t>判断</w:t>
      </w:r>
    </w:p>
    <w:p w14:paraId="24E697A5" w14:textId="74C844C6" w:rsidR="00854194" w:rsidRPr="00CD3C43"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854194">
        <w:rPr>
          <w:rFonts w:ascii="华文楷体" w:hAnsi="华文楷体" w:hint="eastAsia"/>
          <w:sz w:val="24"/>
          <w:szCs w:val="24"/>
          <w:lang w:eastAsia="zh-CN"/>
        </w:rPr>
        <w:t>利率债：</w:t>
      </w:r>
      <w:r w:rsidR="002A7950" w:rsidRPr="002A7950">
        <w:rPr>
          <w:rFonts w:ascii="华文楷体" w:hAnsi="华文楷体" w:hint="eastAsia"/>
          <w:sz w:val="24"/>
          <w:szCs w:val="24"/>
          <w:lang w:eastAsia="zh-CN"/>
        </w:rPr>
        <w:t>受上周国常会和央行政策调控影响，近期市场波动适度加大。上周公布的金融数据，</w:t>
      </w:r>
      <w:proofErr w:type="gramStart"/>
      <w:r w:rsidR="002A7950" w:rsidRPr="002A7950">
        <w:rPr>
          <w:rFonts w:ascii="华文楷体" w:hAnsi="华文楷体" w:hint="eastAsia"/>
          <w:sz w:val="24"/>
          <w:szCs w:val="24"/>
          <w:lang w:eastAsia="zh-CN"/>
        </w:rPr>
        <w:t>社融增速超</w:t>
      </w:r>
      <w:proofErr w:type="gramEnd"/>
      <w:r w:rsidR="002A7950" w:rsidRPr="002A7950">
        <w:rPr>
          <w:rFonts w:ascii="华文楷体" w:hAnsi="华文楷体" w:hint="eastAsia"/>
          <w:sz w:val="24"/>
          <w:szCs w:val="24"/>
          <w:lang w:eastAsia="zh-CN"/>
        </w:rPr>
        <w:t>预期走高，但伴随央行</w:t>
      </w:r>
      <w:proofErr w:type="gramStart"/>
      <w:r w:rsidR="002A7950" w:rsidRPr="002A7950">
        <w:rPr>
          <w:rFonts w:ascii="华文楷体" w:hAnsi="华文楷体" w:hint="eastAsia"/>
          <w:sz w:val="24"/>
          <w:szCs w:val="24"/>
          <w:lang w:eastAsia="zh-CN"/>
        </w:rPr>
        <w:t>全面降准</w:t>
      </w:r>
      <w:proofErr w:type="gramEnd"/>
      <w:r w:rsidR="002A7950" w:rsidRPr="002A7950">
        <w:rPr>
          <w:rFonts w:ascii="华文楷体" w:hAnsi="华文楷体" w:hint="eastAsia"/>
          <w:sz w:val="24"/>
          <w:szCs w:val="24"/>
          <w:lang w:eastAsia="zh-CN"/>
        </w:rPr>
        <w:t>0.5%政策落地，债券市场情绪全面调整。从央行的表述看，此次</w:t>
      </w:r>
      <w:proofErr w:type="gramStart"/>
      <w:r w:rsidR="002A7950" w:rsidRPr="002A7950">
        <w:rPr>
          <w:rFonts w:ascii="华文楷体" w:hAnsi="华文楷体" w:hint="eastAsia"/>
          <w:sz w:val="24"/>
          <w:szCs w:val="24"/>
          <w:lang w:eastAsia="zh-CN"/>
        </w:rPr>
        <w:t>降准主要</w:t>
      </w:r>
      <w:proofErr w:type="gramEnd"/>
      <w:r w:rsidR="002A7950" w:rsidRPr="002A7950">
        <w:rPr>
          <w:rFonts w:ascii="华文楷体" w:hAnsi="华文楷体" w:hint="eastAsia"/>
          <w:sz w:val="24"/>
          <w:szCs w:val="24"/>
          <w:lang w:eastAsia="zh-CN"/>
        </w:rPr>
        <w:t>考虑三个方面优化金融机构的资金结构，提升金融服务能力，更好支持实体经济。央行在答记者问中表示，稳健货币政策取向没有改变。此次降准是货币政策回归常态后的常规操作，释放的一部分资金将被金融机构用于归还到期的MLF，还有一部分资金用于弥补7月中下旬税期高</w:t>
      </w:r>
      <w:r w:rsidR="002A7950">
        <w:rPr>
          <w:rFonts w:ascii="华文楷体" w:hAnsi="华文楷体" w:hint="eastAsia"/>
          <w:sz w:val="24"/>
          <w:szCs w:val="24"/>
          <w:lang w:eastAsia="zh-CN"/>
        </w:rPr>
        <w:t>峰带来的流动性缺口。债市方面，受</w:t>
      </w:r>
      <w:proofErr w:type="gramStart"/>
      <w:r w:rsidR="002A7950">
        <w:rPr>
          <w:rFonts w:ascii="华文楷体" w:hAnsi="华文楷体" w:hint="eastAsia"/>
          <w:sz w:val="24"/>
          <w:szCs w:val="24"/>
          <w:lang w:eastAsia="zh-CN"/>
        </w:rPr>
        <w:t>央行降准落地</w:t>
      </w:r>
      <w:proofErr w:type="gramEnd"/>
      <w:r w:rsidR="002A7950">
        <w:rPr>
          <w:rFonts w:ascii="华文楷体" w:hAnsi="华文楷体" w:hint="eastAsia"/>
          <w:sz w:val="24"/>
          <w:szCs w:val="24"/>
          <w:lang w:eastAsia="zh-CN"/>
        </w:rPr>
        <w:t>影响，短期内利率债博弈做多情绪</w:t>
      </w:r>
      <w:r w:rsidR="002A7950" w:rsidRPr="002A7950">
        <w:rPr>
          <w:rFonts w:ascii="华文楷体" w:hAnsi="华文楷体" w:hint="eastAsia"/>
          <w:sz w:val="24"/>
          <w:szCs w:val="24"/>
          <w:lang w:eastAsia="zh-CN"/>
        </w:rPr>
        <w:t>较强劲</w:t>
      </w:r>
      <w:r w:rsidR="00FD739E" w:rsidRPr="00FD739E">
        <w:rPr>
          <w:rFonts w:ascii="华文楷体" w:hAnsi="华文楷体" w:hint="eastAsia"/>
          <w:sz w:val="24"/>
          <w:szCs w:val="24"/>
          <w:lang w:eastAsia="zh-CN"/>
        </w:rPr>
        <w:t>。</w:t>
      </w:r>
    </w:p>
    <w:p w14:paraId="484E2711" w14:textId="41163FB0" w:rsidR="00FD739E" w:rsidRDefault="00C505BD" w:rsidP="00FD739E">
      <w:pPr>
        <w:pStyle w:val="Body-text"/>
        <w:spacing w:after="240"/>
        <w:ind w:firstLineChars="200" w:firstLine="480"/>
        <w:rPr>
          <w:rFonts w:ascii="华文楷体" w:hAnsi="华文楷体"/>
          <w:sz w:val="24"/>
          <w:szCs w:val="24"/>
          <w:lang w:eastAsia="zh-CN"/>
        </w:rPr>
      </w:pPr>
      <w:r w:rsidRPr="00C505BD">
        <w:rPr>
          <w:rFonts w:ascii="华文楷体" w:hAnsi="华文楷体" w:hint="eastAsia"/>
          <w:sz w:val="24"/>
          <w:szCs w:val="24"/>
          <w:lang w:eastAsia="zh-CN"/>
        </w:rPr>
        <w:t>信用</w:t>
      </w:r>
      <w:r>
        <w:rPr>
          <w:rFonts w:ascii="华文楷体" w:hAnsi="华文楷体" w:hint="eastAsia"/>
          <w:sz w:val="24"/>
          <w:szCs w:val="24"/>
          <w:lang w:eastAsia="zh-CN"/>
        </w:rPr>
        <w:t>债：</w:t>
      </w:r>
      <w:r w:rsidR="002A7950" w:rsidRPr="002A7950">
        <w:rPr>
          <w:rFonts w:ascii="华文楷体" w:hAnsi="华文楷体" w:hint="eastAsia"/>
          <w:sz w:val="24"/>
          <w:szCs w:val="24"/>
          <w:lang w:eastAsia="zh-CN"/>
        </w:rPr>
        <w:t>信用</w:t>
      </w:r>
      <w:proofErr w:type="gramStart"/>
      <w:r w:rsidR="002A7950" w:rsidRPr="002A7950">
        <w:rPr>
          <w:rFonts w:ascii="华文楷体" w:hAnsi="华文楷体" w:hint="eastAsia"/>
          <w:sz w:val="24"/>
          <w:szCs w:val="24"/>
          <w:lang w:eastAsia="zh-CN"/>
        </w:rPr>
        <w:t>债关注</w:t>
      </w:r>
      <w:proofErr w:type="gramEnd"/>
      <w:r w:rsidR="002A7950" w:rsidRPr="002A7950">
        <w:rPr>
          <w:rFonts w:ascii="华文楷体" w:hAnsi="华文楷体" w:hint="eastAsia"/>
          <w:sz w:val="24"/>
          <w:szCs w:val="24"/>
          <w:lang w:eastAsia="zh-CN"/>
        </w:rPr>
        <w:t>周末银保监会关于隐性债务的新文件，新文件明确了违规</w:t>
      </w:r>
      <w:proofErr w:type="gramStart"/>
      <w:r w:rsidR="002A7950" w:rsidRPr="002A7950">
        <w:rPr>
          <w:rFonts w:ascii="华文楷体" w:hAnsi="华文楷体" w:hint="eastAsia"/>
          <w:sz w:val="24"/>
          <w:szCs w:val="24"/>
          <w:lang w:eastAsia="zh-CN"/>
        </w:rPr>
        <w:t>新增隐债的</w:t>
      </w:r>
      <w:proofErr w:type="gramEnd"/>
      <w:r w:rsidR="002A7950" w:rsidRPr="002A7950">
        <w:rPr>
          <w:rFonts w:ascii="华文楷体" w:hAnsi="华文楷体" w:hint="eastAsia"/>
          <w:sz w:val="24"/>
          <w:szCs w:val="24"/>
          <w:lang w:eastAsia="zh-CN"/>
        </w:rPr>
        <w:t>8个方面，并且对涉及隐性债务的平台的</w:t>
      </w:r>
      <w:proofErr w:type="gramStart"/>
      <w:r w:rsidR="002A7950" w:rsidRPr="002A7950">
        <w:rPr>
          <w:rFonts w:ascii="华文楷体" w:hAnsi="华文楷体" w:hint="eastAsia"/>
          <w:sz w:val="24"/>
          <w:szCs w:val="24"/>
          <w:lang w:eastAsia="zh-CN"/>
        </w:rPr>
        <w:t>新增流贷进行</w:t>
      </w:r>
      <w:proofErr w:type="gramEnd"/>
      <w:r w:rsidR="002A7950" w:rsidRPr="002A7950">
        <w:rPr>
          <w:rFonts w:ascii="华文楷体" w:hAnsi="华文楷体" w:hint="eastAsia"/>
          <w:sz w:val="24"/>
          <w:szCs w:val="24"/>
          <w:lang w:eastAsia="zh-CN"/>
        </w:rPr>
        <w:t>管控，对存量债务的化解方案进行了细化和指导。部分敏感区域可能受政策影响，面临一定调整压力。</w:t>
      </w:r>
    </w:p>
    <w:p w14:paraId="4C893BAE" w14:textId="0CE1795D" w:rsidR="00983C71" w:rsidRPr="00FD739E" w:rsidRDefault="00C505BD" w:rsidP="00FD739E">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可转债：</w:t>
      </w:r>
      <w:r w:rsidR="002A7950" w:rsidRPr="002A7950">
        <w:rPr>
          <w:rFonts w:ascii="华文楷体" w:hAnsi="华文楷体" w:hint="eastAsia"/>
          <w:sz w:val="24"/>
          <w:szCs w:val="24"/>
        </w:rPr>
        <w:t>权益市场情绪一般，转债表现相对略好于权益。优选中报高景气与转债性价比兼具的存量品种。对可能赎回的高价券及时止盈，板块间平衡配置，聚焦中报。</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69AAB729" w:rsidR="001D35B3" w:rsidRPr="006A5F34" w:rsidRDefault="001D35B3" w:rsidP="001858A9">
            <w:pPr>
              <w:pStyle w:val="ChartHeading"/>
              <w:jc w:val="both"/>
            </w:pPr>
            <w:r w:rsidRPr="006A5F34">
              <w:rPr>
                <w:rFonts w:hint="eastAsia"/>
              </w:rPr>
              <w:t>图表</w:t>
            </w:r>
            <w:r w:rsidRPr="006A5F34">
              <w:t>.</w:t>
            </w:r>
            <w:r w:rsidR="00FF26B0">
              <w:rPr>
                <w:rFonts w:hint="eastAsia"/>
              </w:rPr>
              <w:t xml:space="preserve"> </w:t>
            </w:r>
            <w:r w:rsidR="00FF26B0">
              <w:rPr>
                <w:rFonts w:hint="eastAsia"/>
              </w:rPr>
              <w:t>南华工业品指数</w:t>
            </w:r>
            <w:r w:rsidR="00752E9D">
              <w:rPr>
                <w:rFonts w:hint="eastAsia"/>
              </w:rPr>
              <w:t>震荡走势为主</w:t>
            </w:r>
          </w:p>
        </w:tc>
        <w:tc>
          <w:tcPr>
            <w:tcW w:w="4938" w:type="dxa"/>
            <w:vAlign w:val="center"/>
          </w:tcPr>
          <w:p w14:paraId="02A10F26" w14:textId="6D2F1475"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203843">
              <w:rPr>
                <w:rFonts w:hint="eastAsia"/>
              </w:rPr>
              <w:t>持续</w:t>
            </w:r>
            <w:r w:rsidR="00AE643A">
              <w:rPr>
                <w:rFonts w:hint="eastAsia"/>
              </w:rPr>
              <w:t>回调</w:t>
            </w:r>
          </w:p>
        </w:tc>
      </w:tr>
      <w:tr w:rsidR="001D35B3" w:rsidRPr="006A5F34" w14:paraId="205667F1" w14:textId="77777777" w:rsidTr="002A7950">
        <w:tblPrEx>
          <w:tblCellMar>
            <w:left w:w="108" w:type="dxa"/>
            <w:right w:w="108" w:type="dxa"/>
          </w:tblCellMar>
        </w:tblPrEx>
        <w:trPr>
          <w:jc w:val="center"/>
        </w:trPr>
        <w:tc>
          <w:tcPr>
            <w:tcW w:w="4939" w:type="dxa"/>
            <w:vAlign w:val="center"/>
          </w:tcPr>
          <w:p w14:paraId="56C782C2" w14:textId="2B93ECF0" w:rsidR="001D35B3" w:rsidRPr="007E0340" w:rsidRDefault="002A7950" w:rsidP="009A2BA0">
            <w:pPr>
              <w:jc w:val="center"/>
              <w:rPr>
                <w:noProof/>
              </w:rPr>
            </w:pPr>
            <w:r>
              <w:rPr>
                <w:noProof/>
              </w:rPr>
              <w:drawing>
                <wp:inline distT="0" distB="0" distL="0" distR="0" wp14:anchorId="64F5702D" wp14:editId="442C8052">
                  <wp:extent cx="2999105" cy="1926158"/>
                  <wp:effectExtent l="0" t="0" r="0" b="0"/>
                  <wp:docPr id="9" name="图表 9">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4938" w:type="dxa"/>
            <w:vAlign w:val="center"/>
          </w:tcPr>
          <w:p w14:paraId="3EF0360D" w14:textId="4C6F7653" w:rsidR="001D35B3" w:rsidRPr="007E0340" w:rsidRDefault="002A7950" w:rsidP="009A2BA0">
            <w:pPr>
              <w:jc w:val="center"/>
              <w:rPr>
                <w:noProof/>
                <w:szCs w:val="18"/>
              </w:rPr>
            </w:pPr>
            <w:r>
              <w:rPr>
                <w:noProof/>
              </w:rPr>
              <w:drawing>
                <wp:inline distT="0" distB="0" distL="0" distR="0" wp14:anchorId="6B1B242B" wp14:editId="181D71D1">
                  <wp:extent cx="2998470" cy="1923999"/>
                  <wp:effectExtent l="0" t="0" r="0" b="635"/>
                  <wp:docPr id="10" name="图表 10">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3D8CDC64" w:rsidR="001D35B3" w:rsidRPr="006A5F34" w:rsidRDefault="001D35B3" w:rsidP="00966A21">
            <w:pPr>
              <w:pStyle w:val="ChartHeading"/>
              <w:jc w:val="both"/>
            </w:pPr>
            <w:r w:rsidRPr="006A5F34">
              <w:rPr>
                <w:rFonts w:hint="eastAsia"/>
              </w:rPr>
              <w:lastRenderedPageBreak/>
              <w:t>图表</w:t>
            </w:r>
            <w:r w:rsidRPr="006A5F34">
              <w:t>.</w:t>
            </w:r>
            <w:r>
              <w:t xml:space="preserve"> </w:t>
            </w:r>
            <w:r w:rsidR="00FF26B0">
              <w:rPr>
                <w:rFonts w:hint="eastAsia"/>
              </w:rPr>
              <w:t>人民币汇率</w:t>
            </w:r>
            <w:r w:rsidR="0060714E">
              <w:rPr>
                <w:rFonts w:hint="eastAsia"/>
              </w:rPr>
              <w:t>持续小幅贬值</w:t>
            </w:r>
          </w:p>
        </w:tc>
        <w:tc>
          <w:tcPr>
            <w:tcW w:w="4938" w:type="dxa"/>
            <w:vAlign w:val="center"/>
          </w:tcPr>
          <w:p w14:paraId="07575C0F" w14:textId="1F52F3D5" w:rsidR="001D35B3" w:rsidRPr="006A5F34" w:rsidRDefault="001D35B3" w:rsidP="00CE0946">
            <w:pPr>
              <w:pStyle w:val="ChartHeading"/>
              <w:jc w:val="both"/>
            </w:pPr>
            <w:r w:rsidRPr="006A5F34">
              <w:rPr>
                <w:rFonts w:hint="eastAsia"/>
              </w:rPr>
              <w:t>图表</w:t>
            </w:r>
            <w:r w:rsidRPr="006A5F34">
              <w:t xml:space="preserve">. </w:t>
            </w:r>
            <w:r w:rsidR="00CE0946">
              <w:rPr>
                <w:rFonts w:hint="eastAsia"/>
              </w:rPr>
              <w:t>猪肉价格</w:t>
            </w:r>
            <w:r w:rsidR="00DE343B">
              <w:rPr>
                <w:rFonts w:hint="eastAsia"/>
              </w:rPr>
              <w:t>持续</w:t>
            </w:r>
            <w:r w:rsidR="003300DB">
              <w:rPr>
                <w:rFonts w:hint="eastAsia"/>
              </w:rPr>
              <w:t>回落</w:t>
            </w:r>
          </w:p>
        </w:tc>
      </w:tr>
      <w:tr w:rsidR="001D35B3" w:rsidRPr="006A5F34" w14:paraId="49BBD33E" w14:textId="77777777" w:rsidTr="002A7950">
        <w:tblPrEx>
          <w:tblCellMar>
            <w:left w:w="108" w:type="dxa"/>
            <w:right w:w="108" w:type="dxa"/>
          </w:tblCellMar>
        </w:tblPrEx>
        <w:trPr>
          <w:trHeight w:val="2987"/>
          <w:jc w:val="center"/>
        </w:trPr>
        <w:tc>
          <w:tcPr>
            <w:tcW w:w="4939" w:type="dxa"/>
            <w:vAlign w:val="center"/>
          </w:tcPr>
          <w:p w14:paraId="0BAC1731" w14:textId="7FCC5BEE" w:rsidR="001D35B3" w:rsidRPr="007E0340" w:rsidRDefault="002A7950" w:rsidP="009A2BA0">
            <w:pPr>
              <w:jc w:val="center"/>
              <w:rPr>
                <w:noProof/>
              </w:rPr>
            </w:pPr>
            <w:r>
              <w:rPr>
                <w:noProof/>
              </w:rPr>
              <w:drawing>
                <wp:inline distT="0" distB="0" distL="0" distR="0" wp14:anchorId="5DEFB0AC" wp14:editId="6639D305">
                  <wp:extent cx="2999105" cy="1920418"/>
                  <wp:effectExtent l="0" t="0" r="10795" b="3810"/>
                  <wp:docPr id="11" name="图表 11">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18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938" w:type="dxa"/>
            <w:vAlign w:val="center"/>
          </w:tcPr>
          <w:p w14:paraId="64025D22" w14:textId="1B782676" w:rsidR="001D35B3" w:rsidRPr="007E0340" w:rsidRDefault="002A7950" w:rsidP="009A2BA0">
            <w:pPr>
              <w:jc w:val="center"/>
              <w:rPr>
                <w:noProof/>
                <w:szCs w:val="18"/>
              </w:rPr>
            </w:pPr>
            <w:r>
              <w:rPr>
                <w:noProof/>
              </w:rPr>
              <w:drawing>
                <wp:inline distT="0" distB="0" distL="0" distR="0" wp14:anchorId="6B6842A0" wp14:editId="40E5D9B2">
                  <wp:extent cx="2998470" cy="1942922"/>
                  <wp:effectExtent l="0" t="0" r="0" b="635"/>
                  <wp:docPr id="21" name="图表 21">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1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63198F1D" w:rsidR="00594303" w:rsidRDefault="00594303" w:rsidP="009A2BA0">
      <w:pPr>
        <w:pStyle w:val="Body-text"/>
        <w:spacing w:after="0"/>
        <w:rPr>
          <w:rFonts w:ascii="华文楷体" w:hAnsi="华文楷体"/>
          <w:sz w:val="24"/>
          <w:szCs w:val="24"/>
          <w:lang w:eastAsia="zh-CN"/>
        </w:rPr>
      </w:pPr>
    </w:p>
    <w:p w14:paraId="0F992FCB" w14:textId="77777777" w:rsidR="007E213A" w:rsidRDefault="007E213A" w:rsidP="009A2BA0">
      <w:pPr>
        <w:pStyle w:val="Body-text"/>
        <w:spacing w:after="0"/>
        <w:rPr>
          <w:rFonts w:ascii="华文楷体" w:hAnsi="华文楷体"/>
          <w:sz w:val="24"/>
          <w:szCs w:val="24"/>
          <w:lang w:eastAsia="zh-CN"/>
        </w:rPr>
      </w:pPr>
    </w:p>
    <w:p w14:paraId="02CB26D6" w14:textId="77777777" w:rsidR="007E213A" w:rsidRDefault="007E213A" w:rsidP="009A2BA0">
      <w:pPr>
        <w:pStyle w:val="Body-text"/>
        <w:spacing w:after="0"/>
        <w:rPr>
          <w:rFonts w:ascii="华文楷体" w:hAnsi="华文楷体"/>
          <w:sz w:val="24"/>
          <w:szCs w:val="24"/>
          <w:lang w:eastAsia="zh-CN"/>
        </w:rPr>
      </w:pPr>
    </w:p>
    <w:p w14:paraId="36DE518D" w14:textId="469D9A09" w:rsidR="001170AF" w:rsidRPr="007E213A" w:rsidRDefault="007E213A" w:rsidP="007E213A">
      <w:pPr>
        <w:widowControl/>
        <w:jc w:val="left"/>
        <w:rPr>
          <w:rFonts w:ascii="华文楷体" w:eastAsia="华文楷体" w:hAnsi="华文楷体"/>
          <w:kern w:val="0"/>
          <w:sz w:val="24"/>
          <w:szCs w:val="24"/>
        </w:rPr>
      </w:pPr>
      <w:r w:rsidRPr="000A5279">
        <w:rPr>
          <w:rFonts w:ascii="微软雅黑" w:eastAsia="微软雅黑" w:hAnsi="微软雅黑" w:hint="eastAsia"/>
          <w:color w:val="474747"/>
          <w:szCs w:val="21"/>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0A5279">
        <w:rPr>
          <w:rFonts w:ascii="微软雅黑" w:eastAsia="微软雅黑" w:hAnsi="微软雅黑" w:hint="eastAsia"/>
          <w:color w:val="474747"/>
          <w:szCs w:val="21"/>
          <w:shd w:val="clear" w:color="auto" w:fill="FFFFFF"/>
        </w:rPr>
        <w:t>作出</w:t>
      </w:r>
      <w:proofErr w:type="gramEnd"/>
      <w:r w:rsidRPr="000A5279">
        <w:rPr>
          <w:rFonts w:ascii="微软雅黑" w:eastAsia="微软雅黑" w:hAnsi="微软雅黑" w:hint="eastAsia"/>
          <w:color w:val="474747"/>
          <w:szCs w:val="21"/>
          <w:shd w:val="clear" w:color="auto" w:fill="FFFFFF"/>
        </w:rPr>
        <w:t>调整。2、本报告中的资料、观点和预测等仅供参考，在任何时候均不构成对任何人的个人推荐。市场有风险，投资需谨慎。</w:t>
      </w:r>
    </w:p>
    <w:sectPr w:rsidR="001170AF" w:rsidRPr="007E213A" w:rsidSect="00AB78C4">
      <w:headerReference w:type="default" r:id="rId19"/>
      <w:footerReference w:type="default" r:id="rId20"/>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577B9B" w14:textId="77777777" w:rsidR="004A19B3" w:rsidRDefault="004A19B3">
      <w:r>
        <w:separator/>
      </w:r>
    </w:p>
  </w:endnote>
  <w:endnote w:type="continuationSeparator" w:id="0">
    <w:p w14:paraId="0EC7B27A" w14:textId="77777777" w:rsidR="004A19B3" w:rsidRDefault="004A19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F46081" w:rsidRDefault="00F46081">
        <w:pPr>
          <w:pStyle w:val="a4"/>
          <w:jc w:val="right"/>
        </w:pPr>
        <w:r>
          <w:fldChar w:fldCharType="begin"/>
        </w:r>
        <w:r>
          <w:instrText>PAGE   \* MERGEFORMAT</w:instrText>
        </w:r>
        <w:r>
          <w:fldChar w:fldCharType="separate"/>
        </w:r>
        <w:r w:rsidR="00700A52" w:rsidRPr="00700A52">
          <w:rPr>
            <w:noProof/>
            <w:lang w:val="zh-CN"/>
          </w:rPr>
          <w:t>5</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60B6515" w14:textId="77777777" w:rsidR="004A19B3" w:rsidRDefault="004A19B3">
      <w:r>
        <w:separator/>
      </w:r>
    </w:p>
  </w:footnote>
  <w:footnote w:type="continuationSeparator" w:id="0">
    <w:p w14:paraId="6DD99BFC" w14:textId="77777777" w:rsidR="004A19B3" w:rsidRDefault="004A19B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F46081" w:rsidRDefault="00F46081"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0E9E65D6"/>
    <w:multiLevelType w:val="multilevel"/>
    <w:tmpl w:val="39BA2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CF21DC7"/>
    <w:multiLevelType w:val="hybridMultilevel"/>
    <w:tmpl w:val="5914BAAE"/>
    <w:lvl w:ilvl="0" w:tplc="F95A8FC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11">
    <w:nsid w:val="273729AD"/>
    <w:multiLevelType w:val="multilevel"/>
    <w:tmpl w:val="2A428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5">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6">
    <w:nsid w:val="39E00319"/>
    <w:multiLevelType w:val="multilevel"/>
    <w:tmpl w:val="278EE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257513A"/>
    <w:multiLevelType w:val="multilevel"/>
    <w:tmpl w:val="D40C5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9">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20">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22">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23">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6">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8">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6"/>
  </w:num>
  <w:num w:numId="7">
    <w:abstractNumId w:val="18"/>
  </w:num>
  <w:num w:numId="8">
    <w:abstractNumId w:val="15"/>
  </w:num>
  <w:num w:numId="9">
    <w:abstractNumId w:val="6"/>
  </w:num>
  <w:num w:numId="10">
    <w:abstractNumId w:val="21"/>
  </w:num>
  <w:num w:numId="11">
    <w:abstractNumId w:val="25"/>
  </w:num>
  <w:num w:numId="12">
    <w:abstractNumId w:val="19"/>
  </w:num>
  <w:num w:numId="13">
    <w:abstractNumId w:val="27"/>
  </w:num>
  <w:num w:numId="14">
    <w:abstractNumId w:val="28"/>
  </w:num>
  <w:num w:numId="15">
    <w:abstractNumId w:val="22"/>
  </w:num>
  <w:num w:numId="16">
    <w:abstractNumId w:val="14"/>
  </w:num>
  <w:num w:numId="17">
    <w:abstractNumId w:val="10"/>
  </w:num>
  <w:num w:numId="18">
    <w:abstractNumId w:val="24"/>
  </w:num>
  <w:num w:numId="19">
    <w:abstractNumId w:val="12"/>
  </w:num>
  <w:num w:numId="20">
    <w:abstractNumId w:val="23"/>
  </w:num>
  <w:num w:numId="21">
    <w:abstractNumId w:val="7"/>
  </w:num>
  <w:num w:numId="22">
    <w:abstractNumId w:val="20"/>
  </w:num>
  <w:num w:numId="23">
    <w:abstractNumId w:val="5"/>
  </w:num>
  <w:num w:numId="24">
    <w:abstractNumId w:val="13"/>
  </w:num>
  <w:num w:numId="25">
    <w:abstractNumId w:val="9"/>
  </w:num>
  <w:num w:numId="26">
    <w:abstractNumId w:val="17"/>
  </w:num>
  <w:num w:numId="27">
    <w:abstractNumId w:val="11"/>
  </w:num>
  <w:num w:numId="28">
    <w:abstractNumId w:val="8"/>
  </w:num>
  <w:num w:numId="2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43B"/>
    <w:rsid w:val="00007A5A"/>
    <w:rsid w:val="00007F30"/>
    <w:rsid w:val="000105FB"/>
    <w:rsid w:val="00010654"/>
    <w:rsid w:val="000106E3"/>
    <w:rsid w:val="00010B19"/>
    <w:rsid w:val="00010DAA"/>
    <w:rsid w:val="000119EF"/>
    <w:rsid w:val="00011C5F"/>
    <w:rsid w:val="000128CB"/>
    <w:rsid w:val="00012A25"/>
    <w:rsid w:val="00012CA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BE5"/>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D9D"/>
    <w:rsid w:val="00023E14"/>
    <w:rsid w:val="0002431B"/>
    <w:rsid w:val="00025073"/>
    <w:rsid w:val="00025B9D"/>
    <w:rsid w:val="00025F12"/>
    <w:rsid w:val="00026193"/>
    <w:rsid w:val="00026E14"/>
    <w:rsid w:val="000270FF"/>
    <w:rsid w:val="000274EB"/>
    <w:rsid w:val="000275C9"/>
    <w:rsid w:val="0002765B"/>
    <w:rsid w:val="00027744"/>
    <w:rsid w:val="0002780B"/>
    <w:rsid w:val="00027AAB"/>
    <w:rsid w:val="00027E39"/>
    <w:rsid w:val="0003065D"/>
    <w:rsid w:val="00030711"/>
    <w:rsid w:val="00030E2D"/>
    <w:rsid w:val="00030E7C"/>
    <w:rsid w:val="000312AB"/>
    <w:rsid w:val="00031A0F"/>
    <w:rsid w:val="00032A5F"/>
    <w:rsid w:val="00032A68"/>
    <w:rsid w:val="00032ABF"/>
    <w:rsid w:val="000331EC"/>
    <w:rsid w:val="0003324E"/>
    <w:rsid w:val="000332AD"/>
    <w:rsid w:val="00033828"/>
    <w:rsid w:val="00034037"/>
    <w:rsid w:val="00034E64"/>
    <w:rsid w:val="0003520F"/>
    <w:rsid w:val="0003530E"/>
    <w:rsid w:val="00035CC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6C46"/>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0B2"/>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0F1B"/>
    <w:rsid w:val="000617BF"/>
    <w:rsid w:val="00061869"/>
    <w:rsid w:val="000618ED"/>
    <w:rsid w:val="00061C3C"/>
    <w:rsid w:val="00061D9E"/>
    <w:rsid w:val="000620E2"/>
    <w:rsid w:val="0006250F"/>
    <w:rsid w:val="00062981"/>
    <w:rsid w:val="000629A2"/>
    <w:rsid w:val="00062E89"/>
    <w:rsid w:val="0006364B"/>
    <w:rsid w:val="00063EF1"/>
    <w:rsid w:val="00064007"/>
    <w:rsid w:val="000643F4"/>
    <w:rsid w:val="0006472D"/>
    <w:rsid w:val="00064C5C"/>
    <w:rsid w:val="00064DDC"/>
    <w:rsid w:val="00065754"/>
    <w:rsid w:val="00065B19"/>
    <w:rsid w:val="0006662C"/>
    <w:rsid w:val="0006679B"/>
    <w:rsid w:val="00066A4B"/>
    <w:rsid w:val="00066B90"/>
    <w:rsid w:val="00066C46"/>
    <w:rsid w:val="00066F10"/>
    <w:rsid w:val="00067714"/>
    <w:rsid w:val="00067963"/>
    <w:rsid w:val="00067A49"/>
    <w:rsid w:val="000701D0"/>
    <w:rsid w:val="00070606"/>
    <w:rsid w:val="0007088A"/>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49"/>
    <w:rsid w:val="00080D8B"/>
    <w:rsid w:val="0008119E"/>
    <w:rsid w:val="000815F6"/>
    <w:rsid w:val="00081E60"/>
    <w:rsid w:val="00082044"/>
    <w:rsid w:val="00082CE4"/>
    <w:rsid w:val="00083341"/>
    <w:rsid w:val="00083392"/>
    <w:rsid w:val="00083A35"/>
    <w:rsid w:val="00083B64"/>
    <w:rsid w:val="00083E1C"/>
    <w:rsid w:val="00084085"/>
    <w:rsid w:val="000840CD"/>
    <w:rsid w:val="00084848"/>
    <w:rsid w:val="00084873"/>
    <w:rsid w:val="0008490D"/>
    <w:rsid w:val="000853E5"/>
    <w:rsid w:val="00085AC0"/>
    <w:rsid w:val="00085CBE"/>
    <w:rsid w:val="0008649A"/>
    <w:rsid w:val="000869DB"/>
    <w:rsid w:val="00086E6D"/>
    <w:rsid w:val="00086E99"/>
    <w:rsid w:val="00087119"/>
    <w:rsid w:val="0008719E"/>
    <w:rsid w:val="000875B7"/>
    <w:rsid w:val="00087DC6"/>
    <w:rsid w:val="00087E90"/>
    <w:rsid w:val="00090261"/>
    <w:rsid w:val="000907BC"/>
    <w:rsid w:val="0009124F"/>
    <w:rsid w:val="00091402"/>
    <w:rsid w:val="00091559"/>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AFC"/>
    <w:rsid w:val="00095B18"/>
    <w:rsid w:val="000962C2"/>
    <w:rsid w:val="00096648"/>
    <w:rsid w:val="000967FE"/>
    <w:rsid w:val="00096C99"/>
    <w:rsid w:val="0009703A"/>
    <w:rsid w:val="00097104"/>
    <w:rsid w:val="0009729E"/>
    <w:rsid w:val="0009756E"/>
    <w:rsid w:val="00097712"/>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FF"/>
    <w:rsid w:val="000C3DC4"/>
    <w:rsid w:val="000C449C"/>
    <w:rsid w:val="000C48A2"/>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B79"/>
    <w:rsid w:val="000D20CB"/>
    <w:rsid w:val="000D2ABF"/>
    <w:rsid w:val="000D2ACF"/>
    <w:rsid w:val="000D3239"/>
    <w:rsid w:val="000D39B6"/>
    <w:rsid w:val="000D476C"/>
    <w:rsid w:val="000D4D45"/>
    <w:rsid w:val="000D4F30"/>
    <w:rsid w:val="000D5319"/>
    <w:rsid w:val="000D5735"/>
    <w:rsid w:val="000D6268"/>
    <w:rsid w:val="000D6289"/>
    <w:rsid w:val="000D6D98"/>
    <w:rsid w:val="000D7167"/>
    <w:rsid w:val="000D7AE6"/>
    <w:rsid w:val="000D7AF4"/>
    <w:rsid w:val="000E0C96"/>
    <w:rsid w:val="000E0E2A"/>
    <w:rsid w:val="000E0E59"/>
    <w:rsid w:val="000E131B"/>
    <w:rsid w:val="000E1BF0"/>
    <w:rsid w:val="000E2002"/>
    <w:rsid w:val="000E2496"/>
    <w:rsid w:val="000E25F5"/>
    <w:rsid w:val="000E2962"/>
    <w:rsid w:val="000E2A9F"/>
    <w:rsid w:val="000E2AF3"/>
    <w:rsid w:val="000E3119"/>
    <w:rsid w:val="000E3145"/>
    <w:rsid w:val="000E322E"/>
    <w:rsid w:val="000E39A6"/>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EFA"/>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6EE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447"/>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808"/>
    <w:rsid w:val="00127AE1"/>
    <w:rsid w:val="00127E16"/>
    <w:rsid w:val="00127E8D"/>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4AF9"/>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DE7"/>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C9"/>
    <w:rsid w:val="00155427"/>
    <w:rsid w:val="001556C9"/>
    <w:rsid w:val="00155C96"/>
    <w:rsid w:val="00155CBE"/>
    <w:rsid w:val="00155D06"/>
    <w:rsid w:val="00156190"/>
    <w:rsid w:val="0015634E"/>
    <w:rsid w:val="00156410"/>
    <w:rsid w:val="00156515"/>
    <w:rsid w:val="00156B73"/>
    <w:rsid w:val="0015798B"/>
    <w:rsid w:val="00157A31"/>
    <w:rsid w:val="00157AEE"/>
    <w:rsid w:val="00157B30"/>
    <w:rsid w:val="001602AE"/>
    <w:rsid w:val="00160370"/>
    <w:rsid w:val="0016096D"/>
    <w:rsid w:val="0016107A"/>
    <w:rsid w:val="001611C1"/>
    <w:rsid w:val="0016142C"/>
    <w:rsid w:val="0016155D"/>
    <w:rsid w:val="00161568"/>
    <w:rsid w:val="00161909"/>
    <w:rsid w:val="00161984"/>
    <w:rsid w:val="00161D5D"/>
    <w:rsid w:val="0016251D"/>
    <w:rsid w:val="001629D2"/>
    <w:rsid w:val="00162C39"/>
    <w:rsid w:val="0016431D"/>
    <w:rsid w:val="001644C8"/>
    <w:rsid w:val="0016453E"/>
    <w:rsid w:val="001647E6"/>
    <w:rsid w:val="00166825"/>
    <w:rsid w:val="001668A4"/>
    <w:rsid w:val="00166EF2"/>
    <w:rsid w:val="00167137"/>
    <w:rsid w:val="00167E3A"/>
    <w:rsid w:val="00167EF4"/>
    <w:rsid w:val="00170521"/>
    <w:rsid w:val="00170F26"/>
    <w:rsid w:val="001715B3"/>
    <w:rsid w:val="00171997"/>
    <w:rsid w:val="0017214C"/>
    <w:rsid w:val="0017231C"/>
    <w:rsid w:val="0017232C"/>
    <w:rsid w:val="001723BD"/>
    <w:rsid w:val="001724C7"/>
    <w:rsid w:val="001725E0"/>
    <w:rsid w:val="0017270C"/>
    <w:rsid w:val="00172A27"/>
    <w:rsid w:val="00173BBF"/>
    <w:rsid w:val="001741DB"/>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58A9"/>
    <w:rsid w:val="00185EBC"/>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5D2"/>
    <w:rsid w:val="001947A8"/>
    <w:rsid w:val="00194F80"/>
    <w:rsid w:val="00195012"/>
    <w:rsid w:val="001952E5"/>
    <w:rsid w:val="001954E8"/>
    <w:rsid w:val="00195544"/>
    <w:rsid w:val="001959A4"/>
    <w:rsid w:val="001967C0"/>
    <w:rsid w:val="001969E7"/>
    <w:rsid w:val="00196ABA"/>
    <w:rsid w:val="00196FDB"/>
    <w:rsid w:val="001973D0"/>
    <w:rsid w:val="00197AF1"/>
    <w:rsid w:val="00197F64"/>
    <w:rsid w:val="00197F76"/>
    <w:rsid w:val="001A056C"/>
    <w:rsid w:val="001A074B"/>
    <w:rsid w:val="001A07EE"/>
    <w:rsid w:val="001A0B1B"/>
    <w:rsid w:val="001A0EBD"/>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6D9"/>
    <w:rsid w:val="001A59CA"/>
    <w:rsid w:val="001A5CA0"/>
    <w:rsid w:val="001A601B"/>
    <w:rsid w:val="001A621B"/>
    <w:rsid w:val="001A62A8"/>
    <w:rsid w:val="001A6417"/>
    <w:rsid w:val="001A6D3B"/>
    <w:rsid w:val="001A6DF0"/>
    <w:rsid w:val="001A6F68"/>
    <w:rsid w:val="001A6FA9"/>
    <w:rsid w:val="001A73A0"/>
    <w:rsid w:val="001A744D"/>
    <w:rsid w:val="001A7792"/>
    <w:rsid w:val="001A7A22"/>
    <w:rsid w:val="001B0403"/>
    <w:rsid w:val="001B0864"/>
    <w:rsid w:val="001B0F99"/>
    <w:rsid w:val="001B1517"/>
    <w:rsid w:val="001B1AFF"/>
    <w:rsid w:val="001B27AB"/>
    <w:rsid w:val="001B28BB"/>
    <w:rsid w:val="001B29BE"/>
    <w:rsid w:val="001B3023"/>
    <w:rsid w:val="001B383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3AD"/>
    <w:rsid w:val="001C170A"/>
    <w:rsid w:val="001C1BEB"/>
    <w:rsid w:val="001C225E"/>
    <w:rsid w:val="001C23AD"/>
    <w:rsid w:val="001C24BA"/>
    <w:rsid w:val="001C269A"/>
    <w:rsid w:val="001C2789"/>
    <w:rsid w:val="001C2DB8"/>
    <w:rsid w:val="001C3579"/>
    <w:rsid w:val="001C398F"/>
    <w:rsid w:val="001C44A7"/>
    <w:rsid w:val="001C44D6"/>
    <w:rsid w:val="001C4D69"/>
    <w:rsid w:val="001C4E64"/>
    <w:rsid w:val="001C532E"/>
    <w:rsid w:val="001C53EB"/>
    <w:rsid w:val="001C574D"/>
    <w:rsid w:val="001C5AAA"/>
    <w:rsid w:val="001C64E1"/>
    <w:rsid w:val="001C682E"/>
    <w:rsid w:val="001D05EA"/>
    <w:rsid w:val="001D07B6"/>
    <w:rsid w:val="001D0BB7"/>
    <w:rsid w:val="001D0BFB"/>
    <w:rsid w:val="001D0EDD"/>
    <w:rsid w:val="001D1897"/>
    <w:rsid w:val="001D19D7"/>
    <w:rsid w:val="001D1D32"/>
    <w:rsid w:val="001D2283"/>
    <w:rsid w:val="001D2D9C"/>
    <w:rsid w:val="001D2EC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6E5D"/>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16F5"/>
    <w:rsid w:val="001E28D3"/>
    <w:rsid w:val="001E30B3"/>
    <w:rsid w:val="001E3431"/>
    <w:rsid w:val="001E386F"/>
    <w:rsid w:val="001E38AC"/>
    <w:rsid w:val="001E38B1"/>
    <w:rsid w:val="001E3C02"/>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98C"/>
    <w:rsid w:val="001F0EA2"/>
    <w:rsid w:val="001F17BA"/>
    <w:rsid w:val="001F1991"/>
    <w:rsid w:val="001F215E"/>
    <w:rsid w:val="001F2627"/>
    <w:rsid w:val="001F298D"/>
    <w:rsid w:val="001F39CF"/>
    <w:rsid w:val="001F3BB3"/>
    <w:rsid w:val="001F3E6B"/>
    <w:rsid w:val="001F3F69"/>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3843"/>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125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ECA"/>
    <w:rsid w:val="00230F62"/>
    <w:rsid w:val="00231973"/>
    <w:rsid w:val="00231B4A"/>
    <w:rsid w:val="00231B55"/>
    <w:rsid w:val="00231C7A"/>
    <w:rsid w:val="00231D1F"/>
    <w:rsid w:val="00231E63"/>
    <w:rsid w:val="00231E89"/>
    <w:rsid w:val="00232244"/>
    <w:rsid w:val="00232295"/>
    <w:rsid w:val="00232A2D"/>
    <w:rsid w:val="00233451"/>
    <w:rsid w:val="002334CA"/>
    <w:rsid w:val="002335E8"/>
    <w:rsid w:val="00233DD7"/>
    <w:rsid w:val="00233F53"/>
    <w:rsid w:val="0023464F"/>
    <w:rsid w:val="002346CA"/>
    <w:rsid w:val="00234798"/>
    <w:rsid w:val="00234ABC"/>
    <w:rsid w:val="00234E86"/>
    <w:rsid w:val="00235216"/>
    <w:rsid w:val="00235BF6"/>
    <w:rsid w:val="00235D65"/>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4E7"/>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4AC8"/>
    <w:rsid w:val="002556C4"/>
    <w:rsid w:val="00255AC9"/>
    <w:rsid w:val="00256370"/>
    <w:rsid w:val="0025676D"/>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094F"/>
    <w:rsid w:val="00271825"/>
    <w:rsid w:val="00271835"/>
    <w:rsid w:val="00271EDC"/>
    <w:rsid w:val="002728FC"/>
    <w:rsid w:val="00272B90"/>
    <w:rsid w:val="00273B77"/>
    <w:rsid w:val="00273BF9"/>
    <w:rsid w:val="00273F66"/>
    <w:rsid w:val="0027404F"/>
    <w:rsid w:val="002749A4"/>
    <w:rsid w:val="00275140"/>
    <w:rsid w:val="00275727"/>
    <w:rsid w:val="00275C52"/>
    <w:rsid w:val="00275C90"/>
    <w:rsid w:val="00275F5F"/>
    <w:rsid w:val="00276481"/>
    <w:rsid w:val="00276EDD"/>
    <w:rsid w:val="00277145"/>
    <w:rsid w:val="002775AA"/>
    <w:rsid w:val="00277ACC"/>
    <w:rsid w:val="00277FA3"/>
    <w:rsid w:val="002800E2"/>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ADF"/>
    <w:rsid w:val="00282C84"/>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080"/>
    <w:rsid w:val="00295171"/>
    <w:rsid w:val="0029549E"/>
    <w:rsid w:val="0029551B"/>
    <w:rsid w:val="00296316"/>
    <w:rsid w:val="00296658"/>
    <w:rsid w:val="00296F7D"/>
    <w:rsid w:val="00296FE0"/>
    <w:rsid w:val="00297DC5"/>
    <w:rsid w:val="00297DF3"/>
    <w:rsid w:val="00297EFE"/>
    <w:rsid w:val="00297FBC"/>
    <w:rsid w:val="002A000F"/>
    <w:rsid w:val="002A08C3"/>
    <w:rsid w:val="002A0FA8"/>
    <w:rsid w:val="002A111A"/>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7E1"/>
    <w:rsid w:val="002A6C52"/>
    <w:rsid w:val="002A7075"/>
    <w:rsid w:val="002A72BA"/>
    <w:rsid w:val="002A73B5"/>
    <w:rsid w:val="002A7950"/>
    <w:rsid w:val="002A7AEC"/>
    <w:rsid w:val="002A7CB7"/>
    <w:rsid w:val="002B0590"/>
    <w:rsid w:val="002B05D6"/>
    <w:rsid w:val="002B0752"/>
    <w:rsid w:val="002B0F81"/>
    <w:rsid w:val="002B0FF4"/>
    <w:rsid w:val="002B1530"/>
    <w:rsid w:val="002B1948"/>
    <w:rsid w:val="002B19F0"/>
    <w:rsid w:val="002B1B67"/>
    <w:rsid w:val="002B1BBF"/>
    <w:rsid w:val="002B1C30"/>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1C34"/>
    <w:rsid w:val="002C2475"/>
    <w:rsid w:val="002C252C"/>
    <w:rsid w:val="002C2CA8"/>
    <w:rsid w:val="002C2F3B"/>
    <w:rsid w:val="002C352A"/>
    <w:rsid w:val="002C3941"/>
    <w:rsid w:val="002C3C3B"/>
    <w:rsid w:val="002C3E85"/>
    <w:rsid w:val="002C448D"/>
    <w:rsid w:val="002C4A75"/>
    <w:rsid w:val="002C4ACD"/>
    <w:rsid w:val="002C4EA8"/>
    <w:rsid w:val="002C5496"/>
    <w:rsid w:val="002C6182"/>
    <w:rsid w:val="002C61A1"/>
    <w:rsid w:val="002C6BBD"/>
    <w:rsid w:val="002C70B3"/>
    <w:rsid w:val="002C763E"/>
    <w:rsid w:val="002C7910"/>
    <w:rsid w:val="002C7DA8"/>
    <w:rsid w:val="002C7E05"/>
    <w:rsid w:val="002D0834"/>
    <w:rsid w:val="002D0B07"/>
    <w:rsid w:val="002D0C96"/>
    <w:rsid w:val="002D0D12"/>
    <w:rsid w:val="002D14C6"/>
    <w:rsid w:val="002D19CF"/>
    <w:rsid w:val="002D251D"/>
    <w:rsid w:val="002D27D9"/>
    <w:rsid w:val="002D2B4C"/>
    <w:rsid w:val="002D32D5"/>
    <w:rsid w:val="002D354D"/>
    <w:rsid w:val="002D361C"/>
    <w:rsid w:val="002D3BDB"/>
    <w:rsid w:val="002D3DEE"/>
    <w:rsid w:val="002D44EF"/>
    <w:rsid w:val="002D521C"/>
    <w:rsid w:val="002D5222"/>
    <w:rsid w:val="002D525F"/>
    <w:rsid w:val="002D5CAF"/>
    <w:rsid w:val="002D5DF7"/>
    <w:rsid w:val="002D714B"/>
    <w:rsid w:val="002D7606"/>
    <w:rsid w:val="002D7893"/>
    <w:rsid w:val="002D79BB"/>
    <w:rsid w:val="002E022C"/>
    <w:rsid w:val="002E05B2"/>
    <w:rsid w:val="002E087C"/>
    <w:rsid w:val="002E09F8"/>
    <w:rsid w:val="002E0B91"/>
    <w:rsid w:val="002E0C5D"/>
    <w:rsid w:val="002E1393"/>
    <w:rsid w:val="002E13ED"/>
    <w:rsid w:val="002E1AEC"/>
    <w:rsid w:val="002E232D"/>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4F9"/>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0AC0"/>
    <w:rsid w:val="00301057"/>
    <w:rsid w:val="0030212C"/>
    <w:rsid w:val="00302151"/>
    <w:rsid w:val="00302427"/>
    <w:rsid w:val="003026AE"/>
    <w:rsid w:val="00302A7B"/>
    <w:rsid w:val="00302CD4"/>
    <w:rsid w:val="00302F67"/>
    <w:rsid w:val="00303034"/>
    <w:rsid w:val="0030309D"/>
    <w:rsid w:val="0030333F"/>
    <w:rsid w:val="00303424"/>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DB0"/>
    <w:rsid w:val="00307E61"/>
    <w:rsid w:val="003102D5"/>
    <w:rsid w:val="00310328"/>
    <w:rsid w:val="003105CE"/>
    <w:rsid w:val="0031077E"/>
    <w:rsid w:val="00310E5A"/>
    <w:rsid w:val="003110A6"/>
    <w:rsid w:val="00311291"/>
    <w:rsid w:val="003113AE"/>
    <w:rsid w:val="00311579"/>
    <w:rsid w:val="0031171F"/>
    <w:rsid w:val="00311999"/>
    <w:rsid w:val="00311C5D"/>
    <w:rsid w:val="00312492"/>
    <w:rsid w:val="003128C3"/>
    <w:rsid w:val="00312ACA"/>
    <w:rsid w:val="00312C21"/>
    <w:rsid w:val="00312D90"/>
    <w:rsid w:val="00312DE6"/>
    <w:rsid w:val="00313717"/>
    <w:rsid w:val="003141E8"/>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D1A"/>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0DB"/>
    <w:rsid w:val="0033013A"/>
    <w:rsid w:val="00330401"/>
    <w:rsid w:val="003307C2"/>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516"/>
    <w:rsid w:val="00335A08"/>
    <w:rsid w:val="003370C6"/>
    <w:rsid w:val="00337365"/>
    <w:rsid w:val="003373AF"/>
    <w:rsid w:val="00337BF7"/>
    <w:rsid w:val="00337FC0"/>
    <w:rsid w:val="003401AF"/>
    <w:rsid w:val="003401E6"/>
    <w:rsid w:val="003402AD"/>
    <w:rsid w:val="00340776"/>
    <w:rsid w:val="003409B2"/>
    <w:rsid w:val="00340BAB"/>
    <w:rsid w:val="0034105F"/>
    <w:rsid w:val="00341169"/>
    <w:rsid w:val="003411E9"/>
    <w:rsid w:val="003413B0"/>
    <w:rsid w:val="00341DD0"/>
    <w:rsid w:val="00341E75"/>
    <w:rsid w:val="00342223"/>
    <w:rsid w:val="00342482"/>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70"/>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6D05"/>
    <w:rsid w:val="003673CA"/>
    <w:rsid w:val="00367DA6"/>
    <w:rsid w:val="00367F49"/>
    <w:rsid w:val="003708C4"/>
    <w:rsid w:val="00370BFD"/>
    <w:rsid w:val="0037137A"/>
    <w:rsid w:val="00371885"/>
    <w:rsid w:val="00371A4E"/>
    <w:rsid w:val="00371BBF"/>
    <w:rsid w:val="003721E5"/>
    <w:rsid w:val="003728F4"/>
    <w:rsid w:val="0037297A"/>
    <w:rsid w:val="003729D4"/>
    <w:rsid w:val="00372BA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0210"/>
    <w:rsid w:val="003A0290"/>
    <w:rsid w:val="003A1587"/>
    <w:rsid w:val="003A1612"/>
    <w:rsid w:val="003A20B9"/>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9EF"/>
    <w:rsid w:val="003B1A43"/>
    <w:rsid w:val="003B1C7E"/>
    <w:rsid w:val="003B2407"/>
    <w:rsid w:val="003B2C94"/>
    <w:rsid w:val="003B2CC2"/>
    <w:rsid w:val="003B3058"/>
    <w:rsid w:val="003B3167"/>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0E83"/>
    <w:rsid w:val="003C1818"/>
    <w:rsid w:val="003C1CC8"/>
    <w:rsid w:val="003C1F1C"/>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E47"/>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13E"/>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5B0"/>
    <w:rsid w:val="003E39D2"/>
    <w:rsid w:val="003E3A33"/>
    <w:rsid w:val="003E3A5E"/>
    <w:rsid w:val="003E42BE"/>
    <w:rsid w:val="003E4804"/>
    <w:rsid w:val="003E4BF7"/>
    <w:rsid w:val="003E578A"/>
    <w:rsid w:val="003E5F76"/>
    <w:rsid w:val="003E62BD"/>
    <w:rsid w:val="003E64BA"/>
    <w:rsid w:val="003E66CA"/>
    <w:rsid w:val="003E6A42"/>
    <w:rsid w:val="003E6FC1"/>
    <w:rsid w:val="003E74C3"/>
    <w:rsid w:val="003E75B1"/>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BC1"/>
    <w:rsid w:val="003F3C16"/>
    <w:rsid w:val="003F4F77"/>
    <w:rsid w:val="003F5897"/>
    <w:rsid w:val="003F59A9"/>
    <w:rsid w:val="003F5A02"/>
    <w:rsid w:val="003F5BA2"/>
    <w:rsid w:val="003F6042"/>
    <w:rsid w:val="003F63D6"/>
    <w:rsid w:val="003F66B9"/>
    <w:rsid w:val="003F6779"/>
    <w:rsid w:val="003F680F"/>
    <w:rsid w:val="003F68B2"/>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38B4"/>
    <w:rsid w:val="00404169"/>
    <w:rsid w:val="00404517"/>
    <w:rsid w:val="004048B4"/>
    <w:rsid w:val="004049CF"/>
    <w:rsid w:val="00404A4A"/>
    <w:rsid w:val="00404BDE"/>
    <w:rsid w:val="00405140"/>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3862"/>
    <w:rsid w:val="00413D38"/>
    <w:rsid w:val="00413EAE"/>
    <w:rsid w:val="00414307"/>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3A8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31C"/>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33E"/>
    <w:rsid w:val="0047570D"/>
    <w:rsid w:val="004759D4"/>
    <w:rsid w:val="00476105"/>
    <w:rsid w:val="00476830"/>
    <w:rsid w:val="00476A37"/>
    <w:rsid w:val="00476CA7"/>
    <w:rsid w:val="00476D24"/>
    <w:rsid w:val="00477375"/>
    <w:rsid w:val="00477728"/>
    <w:rsid w:val="0047774E"/>
    <w:rsid w:val="0047776E"/>
    <w:rsid w:val="0047780C"/>
    <w:rsid w:val="00477E95"/>
    <w:rsid w:val="00477FEE"/>
    <w:rsid w:val="004803D2"/>
    <w:rsid w:val="0048055E"/>
    <w:rsid w:val="00481216"/>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87DBE"/>
    <w:rsid w:val="004901FB"/>
    <w:rsid w:val="00490569"/>
    <w:rsid w:val="00490F0B"/>
    <w:rsid w:val="004910FA"/>
    <w:rsid w:val="00491215"/>
    <w:rsid w:val="00491B29"/>
    <w:rsid w:val="00491B39"/>
    <w:rsid w:val="00491BDF"/>
    <w:rsid w:val="00491CA1"/>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C34"/>
    <w:rsid w:val="00496F68"/>
    <w:rsid w:val="004978BB"/>
    <w:rsid w:val="004A05CD"/>
    <w:rsid w:val="004A06BB"/>
    <w:rsid w:val="004A17BC"/>
    <w:rsid w:val="004A1808"/>
    <w:rsid w:val="004A18FC"/>
    <w:rsid w:val="004A19B3"/>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6CF"/>
    <w:rsid w:val="004B3730"/>
    <w:rsid w:val="004B40FA"/>
    <w:rsid w:val="004B4CB3"/>
    <w:rsid w:val="004B5223"/>
    <w:rsid w:val="004B52CB"/>
    <w:rsid w:val="004B56B4"/>
    <w:rsid w:val="004B5ADF"/>
    <w:rsid w:val="004B67CE"/>
    <w:rsid w:val="004B6DC5"/>
    <w:rsid w:val="004B7377"/>
    <w:rsid w:val="004B74ED"/>
    <w:rsid w:val="004B7B88"/>
    <w:rsid w:val="004C0393"/>
    <w:rsid w:val="004C08D2"/>
    <w:rsid w:val="004C131A"/>
    <w:rsid w:val="004C22D4"/>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2B1"/>
    <w:rsid w:val="004F0526"/>
    <w:rsid w:val="004F07EC"/>
    <w:rsid w:val="004F0916"/>
    <w:rsid w:val="004F0D08"/>
    <w:rsid w:val="004F11F5"/>
    <w:rsid w:val="004F132D"/>
    <w:rsid w:val="004F189D"/>
    <w:rsid w:val="004F1963"/>
    <w:rsid w:val="004F1AB3"/>
    <w:rsid w:val="004F1BB5"/>
    <w:rsid w:val="004F1DE8"/>
    <w:rsid w:val="004F2008"/>
    <w:rsid w:val="004F29E1"/>
    <w:rsid w:val="004F2F98"/>
    <w:rsid w:val="004F306C"/>
    <w:rsid w:val="004F311A"/>
    <w:rsid w:val="004F38C5"/>
    <w:rsid w:val="004F3CC7"/>
    <w:rsid w:val="004F3D46"/>
    <w:rsid w:val="004F405B"/>
    <w:rsid w:val="004F57AE"/>
    <w:rsid w:val="004F5CB0"/>
    <w:rsid w:val="004F6069"/>
    <w:rsid w:val="004F6333"/>
    <w:rsid w:val="004F63FA"/>
    <w:rsid w:val="004F64F2"/>
    <w:rsid w:val="004F69E1"/>
    <w:rsid w:val="004F6A24"/>
    <w:rsid w:val="004F6C21"/>
    <w:rsid w:val="004F713E"/>
    <w:rsid w:val="004F755E"/>
    <w:rsid w:val="004F78E8"/>
    <w:rsid w:val="004F791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400"/>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B9E"/>
    <w:rsid w:val="00525E34"/>
    <w:rsid w:val="005268AD"/>
    <w:rsid w:val="00526D94"/>
    <w:rsid w:val="00527445"/>
    <w:rsid w:val="00527D98"/>
    <w:rsid w:val="00530B93"/>
    <w:rsid w:val="00530BFA"/>
    <w:rsid w:val="00531699"/>
    <w:rsid w:val="00531807"/>
    <w:rsid w:val="005322C6"/>
    <w:rsid w:val="005326FE"/>
    <w:rsid w:val="0053271B"/>
    <w:rsid w:val="00532911"/>
    <w:rsid w:val="005329A3"/>
    <w:rsid w:val="00532B16"/>
    <w:rsid w:val="0053313D"/>
    <w:rsid w:val="005341AA"/>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7B0"/>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1C03"/>
    <w:rsid w:val="00552161"/>
    <w:rsid w:val="00552372"/>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9FC"/>
    <w:rsid w:val="00555D4E"/>
    <w:rsid w:val="00556125"/>
    <w:rsid w:val="0055715D"/>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67E5A"/>
    <w:rsid w:val="0057023D"/>
    <w:rsid w:val="005707EB"/>
    <w:rsid w:val="00570822"/>
    <w:rsid w:val="005709DA"/>
    <w:rsid w:val="00570DBD"/>
    <w:rsid w:val="0057151F"/>
    <w:rsid w:val="005715B5"/>
    <w:rsid w:val="005715FD"/>
    <w:rsid w:val="00571840"/>
    <w:rsid w:val="0057185D"/>
    <w:rsid w:val="005718BC"/>
    <w:rsid w:val="00571977"/>
    <w:rsid w:val="00571EF7"/>
    <w:rsid w:val="0057268E"/>
    <w:rsid w:val="00572CB3"/>
    <w:rsid w:val="0057315D"/>
    <w:rsid w:val="00573C78"/>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628"/>
    <w:rsid w:val="00581B77"/>
    <w:rsid w:val="00581D26"/>
    <w:rsid w:val="00581D5B"/>
    <w:rsid w:val="00581F07"/>
    <w:rsid w:val="0058229A"/>
    <w:rsid w:val="005822DA"/>
    <w:rsid w:val="00582411"/>
    <w:rsid w:val="0058294C"/>
    <w:rsid w:val="005829A7"/>
    <w:rsid w:val="00583902"/>
    <w:rsid w:val="0058396F"/>
    <w:rsid w:val="00583C28"/>
    <w:rsid w:val="00583DBB"/>
    <w:rsid w:val="00584109"/>
    <w:rsid w:val="005842CE"/>
    <w:rsid w:val="0058453E"/>
    <w:rsid w:val="005845FB"/>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449"/>
    <w:rsid w:val="005915FA"/>
    <w:rsid w:val="00591DD3"/>
    <w:rsid w:val="00592A67"/>
    <w:rsid w:val="00592CB3"/>
    <w:rsid w:val="00592DFA"/>
    <w:rsid w:val="00593B52"/>
    <w:rsid w:val="00593E86"/>
    <w:rsid w:val="00594303"/>
    <w:rsid w:val="00594767"/>
    <w:rsid w:val="00594837"/>
    <w:rsid w:val="005952B7"/>
    <w:rsid w:val="005953D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DD2"/>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33B"/>
    <w:rsid w:val="005A7F88"/>
    <w:rsid w:val="005B0BC9"/>
    <w:rsid w:val="005B1AA7"/>
    <w:rsid w:val="005B1D9E"/>
    <w:rsid w:val="005B2811"/>
    <w:rsid w:val="005B2ACA"/>
    <w:rsid w:val="005B2C07"/>
    <w:rsid w:val="005B2DB2"/>
    <w:rsid w:val="005B2F90"/>
    <w:rsid w:val="005B32BC"/>
    <w:rsid w:val="005B33EC"/>
    <w:rsid w:val="005B354F"/>
    <w:rsid w:val="005B35FB"/>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1B69"/>
    <w:rsid w:val="005C2BD3"/>
    <w:rsid w:val="005C3C1E"/>
    <w:rsid w:val="005C3F29"/>
    <w:rsid w:val="005C4BA8"/>
    <w:rsid w:val="005C514B"/>
    <w:rsid w:val="005C51D7"/>
    <w:rsid w:val="005C5E52"/>
    <w:rsid w:val="005C5F5F"/>
    <w:rsid w:val="005C61A4"/>
    <w:rsid w:val="005C62E1"/>
    <w:rsid w:val="005C6814"/>
    <w:rsid w:val="005C6B09"/>
    <w:rsid w:val="005C6F6B"/>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C69"/>
    <w:rsid w:val="005D5DCB"/>
    <w:rsid w:val="005D6554"/>
    <w:rsid w:val="005D65C2"/>
    <w:rsid w:val="005D70EC"/>
    <w:rsid w:val="005D7568"/>
    <w:rsid w:val="005D7719"/>
    <w:rsid w:val="005D7ED9"/>
    <w:rsid w:val="005D7FDC"/>
    <w:rsid w:val="005E049B"/>
    <w:rsid w:val="005E0ABD"/>
    <w:rsid w:val="005E1097"/>
    <w:rsid w:val="005E1131"/>
    <w:rsid w:val="005E1B78"/>
    <w:rsid w:val="005E1D88"/>
    <w:rsid w:val="005E20F9"/>
    <w:rsid w:val="005E23FC"/>
    <w:rsid w:val="005E2B38"/>
    <w:rsid w:val="005E315B"/>
    <w:rsid w:val="005E31F0"/>
    <w:rsid w:val="005E335D"/>
    <w:rsid w:val="005E355B"/>
    <w:rsid w:val="005E374C"/>
    <w:rsid w:val="005E3811"/>
    <w:rsid w:val="005E4396"/>
    <w:rsid w:val="005E4544"/>
    <w:rsid w:val="005E45CC"/>
    <w:rsid w:val="005E4A97"/>
    <w:rsid w:val="005E4E3E"/>
    <w:rsid w:val="005E51AE"/>
    <w:rsid w:val="005E5580"/>
    <w:rsid w:val="005E5CB1"/>
    <w:rsid w:val="005E5CBA"/>
    <w:rsid w:val="005E70FD"/>
    <w:rsid w:val="005E771B"/>
    <w:rsid w:val="005E7BE3"/>
    <w:rsid w:val="005E7D69"/>
    <w:rsid w:val="005F0576"/>
    <w:rsid w:val="005F05C5"/>
    <w:rsid w:val="005F0A33"/>
    <w:rsid w:val="005F0DAA"/>
    <w:rsid w:val="005F1732"/>
    <w:rsid w:val="005F2E97"/>
    <w:rsid w:val="005F2FD6"/>
    <w:rsid w:val="005F34B9"/>
    <w:rsid w:val="005F34FB"/>
    <w:rsid w:val="005F3720"/>
    <w:rsid w:val="005F37A1"/>
    <w:rsid w:val="005F3805"/>
    <w:rsid w:val="005F3C1A"/>
    <w:rsid w:val="005F3D18"/>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4BA"/>
    <w:rsid w:val="00604528"/>
    <w:rsid w:val="00604D15"/>
    <w:rsid w:val="006050AB"/>
    <w:rsid w:val="0060524A"/>
    <w:rsid w:val="006052B5"/>
    <w:rsid w:val="006059D2"/>
    <w:rsid w:val="006067A9"/>
    <w:rsid w:val="00606C55"/>
    <w:rsid w:val="00606CB9"/>
    <w:rsid w:val="00606FD4"/>
    <w:rsid w:val="0060705C"/>
    <w:rsid w:val="0060714E"/>
    <w:rsid w:val="006071A0"/>
    <w:rsid w:val="0060734E"/>
    <w:rsid w:val="00607657"/>
    <w:rsid w:val="00610D41"/>
    <w:rsid w:val="0061127F"/>
    <w:rsid w:val="006113CC"/>
    <w:rsid w:val="00611A07"/>
    <w:rsid w:val="006121A8"/>
    <w:rsid w:val="006122DF"/>
    <w:rsid w:val="00612360"/>
    <w:rsid w:val="006125F5"/>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17BC1"/>
    <w:rsid w:val="006202EF"/>
    <w:rsid w:val="0062045F"/>
    <w:rsid w:val="00620C68"/>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27CD5"/>
    <w:rsid w:val="006301DC"/>
    <w:rsid w:val="0063020A"/>
    <w:rsid w:val="0063050F"/>
    <w:rsid w:val="0063059B"/>
    <w:rsid w:val="00630782"/>
    <w:rsid w:val="00630D51"/>
    <w:rsid w:val="00630D8F"/>
    <w:rsid w:val="00630EBF"/>
    <w:rsid w:val="00630F08"/>
    <w:rsid w:val="00631253"/>
    <w:rsid w:val="00631860"/>
    <w:rsid w:val="0063192C"/>
    <w:rsid w:val="00631A17"/>
    <w:rsid w:val="0063279A"/>
    <w:rsid w:val="00632CB6"/>
    <w:rsid w:val="00632ECA"/>
    <w:rsid w:val="0063323D"/>
    <w:rsid w:val="00633845"/>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49E"/>
    <w:rsid w:val="006416D0"/>
    <w:rsid w:val="00642E2C"/>
    <w:rsid w:val="00642FDD"/>
    <w:rsid w:val="006439FF"/>
    <w:rsid w:val="00643A07"/>
    <w:rsid w:val="0064451B"/>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972"/>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44"/>
    <w:rsid w:val="00657F57"/>
    <w:rsid w:val="00660E0E"/>
    <w:rsid w:val="00660F91"/>
    <w:rsid w:val="00660FB6"/>
    <w:rsid w:val="006613C1"/>
    <w:rsid w:val="00661D14"/>
    <w:rsid w:val="006629A0"/>
    <w:rsid w:val="0066321A"/>
    <w:rsid w:val="0066365D"/>
    <w:rsid w:val="00664AED"/>
    <w:rsid w:val="00665168"/>
    <w:rsid w:val="0066547A"/>
    <w:rsid w:val="00665997"/>
    <w:rsid w:val="00666EA1"/>
    <w:rsid w:val="006671E7"/>
    <w:rsid w:val="00667451"/>
    <w:rsid w:val="006674F6"/>
    <w:rsid w:val="006675F8"/>
    <w:rsid w:val="00670296"/>
    <w:rsid w:val="0067037F"/>
    <w:rsid w:val="0067170A"/>
    <w:rsid w:val="00671C98"/>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9F6"/>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381"/>
    <w:rsid w:val="006939E7"/>
    <w:rsid w:val="00693AD7"/>
    <w:rsid w:val="00695437"/>
    <w:rsid w:val="0069562C"/>
    <w:rsid w:val="00695938"/>
    <w:rsid w:val="00695B5A"/>
    <w:rsid w:val="00695D17"/>
    <w:rsid w:val="00695DD9"/>
    <w:rsid w:val="00695FC7"/>
    <w:rsid w:val="0069695A"/>
    <w:rsid w:val="00696F26"/>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ED"/>
    <w:rsid w:val="006A4CD1"/>
    <w:rsid w:val="006A4DF4"/>
    <w:rsid w:val="006A4F90"/>
    <w:rsid w:val="006A58DE"/>
    <w:rsid w:val="006A5914"/>
    <w:rsid w:val="006A5CEB"/>
    <w:rsid w:val="006A61A6"/>
    <w:rsid w:val="006A62D4"/>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697"/>
    <w:rsid w:val="006C2AA4"/>
    <w:rsid w:val="006C3B9F"/>
    <w:rsid w:val="006C3FA8"/>
    <w:rsid w:val="006C425F"/>
    <w:rsid w:val="006C470F"/>
    <w:rsid w:val="006C47C9"/>
    <w:rsid w:val="006C503D"/>
    <w:rsid w:val="006C51C0"/>
    <w:rsid w:val="006C52B5"/>
    <w:rsid w:val="006C5320"/>
    <w:rsid w:val="006C5372"/>
    <w:rsid w:val="006C5B23"/>
    <w:rsid w:val="006C5D7C"/>
    <w:rsid w:val="006C63FF"/>
    <w:rsid w:val="006C65D2"/>
    <w:rsid w:val="006C6917"/>
    <w:rsid w:val="006C6AD9"/>
    <w:rsid w:val="006C7295"/>
    <w:rsid w:val="006C72FD"/>
    <w:rsid w:val="006C7663"/>
    <w:rsid w:val="006C76B5"/>
    <w:rsid w:val="006D0530"/>
    <w:rsid w:val="006D0613"/>
    <w:rsid w:val="006D0886"/>
    <w:rsid w:val="006D0D8D"/>
    <w:rsid w:val="006D11D5"/>
    <w:rsid w:val="006D13F5"/>
    <w:rsid w:val="006D1841"/>
    <w:rsid w:val="006D1AD9"/>
    <w:rsid w:val="006D20EA"/>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2C8"/>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B59"/>
    <w:rsid w:val="006E4C06"/>
    <w:rsid w:val="006E559F"/>
    <w:rsid w:val="006E5744"/>
    <w:rsid w:val="006E594F"/>
    <w:rsid w:val="006E5E0F"/>
    <w:rsid w:val="006E6811"/>
    <w:rsid w:val="006E6BA5"/>
    <w:rsid w:val="006E6EFB"/>
    <w:rsid w:val="006E78DD"/>
    <w:rsid w:val="006E798E"/>
    <w:rsid w:val="006E7D2B"/>
    <w:rsid w:val="006F0A7B"/>
    <w:rsid w:val="006F0CA7"/>
    <w:rsid w:val="006F1138"/>
    <w:rsid w:val="006F1E2D"/>
    <w:rsid w:val="006F1F5D"/>
    <w:rsid w:val="006F2072"/>
    <w:rsid w:val="006F21C0"/>
    <w:rsid w:val="006F2495"/>
    <w:rsid w:val="006F26B5"/>
    <w:rsid w:val="006F2AA1"/>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2B2"/>
    <w:rsid w:val="006F7416"/>
    <w:rsid w:val="006F7657"/>
    <w:rsid w:val="006F789D"/>
    <w:rsid w:val="006F78EF"/>
    <w:rsid w:val="006F7B8F"/>
    <w:rsid w:val="006F7BF2"/>
    <w:rsid w:val="0070018D"/>
    <w:rsid w:val="007003B3"/>
    <w:rsid w:val="007009F4"/>
    <w:rsid w:val="00700A38"/>
    <w:rsid w:val="00700A52"/>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5D32"/>
    <w:rsid w:val="007068DB"/>
    <w:rsid w:val="00707088"/>
    <w:rsid w:val="0070717D"/>
    <w:rsid w:val="0070722C"/>
    <w:rsid w:val="007077F1"/>
    <w:rsid w:val="00707899"/>
    <w:rsid w:val="00707BBB"/>
    <w:rsid w:val="00707C5D"/>
    <w:rsid w:val="0071038D"/>
    <w:rsid w:val="007104C0"/>
    <w:rsid w:val="00710573"/>
    <w:rsid w:val="00710821"/>
    <w:rsid w:val="00710C35"/>
    <w:rsid w:val="00710EEA"/>
    <w:rsid w:val="0071175B"/>
    <w:rsid w:val="00711C69"/>
    <w:rsid w:val="00711CC7"/>
    <w:rsid w:val="00711EF1"/>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6F3B"/>
    <w:rsid w:val="00717070"/>
    <w:rsid w:val="0071710C"/>
    <w:rsid w:val="0071731C"/>
    <w:rsid w:val="00717338"/>
    <w:rsid w:val="00717755"/>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615"/>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3B0"/>
    <w:rsid w:val="007453FD"/>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83A"/>
    <w:rsid w:val="00752E9D"/>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155"/>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672D4"/>
    <w:rsid w:val="00770032"/>
    <w:rsid w:val="007700C7"/>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6007"/>
    <w:rsid w:val="0077705A"/>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27"/>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5FA"/>
    <w:rsid w:val="00790642"/>
    <w:rsid w:val="00790C07"/>
    <w:rsid w:val="00790C2A"/>
    <w:rsid w:val="00790F32"/>
    <w:rsid w:val="00791056"/>
    <w:rsid w:val="00791236"/>
    <w:rsid w:val="007914EB"/>
    <w:rsid w:val="0079154D"/>
    <w:rsid w:val="007927BD"/>
    <w:rsid w:val="00792851"/>
    <w:rsid w:val="00792B0A"/>
    <w:rsid w:val="00792EA6"/>
    <w:rsid w:val="00793DD0"/>
    <w:rsid w:val="00793F51"/>
    <w:rsid w:val="00794662"/>
    <w:rsid w:val="007946A0"/>
    <w:rsid w:val="00794DBA"/>
    <w:rsid w:val="00795B1F"/>
    <w:rsid w:val="00796656"/>
    <w:rsid w:val="00796CE4"/>
    <w:rsid w:val="007976D4"/>
    <w:rsid w:val="007978C1"/>
    <w:rsid w:val="00797A40"/>
    <w:rsid w:val="007A08A9"/>
    <w:rsid w:val="007A11A5"/>
    <w:rsid w:val="007A1399"/>
    <w:rsid w:val="007A1EA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6F4"/>
    <w:rsid w:val="007B4731"/>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1AAE"/>
    <w:rsid w:val="007D249B"/>
    <w:rsid w:val="007D2AAD"/>
    <w:rsid w:val="007D306B"/>
    <w:rsid w:val="007D31F3"/>
    <w:rsid w:val="007D34CA"/>
    <w:rsid w:val="007D387D"/>
    <w:rsid w:val="007D45C2"/>
    <w:rsid w:val="007D4738"/>
    <w:rsid w:val="007D48F4"/>
    <w:rsid w:val="007D4EC0"/>
    <w:rsid w:val="007D50A3"/>
    <w:rsid w:val="007D5A1C"/>
    <w:rsid w:val="007D5AFD"/>
    <w:rsid w:val="007D67FB"/>
    <w:rsid w:val="007D6A27"/>
    <w:rsid w:val="007D6A91"/>
    <w:rsid w:val="007D6B6A"/>
    <w:rsid w:val="007D6F07"/>
    <w:rsid w:val="007D71CB"/>
    <w:rsid w:val="007D7938"/>
    <w:rsid w:val="007E0097"/>
    <w:rsid w:val="007E02BE"/>
    <w:rsid w:val="007E0980"/>
    <w:rsid w:val="007E12CF"/>
    <w:rsid w:val="007E15E2"/>
    <w:rsid w:val="007E1C62"/>
    <w:rsid w:val="007E213A"/>
    <w:rsid w:val="007E21B6"/>
    <w:rsid w:val="007E2F63"/>
    <w:rsid w:val="007E314E"/>
    <w:rsid w:val="007E317F"/>
    <w:rsid w:val="007E3C64"/>
    <w:rsid w:val="007E42E7"/>
    <w:rsid w:val="007E480B"/>
    <w:rsid w:val="007E547E"/>
    <w:rsid w:val="007E57DA"/>
    <w:rsid w:val="007E59F7"/>
    <w:rsid w:val="007E6E24"/>
    <w:rsid w:val="007E7147"/>
    <w:rsid w:val="007F045E"/>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080"/>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7B5"/>
    <w:rsid w:val="007F780C"/>
    <w:rsid w:val="007F7F46"/>
    <w:rsid w:val="00800139"/>
    <w:rsid w:val="008002C6"/>
    <w:rsid w:val="008003F6"/>
    <w:rsid w:val="008011F8"/>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65A"/>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4A8"/>
    <w:rsid w:val="008405C0"/>
    <w:rsid w:val="00840A81"/>
    <w:rsid w:val="0084119E"/>
    <w:rsid w:val="0084159B"/>
    <w:rsid w:val="008419CE"/>
    <w:rsid w:val="0084213A"/>
    <w:rsid w:val="00842650"/>
    <w:rsid w:val="00842A29"/>
    <w:rsid w:val="008436FF"/>
    <w:rsid w:val="00844168"/>
    <w:rsid w:val="00844879"/>
    <w:rsid w:val="008448D5"/>
    <w:rsid w:val="00844BA3"/>
    <w:rsid w:val="0084526F"/>
    <w:rsid w:val="00845751"/>
    <w:rsid w:val="008457CA"/>
    <w:rsid w:val="00845B6E"/>
    <w:rsid w:val="0084636A"/>
    <w:rsid w:val="0084637A"/>
    <w:rsid w:val="008464C3"/>
    <w:rsid w:val="00846FCE"/>
    <w:rsid w:val="008477F7"/>
    <w:rsid w:val="00847A0F"/>
    <w:rsid w:val="00847EB6"/>
    <w:rsid w:val="00850026"/>
    <w:rsid w:val="00850548"/>
    <w:rsid w:val="008507E6"/>
    <w:rsid w:val="008509C9"/>
    <w:rsid w:val="008510CB"/>
    <w:rsid w:val="00851C6B"/>
    <w:rsid w:val="00851D0A"/>
    <w:rsid w:val="00852383"/>
    <w:rsid w:val="00852ECE"/>
    <w:rsid w:val="008534ED"/>
    <w:rsid w:val="00853AFB"/>
    <w:rsid w:val="00853B2D"/>
    <w:rsid w:val="00853D0C"/>
    <w:rsid w:val="00854107"/>
    <w:rsid w:val="00854190"/>
    <w:rsid w:val="00854194"/>
    <w:rsid w:val="00854481"/>
    <w:rsid w:val="0085459B"/>
    <w:rsid w:val="008549FC"/>
    <w:rsid w:val="00854DBE"/>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A4"/>
    <w:rsid w:val="00860CEA"/>
    <w:rsid w:val="00860E43"/>
    <w:rsid w:val="0086146D"/>
    <w:rsid w:val="008618FC"/>
    <w:rsid w:val="00861991"/>
    <w:rsid w:val="008626FC"/>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76FFA"/>
    <w:rsid w:val="00880256"/>
    <w:rsid w:val="00880284"/>
    <w:rsid w:val="008802EC"/>
    <w:rsid w:val="00880329"/>
    <w:rsid w:val="00880D8B"/>
    <w:rsid w:val="00880FE2"/>
    <w:rsid w:val="00881083"/>
    <w:rsid w:val="008819C3"/>
    <w:rsid w:val="00881AB2"/>
    <w:rsid w:val="0088255E"/>
    <w:rsid w:val="00882963"/>
    <w:rsid w:val="00882FA5"/>
    <w:rsid w:val="008831F7"/>
    <w:rsid w:val="0088359C"/>
    <w:rsid w:val="00883E4F"/>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1A"/>
    <w:rsid w:val="00890B55"/>
    <w:rsid w:val="0089121F"/>
    <w:rsid w:val="008916D8"/>
    <w:rsid w:val="008918FC"/>
    <w:rsid w:val="00891D23"/>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6CF5"/>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6FF9"/>
    <w:rsid w:val="008B73E0"/>
    <w:rsid w:val="008B7885"/>
    <w:rsid w:val="008B7D39"/>
    <w:rsid w:val="008C013F"/>
    <w:rsid w:val="008C103F"/>
    <w:rsid w:val="008C1820"/>
    <w:rsid w:val="008C18FD"/>
    <w:rsid w:val="008C1A52"/>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8C5"/>
    <w:rsid w:val="008C79B4"/>
    <w:rsid w:val="008C7F90"/>
    <w:rsid w:val="008D00B5"/>
    <w:rsid w:val="008D0180"/>
    <w:rsid w:val="008D0721"/>
    <w:rsid w:val="008D09A9"/>
    <w:rsid w:val="008D0A2E"/>
    <w:rsid w:val="008D0A55"/>
    <w:rsid w:val="008D151F"/>
    <w:rsid w:val="008D1FBA"/>
    <w:rsid w:val="008D2053"/>
    <w:rsid w:val="008D24E0"/>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34C"/>
    <w:rsid w:val="008E5559"/>
    <w:rsid w:val="008E5816"/>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039B"/>
    <w:rsid w:val="009010F9"/>
    <w:rsid w:val="0090129C"/>
    <w:rsid w:val="00903328"/>
    <w:rsid w:val="009036A8"/>
    <w:rsid w:val="00903B09"/>
    <w:rsid w:val="009048F0"/>
    <w:rsid w:val="00904CBF"/>
    <w:rsid w:val="00904FE3"/>
    <w:rsid w:val="0090508B"/>
    <w:rsid w:val="00905885"/>
    <w:rsid w:val="00905F50"/>
    <w:rsid w:val="0090605D"/>
    <w:rsid w:val="00906AF9"/>
    <w:rsid w:val="00907220"/>
    <w:rsid w:val="00907297"/>
    <w:rsid w:val="00907326"/>
    <w:rsid w:val="00907933"/>
    <w:rsid w:val="00910263"/>
    <w:rsid w:val="00910421"/>
    <w:rsid w:val="00910574"/>
    <w:rsid w:val="00910F74"/>
    <w:rsid w:val="00911135"/>
    <w:rsid w:val="009111E9"/>
    <w:rsid w:val="009117EB"/>
    <w:rsid w:val="00911B5E"/>
    <w:rsid w:val="0091219C"/>
    <w:rsid w:val="00912901"/>
    <w:rsid w:val="00912945"/>
    <w:rsid w:val="00912C67"/>
    <w:rsid w:val="009131C4"/>
    <w:rsid w:val="0091354A"/>
    <w:rsid w:val="00913727"/>
    <w:rsid w:val="00913F7F"/>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2E68"/>
    <w:rsid w:val="0093309D"/>
    <w:rsid w:val="00933219"/>
    <w:rsid w:val="00933F6B"/>
    <w:rsid w:val="00934A6C"/>
    <w:rsid w:val="00934B1E"/>
    <w:rsid w:val="00934F66"/>
    <w:rsid w:val="00935A5F"/>
    <w:rsid w:val="00935CAF"/>
    <w:rsid w:val="00935EDA"/>
    <w:rsid w:val="0093645F"/>
    <w:rsid w:val="00936B4B"/>
    <w:rsid w:val="00936F6A"/>
    <w:rsid w:val="009373FB"/>
    <w:rsid w:val="00937436"/>
    <w:rsid w:val="0094023F"/>
    <w:rsid w:val="00940723"/>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7C5"/>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4EDC"/>
    <w:rsid w:val="0096570A"/>
    <w:rsid w:val="0096597E"/>
    <w:rsid w:val="00965FE4"/>
    <w:rsid w:val="009665FF"/>
    <w:rsid w:val="0096687C"/>
    <w:rsid w:val="00966A21"/>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757"/>
    <w:rsid w:val="009769B2"/>
    <w:rsid w:val="00976D68"/>
    <w:rsid w:val="00976DFB"/>
    <w:rsid w:val="009776A9"/>
    <w:rsid w:val="009777C1"/>
    <w:rsid w:val="009779F4"/>
    <w:rsid w:val="00977F1B"/>
    <w:rsid w:val="00980013"/>
    <w:rsid w:val="00980B5C"/>
    <w:rsid w:val="0098179A"/>
    <w:rsid w:val="0098209F"/>
    <w:rsid w:val="009825CA"/>
    <w:rsid w:val="00982967"/>
    <w:rsid w:val="00983817"/>
    <w:rsid w:val="00983C71"/>
    <w:rsid w:val="00983E46"/>
    <w:rsid w:val="009846F7"/>
    <w:rsid w:val="009848DB"/>
    <w:rsid w:val="009853A2"/>
    <w:rsid w:val="0098546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D03"/>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AB8"/>
    <w:rsid w:val="009A6EB8"/>
    <w:rsid w:val="009A70C4"/>
    <w:rsid w:val="009A7B93"/>
    <w:rsid w:val="009A7CE1"/>
    <w:rsid w:val="009A7E5C"/>
    <w:rsid w:val="009B013E"/>
    <w:rsid w:val="009B0237"/>
    <w:rsid w:val="009B03A5"/>
    <w:rsid w:val="009B097E"/>
    <w:rsid w:val="009B0D08"/>
    <w:rsid w:val="009B0E57"/>
    <w:rsid w:val="009B1371"/>
    <w:rsid w:val="009B1D72"/>
    <w:rsid w:val="009B1F76"/>
    <w:rsid w:val="009B25CD"/>
    <w:rsid w:val="009B2629"/>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2ACE"/>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C77AF"/>
    <w:rsid w:val="009D045F"/>
    <w:rsid w:val="009D05BF"/>
    <w:rsid w:val="009D060D"/>
    <w:rsid w:val="009D07C3"/>
    <w:rsid w:val="009D0A8F"/>
    <w:rsid w:val="009D0EBC"/>
    <w:rsid w:val="009D0FF8"/>
    <w:rsid w:val="009D19E0"/>
    <w:rsid w:val="009D1A77"/>
    <w:rsid w:val="009D1B63"/>
    <w:rsid w:val="009D1BEC"/>
    <w:rsid w:val="009D1E9D"/>
    <w:rsid w:val="009D1F60"/>
    <w:rsid w:val="009D203E"/>
    <w:rsid w:val="009D227B"/>
    <w:rsid w:val="009D22E3"/>
    <w:rsid w:val="009D2EB9"/>
    <w:rsid w:val="009D2EBA"/>
    <w:rsid w:val="009D2FC6"/>
    <w:rsid w:val="009D3148"/>
    <w:rsid w:val="009D3702"/>
    <w:rsid w:val="009D388C"/>
    <w:rsid w:val="009D3993"/>
    <w:rsid w:val="009D3E01"/>
    <w:rsid w:val="009D435B"/>
    <w:rsid w:val="009D44D6"/>
    <w:rsid w:val="009D4C66"/>
    <w:rsid w:val="009D5283"/>
    <w:rsid w:val="009D5305"/>
    <w:rsid w:val="009D568A"/>
    <w:rsid w:val="009D5B8D"/>
    <w:rsid w:val="009D628D"/>
    <w:rsid w:val="009D6497"/>
    <w:rsid w:val="009D71FF"/>
    <w:rsid w:val="009D798A"/>
    <w:rsid w:val="009D7E3B"/>
    <w:rsid w:val="009E0097"/>
    <w:rsid w:val="009E0419"/>
    <w:rsid w:val="009E0557"/>
    <w:rsid w:val="009E0720"/>
    <w:rsid w:val="009E0970"/>
    <w:rsid w:val="009E0F3D"/>
    <w:rsid w:val="009E2426"/>
    <w:rsid w:val="009E25BC"/>
    <w:rsid w:val="009E304F"/>
    <w:rsid w:val="009E3553"/>
    <w:rsid w:val="009E3C2E"/>
    <w:rsid w:val="009E4AD6"/>
    <w:rsid w:val="009E4AE5"/>
    <w:rsid w:val="009E543F"/>
    <w:rsid w:val="009E5700"/>
    <w:rsid w:val="009E5BDB"/>
    <w:rsid w:val="009E5F82"/>
    <w:rsid w:val="009E6CCC"/>
    <w:rsid w:val="009E75BB"/>
    <w:rsid w:val="009E76BB"/>
    <w:rsid w:val="009E7CE5"/>
    <w:rsid w:val="009E7D99"/>
    <w:rsid w:val="009F01A8"/>
    <w:rsid w:val="009F033E"/>
    <w:rsid w:val="009F03F4"/>
    <w:rsid w:val="009F0675"/>
    <w:rsid w:val="009F0E49"/>
    <w:rsid w:val="009F1386"/>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8C2"/>
    <w:rsid w:val="009F6C52"/>
    <w:rsid w:val="009F6CB1"/>
    <w:rsid w:val="009F731E"/>
    <w:rsid w:val="009F7795"/>
    <w:rsid w:val="009F786B"/>
    <w:rsid w:val="009F797E"/>
    <w:rsid w:val="009F79CF"/>
    <w:rsid w:val="00A001FE"/>
    <w:rsid w:val="00A00322"/>
    <w:rsid w:val="00A00611"/>
    <w:rsid w:val="00A00944"/>
    <w:rsid w:val="00A0169A"/>
    <w:rsid w:val="00A01F0D"/>
    <w:rsid w:val="00A027BA"/>
    <w:rsid w:val="00A02C8D"/>
    <w:rsid w:val="00A02DD0"/>
    <w:rsid w:val="00A036A0"/>
    <w:rsid w:val="00A037A4"/>
    <w:rsid w:val="00A03C3A"/>
    <w:rsid w:val="00A040E8"/>
    <w:rsid w:val="00A0455D"/>
    <w:rsid w:val="00A045C5"/>
    <w:rsid w:val="00A046B0"/>
    <w:rsid w:val="00A04899"/>
    <w:rsid w:val="00A04950"/>
    <w:rsid w:val="00A04B51"/>
    <w:rsid w:val="00A04EA7"/>
    <w:rsid w:val="00A058AB"/>
    <w:rsid w:val="00A0606A"/>
    <w:rsid w:val="00A06F24"/>
    <w:rsid w:val="00A071AD"/>
    <w:rsid w:val="00A07267"/>
    <w:rsid w:val="00A0728A"/>
    <w:rsid w:val="00A0730C"/>
    <w:rsid w:val="00A07AE8"/>
    <w:rsid w:val="00A07B90"/>
    <w:rsid w:val="00A1035E"/>
    <w:rsid w:val="00A1102D"/>
    <w:rsid w:val="00A112DB"/>
    <w:rsid w:val="00A11343"/>
    <w:rsid w:val="00A11791"/>
    <w:rsid w:val="00A11829"/>
    <w:rsid w:val="00A11EC6"/>
    <w:rsid w:val="00A1281A"/>
    <w:rsid w:val="00A1370A"/>
    <w:rsid w:val="00A13B19"/>
    <w:rsid w:val="00A13DB2"/>
    <w:rsid w:val="00A13DF0"/>
    <w:rsid w:val="00A13F70"/>
    <w:rsid w:val="00A141F8"/>
    <w:rsid w:val="00A142F3"/>
    <w:rsid w:val="00A14C03"/>
    <w:rsid w:val="00A14CC1"/>
    <w:rsid w:val="00A14E0C"/>
    <w:rsid w:val="00A1537F"/>
    <w:rsid w:val="00A15BA0"/>
    <w:rsid w:val="00A15C20"/>
    <w:rsid w:val="00A15C66"/>
    <w:rsid w:val="00A16FFF"/>
    <w:rsid w:val="00A17B4E"/>
    <w:rsid w:val="00A17C8D"/>
    <w:rsid w:val="00A200E2"/>
    <w:rsid w:val="00A20208"/>
    <w:rsid w:val="00A20244"/>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379A1"/>
    <w:rsid w:val="00A402A4"/>
    <w:rsid w:val="00A405CF"/>
    <w:rsid w:val="00A40C38"/>
    <w:rsid w:val="00A4100F"/>
    <w:rsid w:val="00A41673"/>
    <w:rsid w:val="00A41698"/>
    <w:rsid w:val="00A4174B"/>
    <w:rsid w:val="00A41A4F"/>
    <w:rsid w:val="00A41B59"/>
    <w:rsid w:val="00A41BA7"/>
    <w:rsid w:val="00A41C09"/>
    <w:rsid w:val="00A41E5B"/>
    <w:rsid w:val="00A41F7D"/>
    <w:rsid w:val="00A41F99"/>
    <w:rsid w:val="00A42194"/>
    <w:rsid w:val="00A42278"/>
    <w:rsid w:val="00A42338"/>
    <w:rsid w:val="00A4292C"/>
    <w:rsid w:val="00A429F9"/>
    <w:rsid w:val="00A42DBA"/>
    <w:rsid w:val="00A4343E"/>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AD4"/>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5DFD"/>
    <w:rsid w:val="00A56472"/>
    <w:rsid w:val="00A5662C"/>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1E83"/>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17BC"/>
    <w:rsid w:val="00A9219F"/>
    <w:rsid w:val="00A92BCC"/>
    <w:rsid w:val="00A932E8"/>
    <w:rsid w:val="00A93955"/>
    <w:rsid w:val="00A93B28"/>
    <w:rsid w:val="00A93CDD"/>
    <w:rsid w:val="00A93D07"/>
    <w:rsid w:val="00A941DD"/>
    <w:rsid w:val="00A9435D"/>
    <w:rsid w:val="00A94D25"/>
    <w:rsid w:val="00A94F84"/>
    <w:rsid w:val="00A94FE2"/>
    <w:rsid w:val="00A94FF9"/>
    <w:rsid w:val="00A95186"/>
    <w:rsid w:val="00A95527"/>
    <w:rsid w:val="00A959EB"/>
    <w:rsid w:val="00A95A25"/>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B39"/>
    <w:rsid w:val="00AA2C48"/>
    <w:rsid w:val="00AA36F1"/>
    <w:rsid w:val="00AA3864"/>
    <w:rsid w:val="00AA38A9"/>
    <w:rsid w:val="00AA399A"/>
    <w:rsid w:val="00AA3A6B"/>
    <w:rsid w:val="00AA3A9E"/>
    <w:rsid w:val="00AA3E93"/>
    <w:rsid w:val="00AA44FF"/>
    <w:rsid w:val="00AA4565"/>
    <w:rsid w:val="00AA4BE4"/>
    <w:rsid w:val="00AA55D4"/>
    <w:rsid w:val="00AA5ABD"/>
    <w:rsid w:val="00AA614B"/>
    <w:rsid w:val="00AA61F2"/>
    <w:rsid w:val="00AA6C5A"/>
    <w:rsid w:val="00AA6D3C"/>
    <w:rsid w:val="00AA6F9D"/>
    <w:rsid w:val="00AA6FCF"/>
    <w:rsid w:val="00AA748E"/>
    <w:rsid w:val="00AA781B"/>
    <w:rsid w:val="00AA79CB"/>
    <w:rsid w:val="00AA7CAD"/>
    <w:rsid w:val="00AB06D9"/>
    <w:rsid w:val="00AB0E3A"/>
    <w:rsid w:val="00AB2323"/>
    <w:rsid w:val="00AB2A4A"/>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3A5"/>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C7FD5"/>
    <w:rsid w:val="00AD0512"/>
    <w:rsid w:val="00AD112D"/>
    <w:rsid w:val="00AD1170"/>
    <w:rsid w:val="00AD1345"/>
    <w:rsid w:val="00AD1722"/>
    <w:rsid w:val="00AD1917"/>
    <w:rsid w:val="00AD1BDB"/>
    <w:rsid w:val="00AD1C83"/>
    <w:rsid w:val="00AD25D0"/>
    <w:rsid w:val="00AD2771"/>
    <w:rsid w:val="00AD2AAC"/>
    <w:rsid w:val="00AD2D74"/>
    <w:rsid w:val="00AD33CB"/>
    <w:rsid w:val="00AD3A86"/>
    <w:rsid w:val="00AD3AAE"/>
    <w:rsid w:val="00AD3B62"/>
    <w:rsid w:val="00AD3F01"/>
    <w:rsid w:val="00AD42D5"/>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0E3F"/>
    <w:rsid w:val="00AE1543"/>
    <w:rsid w:val="00AE1669"/>
    <w:rsid w:val="00AE16A2"/>
    <w:rsid w:val="00AE1BD4"/>
    <w:rsid w:val="00AE1C6A"/>
    <w:rsid w:val="00AE22B7"/>
    <w:rsid w:val="00AE2314"/>
    <w:rsid w:val="00AE284F"/>
    <w:rsid w:val="00AE2A3A"/>
    <w:rsid w:val="00AE2DD7"/>
    <w:rsid w:val="00AE319C"/>
    <w:rsid w:val="00AE3D22"/>
    <w:rsid w:val="00AE3D82"/>
    <w:rsid w:val="00AE438F"/>
    <w:rsid w:val="00AE4415"/>
    <w:rsid w:val="00AE4538"/>
    <w:rsid w:val="00AE4C03"/>
    <w:rsid w:val="00AE5436"/>
    <w:rsid w:val="00AE5690"/>
    <w:rsid w:val="00AE57B3"/>
    <w:rsid w:val="00AE57F5"/>
    <w:rsid w:val="00AE5DF2"/>
    <w:rsid w:val="00AE612E"/>
    <w:rsid w:val="00AE643A"/>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77D"/>
    <w:rsid w:val="00B0099E"/>
    <w:rsid w:val="00B01951"/>
    <w:rsid w:val="00B019AF"/>
    <w:rsid w:val="00B0298F"/>
    <w:rsid w:val="00B02A82"/>
    <w:rsid w:val="00B0312C"/>
    <w:rsid w:val="00B03156"/>
    <w:rsid w:val="00B03224"/>
    <w:rsid w:val="00B03273"/>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1EFE"/>
    <w:rsid w:val="00B12437"/>
    <w:rsid w:val="00B1313A"/>
    <w:rsid w:val="00B13675"/>
    <w:rsid w:val="00B1368E"/>
    <w:rsid w:val="00B150CF"/>
    <w:rsid w:val="00B1574A"/>
    <w:rsid w:val="00B16344"/>
    <w:rsid w:val="00B16E5A"/>
    <w:rsid w:val="00B17B47"/>
    <w:rsid w:val="00B17D03"/>
    <w:rsid w:val="00B20080"/>
    <w:rsid w:val="00B20149"/>
    <w:rsid w:val="00B20402"/>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899"/>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09D"/>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9CF"/>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1DC1"/>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05A8"/>
    <w:rsid w:val="00B81132"/>
    <w:rsid w:val="00B81BCA"/>
    <w:rsid w:val="00B81E73"/>
    <w:rsid w:val="00B82011"/>
    <w:rsid w:val="00B82214"/>
    <w:rsid w:val="00B82E6C"/>
    <w:rsid w:val="00B830A3"/>
    <w:rsid w:val="00B83593"/>
    <w:rsid w:val="00B83B6C"/>
    <w:rsid w:val="00B83C90"/>
    <w:rsid w:val="00B83F58"/>
    <w:rsid w:val="00B84044"/>
    <w:rsid w:val="00B842E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2F0A"/>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CD0"/>
    <w:rsid w:val="00BA1EEF"/>
    <w:rsid w:val="00BA222C"/>
    <w:rsid w:val="00BA26B4"/>
    <w:rsid w:val="00BA3D40"/>
    <w:rsid w:val="00BA42E9"/>
    <w:rsid w:val="00BA4BB9"/>
    <w:rsid w:val="00BA54EB"/>
    <w:rsid w:val="00BA57B6"/>
    <w:rsid w:val="00BA5CBC"/>
    <w:rsid w:val="00BA6ED6"/>
    <w:rsid w:val="00BA720A"/>
    <w:rsid w:val="00BA747F"/>
    <w:rsid w:val="00BA78FB"/>
    <w:rsid w:val="00BA7FFE"/>
    <w:rsid w:val="00BB04DE"/>
    <w:rsid w:val="00BB05CF"/>
    <w:rsid w:val="00BB0B30"/>
    <w:rsid w:val="00BB0E41"/>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3F9"/>
    <w:rsid w:val="00BD4451"/>
    <w:rsid w:val="00BD4AD2"/>
    <w:rsid w:val="00BD4ADB"/>
    <w:rsid w:val="00BD4AFF"/>
    <w:rsid w:val="00BD4D87"/>
    <w:rsid w:val="00BD5202"/>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1F75"/>
    <w:rsid w:val="00BE2285"/>
    <w:rsid w:val="00BE2486"/>
    <w:rsid w:val="00BE251E"/>
    <w:rsid w:val="00BE2819"/>
    <w:rsid w:val="00BE2AB0"/>
    <w:rsid w:val="00BE3228"/>
    <w:rsid w:val="00BE3923"/>
    <w:rsid w:val="00BE4138"/>
    <w:rsid w:val="00BE44BF"/>
    <w:rsid w:val="00BE4DE3"/>
    <w:rsid w:val="00BE5024"/>
    <w:rsid w:val="00BE55D2"/>
    <w:rsid w:val="00BE5D77"/>
    <w:rsid w:val="00BE5D94"/>
    <w:rsid w:val="00BE6049"/>
    <w:rsid w:val="00BE69B0"/>
    <w:rsid w:val="00BE6E5F"/>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74D"/>
    <w:rsid w:val="00C0194C"/>
    <w:rsid w:val="00C01AAA"/>
    <w:rsid w:val="00C01D77"/>
    <w:rsid w:val="00C02929"/>
    <w:rsid w:val="00C02933"/>
    <w:rsid w:val="00C029A2"/>
    <w:rsid w:val="00C02AD1"/>
    <w:rsid w:val="00C02BD7"/>
    <w:rsid w:val="00C032D4"/>
    <w:rsid w:val="00C03692"/>
    <w:rsid w:val="00C03A9E"/>
    <w:rsid w:val="00C03E9E"/>
    <w:rsid w:val="00C0408A"/>
    <w:rsid w:val="00C05B0D"/>
    <w:rsid w:val="00C05BDD"/>
    <w:rsid w:val="00C05CFA"/>
    <w:rsid w:val="00C0676D"/>
    <w:rsid w:val="00C070BF"/>
    <w:rsid w:val="00C07146"/>
    <w:rsid w:val="00C07362"/>
    <w:rsid w:val="00C07ECA"/>
    <w:rsid w:val="00C07FBE"/>
    <w:rsid w:val="00C10A16"/>
    <w:rsid w:val="00C10D65"/>
    <w:rsid w:val="00C10D78"/>
    <w:rsid w:val="00C114A1"/>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5F3D"/>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0F0"/>
    <w:rsid w:val="00C23482"/>
    <w:rsid w:val="00C2397D"/>
    <w:rsid w:val="00C23BE6"/>
    <w:rsid w:val="00C23C02"/>
    <w:rsid w:val="00C24862"/>
    <w:rsid w:val="00C24C46"/>
    <w:rsid w:val="00C24FFF"/>
    <w:rsid w:val="00C25348"/>
    <w:rsid w:val="00C2581A"/>
    <w:rsid w:val="00C25CD0"/>
    <w:rsid w:val="00C26518"/>
    <w:rsid w:val="00C265C3"/>
    <w:rsid w:val="00C267D1"/>
    <w:rsid w:val="00C26EBA"/>
    <w:rsid w:val="00C270DD"/>
    <w:rsid w:val="00C27DF1"/>
    <w:rsid w:val="00C3105E"/>
    <w:rsid w:val="00C3147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5F2"/>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545"/>
    <w:rsid w:val="00C51AC1"/>
    <w:rsid w:val="00C5244C"/>
    <w:rsid w:val="00C52677"/>
    <w:rsid w:val="00C52733"/>
    <w:rsid w:val="00C52FE8"/>
    <w:rsid w:val="00C539A4"/>
    <w:rsid w:val="00C53B5A"/>
    <w:rsid w:val="00C53C5E"/>
    <w:rsid w:val="00C54006"/>
    <w:rsid w:val="00C54047"/>
    <w:rsid w:val="00C545EB"/>
    <w:rsid w:val="00C54897"/>
    <w:rsid w:val="00C54ABC"/>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868"/>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FED"/>
    <w:rsid w:val="00C900E3"/>
    <w:rsid w:val="00C90299"/>
    <w:rsid w:val="00C908E2"/>
    <w:rsid w:val="00C91136"/>
    <w:rsid w:val="00C9126E"/>
    <w:rsid w:val="00C914B9"/>
    <w:rsid w:val="00C91692"/>
    <w:rsid w:val="00C91A36"/>
    <w:rsid w:val="00C92614"/>
    <w:rsid w:val="00C92779"/>
    <w:rsid w:val="00C92BF9"/>
    <w:rsid w:val="00C92FC9"/>
    <w:rsid w:val="00C931F2"/>
    <w:rsid w:val="00C93376"/>
    <w:rsid w:val="00C93945"/>
    <w:rsid w:val="00C93AB6"/>
    <w:rsid w:val="00C94627"/>
    <w:rsid w:val="00C94D30"/>
    <w:rsid w:val="00C94ECA"/>
    <w:rsid w:val="00C9562A"/>
    <w:rsid w:val="00C95ADE"/>
    <w:rsid w:val="00C95DC2"/>
    <w:rsid w:val="00C966EE"/>
    <w:rsid w:val="00C96783"/>
    <w:rsid w:val="00C96FF2"/>
    <w:rsid w:val="00C97565"/>
    <w:rsid w:val="00C97C9B"/>
    <w:rsid w:val="00CA008E"/>
    <w:rsid w:val="00CA01A5"/>
    <w:rsid w:val="00CA0799"/>
    <w:rsid w:val="00CA0A27"/>
    <w:rsid w:val="00CA0DAC"/>
    <w:rsid w:val="00CA1126"/>
    <w:rsid w:val="00CA144C"/>
    <w:rsid w:val="00CA1451"/>
    <w:rsid w:val="00CA14D5"/>
    <w:rsid w:val="00CA1A88"/>
    <w:rsid w:val="00CA1B69"/>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0E5C"/>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BDC"/>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093"/>
    <w:rsid w:val="00CC31F9"/>
    <w:rsid w:val="00CC3B25"/>
    <w:rsid w:val="00CC4226"/>
    <w:rsid w:val="00CC4255"/>
    <w:rsid w:val="00CC45A5"/>
    <w:rsid w:val="00CC4FC0"/>
    <w:rsid w:val="00CC5035"/>
    <w:rsid w:val="00CC5B7E"/>
    <w:rsid w:val="00CC5F00"/>
    <w:rsid w:val="00CC6D09"/>
    <w:rsid w:val="00CC7800"/>
    <w:rsid w:val="00CC79CE"/>
    <w:rsid w:val="00CC7A4F"/>
    <w:rsid w:val="00CD0131"/>
    <w:rsid w:val="00CD02EA"/>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60AC"/>
    <w:rsid w:val="00CD630E"/>
    <w:rsid w:val="00CD6876"/>
    <w:rsid w:val="00CD7D7A"/>
    <w:rsid w:val="00CE0946"/>
    <w:rsid w:val="00CE0C38"/>
    <w:rsid w:val="00CE0D51"/>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1F"/>
    <w:rsid w:val="00CF6BA5"/>
    <w:rsid w:val="00CF6FDA"/>
    <w:rsid w:val="00CF724E"/>
    <w:rsid w:val="00CF7B9E"/>
    <w:rsid w:val="00D0138E"/>
    <w:rsid w:val="00D0273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9EE"/>
    <w:rsid w:val="00D12B1F"/>
    <w:rsid w:val="00D12E2D"/>
    <w:rsid w:val="00D12EF8"/>
    <w:rsid w:val="00D130A3"/>
    <w:rsid w:val="00D138CD"/>
    <w:rsid w:val="00D13AF5"/>
    <w:rsid w:val="00D13E2E"/>
    <w:rsid w:val="00D14130"/>
    <w:rsid w:val="00D14B59"/>
    <w:rsid w:val="00D155AA"/>
    <w:rsid w:val="00D15646"/>
    <w:rsid w:val="00D1591C"/>
    <w:rsid w:val="00D15958"/>
    <w:rsid w:val="00D15B30"/>
    <w:rsid w:val="00D15EA9"/>
    <w:rsid w:val="00D16090"/>
    <w:rsid w:val="00D16295"/>
    <w:rsid w:val="00D162CD"/>
    <w:rsid w:val="00D16571"/>
    <w:rsid w:val="00D168B2"/>
    <w:rsid w:val="00D175B7"/>
    <w:rsid w:val="00D17748"/>
    <w:rsid w:val="00D17A58"/>
    <w:rsid w:val="00D17AEE"/>
    <w:rsid w:val="00D17B45"/>
    <w:rsid w:val="00D17E76"/>
    <w:rsid w:val="00D203CF"/>
    <w:rsid w:val="00D21136"/>
    <w:rsid w:val="00D22A91"/>
    <w:rsid w:val="00D22B1C"/>
    <w:rsid w:val="00D22D42"/>
    <w:rsid w:val="00D22DC1"/>
    <w:rsid w:val="00D23001"/>
    <w:rsid w:val="00D233EB"/>
    <w:rsid w:val="00D238D4"/>
    <w:rsid w:val="00D2425A"/>
    <w:rsid w:val="00D24451"/>
    <w:rsid w:val="00D24EF0"/>
    <w:rsid w:val="00D25D70"/>
    <w:rsid w:val="00D25E39"/>
    <w:rsid w:val="00D262B3"/>
    <w:rsid w:val="00D269E7"/>
    <w:rsid w:val="00D26F4D"/>
    <w:rsid w:val="00D26FF3"/>
    <w:rsid w:val="00D271AD"/>
    <w:rsid w:val="00D27D1B"/>
    <w:rsid w:val="00D27EAB"/>
    <w:rsid w:val="00D30759"/>
    <w:rsid w:val="00D30FEC"/>
    <w:rsid w:val="00D31727"/>
    <w:rsid w:val="00D31AEF"/>
    <w:rsid w:val="00D31BC6"/>
    <w:rsid w:val="00D31E4E"/>
    <w:rsid w:val="00D3254A"/>
    <w:rsid w:val="00D32ACC"/>
    <w:rsid w:val="00D32C7E"/>
    <w:rsid w:val="00D33087"/>
    <w:rsid w:val="00D330B2"/>
    <w:rsid w:val="00D3402B"/>
    <w:rsid w:val="00D34702"/>
    <w:rsid w:val="00D34EDF"/>
    <w:rsid w:val="00D350FB"/>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A89"/>
    <w:rsid w:val="00D50C96"/>
    <w:rsid w:val="00D50F36"/>
    <w:rsid w:val="00D51923"/>
    <w:rsid w:val="00D51BF0"/>
    <w:rsid w:val="00D51DFD"/>
    <w:rsid w:val="00D51E62"/>
    <w:rsid w:val="00D522B1"/>
    <w:rsid w:val="00D52DAF"/>
    <w:rsid w:val="00D53B48"/>
    <w:rsid w:val="00D53DFA"/>
    <w:rsid w:val="00D5436D"/>
    <w:rsid w:val="00D54378"/>
    <w:rsid w:val="00D54865"/>
    <w:rsid w:val="00D54889"/>
    <w:rsid w:val="00D54CC8"/>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5A7"/>
    <w:rsid w:val="00D80C0E"/>
    <w:rsid w:val="00D81149"/>
    <w:rsid w:val="00D812FB"/>
    <w:rsid w:val="00D816AC"/>
    <w:rsid w:val="00D81B7D"/>
    <w:rsid w:val="00D820DF"/>
    <w:rsid w:val="00D825DC"/>
    <w:rsid w:val="00D82608"/>
    <w:rsid w:val="00D82820"/>
    <w:rsid w:val="00D8285C"/>
    <w:rsid w:val="00D82A0C"/>
    <w:rsid w:val="00D82CAF"/>
    <w:rsid w:val="00D82F60"/>
    <w:rsid w:val="00D82F85"/>
    <w:rsid w:val="00D8302C"/>
    <w:rsid w:val="00D8337B"/>
    <w:rsid w:val="00D8349A"/>
    <w:rsid w:val="00D83659"/>
    <w:rsid w:val="00D83894"/>
    <w:rsid w:val="00D83EE4"/>
    <w:rsid w:val="00D84ABE"/>
    <w:rsid w:val="00D84C29"/>
    <w:rsid w:val="00D85027"/>
    <w:rsid w:val="00D85D5A"/>
    <w:rsid w:val="00D86149"/>
    <w:rsid w:val="00D862F6"/>
    <w:rsid w:val="00D8651E"/>
    <w:rsid w:val="00D86924"/>
    <w:rsid w:val="00D869DD"/>
    <w:rsid w:val="00D86D33"/>
    <w:rsid w:val="00D86E50"/>
    <w:rsid w:val="00D8723C"/>
    <w:rsid w:val="00D87455"/>
    <w:rsid w:val="00D90219"/>
    <w:rsid w:val="00D909DA"/>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B17"/>
    <w:rsid w:val="00DA0CB6"/>
    <w:rsid w:val="00DA1257"/>
    <w:rsid w:val="00DA16F7"/>
    <w:rsid w:val="00DA1B15"/>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693"/>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3B3"/>
    <w:rsid w:val="00DD0678"/>
    <w:rsid w:val="00DD14FE"/>
    <w:rsid w:val="00DD15D2"/>
    <w:rsid w:val="00DD187B"/>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C09"/>
    <w:rsid w:val="00DD7F1E"/>
    <w:rsid w:val="00DE01B6"/>
    <w:rsid w:val="00DE07AD"/>
    <w:rsid w:val="00DE0D4B"/>
    <w:rsid w:val="00DE1B1C"/>
    <w:rsid w:val="00DE29C0"/>
    <w:rsid w:val="00DE2EA5"/>
    <w:rsid w:val="00DE311C"/>
    <w:rsid w:val="00DE343B"/>
    <w:rsid w:val="00DE3E10"/>
    <w:rsid w:val="00DE40AA"/>
    <w:rsid w:val="00DE415F"/>
    <w:rsid w:val="00DE490B"/>
    <w:rsid w:val="00DE5926"/>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B2E"/>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DF8"/>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635"/>
    <w:rsid w:val="00E06764"/>
    <w:rsid w:val="00E06FF0"/>
    <w:rsid w:val="00E10677"/>
    <w:rsid w:val="00E106B0"/>
    <w:rsid w:val="00E10ADD"/>
    <w:rsid w:val="00E10C3C"/>
    <w:rsid w:val="00E10C88"/>
    <w:rsid w:val="00E11883"/>
    <w:rsid w:val="00E11FFF"/>
    <w:rsid w:val="00E1201F"/>
    <w:rsid w:val="00E12079"/>
    <w:rsid w:val="00E12EE7"/>
    <w:rsid w:val="00E13285"/>
    <w:rsid w:val="00E1376B"/>
    <w:rsid w:val="00E138F3"/>
    <w:rsid w:val="00E13950"/>
    <w:rsid w:val="00E13978"/>
    <w:rsid w:val="00E15355"/>
    <w:rsid w:val="00E1550C"/>
    <w:rsid w:val="00E156B0"/>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D30"/>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925"/>
    <w:rsid w:val="00E50EF3"/>
    <w:rsid w:val="00E51335"/>
    <w:rsid w:val="00E517EB"/>
    <w:rsid w:val="00E52BA6"/>
    <w:rsid w:val="00E53631"/>
    <w:rsid w:val="00E53C37"/>
    <w:rsid w:val="00E53D6B"/>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52F"/>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7765C"/>
    <w:rsid w:val="00E80014"/>
    <w:rsid w:val="00E8007C"/>
    <w:rsid w:val="00E803B7"/>
    <w:rsid w:val="00E805E3"/>
    <w:rsid w:val="00E807C9"/>
    <w:rsid w:val="00E810C1"/>
    <w:rsid w:val="00E81491"/>
    <w:rsid w:val="00E817DF"/>
    <w:rsid w:val="00E82150"/>
    <w:rsid w:val="00E8230D"/>
    <w:rsid w:val="00E8299C"/>
    <w:rsid w:val="00E82BC0"/>
    <w:rsid w:val="00E8344E"/>
    <w:rsid w:val="00E83645"/>
    <w:rsid w:val="00E83877"/>
    <w:rsid w:val="00E83AD6"/>
    <w:rsid w:val="00E84203"/>
    <w:rsid w:val="00E84276"/>
    <w:rsid w:val="00E842FD"/>
    <w:rsid w:val="00E84ABC"/>
    <w:rsid w:val="00E84AD0"/>
    <w:rsid w:val="00E8500A"/>
    <w:rsid w:val="00E853C7"/>
    <w:rsid w:val="00E8573C"/>
    <w:rsid w:val="00E85817"/>
    <w:rsid w:val="00E85AF4"/>
    <w:rsid w:val="00E860B7"/>
    <w:rsid w:val="00E86157"/>
    <w:rsid w:val="00E864BF"/>
    <w:rsid w:val="00E86600"/>
    <w:rsid w:val="00E86CEA"/>
    <w:rsid w:val="00E86CF9"/>
    <w:rsid w:val="00E86EE6"/>
    <w:rsid w:val="00E87015"/>
    <w:rsid w:val="00E8791E"/>
    <w:rsid w:val="00E87F32"/>
    <w:rsid w:val="00E907A3"/>
    <w:rsid w:val="00E9082B"/>
    <w:rsid w:val="00E90D87"/>
    <w:rsid w:val="00E925D9"/>
    <w:rsid w:val="00E92C1D"/>
    <w:rsid w:val="00E92F60"/>
    <w:rsid w:val="00E93233"/>
    <w:rsid w:val="00E935BA"/>
    <w:rsid w:val="00E93A7C"/>
    <w:rsid w:val="00E93D1F"/>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1966"/>
    <w:rsid w:val="00EA1B8C"/>
    <w:rsid w:val="00EA2197"/>
    <w:rsid w:val="00EA2340"/>
    <w:rsid w:val="00EA26C8"/>
    <w:rsid w:val="00EA2724"/>
    <w:rsid w:val="00EA2E69"/>
    <w:rsid w:val="00EA301F"/>
    <w:rsid w:val="00EA3900"/>
    <w:rsid w:val="00EA42E3"/>
    <w:rsid w:val="00EA43DF"/>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54B"/>
    <w:rsid w:val="00EB1B57"/>
    <w:rsid w:val="00EB1FA1"/>
    <w:rsid w:val="00EB2141"/>
    <w:rsid w:val="00EB2A26"/>
    <w:rsid w:val="00EB2DBC"/>
    <w:rsid w:val="00EB39EC"/>
    <w:rsid w:val="00EB3A3D"/>
    <w:rsid w:val="00EB3B99"/>
    <w:rsid w:val="00EB3C38"/>
    <w:rsid w:val="00EB3CD5"/>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22C"/>
    <w:rsid w:val="00EC73C9"/>
    <w:rsid w:val="00EC7621"/>
    <w:rsid w:val="00EC77C7"/>
    <w:rsid w:val="00EC7A79"/>
    <w:rsid w:val="00EC7EB2"/>
    <w:rsid w:val="00ED00A0"/>
    <w:rsid w:val="00ED04DC"/>
    <w:rsid w:val="00ED12BC"/>
    <w:rsid w:val="00ED1FBC"/>
    <w:rsid w:val="00ED204D"/>
    <w:rsid w:val="00ED223C"/>
    <w:rsid w:val="00ED2816"/>
    <w:rsid w:val="00ED2989"/>
    <w:rsid w:val="00ED2F30"/>
    <w:rsid w:val="00ED34C3"/>
    <w:rsid w:val="00ED3853"/>
    <w:rsid w:val="00ED3C64"/>
    <w:rsid w:val="00ED55F9"/>
    <w:rsid w:val="00ED5E05"/>
    <w:rsid w:val="00ED67E4"/>
    <w:rsid w:val="00ED685E"/>
    <w:rsid w:val="00ED691E"/>
    <w:rsid w:val="00ED7521"/>
    <w:rsid w:val="00ED78D5"/>
    <w:rsid w:val="00ED7CCC"/>
    <w:rsid w:val="00ED7FD1"/>
    <w:rsid w:val="00EE001E"/>
    <w:rsid w:val="00EE037F"/>
    <w:rsid w:val="00EE070C"/>
    <w:rsid w:val="00EE0CF9"/>
    <w:rsid w:val="00EE0EA2"/>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431"/>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C30"/>
    <w:rsid w:val="00EF2D6E"/>
    <w:rsid w:val="00EF368F"/>
    <w:rsid w:val="00EF371F"/>
    <w:rsid w:val="00EF3B44"/>
    <w:rsid w:val="00EF3C90"/>
    <w:rsid w:val="00EF3C9E"/>
    <w:rsid w:val="00EF47E3"/>
    <w:rsid w:val="00EF502B"/>
    <w:rsid w:val="00EF5291"/>
    <w:rsid w:val="00EF539B"/>
    <w:rsid w:val="00EF5CE8"/>
    <w:rsid w:val="00EF5E3C"/>
    <w:rsid w:val="00EF6263"/>
    <w:rsid w:val="00EF6395"/>
    <w:rsid w:val="00EF6595"/>
    <w:rsid w:val="00EF6825"/>
    <w:rsid w:val="00EF6929"/>
    <w:rsid w:val="00EF6EBE"/>
    <w:rsid w:val="00EF6F15"/>
    <w:rsid w:val="00EF7670"/>
    <w:rsid w:val="00F00345"/>
    <w:rsid w:val="00F00CF7"/>
    <w:rsid w:val="00F0127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6E9"/>
    <w:rsid w:val="00F14B3A"/>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B87"/>
    <w:rsid w:val="00F31E5C"/>
    <w:rsid w:val="00F31F26"/>
    <w:rsid w:val="00F3229A"/>
    <w:rsid w:val="00F32A15"/>
    <w:rsid w:val="00F34059"/>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490"/>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C6B"/>
    <w:rsid w:val="00F45D3D"/>
    <w:rsid w:val="00F46081"/>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091"/>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A9C"/>
    <w:rsid w:val="00F62CF9"/>
    <w:rsid w:val="00F62F43"/>
    <w:rsid w:val="00F6375C"/>
    <w:rsid w:val="00F63C10"/>
    <w:rsid w:val="00F64726"/>
    <w:rsid w:val="00F65927"/>
    <w:rsid w:val="00F65A0B"/>
    <w:rsid w:val="00F65C05"/>
    <w:rsid w:val="00F65C21"/>
    <w:rsid w:val="00F66073"/>
    <w:rsid w:val="00F66419"/>
    <w:rsid w:val="00F66512"/>
    <w:rsid w:val="00F6681D"/>
    <w:rsid w:val="00F66BB5"/>
    <w:rsid w:val="00F66C8C"/>
    <w:rsid w:val="00F66EE8"/>
    <w:rsid w:val="00F670CB"/>
    <w:rsid w:val="00F67769"/>
    <w:rsid w:val="00F67A1B"/>
    <w:rsid w:val="00F67E0C"/>
    <w:rsid w:val="00F703B4"/>
    <w:rsid w:val="00F704B5"/>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6A1"/>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6AB"/>
    <w:rsid w:val="00F95982"/>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470"/>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90"/>
    <w:rsid w:val="00FB05BB"/>
    <w:rsid w:val="00FB0BC0"/>
    <w:rsid w:val="00FB0C66"/>
    <w:rsid w:val="00FB0E77"/>
    <w:rsid w:val="00FB1673"/>
    <w:rsid w:val="00FB1C79"/>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2F92"/>
    <w:rsid w:val="00FC32AB"/>
    <w:rsid w:val="00FC34E5"/>
    <w:rsid w:val="00FC3B6C"/>
    <w:rsid w:val="00FC3FC7"/>
    <w:rsid w:val="00FC42DA"/>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39E"/>
    <w:rsid w:val="00FD76B0"/>
    <w:rsid w:val="00FD7AEB"/>
    <w:rsid w:val="00FD7BDB"/>
    <w:rsid w:val="00FD7DEF"/>
    <w:rsid w:val="00FD7DFA"/>
    <w:rsid w:val="00FD7EF1"/>
    <w:rsid w:val="00FD7F9B"/>
    <w:rsid w:val="00FE0317"/>
    <w:rsid w:val="00FE11AA"/>
    <w:rsid w:val="00FE12BD"/>
    <w:rsid w:val="00FE192C"/>
    <w:rsid w:val="00FE1CA7"/>
    <w:rsid w:val="00FE1D86"/>
    <w:rsid w:val="00FE1F45"/>
    <w:rsid w:val="00FE1F64"/>
    <w:rsid w:val="00FE2372"/>
    <w:rsid w:val="00FE2B4C"/>
    <w:rsid w:val="00FE3553"/>
    <w:rsid w:val="00FE4356"/>
    <w:rsid w:val="00FE4757"/>
    <w:rsid w:val="00FE4C70"/>
    <w:rsid w:val="00FE5669"/>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6B0"/>
    <w:rsid w:val="00FF2720"/>
    <w:rsid w:val="00FF2BBB"/>
    <w:rsid w:val="00FF2CB1"/>
    <w:rsid w:val="00FF2CBC"/>
    <w:rsid w:val="00FF2F91"/>
    <w:rsid w:val="00FF3811"/>
    <w:rsid w:val="00FF38C4"/>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0B1"/>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52411">
      <w:bodyDiv w:val="1"/>
      <w:marLeft w:val="0"/>
      <w:marRight w:val="0"/>
      <w:marTop w:val="0"/>
      <w:marBottom w:val="0"/>
      <w:divBdr>
        <w:top w:val="none" w:sz="0" w:space="0" w:color="auto"/>
        <w:left w:val="none" w:sz="0" w:space="0" w:color="auto"/>
        <w:bottom w:val="none" w:sz="0" w:space="0" w:color="auto"/>
        <w:right w:val="none" w:sz="0" w:space="0" w:color="auto"/>
      </w:divBdr>
    </w:div>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04152484">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3797640">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7493660">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9052149">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50567264">
      <w:bodyDiv w:val="1"/>
      <w:marLeft w:val="0"/>
      <w:marRight w:val="0"/>
      <w:marTop w:val="0"/>
      <w:marBottom w:val="0"/>
      <w:divBdr>
        <w:top w:val="none" w:sz="0" w:space="0" w:color="auto"/>
        <w:left w:val="none" w:sz="0" w:space="0" w:color="auto"/>
        <w:bottom w:val="none" w:sz="0" w:space="0" w:color="auto"/>
        <w:right w:val="none" w:sz="0" w:space="0" w:color="auto"/>
      </w:divBdr>
    </w:div>
    <w:div w:id="350767076">
      <w:bodyDiv w:val="1"/>
      <w:marLeft w:val="0"/>
      <w:marRight w:val="0"/>
      <w:marTop w:val="0"/>
      <w:marBottom w:val="0"/>
      <w:divBdr>
        <w:top w:val="none" w:sz="0" w:space="0" w:color="auto"/>
        <w:left w:val="none" w:sz="0" w:space="0" w:color="auto"/>
        <w:bottom w:val="none" w:sz="0" w:space="0" w:color="auto"/>
        <w:right w:val="none" w:sz="0" w:space="0" w:color="auto"/>
      </w:divBdr>
    </w:div>
    <w:div w:id="353922964">
      <w:bodyDiv w:val="1"/>
      <w:marLeft w:val="0"/>
      <w:marRight w:val="0"/>
      <w:marTop w:val="0"/>
      <w:marBottom w:val="0"/>
      <w:divBdr>
        <w:top w:val="none" w:sz="0" w:space="0" w:color="auto"/>
        <w:left w:val="none" w:sz="0" w:space="0" w:color="auto"/>
        <w:bottom w:val="none" w:sz="0" w:space="0" w:color="auto"/>
        <w:right w:val="none" w:sz="0" w:space="0" w:color="auto"/>
      </w:divBdr>
    </w:div>
    <w:div w:id="381635052">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3937312">
      <w:bodyDiv w:val="1"/>
      <w:marLeft w:val="0"/>
      <w:marRight w:val="0"/>
      <w:marTop w:val="0"/>
      <w:marBottom w:val="0"/>
      <w:divBdr>
        <w:top w:val="none" w:sz="0" w:space="0" w:color="auto"/>
        <w:left w:val="none" w:sz="0" w:space="0" w:color="auto"/>
        <w:bottom w:val="none" w:sz="0" w:space="0" w:color="auto"/>
        <w:right w:val="none" w:sz="0" w:space="0" w:color="auto"/>
      </w:divBdr>
      <w:divsChild>
        <w:div w:id="2069374055">
          <w:marLeft w:val="0"/>
          <w:marRight w:val="0"/>
          <w:marTop w:val="0"/>
          <w:marBottom w:val="0"/>
          <w:divBdr>
            <w:top w:val="none" w:sz="0" w:space="0" w:color="auto"/>
            <w:left w:val="none" w:sz="0" w:space="0" w:color="auto"/>
            <w:bottom w:val="none" w:sz="0" w:space="0" w:color="auto"/>
            <w:right w:val="none" w:sz="0" w:space="0" w:color="auto"/>
          </w:divBdr>
        </w:div>
      </w:divsChild>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01829362">
      <w:bodyDiv w:val="1"/>
      <w:marLeft w:val="0"/>
      <w:marRight w:val="0"/>
      <w:marTop w:val="0"/>
      <w:marBottom w:val="0"/>
      <w:divBdr>
        <w:top w:val="none" w:sz="0" w:space="0" w:color="auto"/>
        <w:left w:val="none" w:sz="0" w:space="0" w:color="auto"/>
        <w:bottom w:val="none" w:sz="0" w:space="0" w:color="auto"/>
        <w:right w:val="none" w:sz="0" w:space="0" w:color="auto"/>
      </w:divBdr>
    </w:div>
    <w:div w:id="408768525">
      <w:bodyDiv w:val="1"/>
      <w:marLeft w:val="0"/>
      <w:marRight w:val="0"/>
      <w:marTop w:val="0"/>
      <w:marBottom w:val="0"/>
      <w:divBdr>
        <w:top w:val="none" w:sz="0" w:space="0" w:color="auto"/>
        <w:left w:val="none" w:sz="0" w:space="0" w:color="auto"/>
        <w:bottom w:val="none" w:sz="0" w:space="0" w:color="auto"/>
        <w:right w:val="none" w:sz="0" w:space="0" w:color="auto"/>
      </w:divBdr>
      <w:divsChild>
        <w:div w:id="89787644">
          <w:marLeft w:val="0"/>
          <w:marRight w:val="0"/>
          <w:marTop w:val="0"/>
          <w:marBottom w:val="0"/>
          <w:divBdr>
            <w:top w:val="none" w:sz="0" w:space="0" w:color="auto"/>
            <w:left w:val="none" w:sz="0" w:space="0" w:color="auto"/>
            <w:bottom w:val="none" w:sz="0" w:space="0" w:color="auto"/>
            <w:right w:val="none" w:sz="0" w:space="0" w:color="auto"/>
          </w:divBdr>
        </w:div>
      </w:divsChild>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30667084">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486284636">
      <w:bodyDiv w:val="1"/>
      <w:marLeft w:val="0"/>
      <w:marRight w:val="0"/>
      <w:marTop w:val="0"/>
      <w:marBottom w:val="0"/>
      <w:divBdr>
        <w:top w:val="none" w:sz="0" w:space="0" w:color="auto"/>
        <w:left w:val="none" w:sz="0" w:space="0" w:color="auto"/>
        <w:bottom w:val="none" w:sz="0" w:space="0" w:color="auto"/>
        <w:right w:val="none" w:sz="0" w:space="0" w:color="auto"/>
      </w:divBdr>
    </w:div>
    <w:div w:id="494417478">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68535509">
      <w:bodyDiv w:val="1"/>
      <w:marLeft w:val="0"/>
      <w:marRight w:val="0"/>
      <w:marTop w:val="0"/>
      <w:marBottom w:val="0"/>
      <w:divBdr>
        <w:top w:val="none" w:sz="0" w:space="0" w:color="auto"/>
        <w:left w:val="none" w:sz="0" w:space="0" w:color="auto"/>
        <w:bottom w:val="none" w:sz="0" w:space="0" w:color="auto"/>
        <w:right w:val="none" w:sz="0" w:space="0" w:color="auto"/>
      </w:divBdr>
    </w:div>
    <w:div w:id="573977461">
      <w:bodyDiv w:val="1"/>
      <w:marLeft w:val="0"/>
      <w:marRight w:val="0"/>
      <w:marTop w:val="0"/>
      <w:marBottom w:val="0"/>
      <w:divBdr>
        <w:top w:val="none" w:sz="0" w:space="0" w:color="auto"/>
        <w:left w:val="none" w:sz="0" w:space="0" w:color="auto"/>
        <w:bottom w:val="none" w:sz="0" w:space="0" w:color="auto"/>
        <w:right w:val="none" w:sz="0" w:space="0" w:color="auto"/>
      </w:divBdr>
    </w:div>
    <w:div w:id="586579262">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35331640">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763692169">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39350559">
      <w:bodyDiv w:val="1"/>
      <w:marLeft w:val="0"/>
      <w:marRight w:val="0"/>
      <w:marTop w:val="0"/>
      <w:marBottom w:val="0"/>
      <w:divBdr>
        <w:top w:val="none" w:sz="0" w:space="0" w:color="auto"/>
        <w:left w:val="none" w:sz="0" w:space="0" w:color="auto"/>
        <w:bottom w:val="none" w:sz="0" w:space="0" w:color="auto"/>
        <w:right w:val="none" w:sz="0" w:space="0" w:color="auto"/>
      </w:divBdr>
    </w:div>
    <w:div w:id="865557369">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1725927">
      <w:bodyDiv w:val="1"/>
      <w:marLeft w:val="0"/>
      <w:marRight w:val="0"/>
      <w:marTop w:val="0"/>
      <w:marBottom w:val="0"/>
      <w:divBdr>
        <w:top w:val="none" w:sz="0" w:space="0" w:color="auto"/>
        <w:left w:val="none" w:sz="0" w:space="0" w:color="auto"/>
        <w:bottom w:val="none" w:sz="0" w:space="0" w:color="auto"/>
        <w:right w:val="none" w:sz="0" w:space="0" w:color="auto"/>
      </w:divBdr>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894007863">
      <w:bodyDiv w:val="1"/>
      <w:marLeft w:val="0"/>
      <w:marRight w:val="0"/>
      <w:marTop w:val="0"/>
      <w:marBottom w:val="0"/>
      <w:divBdr>
        <w:top w:val="none" w:sz="0" w:space="0" w:color="auto"/>
        <w:left w:val="none" w:sz="0" w:space="0" w:color="auto"/>
        <w:bottom w:val="none" w:sz="0" w:space="0" w:color="auto"/>
        <w:right w:val="none" w:sz="0" w:space="0" w:color="auto"/>
      </w:divBdr>
      <w:divsChild>
        <w:div w:id="962273013">
          <w:marLeft w:val="0"/>
          <w:marRight w:val="0"/>
          <w:marTop w:val="0"/>
          <w:marBottom w:val="0"/>
          <w:divBdr>
            <w:top w:val="none" w:sz="0" w:space="0" w:color="auto"/>
            <w:left w:val="none" w:sz="0" w:space="0" w:color="auto"/>
            <w:bottom w:val="none" w:sz="0" w:space="0" w:color="auto"/>
            <w:right w:val="none" w:sz="0" w:space="0" w:color="auto"/>
          </w:divBdr>
        </w:div>
      </w:divsChild>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73352238">
      <w:bodyDiv w:val="1"/>
      <w:marLeft w:val="0"/>
      <w:marRight w:val="0"/>
      <w:marTop w:val="0"/>
      <w:marBottom w:val="0"/>
      <w:divBdr>
        <w:top w:val="none" w:sz="0" w:space="0" w:color="auto"/>
        <w:left w:val="none" w:sz="0" w:space="0" w:color="auto"/>
        <w:bottom w:val="none" w:sz="0" w:space="0" w:color="auto"/>
        <w:right w:val="none" w:sz="0" w:space="0" w:color="auto"/>
      </w:divBdr>
      <w:divsChild>
        <w:div w:id="799302574">
          <w:marLeft w:val="0"/>
          <w:marRight w:val="0"/>
          <w:marTop w:val="0"/>
          <w:marBottom w:val="0"/>
          <w:divBdr>
            <w:top w:val="none" w:sz="0" w:space="0" w:color="auto"/>
            <w:left w:val="none" w:sz="0" w:space="0" w:color="auto"/>
            <w:bottom w:val="none" w:sz="0" w:space="0" w:color="auto"/>
            <w:right w:val="none" w:sz="0" w:space="0" w:color="auto"/>
          </w:divBdr>
        </w:div>
      </w:divsChild>
    </w:div>
    <w:div w:id="1073503341">
      <w:bodyDiv w:val="1"/>
      <w:marLeft w:val="0"/>
      <w:marRight w:val="0"/>
      <w:marTop w:val="0"/>
      <w:marBottom w:val="0"/>
      <w:divBdr>
        <w:top w:val="none" w:sz="0" w:space="0" w:color="auto"/>
        <w:left w:val="none" w:sz="0" w:space="0" w:color="auto"/>
        <w:bottom w:val="none" w:sz="0" w:space="0" w:color="auto"/>
        <w:right w:val="none" w:sz="0" w:space="0" w:color="auto"/>
      </w:divBdr>
      <w:divsChild>
        <w:div w:id="1442723832">
          <w:marLeft w:val="0"/>
          <w:marRight w:val="0"/>
          <w:marTop w:val="0"/>
          <w:marBottom w:val="0"/>
          <w:divBdr>
            <w:top w:val="none" w:sz="0" w:space="0" w:color="auto"/>
            <w:left w:val="none" w:sz="0" w:space="0" w:color="auto"/>
            <w:bottom w:val="none" w:sz="0" w:space="0" w:color="auto"/>
            <w:right w:val="none" w:sz="0" w:space="0" w:color="auto"/>
          </w:divBdr>
        </w:div>
      </w:divsChild>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094664281">
      <w:bodyDiv w:val="1"/>
      <w:marLeft w:val="0"/>
      <w:marRight w:val="0"/>
      <w:marTop w:val="0"/>
      <w:marBottom w:val="0"/>
      <w:divBdr>
        <w:top w:val="none" w:sz="0" w:space="0" w:color="auto"/>
        <w:left w:val="none" w:sz="0" w:space="0" w:color="auto"/>
        <w:bottom w:val="none" w:sz="0" w:space="0" w:color="auto"/>
        <w:right w:val="none" w:sz="0" w:space="0" w:color="auto"/>
      </w:divBdr>
      <w:divsChild>
        <w:div w:id="382607494">
          <w:marLeft w:val="0"/>
          <w:marRight w:val="0"/>
          <w:marTop w:val="0"/>
          <w:marBottom w:val="0"/>
          <w:divBdr>
            <w:top w:val="none" w:sz="0" w:space="0" w:color="auto"/>
            <w:left w:val="none" w:sz="0" w:space="0" w:color="auto"/>
            <w:bottom w:val="none" w:sz="0" w:space="0" w:color="auto"/>
            <w:right w:val="none" w:sz="0" w:space="0" w:color="auto"/>
          </w:divBdr>
        </w:div>
      </w:divsChild>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06272689">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8599151">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26582156">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74347117">
      <w:bodyDiv w:val="1"/>
      <w:marLeft w:val="0"/>
      <w:marRight w:val="0"/>
      <w:marTop w:val="0"/>
      <w:marBottom w:val="0"/>
      <w:divBdr>
        <w:top w:val="none" w:sz="0" w:space="0" w:color="auto"/>
        <w:left w:val="none" w:sz="0" w:space="0" w:color="auto"/>
        <w:bottom w:val="none" w:sz="0" w:space="0" w:color="auto"/>
        <w:right w:val="none" w:sz="0" w:space="0" w:color="auto"/>
      </w:divBdr>
      <w:divsChild>
        <w:div w:id="623077532">
          <w:marLeft w:val="0"/>
          <w:marRight w:val="0"/>
          <w:marTop w:val="0"/>
          <w:marBottom w:val="0"/>
          <w:divBdr>
            <w:top w:val="none" w:sz="0" w:space="0" w:color="auto"/>
            <w:left w:val="none" w:sz="0" w:space="0" w:color="auto"/>
            <w:bottom w:val="none" w:sz="0" w:space="0" w:color="auto"/>
            <w:right w:val="none" w:sz="0" w:space="0" w:color="auto"/>
          </w:divBdr>
        </w:div>
      </w:divsChild>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194226191">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07909033">
      <w:bodyDiv w:val="1"/>
      <w:marLeft w:val="0"/>
      <w:marRight w:val="0"/>
      <w:marTop w:val="0"/>
      <w:marBottom w:val="0"/>
      <w:divBdr>
        <w:top w:val="none" w:sz="0" w:space="0" w:color="auto"/>
        <w:left w:val="none" w:sz="0" w:space="0" w:color="auto"/>
        <w:bottom w:val="none" w:sz="0" w:space="0" w:color="auto"/>
        <w:right w:val="none" w:sz="0" w:space="0" w:color="auto"/>
      </w:divBdr>
    </w:div>
    <w:div w:id="1266577147">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04964852">
      <w:bodyDiv w:val="1"/>
      <w:marLeft w:val="0"/>
      <w:marRight w:val="0"/>
      <w:marTop w:val="0"/>
      <w:marBottom w:val="0"/>
      <w:divBdr>
        <w:top w:val="none" w:sz="0" w:space="0" w:color="auto"/>
        <w:left w:val="none" w:sz="0" w:space="0" w:color="auto"/>
        <w:bottom w:val="none" w:sz="0" w:space="0" w:color="auto"/>
        <w:right w:val="none" w:sz="0" w:space="0" w:color="auto"/>
      </w:divBdr>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54569246">
      <w:bodyDiv w:val="1"/>
      <w:marLeft w:val="0"/>
      <w:marRight w:val="0"/>
      <w:marTop w:val="0"/>
      <w:marBottom w:val="0"/>
      <w:divBdr>
        <w:top w:val="none" w:sz="0" w:space="0" w:color="auto"/>
        <w:left w:val="none" w:sz="0" w:space="0" w:color="auto"/>
        <w:bottom w:val="none" w:sz="0" w:space="0" w:color="auto"/>
        <w:right w:val="none" w:sz="0" w:space="0" w:color="auto"/>
      </w:divBdr>
    </w:div>
    <w:div w:id="1357196507">
      <w:bodyDiv w:val="1"/>
      <w:marLeft w:val="0"/>
      <w:marRight w:val="0"/>
      <w:marTop w:val="0"/>
      <w:marBottom w:val="0"/>
      <w:divBdr>
        <w:top w:val="none" w:sz="0" w:space="0" w:color="auto"/>
        <w:left w:val="none" w:sz="0" w:space="0" w:color="auto"/>
        <w:bottom w:val="none" w:sz="0" w:space="0" w:color="auto"/>
        <w:right w:val="none" w:sz="0" w:space="0" w:color="auto"/>
      </w:divBdr>
      <w:divsChild>
        <w:div w:id="133068627">
          <w:marLeft w:val="0"/>
          <w:marRight w:val="0"/>
          <w:marTop w:val="0"/>
          <w:marBottom w:val="0"/>
          <w:divBdr>
            <w:top w:val="none" w:sz="0" w:space="0" w:color="auto"/>
            <w:left w:val="none" w:sz="0" w:space="0" w:color="auto"/>
            <w:bottom w:val="none" w:sz="0" w:space="0" w:color="auto"/>
            <w:right w:val="none" w:sz="0" w:space="0" w:color="auto"/>
          </w:divBdr>
        </w:div>
      </w:divsChild>
    </w:div>
    <w:div w:id="1370494342">
      <w:bodyDiv w:val="1"/>
      <w:marLeft w:val="0"/>
      <w:marRight w:val="0"/>
      <w:marTop w:val="0"/>
      <w:marBottom w:val="0"/>
      <w:divBdr>
        <w:top w:val="none" w:sz="0" w:space="0" w:color="auto"/>
        <w:left w:val="none" w:sz="0" w:space="0" w:color="auto"/>
        <w:bottom w:val="none" w:sz="0" w:space="0" w:color="auto"/>
        <w:right w:val="none" w:sz="0" w:space="0" w:color="auto"/>
      </w:divBdr>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389497229">
      <w:bodyDiv w:val="1"/>
      <w:marLeft w:val="0"/>
      <w:marRight w:val="0"/>
      <w:marTop w:val="0"/>
      <w:marBottom w:val="0"/>
      <w:divBdr>
        <w:top w:val="none" w:sz="0" w:space="0" w:color="auto"/>
        <w:left w:val="none" w:sz="0" w:space="0" w:color="auto"/>
        <w:bottom w:val="none" w:sz="0" w:space="0" w:color="auto"/>
        <w:right w:val="none" w:sz="0" w:space="0" w:color="auto"/>
      </w:divBdr>
    </w:div>
    <w:div w:id="1392999421">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03739994">
      <w:bodyDiv w:val="1"/>
      <w:marLeft w:val="0"/>
      <w:marRight w:val="0"/>
      <w:marTop w:val="0"/>
      <w:marBottom w:val="0"/>
      <w:divBdr>
        <w:top w:val="none" w:sz="0" w:space="0" w:color="auto"/>
        <w:left w:val="none" w:sz="0" w:space="0" w:color="auto"/>
        <w:bottom w:val="none" w:sz="0" w:space="0" w:color="auto"/>
        <w:right w:val="none" w:sz="0" w:space="0" w:color="auto"/>
      </w:divBdr>
    </w:div>
    <w:div w:id="1504510062">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47526740">
      <w:bodyDiv w:val="1"/>
      <w:marLeft w:val="0"/>
      <w:marRight w:val="0"/>
      <w:marTop w:val="0"/>
      <w:marBottom w:val="0"/>
      <w:divBdr>
        <w:top w:val="none" w:sz="0" w:space="0" w:color="auto"/>
        <w:left w:val="none" w:sz="0" w:space="0" w:color="auto"/>
        <w:bottom w:val="none" w:sz="0" w:space="0" w:color="auto"/>
        <w:right w:val="none" w:sz="0" w:space="0" w:color="auto"/>
      </w:divBdr>
      <w:divsChild>
        <w:div w:id="463549119">
          <w:marLeft w:val="0"/>
          <w:marRight w:val="0"/>
          <w:marTop w:val="0"/>
          <w:marBottom w:val="0"/>
          <w:divBdr>
            <w:top w:val="none" w:sz="0" w:space="0" w:color="auto"/>
            <w:left w:val="none" w:sz="0" w:space="0" w:color="auto"/>
            <w:bottom w:val="none" w:sz="0" w:space="0" w:color="auto"/>
            <w:right w:val="none" w:sz="0" w:space="0" w:color="auto"/>
          </w:divBdr>
        </w:div>
      </w:divsChild>
    </w:div>
    <w:div w:id="1554346420">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70067966">
      <w:bodyDiv w:val="1"/>
      <w:marLeft w:val="0"/>
      <w:marRight w:val="0"/>
      <w:marTop w:val="0"/>
      <w:marBottom w:val="0"/>
      <w:divBdr>
        <w:top w:val="none" w:sz="0" w:space="0" w:color="auto"/>
        <w:left w:val="none" w:sz="0" w:space="0" w:color="auto"/>
        <w:bottom w:val="none" w:sz="0" w:space="0" w:color="auto"/>
        <w:right w:val="none" w:sz="0" w:space="0" w:color="auto"/>
      </w:divBdr>
      <w:divsChild>
        <w:div w:id="524945384">
          <w:marLeft w:val="0"/>
          <w:marRight w:val="0"/>
          <w:marTop w:val="0"/>
          <w:marBottom w:val="0"/>
          <w:divBdr>
            <w:top w:val="none" w:sz="0" w:space="0" w:color="auto"/>
            <w:left w:val="none" w:sz="0" w:space="0" w:color="auto"/>
            <w:bottom w:val="none" w:sz="0" w:space="0" w:color="auto"/>
            <w:right w:val="none" w:sz="0" w:space="0" w:color="auto"/>
          </w:divBdr>
        </w:div>
      </w:divsChild>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32708267">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0707997">
      <w:bodyDiv w:val="1"/>
      <w:marLeft w:val="0"/>
      <w:marRight w:val="0"/>
      <w:marTop w:val="0"/>
      <w:marBottom w:val="0"/>
      <w:divBdr>
        <w:top w:val="none" w:sz="0" w:space="0" w:color="auto"/>
        <w:left w:val="none" w:sz="0" w:space="0" w:color="auto"/>
        <w:bottom w:val="none" w:sz="0" w:space="0" w:color="auto"/>
        <w:right w:val="none" w:sz="0" w:space="0" w:color="auto"/>
      </w:divBdr>
    </w:div>
    <w:div w:id="1813133059">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5774721">
      <w:bodyDiv w:val="1"/>
      <w:marLeft w:val="0"/>
      <w:marRight w:val="0"/>
      <w:marTop w:val="0"/>
      <w:marBottom w:val="0"/>
      <w:divBdr>
        <w:top w:val="none" w:sz="0" w:space="0" w:color="auto"/>
        <w:left w:val="none" w:sz="0" w:space="0" w:color="auto"/>
        <w:bottom w:val="none" w:sz="0" w:space="0" w:color="auto"/>
        <w:right w:val="none" w:sz="0" w:space="0" w:color="auto"/>
      </w:divBdr>
      <w:divsChild>
        <w:div w:id="1597012833">
          <w:marLeft w:val="0"/>
          <w:marRight w:val="0"/>
          <w:marTop w:val="0"/>
          <w:marBottom w:val="0"/>
          <w:divBdr>
            <w:top w:val="none" w:sz="0" w:space="0" w:color="auto"/>
            <w:left w:val="none" w:sz="0" w:space="0" w:color="auto"/>
            <w:bottom w:val="none" w:sz="0" w:space="0" w:color="auto"/>
            <w:right w:val="none" w:sz="0" w:space="0" w:color="auto"/>
          </w:divBdr>
        </w:div>
      </w:divsChild>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895311162">
      <w:bodyDiv w:val="1"/>
      <w:marLeft w:val="0"/>
      <w:marRight w:val="0"/>
      <w:marTop w:val="0"/>
      <w:marBottom w:val="0"/>
      <w:divBdr>
        <w:top w:val="none" w:sz="0" w:space="0" w:color="auto"/>
        <w:left w:val="none" w:sz="0" w:space="0" w:color="auto"/>
        <w:bottom w:val="none" w:sz="0" w:space="0" w:color="auto"/>
        <w:right w:val="none" w:sz="0" w:space="0" w:color="auto"/>
      </w:divBdr>
      <w:divsChild>
        <w:div w:id="1065958894">
          <w:marLeft w:val="0"/>
          <w:marRight w:val="0"/>
          <w:marTop w:val="0"/>
          <w:marBottom w:val="0"/>
          <w:divBdr>
            <w:top w:val="none" w:sz="0" w:space="0" w:color="auto"/>
            <w:left w:val="none" w:sz="0" w:space="0" w:color="auto"/>
            <w:bottom w:val="none" w:sz="0" w:space="0" w:color="auto"/>
            <w:right w:val="none" w:sz="0" w:space="0" w:color="auto"/>
          </w:divBdr>
        </w:div>
      </w:divsChild>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29015173">
      <w:bodyDiv w:val="1"/>
      <w:marLeft w:val="0"/>
      <w:marRight w:val="0"/>
      <w:marTop w:val="0"/>
      <w:marBottom w:val="0"/>
      <w:divBdr>
        <w:top w:val="none" w:sz="0" w:space="0" w:color="auto"/>
        <w:left w:val="none" w:sz="0" w:space="0" w:color="auto"/>
        <w:bottom w:val="none" w:sz="0" w:space="0" w:color="auto"/>
        <w:right w:val="none" w:sz="0" w:space="0" w:color="auto"/>
      </w:divBdr>
    </w:div>
    <w:div w:id="2045788401">
      <w:bodyDiv w:val="1"/>
      <w:marLeft w:val="0"/>
      <w:marRight w:val="0"/>
      <w:marTop w:val="0"/>
      <w:marBottom w:val="0"/>
      <w:divBdr>
        <w:top w:val="none" w:sz="0" w:space="0" w:color="auto"/>
        <w:left w:val="none" w:sz="0" w:space="0" w:color="auto"/>
        <w:bottom w:val="none" w:sz="0" w:space="0" w:color="auto"/>
        <w:right w:val="none" w:sz="0" w:space="0" w:color="auto"/>
      </w:divBdr>
    </w:div>
    <w:div w:id="2062752289">
      <w:bodyDiv w:val="1"/>
      <w:marLeft w:val="0"/>
      <w:marRight w:val="0"/>
      <w:marTop w:val="0"/>
      <w:marBottom w:val="0"/>
      <w:divBdr>
        <w:top w:val="none" w:sz="0" w:space="0" w:color="auto"/>
        <w:left w:val="none" w:sz="0" w:space="0" w:color="auto"/>
        <w:bottom w:val="none" w:sz="0" w:space="0" w:color="auto"/>
        <w:right w:val="none" w:sz="0" w:space="0" w:color="auto"/>
      </w:divBdr>
      <w:divsChild>
        <w:div w:id="840705970">
          <w:marLeft w:val="0"/>
          <w:marRight w:val="0"/>
          <w:marTop w:val="0"/>
          <w:marBottom w:val="0"/>
          <w:divBdr>
            <w:top w:val="none" w:sz="0" w:space="0" w:color="auto"/>
            <w:left w:val="none" w:sz="0" w:space="0" w:color="auto"/>
            <w:bottom w:val="none" w:sz="0" w:space="0" w:color="auto"/>
            <w:right w:val="none" w:sz="0" w:space="0" w:color="auto"/>
          </w:divBdr>
        </w:div>
      </w:divsChild>
    </w:div>
    <w:div w:id="2071031973">
      <w:bodyDiv w:val="1"/>
      <w:marLeft w:val="0"/>
      <w:marRight w:val="0"/>
      <w:marTop w:val="0"/>
      <w:marBottom w:val="0"/>
      <w:divBdr>
        <w:top w:val="none" w:sz="0" w:space="0" w:color="auto"/>
        <w:left w:val="none" w:sz="0" w:space="0" w:color="auto"/>
        <w:bottom w:val="none" w:sz="0" w:space="0" w:color="auto"/>
        <w:right w:val="none" w:sz="0" w:space="0" w:color="auto"/>
      </w:divBdr>
    </w:div>
    <w:div w:id="2072653167">
      <w:bodyDiv w:val="1"/>
      <w:marLeft w:val="0"/>
      <w:marRight w:val="0"/>
      <w:marTop w:val="0"/>
      <w:marBottom w:val="0"/>
      <w:divBdr>
        <w:top w:val="none" w:sz="0" w:space="0" w:color="auto"/>
        <w:left w:val="none" w:sz="0" w:space="0" w:color="auto"/>
        <w:bottom w:val="none" w:sz="0" w:space="0" w:color="auto"/>
        <w:right w:val="none" w:sz="0" w:space="0" w:color="auto"/>
      </w:divBdr>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089034774">
      <w:bodyDiv w:val="1"/>
      <w:marLeft w:val="0"/>
      <w:marRight w:val="0"/>
      <w:marTop w:val="0"/>
      <w:marBottom w:val="0"/>
      <w:divBdr>
        <w:top w:val="none" w:sz="0" w:space="0" w:color="auto"/>
        <w:left w:val="none" w:sz="0" w:space="0" w:color="auto"/>
        <w:bottom w:val="none" w:sz="0" w:space="0" w:color="auto"/>
        <w:right w:val="none" w:sz="0" w:space="0" w:color="auto"/>
      </w:divBdr>
      <w:divsChild>
        <w:div w:id="700591324">
          <w:marLeft w:val="0"/>
          <w:marRight w:val="0"/>
          <w:marTop w:val="0"/>
          <w:marBottom w:val="0"/>
          <w:divBdr>
            <w:top w:val="none" w:sz="0" w:space="0" w:color="auto"/>
            <w:left w:val="none" w:sz="0" w:space="0" w:color="auto"/>
            <w:bottom w:val="none" w:sz="0" w:space="0" w:color="auto"/>
            <w:right w:val="none" w:sz="0" w:space="0" w:color="auto"/>
          </w:divBdr>
        </w:div>
      </w:divsChild>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6.xml"/><Relationship Id="rId10" Type="http://schemas.openxmlformats.org/officeDocument/2006/relationships/chart" Target="charts/chart2.xm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H:\&#37329;&#34701;&#34903;\&#22266;&#25910;&#21608;&#25253;\&#21608;&#25253;&#25968;&#25454;&#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44232</c:v>
                </c:pt>
                <c:pt idx="1">
                  <c:v>44239</c:v>
                </c:pt>
                <c:pt idx="2">
                  <c:v>44246</c:v>
                </c:pt>
                <c:pt idx="3">
                  <c:v>44253</c:v>
                </c:pt>
                <c:pt idx="4">
                  <c:v>44260</c:v>
                </c:pt>
                <c:pt idx="5">
                  <c:v>44267</c:v>
                </c:pt>
                <c:pt idx="6">
                  <c:v>44274</c:v>
                </c:pt>
                <c:pt idx="7">
                  <c:v>44281</c:v>
                </c:pt>
                <c:pt idx="8">
                  <c:v>44288</c:v>
                </c:pt>
                <c:pt idx="9">
                  <c:v>44295</c:v>
                </c:pt>
                <c:pt idx="10">
                  <c:v>44302</c:v>
                </c:pt>
                <c:pt idx="11">
                  <c:v>44309</c:v>
                </c:pt>
                <c:pt idx="12">
                  <c:v>44316</c:v>
                </c:pt>
                <c:pt idx="13">
                  <c:v>44323</c:v>
                </c:pt>
                <c:pt idx="14">
                  <c:v>44330</c:v>
                </c:pt>
                <c:pt idx="15">
                  <c:v>44337</c:v>
                </c:pt>
                <c:pt idx="16">
                  <c:v>44344</c:v>
                </c:pt>
                <c:pt idx="17">
                  <c:v>44351</c:v>
                </c:pt>
                <c:pt idx="18">
                  <c:v>44358</c:v>
                </c:pt>
                <c:pt idx="19">
                  <c:v>44365</c:v>
                </c:pt>
                <c:pt idx="20">
                  <c:v>44372</c:v>
                </c:pt>
                <c:pt idx="21">
                  <c:v>44379</c:v>
                </c:pt>
                <c:pt idx="22">
                  <c:v>44386</c:v>
                </c:pt>
              </c:numCache>
            </c:numRef>
          </c:cat>
          <c:val>
            <c:numRef>
              <c:f>央行!$B$5:$B$27</c:f>
              <c:numCache>
                <c:formatCode>###,###,###,###,##0.00</c:formatCode>
                <c:ptCount val="23"/>
                <c:pt idx="0">
                  <c:v>4800</c:v>
                </c:pt>
                <c:pt idx="1">
                  <c:v>2300</c:v>
                </c:pt>
                <c:pt idx="2">
                  <c:v>400</c:v>
                </c:pt>
                <c:pt idx="3">
                  <c:v>800</c:v>
                </c:pt>
                <c:pt idx="4">
                  <c:v>550</c:v>
                </c:pt>
                <c:pt idx="5">
                  <c:v>500</c:v>
                </c:pt>
                <c:pt idx="6">
                  <c:v>500</c:v>
                </c:pt>
                <c:pt idx="7">
                  <c:v>550</c:v>
                </c:pt>
                <c:pt idx="8">
                  <c:v>500</c:v>
                </c:pt>
                <c:pt idx="9">
                  <c:v>400</c:v>
                </c:pt>
                <c:pt idx="10">
                  <c:v>500</c:v>
                </c:pt>
                <c:pt idx="11">
                  <c:v>500</c:v>
                </c:pt>
                <c:pt idx="12">
                  <c:v>650</c:v>
                </c:pt>
                <c:pt idx="13">
                  <c:v>200</c:v>
                </c:pt>
                <c:pt idx="14">
                  <c:v>600</c:v>
                </c:pt>
                <c:pt idx="15">
                  <c:v>500</c:v>
                </c:pt>
                <c:pt idx="16">
                  <c:v>550</c:v>
                </c:pt>
                <c:pt idx="17">
                  <c:v>500</c:v>
                </c:pt>
                <c:pt idx="18">
                  <c:v>500</c:v>
                </c:pt>
                <c:pt idx="19">
                  <c:v>400</c:v>
                </c:pt>
                <c:pt idx="20">
                  <c:v>900</c:v>
                </c:pt>
                <c:pt idx="21">
                  <c:v>1150</c:v>
                </c:pt>
                <c:pt idx="22">
                  <c:v>500</c:v>
                </c:pt>
              </c:numCache>
            </c:numRef>
          </c:val>
          <c:extLst xmlns:c16r2="http://schemas.microsoft.com/office/drawing/2015/06/chart">
            <c:ext xmlns:c16="http://schemas.microsoft.com/office/drawing/2014/chart" uri="{C3380CC4-5D6E-409C-BE32-E72D297353CC}">
              <c16:uniqueId val="{00000000-EB57-4469-BDD5-40CE8CE88BD6}"/>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44232</c:v>
                </c:pt>
                <c:pt idx="1">
                  <c:v>44239</c:v>
                </c:pt>
                <c:pt idx="2">
                  <c:v>44246</c:v>
                </c:pt>
                <c:pt idx="3">
                  <c:v>44253</c:v>
                </c:pt>
                <c:pt idx="4">
                  <c:v>44260</c:v>
                </c:pt>
                <c:pt idx="5">
                  <c:v>44267</c:v>
                </c:pt>
                <c:pt idx="6">
                  <c:v>44274</c:v>
                </c:pt>
                <c:pt idx="7">
                  <c:v>44281</c:v>
                </c:pt>
                <c:pt idx="8">
                  <c:v>44288</c:v>
                </c:pt>
                <c:pt idx="9">
                  <c:v>44295</c:v>
                </c:pt>
                <c:pt idx="10">
                  <c:v>44302</c:v>
                </c:pt>
                <c:pt idx="11">
                  <c:v>44309</c:v>
                </c:pt>
                <c:pt idx="12">
                  <c:v>44316</c:v>
                </c:pt>
                <c:pt idx="13">
                  <c:v>44323</c:v>
                </c:pt>
                <c:pt idx="14">
                  <c:v>44330</c:v>
                </c:pt>
                <c:pt idx="15">
                  <c:v>44337</c:v>
                </c:pt>
                <c:pt idx="16">
                  <c:v>44344</c:v>
                </c:pt>
                <c:pt idx="17">
                  <c:v>44351</c:v>
                </c:pt>
                <c:pt idx="18">
                  <c:v>44358</c:v>
                </c:pt>
                <c:pt idx="19">
                  <c:v>44365</c:v>
                </c:pt>
                <c:pt idx="20">
                  <c:v>44372</c:v>
                </c:pt>
                <c:pt idx="21">
                  <c:v>44379</c:v>
                </c:pt>
                <c:pt idx="22">
                  <c:v>44386</c:v>
                </c:pt>
              </c:numCache>
            </c:numRef>
          </c:cat>
          <c:val>
            <c:numRef>
              <c:f>央行!$C$5:$C$27</c:f>
              <c:numCache>
                <c:formatCode>###,###,###,###,##0.00</c:formatCode>
                <c:ptCount val="23"/>
                <c:pt idx="0">
                  <c:v>-3840</c:v>
                </c:pt>
                <c:pt idx="1">
                  <c:v>-2800</c:v>
                </c:pt>
                <c:pt idx="2">
                  <c:v>-3800</c:v>
                </c:pt>
                <c:pt idx="3">
                  <c:v>-950</c:v>
                </c:pt>
                <c:pt idx="4">
                  <c:v>-800</c:v>
                </c:pt>
                <c:pt idx="5">
                  <c:v>-500</c:v>
                </c:pt>
                <c:pt idx="6">
                  <c:v>-500</c:v>
                </c:pt>
                <c:pt idx="7">
                  <c:v>-550</c:v>
                </c:pt>
                <c:pt idx="8">
                  <c:v>-500</c:v>
                </c:pt>
                <c:pt idx="9">
                  <c:v>-500</c:v>
                </c:pt>
                <c:pt idx="10">
                  <c:v>-400</c:v>
                </c:pt>
                <c:pt idx="11">
                  <c:v>-500</c:v>
                </c:pt>
                <c:pt idx="12">
                  <c:v>-550</c:v>
                </c:pt>
                <c:pt idx="13">
                  <c:v>-600</c:v>
                </c:pt>
                <c:pt idx="14">
                  <c:v>-200</c:v>
                </c:pt>
                <c:pt idx="15">
                  <c:v>-600</c:v>
                </c:pt>
                <c:pt idx="16">
                  <c:v>-550</c:v>
                </c:pt>
                <c:pt idx="17">
                  <c:v>-500</c:v>
                </c:pt>
                <c:pt idx="18">
                  <c:v>-500</c:v>
                </c:pt>
                <c:pt idx="19">
                  <c:v>-500</c:v>
                </c:pt>
                <c:pt idx="20">
                  <c:v>-450</c:v>
                </c:pt>
                <c:pt idx="21">
                  <c:v>-900</c:v>
                </c:pt>
                <c:pt idx="22">
                  <c:v>-1100</c:v>
                </c:pt>
              </c:numCache>
            </c:numRef>
          </c:val>
          <c:extLst xmlns:c16r2="http://schemas.microsoft.com/office/drawing/2015/06/chart">
            <c:ext xmlns:c16="http://schemas.microsoft.com/office/drawing/2014/chart" uri="{C3380CC4-5D6E-409C-BE32-E72D297353CC}">
              <c16:uniqueId val="{00000001-EB57-4469-BDD5-40CE8CE88BD6}"/>
            </c:ext>
          </c:extLst>
        </c:ser>
        <c:dLbls>
          <c:showLegendKey val="0"/>
          <c:showVal val="0"/>
          <c:showCatName val="0"/>
          <c:showSerName val="0"/>
          <c:showPercent val="0"/>
          <c:showBubbleSize val="0"/>
        </c:dLbls>
        <c:gapWidth val="150"/>
        <c:overlap val="100"/>
        <c:axId val="349242496"/>
        <c:axId val="349244416"/>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44232</c:v>
                </c:pt>
                <c:pt idx="1">
                  <c:v>44239</c:v>
                </c:pt>
                <c:pt idx="2">
                  <c:v>44246</c:v>
                </c:pt>
                <c:pt idx="3">
                  <c:v>44253</c:v>
                </c:pt>
                <c:pt idx="4">
                  <c:v>44260</c:v>
                </c:pt>
                <c:pt idx="5">
                  <c:v>44267</c:v>
                </c:pt>
                <c:pt idx="6">
                  <c:v>44274</c:v>
                </c:pt>
                <c:pt idx="7">
                  <c:v>44281</c:v>
                </c:pt>
                <c:pt idx="8">
                  <c:v>44288</c:v>
                </c:pt>
                <c:pt idx="9">
                  <c:v>44295</c:v>
                </c:pt>
                <c:pt idx="10">
                  <c:v>44302</c:v>
                </c:pt>
                <c:pt idx="11">
                  <c:v>44309</c:v>
                </c:pt>
                <c:pt idx="12">
                  <c:v>44316</c:v>
                </c:pt>
                <c:pt idx="13">
                  <c:v>44323</c:v>
                </c:pt>
                <c:pt idx="14">
                  <c:v>44330</c:v>
                </c:pt>
                <c:pt idx="15">
                  <c:v>44337</c:v>
                </c:pt>
                <c:pt idx="16">
                  <c:v>44344</c:v>
                </c:pt>
                <c:pt idx="17">
                  <c:v>44351</c:v>
                </c:pt>
                <c:pt idx="18">
                  <c:v>44358</c:v>
                </c:pt>
                <c:pt idx="19">
                  <c:v>44365</c:v>
                </c:pt>
                <c:pt idx="20">
                  <c:v>44372</c:v>
                </c:pt>
                <c:pt idx="21">
                  <c:v>44379</c:v>
                </c:pt>
                <c:pt idx="22">
                  <c:v>44386</c:v>
                </c:pt>
              </c:numCache>
            </c:numRef>
          </c:cat>
          <c:val>
            <c:numRef>
              <c:f>央行!$D$5:$D$27</c:f>
              <c:numCache>
                <c:formatCode>###,###,###,###,##0.00</c:formatCode>
                <c:ptCount val="23"/>
                <c:pt idx="0">
                  <c:v>960</c:v>
                </c:pt>
                <c:pt idx="1">
                  <c:v>-500</c:v>
                </c:pt>
                <c:pt idx="2">
                  <c:v>-3400</c:v>
                </c:pt>
                <c:pt idx="3">
                  <c:v>-150</c:v>
                </c:pt>
                <c:pt idx="4">
                  <c:v>-250</c:v>
                </c:pt>
                <c:pt idx="5">
                  <c:v>0</c:v>
                </c:pt>
                <c:pt idx="6">
                  <c:v>0</c:v>
                </c:pt>
                <c:pt idx="7">
                  <c:v>0</c:v>
                </c:pt>
                <c:pt idx="8">
                  <c:v>0</c:v>
                </c:pt>
                <c:pt idx="9">
                  <c:v>-100</c:v>
                </c:pt>
                <c:pt idx="10">
                  <c:v>100</c:v>
                </c:pt>
                <c:pt idx="11">
                  <c:v>0</c:v>
                </c:pt>
                <c:pt idx="12">
                  <c:v>100</c:v>
                </c:pt>
                <c:pt idx="13">
                  <c:v>-400</c:v>
                </c:pt>
                <c:pt idx="14">
                  <c:v>400</c:v>
                </c:pt>
                <c:pt idx="15">
                  <c:v>-100</c:v>
                </c:pt>
                <c:pt idx="16">
                  <c:v>0</c:v>
                </c:pt>
                <c:pt idx="17">
                  <c:v>0</c:v>
                </c:pt>
                <c:pt idx="18">
                  <c:v>0</c:v>
                </c:pt>
                <c:pt idx="19">
                  <c:v>-100</c:v>
                </c:pt>
                <c:pt idx="20">
                  <c:v>450</c:v>
                </c:pt>
                <c:pt idx="21">
                  <c:v>250</c:v>
                </c:pt>
                <c:pt idx="22">
                  <c:v>-600</c:v>
                </c:pt>
              </c:numCache>
            </c:numRef>
          </c:val>
          <c:smooth val="0"/>
          <c:extLst xmlns:c16r2="http://schemas.microsoft.com/office/drawing/2015/06/chart">
            <c:ext xmlns:c16="http://schemas.microsoft.com/office/drawing/2014/chart" uri="{C3380CC4-5D6E-409C-BE32-E72D297353CC}">
              <c16:uniqueId val="{00000002-EB57-4469-BDD5-40CE8CE88BD6}"/>
            </c:ext>
          </c:extLst>
        </c:ser>
        <c:dLbls>
          <c:showLegendKey val="0"/>
          <c:showVal val="0"/>
          <c:showCatName val="0"/>
          <c:showSerName val="0"/>
          <c:showPercent val="0"/>
          <c:showBubbleSize val="0"/>
        </c:dLbls>
        <c:marker val="1"/>
        <c:smooth val="0"/>
        <c:axId val="349242496"/>
        <c:axId val="349244416"/>
      </c:lineChart>
      <c:catAx>
        <c:axId val="349242496"/>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49244416"/>
        <c:crosses val="autoZero"/>
        <c:auto val="0"/>
        <c:lblAlgn val="ctr"/>
        <c:lblOffset val="0"/>
        <c:tickMarkSkip val="2"/>
        <c:noMultiLvlLbl val="0"/>
      </c:catAx>
      <c:valAx>
        <c:axId val="349244416"/>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49242496"/>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3389568080305753"/>
          <c:w val="0.8636824780638126"/>
          <c:h val="0.77347469724179219"/>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44386</c:v>
                </c:pt>
                <c:pt idx="1">
                  <c:v>44385</c:v>
                </c:pt>
                <c:pt idx="2">
                  <c:v>44384</c:v>
                </c:pt>
                <c:pt idx="3">
                  <c:v>44383</c:v>
                </c:pt>
                <c:pt idx="4">
                  <c:v>44382</c:v>
                </c:pt>
                <c:pt idx="5">
                  <c:v>44379</c:v>
                </c:pt>
                <c:pt idx="6">
                  <c:v>44378</c:v>
                </c:pt>
                <c:pt idx="7">
                  <c:v>44377</c:v>
                </c:pt>
                <c:pt idx="8">
                  <c:v>44376</c:v>
                </c:pt>
                <c:pt idx="9">
                  <c:v>44375</c:v>
                </c:pt>
                <c:pt idx="10">
                  <c:v>44372</c:v>
                </c:pt>
                <c:pt idx="11">
                  <c:v>44371</c:v>
                </c:pt>
                <c:pt idx="12">
                  <c:v>44370</c:v>
                </c:pt>
                <c:pt idx="13">
                  <c:v>44369</c:v>
                </c:pt>
                <c:pt idx="14">
                  <c:v>44368</c:v>
                </c:pt>
                <c:pt idx="15">
                  <c:v>44365</c:v>
                </c:pt>
                <c:pt idx="16">
                  <c:v>44364</c:v>
                </c:pt>
                <c:pt idx="17">
                  <c:v>44363</c:v>
                </c:pt>
                <c:pt idx="18">
                  <c:v>44362</c:v>
                </c:pt>
                <c:pt idx="19">
                  <c:v>44358</c:v>
                </c:pt>
                <c:pt idx="20">
                  <c:v>44357</c:v>
                </c:pt>
                <c:pt idx="21">
                  <c:v>44356</c:v>
                </c:pt>
                <c:pt idx="22">
                  <c:v>44355</c:v>
                </c:pt>
                <c:pt idx="23">
                  <c:v>44354</c:v>
                </c:pt>
                <c:pt idx="24">
                  <c:v>44351</c:v>
                </c:pt>
                <c:pt idx="25">
                  <c:v>44350</c:v>
                </c:pt>
                <c:pt idx="26">
                  <c:v>44349</c:v>
                </c:pt>
                <c:pt idx="27">
                  <c:v>44348</c:v>
                </c:pt>
                <c:pt idx="28">
                  <c:v>44347</c:v>
                </c:pt>
                <c:pt idx="29">
                  <c:v>44344</c:v>
                </c:pt>
                <c:pt idx="30">
                  <c:v>44343</c:v>
                </c:pt>
                <c:pt idx="31">
                  <c:v>44342</c:v>
                </c:pt>
                <c:pt idx="32">
                  <c:v>44341</c:v>
                </c:pt>
                <c:pt idx="33">
                  <c:v>44340</c:v>
                </c:pt>
                <c:pt idx="34">
                  <c:v>44337</c:v>
                </c:pt>
                <c:pt idx="35">
                  <c:v>44336</c:v>
                </c:pt>
                <c:pt idx="36">
                  <c:v>44335</c:v>
                </c:pt>
                <c:pt idx="37">
                  <c:v>44334</c:v>
                </c:pt>
                <c:pt idx="38">
                  <c:v>44333</c:v>
                </c:pt>
                <c:pt idx="39">
                  <c:v>44330</c:v>
                </c:pt>
                <c:pt idx="40">
                  <c:v>44329</c:v>
                </c:pt>
                <c:pt idx="41">
                  <c:v>44328</c:v>
                </c:pt>
                <c:pt idx="42">
                  <c:v>44327</c:v>
                </c:pt>
                <c:pt idx="43">
                  <c:v>44326</c:v>
                </c:pt>
                <c:pt idx="44">
                  <c:v>44324</c:v>
                </c:pt>
                <c:pt idx="45">
                  <c:v>44323</c:v>
                </c:pt>
                <c:pt idx="46">
                  <c:v>44322</c:v>
                </c:pt>
                <c:pt idx="47">
                  <c:v>44316</c:v>
                </c:pt>
                <c:pt idx="48">
                  <c:v>44315</c:v>
                </c:pt>
                <c:pt idx="49">
                  <c:v>44314</c:v>
                </c:pt>
                <c:pt idx="50">
                  <c:v>44313</c:v>
                </c:pt>
                <c:pt idx="51">
                  <c:v>44312</c:v>
                </c:pt>
                <c:pt idx="52">
                  <c:v>44311</c:v>
                </c:pt>
                <c:pt idx="53">
                  <c:v>44309</c:v>
                </c:pt>
                <c:pt idx="54">
                  <c:v>44308</c:v>
                </c:pt>
                <c:pt idx="55">
                  <c:v>44307</c:v>
                </c:pt>
                <c:pt idx="56">
                  <c:v>44306</c:v>
                </c:pt>
                <c:pt idx="57">
                  <c:v>44305</c:v>
                </c:pt>
                <c:pt idx="58">
                  <c:v>44302</c:v>
                </c:pt>
              </c:numCache>
            </c:numRef>
          </c:cat>
          <c:val>
            <c:numRef>
              <c:f>资金!$B$3:$B$61</c:f>
              <c:numCache>
                <c:formatCode>###,###,###,###,##0.0000</c:formatCode>
                <c:ptCount val="59"/>
                <c:pt idx="0">
                  <c:v>2.2357999999999998</c:v>
                </c:pt>
                <c:pt idx="1">
                  <c:v>1.8419000000000001</c:v>
                </c:pt>
                <c:pt idx="2">
                  <c:v>2.0931000000000002</c:v>
                </c:pt>
                <c:pt idx="3">
                  <c:v>1.9484999999999999</c:v>
                </c:pt>
                <c:pt idx="4">
                  <c:v>1.7087000000000001</c:v>
                </c:pt>
                <c:pt idx="5">
                  <c:v>1.6527000000000001</c:v>
                </c:pt>
                <c:pt idx="6">
                  <c:v>1.7985</c:v>
                </c:pt>
                <c:pt idx="7">
                  <c:v>3.6480999999999999</c:v>
                </c:pt>
                <c:pt idx="8">
                  <c:v>1.8728</c:v>
                </c:pt>
                <c:pt idx="9">
                  <c:v>1.6152</c:v>
                </c:pt>
                <c:pt idx="10">
                  <c:v>1.5741000000000001</c:v>
                </c:pt>
                <c:pt idx="11">
                  <c:v>1.8687</c:v>
                </c:pt>
                <c:pt idx="12">
                  <c:v>2.2334999999999998</c:v>
                </c:pt>
                <c:pt idx="13">
                  <c:v>2.3925999999999998</c:v>
                </c:pt>
                <c:pt idx="14">
                  <c:v>2.2985000000000002</c:v>
                </c:pt>
                <c:pt idx="15">
                  <c:v>2.0535000000000001</c:v>
                </c:pt>
                <c:pt idx="16">
                  <c:v>1.9017999999999999</c:v>
                </c:pt>
                <c:pt idx="17">
                  <c:v>2.0264000000000002</c:v>
                </c:pt>
                <c:pt idx="18">
                  <c:v>2.1314000000000002</c:v>
                </c:pt>
                <c:pt idx="19">
                  <c:v>2.0297000000000001</c:v>
                </c:pt>
                <c:pt idx="20">
                  <c:v>1.9117</c:v>
                </c:pt>
                <c:pt idx="21">
                  <c:v>2.194</c:v>
                </c:pt>
                <c:pt idx="22">
                  <c:v>2.2252000000000001</c:v>
                </c:pt>
                <c:pt idx="23">
                  <c:v>2.3681000000000001</c:v>
                </c:pt>
                <c:pt idx="24">
                  <c:v>2.2187999999999999</c:v>
                </c:pt>
                <c:pt idx="25">
                  <c:v>1.8841000000000001</c:v>
                </c:pt>
                <c:pt idx="26">
                  <c:v>2.0444</c:v>
                </c:pt>
                <c:pt idx="27">
                  <c:v>2.2265999999999999</c:v>
                </c:pt>
                <c:pt idx="28">
                  <c:v>2.5068999999999999</c:v>
                </c:pt>
                <c:pt idx="29">
                  <c:v>2.2092000000000001</c:v>
                </c:pt>
                <c:pt idx="30">
                  <c:v>2.1524000000000001</c:v>
                </c:pt>
                <c:pt idx="31">
                  <c:v>2.0261</c:v>
                </c:pt>
                <c:pt idx="32">
                  <c:v>2.2078000000000002</c:v>
                </c:pt>
                <c:pt idx="33">
                  <c:v>2.2084999999999999</c:v>
                </c:pt>
                <c:pt idx="34">
                  <c:v>2.0007000000000001</c:v>
                </c:pt>
                <c:pt idx="35">
                  <c:v>2.1055999999999999</c:v>
                </c:pt>
                <c:pt idx="36">
                  <c:v>2.0579999999999998</c:v>
                </c:pt>
                <c:pt idx="37">
                  <c:v>2.1303999999999998</c:v>
                </c:pt>
                <c:pt idx="38">
                  <c:v>2.1846000000000001</c:v>
                </c:pt>
                <c:pt idx="39">
                  <c:v>1.8376999999999999</c:v>
                </c:pt>
                <c:pt idx="40">
                  <c:v>1.9856</c:v>
                </c:pt>
                <c:pt idx="41">
                  <c:v>1.9772000000000001</c:v>
                </c:pt>
                <c:pt idx="42">
                  <c:v>1.9589000000000001</c:v>
                </c:pt>
                <c:pt idx="43">
                  <c:v>1.6997</c:v>
                </c:pt>
                <c:pt idx="44">
                  <c:v>1.4749000000000001</c:v>
                </c:pt>
                <c:pt idx="45">
                  <c:v>1.7567999999999999</c:v>
                </c:pt>
                <c:pt idx="46">
                  <c:v>2.1004999999999998</c:v>
                </c:pt>
                <c:pt idx="47">
                  <c:v>2.3130000000000002</c:v>
                </c:pt>
                <c:pt idx="48">
                  <c:v>1.8532</c:v>
                </c:pt>
                <c:pt idx="49">
                  <c:v>1.8116000000000001</c:v>
                </c:pt>
                <c:pt idx="50">
                  <c:v>1.8314999999999999</c:v>
                </c:pt>
                <c:pt idx="51">
                  <c:v>2.0872999999999999</c:v>
                </c:pt>
                <c:pt idx="52">
                  <c:v>2.0192000000000001</c:v>
                </c:pt>
                <c:pt idx="53">
                  <c:v>1.9596</c:v>
                </c:pt>
                <c:pt idx="54">
                  <c:v>2.1551999999999998</c:v>
                </c:pt>
                <c:pt idx="55">
                  <c:v>1.9048</c:v>
                </c:pt>
                <c:pt idx="56">
                  <c:v>1.873</c:v>
                </c:pt>
                <c:pt idx="57">
                  <c:v>2.1116999999999999</c:v>
                </c:pt>
                <c:pt idx="58">
                  <c:v>1.9665999999999999</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44386</c:v>
                </c:pt>
                <c:pt idx="1">
                  <c:v>44385</c:v>
                </c:pt>
                <c:pt idx="2">
                  <c:v>44384</c:v>
                </c:pt>
                <c:pt idx="3">
                  <c:v>44383</c:v>
                </c:pt>
                <c:pt idx="4">
                  <c:v>44382</c:v>
                </c:pt>
                <c:pt idx="5">
                  <c:v>44379</c:v>
                </c:pt>
                <c:pt idx="6">
                  <c:v>44378</c:v>
                </c:pt>
                <c:pt idx="7">
                  <c:v>44377</c:v>
                </c:pt>
                <c:pt idx="8">
                  <c:v>44376</c:v>
                </c:pt>
                <c:pt idx="9">
                  <c:v>44375</c:v>
                </c:pt>
                <c:pt idx="10">
                  <c:v>44372</c:v>
                </c:pt>
                <c:pt idx="11">
                  <c:v>44371</c:v>
                </c:pt>
                <c:pt idx="12">
                  <c:v>44370</c:v>
                </c:pt>
                <c:pt idx="13">
                  <c:v>44369</c:v>
                </c:pt>
                <c:pt idx="14">
                  <c:v>44368</c:v>
                </c:pt>
                <c:pt idx="15">
                  <c:v>44365</c:v>
                </c:pt>
                <c:pt idx="16">
                  <c:v>44364</c:v>
                </c:pt>
                <c:pt idx="17">
                  <c:v>44363</c:v>
                </c:pt>
                <c:pt idx="18">
                  <c:v>44362</c:v>
                </c:pt>
                <c:pt idx="19">
                  <c:v>44358</c:v>
                </c:pt>
                <c:pt idx="20">
                  <c:v>44357</c:v>
                </c:pt>
                <c:pt idx="21">
                  <c:v>44356</c:v>
                </c:pt>
                <c:pt idx="22">
                  <c:v>44355</c:v>
                </c:pt>
                <c:pt idx="23">
                  <c:v>44354</c:v>
                </c:pt>
                <c:pt idx="24">
                  <c:v>44351</c:v>
                </c:pt>
                <c:pt idx="25">
                  <c:v>44350</c:v>
                </c:pt>
                <c:pt idx="26">
                  <c:v>44349</c:v>
                </c:pt>
                <c:pt idx="27">
                  <c:v>44348</c:v>
                </c:pt>
                <c:pt idx="28">
                  <c:v>44347</c:v>
                </c:pt>
                <c:pt idx="29">
                  <c:v>44344</c:v>
                </c:pt>
                <c:pt idx="30">
                  <c:v>44343</c:v>
                </c:pt>
                <c:pt idx="31">
                  <c:v>44342</c:v>
                </c:pt>
                <c:pt idx="32">
                  <c:v>44341</c:v>
                </c:pt>
                <c:pt idx="33">
                  <c:v>44340</c:v>
                </c:pt>
                <c:pt idx="34">
                  <c:v>44337</c:v>
                </c:pt>
                <c:pt idx="35">
                  <c:v>44336</c:v>
                </c:pt>
                <c:pt idx="36">
                  <c:v>44335</c:v>
                </c:pt>
                <c:pt idx="37">
                  <c:v>44334</c:v>
                </c:pt>
                <c:pt idx="38">
                  <c:v>44333</c:v>
                </c:pt>
                <c:pt idx="39">
                  <c:v>44330</c:v>
                </c:pt>
                <c:pt idx="40">
                  <c:v>44329</c:v>
                </c:pt>
                <c:pt idx="41">
                  <c:v>44328</c:v>
                </c:pt>
                <c:pt idx="42">
                  <c:v>44327</c:v>
                </c:pt>
                <c:pt idx="43">
                  <c:v>44326</c:v>
                </c:pt>
                <c:pt idx="44">
                  <c:v>44324</c:v>
                </c:pt>
                <c:pt idx="45">
                  <c:v>44323</c:v>
                </c:pt>
                <c:pt idx="46">
                  <c:v>44322</c:v>
                </c:pt>
                <c:pt idx="47">
                  <c:v>44316</c:v>
                </c:pt>
                <c:pt idx="48">
                  <c:v>44315</c:v>
                </c:pt>
                <c:pt idx="49">
                  <c:v>44314</c:v>
                </c:pt>
                <c:pt idx="50">
                  <c:v>44313</c:v>
                </c:pt>
                <c:pt idx="51">
                  <c:v>44312</c:v>
                </c:pt>
                <c:pt idx="52">
                  <c:v>44311</c:v>
                </c:pt>
                <c:pt idx="53">
                  <c:v>44309</c:v>
                </c:pt>
                <c:pt idx="54">
                  <c:v>44308</c:v>
                </c:pt>
                <c:pt idx="55">
                  <c:v>44307</c:v>
                </c:pt>
                <c:pt idx="56">
                  <c:v>44306</c:v>
                </c:pt>
                <c:pt idx="57">
                  <c:v>44305</c:v>
                </c:pt>
                <c:pt idx="58">
                  <c:v>44302</c:v>
                </c:pt>
              </c:numCache>
            </c:numRef>
          </c:cat>
          <c:val>
            <c:numRef>
              <c:f>资金!$C$3:$C$61</c:f>
              <c:numCache>
                <c:formatCode>###,###,###,###,##0.0000</c:formatCode>
                <c:ptCount val="59"/>
                <c:pt idx="0">
                  <c:v>2.2448999999999999</c:v>
                </c:pt>
                <c:pt idx="1">
                  <c:v>2.1055000000000001</c:v>
                </c:pt>
                <c:pt idx="2">
                  <c:v>2.1293000000000002</c:v>
                </c:pt>
                <c:pt idx="3">
                  <c:v>2.0691000000000002</c:v>
                </c:pt>
                <c:pt idx="4">
                  <c:v>2.0535999999999999</c:v>
                </c:pt>
                <c:pt idx="5">
                  <c:v>2.0105</c:v>
                </c:pt>
                <c:pt idx="6">
                  <c:v>2.1985000000000001</c:v>
                </c:pt>
                <c:pt idx="7">
                  <c:v>3.242</c:v>
                </c:pt>
                <c:pt idx="8">
                  <c:v>3.3837999999999999</c:v>
                </c:pt>
                <c:pt idx="9">
                  <c:v>2.8334000000000001</c:v>
                </c:pt>
                <c:pt idx="10">
                  <c:v>2.7275999999999998</c:v>
                </c:pt>
                <c:pt idx="11">
                  <c:v>2.7907000000000002</c:v>
                </c:pt>
                <c:pt idx="12">
                  <c:v>2.3719000000000001</c:v>
                </c:pt>
                <c:pt idx="13">
                  <c:v>2.4222000000000001</c:v>
                </c:pt>
                <c:pt idx="14">
                  <c:v>2.3371</c:v>
                </c:pt>
                <c:pt idx="15">
                  <c:v>2.2141999999999999</c:v>
                </c:pt>
                <c:pt idx="16">
                  <c:v>2.2254999999999998</c:v>
                </c:pt>
                <c:pt idx="17">
                  <c:v>2.2517999999999998</c:v>
                </c:pt>
                <c:pt idx="18">
                  <c:v>2.2555999999999998</c:v>
                </c:pt>
                <c:pt idx="19">
                  <c:v>2.1131000000000002</c:v>
                </c:pt>
                <c:pt idx="20">
                  <c:v>2.1677</c:v>
                </c:pt>
                <c:pt idx="21">
                  <c:v>2.2887</c:v>
                </c:pt>
                <c:pt idx="22">
                  <c:v>2.3472</c:v>
                </c:pt>
                <c:pt idx="23">
                  <c:v>2.3174000000000001</c:v>
                </c:pt>
                <c:pt idx="24">
                  <c:v>2.1429</c:v>
                </c:pt>
                <c:pt idx="25">
                  <c:v>2.1086999999999998</c:v>
                </c:pt>
                <c:pt idx="26">
                  <c:v>2.2256</c:v>
                </c:pt>
                <c:pt idx="27">
                  <c:v>2.29</c:v>
                </c:pt>
                <c:pt idx="28">
                  <c:v>2.7025999999999999</c:v>
                </c:pt>
                <c:pt idx="29">
                  <c:v>2.4354</c:v>
                </c:pt>
                <c:pt idx="30">
                  <c:v>2.3687999999999998</c:v>
                </c:pt>
                <c:pt idx="31">
                  <c:v>2.3936999999999999</c:v>
                </c:pt>
                <c:pt idx="32">
                  <c:v>2.4274</c:v>
                </c:pt>
                <c:pt idx="33">
                  <c:v>2.1537999999999999</c:v>
                </c:pt>
                <c:pt idx="34">
                  <c:v>2.1427</c:v>
                </c:pt>
                <c:pt idx="35">
                  <c:v>2.2088000000000001</c:v>
                </c:pt>
                <c:pt idx="36">
                  <c:v>2.1913</c:v>
                </c:pt>
                <c:pt idx="37">
                  <c:v>2.2437</c:v>
                </c:pt>
                <c:pt idx="38">
                  <c:v>2.1873999999999998</c:v>
                </c:pt>
                <c:pt idx="39">
                  <c:v>2.0255000000000001</c:v>
                </c:pt>
                <c:pt idx="40">
                  <c:v>2.0687000000000002</c:v>
                </c:pt>
                <c:pt idx="41">
                  <c:v>1.9994000000000001</c:v>
                </c:pt>
                <c:pt idx="42">
                  <c:v>1.9733000000000001</c:v>
                </c:pt>
                <c:pt idx="43">
                  <c:v>1.9528000000000001</c:v>
                </c:pt>
                <c:pt idx="44">
                  <c:v>1.821</c:v>
                </c:pt>
                <c:pt idx="45">
                  <c:v>1.9728000000000001</c:v>
                </c:pt>
                <c:pt idx="46">
                  <c:v>2.1395</c:v>
                </c:pt>
                <c:pt idx="47">
                  <c:v>2.3769</c:v>
                </c:pt>
                <c:pt idx="48">
                  <c:v>2.3264999999999998</c:v>
                </c:pt>
                <c:pt idx="49">
                  <c:v>2.2690000000000001</c:v>
                </c:pt>
                <c:pt idx="50">
                  <c:v>2.2949999999999999</c:v>
                </c:pt>
                <c:pt idx="51">
                  <c:v>2.3549000000000002</c:v>
                </c:pt>
                <c:pt idx="52">
                  <c:v>2.2372000000000001</c:v>
                </c:pt>
                <c:pt idx="53">
                  <c:v>2.1141000000000001</c:v>
                </c:pt>
                <c:pt idx="54">
                  <c:v>2.1456</c:v>
                </c:pt>
                <c:pt idx="55">
                  <c:v>2.0910000000000002</c:v>
                </c:pt>
                <c:pt idx="56">
                  <c:v>2.2360000000000002</c:v>
                </c:pt>
                <c:pt idx="57">
                  <c:v>2.3254000000000001</c:v>
                </c:pt>
                <c:pt idx="58">
                  <c:v>2.1677</c:v>
                </c:pt>
              </c:numCache>
            </c:numRef>
          </c:val>
          <c:smooth val="1"/>
          <c:extLst xmlns:c16r2="http://schemas.microsoft.com/office/drawing/2015/06/char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349268224"/>
        <c:axId val="349274112"/>
      </c:lineChart>
      <c:dateAx>
        <c:axId val="349268224"/>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49274112"/>
        <c:crosses val="autoZero"/>
        <c:auto val="0"/>
        <c:lblOffset val="0"/>
        <c:baseTimeUnit val="days"/>
        <c:majorUnit val="14"/>
        <c:majorTimeUnit val="days"/>
        <c:minorUnit val="7"/>
        <c:minorTimeUnit val="days"/>
      </c:dateAx>
      <c:valAx>
        <c:axId val="349274112"/>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49268224"/>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-2.1400000000000086</c:v>
                </c:pt>
                <c:pt idx="1">
                  <c:v>-4.6699999999999964</c:v>
                </c:pt>
                <c:pt idx="2">
                  <c:v>-5.2000000000000046</c:v>
                </c:pt>
                <c:pt idx="3">
                  <c:v>-3.4500000000000419</c:v>
                </c:pt>
                <c:pt idx="4">
                  <c:v>-6.1600000000000321</c:v>
                </c:pt>
                <c:pt idx="5">
                  <c:v>-8.2399999999999807</c:v>
                </c:pt>
                <c:pt idx="6">
                  <c:v>-6.9799999999999862</c:v>
                </c:pt>
              </c:numCache>
            </c:numRef>
          </c:val>
          <c:extLst xmlns:c16r2="http://schemas.microsoft.com/office/drawing/2015/06/char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gapWidth val="150"/>
        <c:axId val="353844608"/>
        <c:axId val="353846784"/>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6="http://schemas.microsoft.com/office/drawing/2014/chart" uri="{C3380CC4-5D6E-409C-BE32-E72D297353CC}">
                  <c16:uniqueId val="{0000000B-F10F-4D2D-834C-E6E69D663A7D}"/>
                </c:ext>
                <c:ext xmlns:c15="http://schemas.microsoft.com/office/drawing/2012/chart" uri="{CE6537A1-D6FC-4f65-9D91-7224C49458BB}"/>
              </c:extLst>
            </c:dLbl>
            <c:dLbl>
              <c:idx val="1"/>
              <c:delete val="1"/>
              <c:extLst xmlns:c16r2="http://schemas.microsoft.com/office/drawing/2015/06/chart">
                <c:ext xmlns:c16="http://schemas.microsoft.com/office/drawing/2014/chart" uri="{C3380CC4-5D6E-409C-BE32-E72D297353CC}">
                  <c16:uniqueId val="{0000000A-F10F-4D2D-834C-E6E69D663A7D}"/>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9-F10F-4D2D-834C-E6E69D663A7D}"/>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8-F10F-4D2D-834C-E6E69D663A7D}"/>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7-F10F-4D2D-834C-E6E69D663A7D}"/>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6-F10F-4D2D-834C-E6E69D663A7D}"/>
                </c:ext>
                <c:ext xmlns:c15="http://schemas.microsoft.com/office/drawing/2012/chart" uri="{CE6537A1-D6FC-4f65-9D91-7224C49458BB}"/>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1.7487999999999999</c:v>
                </c:pt>
                <c:pt idx="1">
                  <c:v>1.8170999999999999</c:v>
                </c:pt>
                <c:pt idx="2">
                  <c:v>2.3473999999999999</c:v>
                </c:pt>
                <c:pt idx="3">
                  <c:v>2.7376999999999998</c:v>
                </c:pt>
                <c:pt idx="4">
                  <c:v>2.8887999999999998</c:v>
                </c:pt>
                <c:pt idx="5">
                  <c:v>3.0125000000000002</c:v>
                </c:pt>
                <c:pt idx="6">
                  <c:v>3.0105</c:v>
                </c:pt>
              </c:numCache>
            </c:numRef>
          </c:val>
          <c:smooth val="0"/>
          <c:extLst xmlns:c16r2="http://schemas.microsoft.com/office/drawing/2015/06/chart">
            <c:ext xmlns:c16="http://schemas.microsoft.com/office/drawing/2014/chart" uri="{C3380CC4-5D6E-409C-BE32-E72D297353CC}">
              <c16:uniqueId val="{00000004-FB26-4560-BF82-E44BC96AA276}"/>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1.7702</c:v>
                </c:pt>
                <c:pt idx="1">
                  <c:v>1.8637999999999999</c:v>
                </c:pt>
                <c:pt idx="2">
                  <c:v>2.3994</c:v>
                </c:pt>
                <c:pt idx="3">
                  <c:v>2.7722000000000002</c:v>
                </c:pt>
                <c:pt idx="4">
                  <c:v>2.9504000000000001</c:v>
                </c:pt>
                <c:pt idx="5">
                  <c:v>3.0949</c:v>
                </c:pt>
                <c:pt idx="6">
                  <c:v>3.0802999999999998</c:v>
                </c:pt>
              </c:numCache>
            </c:numRef>
          </c:val>
          <c:smooth val="0"/>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353874688"/>
        <c:axId val="353848320"/>
      </c:lineChart>
      <c:dateAx>
        <c:axId val="353844608"/>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53846784"/>
        <c:crosses val="autoZero"/>
        <c:auto val="0"/>
        <c:lblOffset val="0"/>
        <c:baseTimeUnit val="days"/>
      </c:dateAx>
      <c:valAx>
        <c:axId val="353846784"/>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53844608"/>
        <c:crosses val="autoZero"/>
        <c:crossBetween val="between"/>
      </c:valAx>
      <c:valAx>
        <c:axId val="353848320"/>
        <c:scaling>
          <c:orientation val="minMax"/>
        </c:scaling>
        <c:delete val="0"/>
        <c:axPos val="r"/>
        <c:numFmt formatCode="#,##0.0_);[Red]\(#,##0.0\)" sourceLinked="0"/>
        <c:majorTickMark val="out"/>
        <c:minorTickMark val="none"/>
        <c:tickLblPos val="nextTo"/>
        <c:spPr>
          <a:ln w="3175">
            <a:solidFill>
              <a:sysClr val="windowText" lastClr="000000"/>
            </a:solidFill>
          </a:ln>
        </c:spPr>
        <c:crossAx val="353874688"/>
        <c:crosses val="max"/>
        <c:crossBetween val="between"/>
      </c:valAx>
      <c:dateAx>
        <c:axId val="353874688"/>
        <c:scaling>
          <c:orientation val="minMax"/>
        </c:scaling>
        <c:delete val="1"/>
        <c:axPos val="b"/>
        <c:numFmt formatCode="General" sourceLinked="1"/>
        <c:majorTickMark val="out"/>
        <c:minorTickMark val="none"/>
        <c:tickLblPos val="nextTo"/>
        <c:crossAx val="353848320"/>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-3.5700000000000065</c:v>
                </c:pt>
                <c:pt idx="1">
                  <c:v>-5.4499999999999993</c:v>
                </c:pt>
                <c:pt idx="2">
                  <c:v>-4.809999999999981</c:v>
                </c:pt>
                <c:pt idx="3">
                  <c:v>-6.0700000000000198</c:v>
                </c:pt>
                <c:pt idx="4">
                  <c:v>-5.4300000000000015</c:v>
                </c:pt>
                <c:pt idx="5">
                  <c:v>-7.3300000000000143</c:v>
                </c:pt>
                <c:pt idx="6">
                  <c:v>-6.6399999999999793</c:v>
                </c:pt>
              </c:numCache>
            </c:numRef>
          </c:val>
          <c:extLst xmlns:c16r2="http://schemas.microsoft.com/office/drawing/2015/06/chart">
            <c:ext xmlns:c16="http://schemas.microsoft.com/office/drawing/2014/chart" uri="{C3380CC4-5D6E-409C-BE32-E72D297353CC}">
              <c16:uniqueId val="{00000000-0319-4AA3-8886-0F871A1F4B20}"/>
            </c:ext>
          </c:extLst>
        </c:ser>
        <c:dLbls>
          <c:showLegendKey val="0"/>
          <c:showVal val="0"/>
          <c:showCatName val="0"/>
          <c:showSerName val="0"/>
          <c:showPercent val="0"/>
          <c:showBubbleSize val="0"/>
        </c:dLbls>
        <c:gapWidth val="150"/>
        <c:axId val="354075392"/>
        <c:axId val="354077312"/>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6="http://schemas.microsoft.com/office/drawing/2014/chart" uri="{C3380CC4-5D6E-409C-BE32-E72D297353CC}">
                  <c16:uniqueId val="{00000001-0319-4AA3-8886-0F871A1F4B20}"/>
                </c:ext>
                <c:ext xmlns:c15="http://schemas.microsoft.com/office/drawing/2012/chart" uri="{CE6537A1-D6FC-4f65-9D91-7224C49458BB}"/>
              </c:extLst>
            </c:dLbl>
            <c:dLbl>
              <c:idx val="1"/>
              <c:delete val="1"/>
              <c:extLst xmlns:c16r2="http://schemas.microsoft.com/office/drawing/2015/06/chart">
                <c:ext xmlns:c16="http://schemas.microsoft.com/office/drawing/2014/chart" uri="{C3380CC4-5D6E-409C-BE32-E72D297353CC}">
                  <c16:uniqueId val="{00000002-0319-4AA3-8886-0F871A1F4B20}"/>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3-0319-4AA3-8886-0F871A1F4B20}"/>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4-0319-4AA3-8886-0F871A1F4B20}"/>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5-0319-4AA3-8886-0F871A1F4B20}"/>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6-0319-4AA3-8886-0F871A1F4B20}"/>
                </c:ext>
                <c:ext xmlns:c15="http://schemas.microsoft.com/office/drawing/2012/chart" uri="{CE6537A1-D6FC-4f65-9D91-7224C49458BB}"/>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1.7751999999999999</c:v>
                </c:pt>
                <c:pt idx="1">
                  <c:v>1.8280000000000001</c:v>
                </c:pt>
                <c:pt idx="2">
                  <c:v>2.4500000000000002</c:v>
                </c:pt>
                <c:pt idx="3">
                  <c:v>2.9226999999999999</c:v>
                </c:pt>
                <c:pt idx="4">
                  <c:v>3.1968000000000001</c:v>
                </c:pt>
                <c:pt idx="5">
                  <c:v>3.3881999999999999</c:v>
                </c:pt>
                <c:pt idx="6">
                  <c:v>3.4102000000000001</c:v>
                </c:pt>
              </c:numCache>
            </c:numRef>
          </c:val>
          <c:smooth val="0"/>
          <c:extLst xmlns:c16r2="http://schemas.microsoft.com/office/drawing/2015/06/chart">
            <c:ext xmlns:c16="http://schemas.microsoft.com/office/drawing/2014/chart" uri="{C3380CC4-5D6E-409C-BE32-E72D297353CC}">
              <c16:uniqueId val="{00000007-0319-4AA3-8886-0F871A1F4B20}"/>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1.8109</c:v>
                </c:pt>
                <c:pt idx="1">
                  <c:v>1.8825000000000001</c:v>
                </c:pt>
                <c:pt idx="2">
                  <c:v>2.4981</c:v>
                </c:pt>
                <c:pt idx="3">
                  <c:v>2.9834000000000001</c:v>
                </c:pt>
                <c:pt idx="4">
                  <c:v>3.2511000000000001</c:v>
                </c:pt>
                <c:pt idx="5">
                  <c:v>3.4615</c:v>
                </c:pt>
                <c:pt idx="6">
                  <c:v>3.4765999999999999</c:v>
                </c:pt>
              </c:numCache>
            </c:numRef>
          </c:val>
          <c:smooth val="0"/>
          <c:extLst xmlns:c16r2="http://schemas.microsoft.com/office/drawing/2015/06/chart">
            <c:ext xmlns:c16="http://schemas.microsoft.com/office/drawing/2014/chart" uri="{C3380CC4-5D6E-409C-BE32-E72D297353CC}">
              <c16:uniqueId val="{00000008-0319-4AA3-8886-0F871A1F4B20}"/>
            </c:ext>
          </c:extLst>
        </c:ser>
        <c:dLbls>
          <c:showLegendKey val="0"/>
          <c:showVal val="0"/>
          <c:showCatName val="0"/>
          <c:showSerName val="0"/>
          <c:showPercent val="0"/>
          <c:showBubbleSize val="0"/>
        </c:dLbls>
        <c:marker val="1"/>
        <c:smooth val="0"/>
        <c:axId val="354088832"/>
        <c:axId val="354087296"/>
      </c:lineChart>
      <c:dateAx>
        <c:axId val="354075392"/>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54077312"/>
        <c:crosses val="autoZero"/>
        <c:auto val="0"/>
        <c:lblOffset val="0"/>
        <c:baseTimeUnit val="days"/>
      </c:dateAx>
      <c:valAx>
        <c:axId val="354077312"/>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54075392"/>
        <c:crosses val="autoZero"/>
        <c:crossBetween val="between"/>
      </c:valAx>
      <c:valAx>
        <c:axId val="354087296"/>
        <c:scaling>
          <c:orientation val="minMax"/>
        </c:scaling>
        <c:delete val="0"/>
        <c:axPos val="r"/>
        <c:numFmt formatCode="#,##0.0_);[Red]\(#,##0.0\)" sourceLinked="0"/>
        <c:majorTickMark val="out"/>
        <c:minorTickMark val="none"/>
        <c:tickLblPos val="nextTo"/>
        <c:spPr>
          <a:ln w="3175">
            <a:solidFill>
              <a:sysClr val="windowText" lastClr="000000"/>
            </a:solidFill>
          </a:ln>
        </c:spPr>
        <c:crossAx val="354088832"/>
        <c:crosses val="max"/>
        <c:crossBetween val="between"/>
      </c:valAx>
      <c:dateAx>
        <c:axId val="354088832"/>
        <c:scaling>
          <c:orientation val="minMax"/>
        </c:scaling>
        <c:delete val="1"/>
        <c:axPos val="b"/>
        <c:numFmt formatCode="General" sourceLinked="1"/>
        <c:majorTickMark val="out"/>
        <c:minorTickMark val="none"/>
        <c:tickLblPos val="nextTo"/>
        <c:crossAx val="354087296"/>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44386</c:v>
                </c:pt>
                <c:pt idx="1">
                  <c:v>44379</c:v>
                </c:pt>
                <c:pt idx="2">
                  <c:v>44372</c:v>
                </c:pt>
                <c:pt idx="3">
                  <c:v>44365</c:v>
                </c:pt>
                <c:pt idx="4">
                  <c:v>44358</c:v>
                </c:pt>
                <c:pt idx="5">
                  <c:v>44351</c:v>
                </c:pt>
                <c:pt idx="6">
                  <c:v>44344</c:v>
                </c:pt>
                <c:pt idx="7">
                  <c:v>44337</c:v>
                </c:pt>
                <c:pt idx="8">
                  <c:v>44330</c:v>
                </c:pt>
                <c:pt idx="9">
                  <c:v>44323</c:v>
                </c:pt>
                <c:pt idx="10">
                  <c:v>44316</c:v>
                </c:pt>
                <c:pt idx="11">
                  <c:v>44309</c:v>
                </c:pt>
                <c:pt idx="12">
                  <c:v>44302</c:v>
                </c:pt>
                <c:pt idx="13">
                  <c:v>44295</c:v>
                </c:pt>
                <c:pt idx="14">
                  <c:v>44288</c:v>
                </c:pt>
                <c:pt idx="15">
                  <c:v>44281</c:v>
                </c:pt>
                <c:pt idx="16">
                  <c:v>44274</c:v>
                </c:pt>
                <c:pt idx="17">
                  <c:v>44267</c:v>
                </c:pt>
                <c:pt idx="18">
                  <c:v>44260</c:v>
                </c:pt>
                <c:pt idx="19">
                  <c:v>44253</c:v>
                </c:pt>
                <c:pt idx="20">
                  <c:v>44246</c:v>
                </c:pt>
                <c:pt idx="21">
                  <c:v>44237</c:v>
                </c:pt>
                <c:pt idx="22">
                  <c:v>44232</c:v>
                </c:pt>
                <c:pt idx="23">
                  <c:v>44225</c:v>
                </c:pt>
              </c:numCache>
            </c:numRef>
          </c:cat>
          <c:val>
            <c:numRef>
              <c:f>转债!$H$5:$H$28</c:f>
              <c:numCache>
                <c:formatCode>General</c:formatCode>
                <c:ptCount val="24"/>
                <c:pt idx="0">
                  <c:v>6.6767794092365884</c:v>
                </c:pt>
                <c:pt idx="1">
                  <c:v>4.6963642615016399</c:v>
                </c:pt>
                <c:pt idx="2">
                  <c:v>5.7140944375140501</c:v>
                </c:pt>
                <c:pt idx="3">
                  <c:v>3.6432596899395708</c:v>
                </c:pt>
                <c:pt idx="4">
                  <c:v>5.3756683666947191</c:v>
                </c:pt>
                <c:pt idx="5">
                  <c:v>5.5495373778426282</c:v>
                </c:pt>
                <c:pt idx="6">
                  <c:v>5.466997121560091</c:v>
                </c:pt>
                <c:pt idx="7">
                  <c:v>3.7547000559819077</c:v>
                </c:pt>
                <c:pt idx="8">
                  <c:v>3.5238848800356104</c:v>
                </c:pt>
                <c:pt idx="9">
                  <c:v>2.617402218999465</c:v>
                </c:pt>
                <c:pt idx="10">
                  <c:v>2.3277674678985782</c:v>
                </c:pt>
                <c:pt idx="11">
                  <c:v>2.3296959785593652</c:v>
                </c:pt>
                <c:pt idx="12">
                  <c:v>1.5969170277573275</c:v>
                </c:pt>
                <c:pt idx="13">
                  <c:v>1.8853671223094448</c:v>
                </c:pt>
                <c:pt idx="14">
                  <c:v>1.5056984735011714</c:v>
                </c:pt>
                <c:pt idx="15">
                  <c:v>0.91436200459316108</c:v>
                </c:pt>
                <c:pt idx="16">
                  <c:v>1.4935764064903712</c:v>
                </c:pt>
                <c:pt idx="17">
                  <c:v>1.477983020290119</c:v>
                </c:pt>
                <c:pt idx="18">
                  <c:v>1.1558115393261792</c:v>
                </c:pt>
                <c:pt idx="19">
                  <c:v>0.68010305960970463</c:v>
                </c:pt>
                <c:pt idx="20">
                  <c:v>2.2111201230720523</c:v>
                </c:pt>
                <c:pt idx="21">
                  <c:v>0.53367400014987521</c:v>
                </c:pt>
                <c:pt idx="22">
                  <c:v>-2.2635205127414015</c:v>
                </c:pt>
                <c:pt idx="23">
                  <c:v>0</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44386</c:v>
                </c:pt>
                <c:pt idx="1">
                  <c:v>44379</c:v>
                </c:pt>
                <c:pt idx="2">
                  <c:v>44372</c:v>
                </c:pt>
                <c:pt idx="3">
                  <c:v>44365</c:v>
                </c:pt>
                <c:pt idx="4">
                  <c:v>44358</c:v>
                </c:pt>
                <c:pt idx="5">
                  <c:v>44351</c:v>
                </c:pt>
                <c:pt idx="6">
                  <c:v>44344</c:v>
                </c:pt>
                <c:pt idx="7">
                  <c:v>44337</c:v>
                </c:pt>
                <c:pt idx="8">
                  <c:v>44330</c:v>
                </c:pt>
                <c:pt idx="9">
                  <c:v>44323</c:v>
                </c:pt>
                <c:pt idx="10">
                  <c:v>44316</c:v>
                </c:pt>
                <c:pt idx="11">
                  <c:v>44309</c:v>
                </c:pt>
                <c:pt idx="12">
                  <c:v>44302</c:v>
                </c:pt>
                <c:pt idx="13">
                  <c:v>44295</c:v>
                </c:pt>
                <c:pt idx="14">
                  <c:v>44288</c:v>
                </c:pt>
                <c:pt idx="15">
                  <c:v>44281</c:v>
                </c:pt>
                <c:pt idx="16">
                  <c:v>44274</c:v>
                </c:pt>
                <c:pt idx="17">
                  <c:v>44267</c:v>
                </c:pt>
                <c:pt idx="18">
                  <c:v>44260</c:v>
                </c:pt>
                <c:pt idx="19">
                  <c:v>44253</c:v>
                </c:pt>
                <c:pt idx="20">
                  <c:v>44246</c:v>
                </c:pt>
                <c:pt idx="21">
                  <c:v>44237</c:v>
                </c:pt>
                <c:pt idx="22">
                  <c:v>44232</c:v>
                </c:pt>
                <c:pt idx="23">
                  <c:v>44225</c:v>
                </c:pt>
              </c:numCache>
            </c:numRef>
          </c:cat>
          <c:val>
            <c:numRef>
              <c:f>转债!$I$5:$I$28</c:f>
              <c:numCache>
                <c:formatCode>General</c:formatCode>
                <c:ptCount val="24"/>
                <c:pt idx="0">
                  <c:v>1.0967589258504384</c:v>
                </c:pt>
                <c:pt idx="1">
                  <c:v>0.68143086009258003</c:v>
                </c:pt>
                <c:pt idx="2">
                  <c:v>0.65248813774012593</c:v>
                </c:pt>
                <c:pt idx="3">
                  <c:v>0.44563279857396942</c:v>
                </c:pt>
                <c:pt idx="4">
                  <c:v>0.52335252065573989</c:v>
                </c:pt>
                <c:pt idx="5">
                  <c:v>0.73914605348956997</c:v>
                </c:pt>
                <c:pt idx="6">
                  <c:v>0.8367000529481583</c:v>
                </c:pt>
                <c:pt idx="7">
                  <c:v>0.90096992170143331</c:v>
                </c:pt>
                <c:pt idx="8">
                  <c:v>0.63163235251555427</c:v>
                </c:pt>
                <c:pt idx="9">
                  <c:v>0.54165453626098259</c:v>
                </c:pt>
                <c:pt idx="10">
                  <c:v>0.48419471982592555</c:v>
                </c:pt>
                <c:pt idx="11">
                  <c:v>0.52377814892563546</c:v>
                </c:pt>
                <c:pt idx="12">
                  <c:v>0.39608966795887657</c:v>
                </c:pt>
                <c:pt idx="13">
                  <c:v>0.10146977954159642</c:v>
                </c:pt>
                <c:pt idx="14">
                  <c:v>0.12947611970028916</c:v>
                </c:pt>
                <c:pt idx="15">
                  <c:v>0.102491287389328</c:v>
                </c:pt>
                <c:pt idx="16">
                  <c:v>-6.6057507486805278E-2</c:v>
                </c:pt>
                <c:pt idx="17">
                  <c:v>-0.15194929235043952</c:v>
                </c:pt>
                <c:pt idx="18">
                  <c:v>-0.16207924517379624</c:v>
                </c:pt>
                <c:pt idx="19">
                  <c:v>-0.31113426528899257</c:v>
                </c:pt>
                <c:pt idx="20">
                  <c:v>-0.28431968428597187</c:v>
                </c:pt>
                <c:pt idx="21">
                  <c:v>-0.20957936009343703</c:v>
                </c:pt>
                <c:pt idx="22">
                  <c:v>-0.19374598845355306</c:v>
                </c:pt>
                <c:pt idx="23">
                  <c:v>0</c:v>
                </c:pt>
              </c:numCache>
            </c:numRef>
          </c:val>
          <c:smooth val="1"/>
          <c:extLst xmlns:c16r2="http://schemas.microsoft.com/office/drawing/2015/06/chart">
            <c:ext xmlns:c16="http://schemas.microsoft.com/office/drawing/2014/chart" uri="{C3380CC4-5D6E-409C-BE32-E72D297353CC}">
              <c16:uniqueId val="{00000004-FB26-4560-BF82-E44BC96AA276}"/>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44386</c:v>
                </c:pt>
                <c:pt idx="1">
                  <c:v>44379</c:v>
                </c:pt>
                <c:pt idx="2">
                  <c:v>44372</c:v>
                </c:pt>
                <c:pt idx="3">
                  <c:v>44365</c:v>
                </c:pt>
                <c:pt idx="4">
                  <c:v>44358</c:v>
                </c:pt>
                <c:pt idx="5">
                  <c:v>44351</c:v>
                </c:pt>
                <c:pt idx="6">
                  <c:v>44344</c:v>
                </c:pt>
                <c:pt idx="7">
                  <c:v>44337</c:v>
                </c:pt>
                <c:pt idx="8">
                  <c:v>44330</c:v>
                </c:pt>
                <c:pt idx="9">
                  <c:v>44323</c:v>
                </c:pt>
                <c:pt idx="10">
                  <c:v>44316</c:v>
                </c:pt>
                <c:pt idx="11">
                  <c:v>44309</c:v>
                </c:pt>
                <c:pt idx="12">
                  <c:v>44302</c:v>
                </c:pt>
                <c:pt idx="13">
                  <c:v>44295</c:v>
                </c:pt>
                <c:pt idx="14">
                  <c:v>44288</c:v>
                </c:pt>
                <c:pt idx="15">
                  <c:v>44281</c:v>
                </c:pt>
                <c:pt idx="16">
                  <c:v>44274</c:v>
                </c:pt>
                <c:pt idx="17">
                  <c:v>44267</c:v>
                </c:pt>
                <c:pt idx="18">
                  <c:v>44260</c:v>
                </c:pt>
                <c:pt idx="19">
                  <c:v>44253</c:v>
                </c:pt>
                <c:pt idx="20">
                  <c:v>44246</c:v>
                </c:pt>
                <c:pt idx="21">
                  <c:v>44237</c:v>
                </c:pt>
                <c:pt idx="22">
                  <c:v>44232</c:v>
                </c:pt>
                <c:pt idx="23">
                  <c:v>44225</c:v>
                </c:pt>
              </c:numCache>
            </c:numRef>
          </c:cat>
          <c:val>
            <c:numRef>
              <c:f>转债!$J$5:$J$28</c:f>
              <c:numCache>
                <c:formatCode>General</c:formatCode>
                <c:ptCount val="24"/>
                <c:pt idx="0">
                  <c:v>-5.2789680260590721</c:v>
                </c:pt>
                <c:pt idx="1">
                  <c:v>-5.0607098559657953</c:v>
                </c:pt>
                <c:pt idx="2">
                  <c:v>-2.0926184750923116</c:v>
                </c:pt>
                <c:pt idx="3">
                  <c:v>-4.6618189514930686</c:v>
                </c:pt>
                <c:pt idx="4">
                  <c:v>-2.3778483138696349</c:v>
                </c:pt>
                <c:pt idx="5">
                  <c:v>-1.3020900773521471</c:v>
                </c:pt>
                <c:pt idx="6">
                  <c:v>-0.57690964547859602</c:v>
                </c:pt>
                <c:pt idx="7">
                  <c:v>-4.0698382048341752</c:v>
                </c:pt>
                <c:pt idx="8">
                  <c:v>-4.5100167516055727</c:v>
                </c:pt>
                <c:pt idx="9">
                  <c:v>-6.6501168561540975</c:v>
                </c:pt>
                <c:pt idx="10">
                  <c:v>-4.2690043203948091</c:v>
                </c:pt>
                <c:pt idx="11">
                  <c:v>-4.0454527670082063</c:v>
                </c:pt>
                <c:pt idx="12">
                  <c:v>-7.208259561358088</c:v>
                </c:pt>
                <c:pt idx="13">
                  <c:v>-5.9160929427672144</c:v>
                </c:pt>
                <c:pt idx="14">
                  <c:v>-3.5577159833979577</c:v>
                </c:pt>
                <c:pt idx="15">
                  <c:v>-5.8665317031431847</c:v>
                </c:pt>
                <c:pt idx="16">
                  <c:v>-6.4438748342991792</c:v>
                </c:pt>
                <c:pt idx="17">
                  <c:v>-3.8413183824123287</c:v>
                </c:pt>
                <c:pt idx="18">
                  <c:v>-1.6660947271587068</c:v>
                </c:pt>
                <c:pt idx="19">
                  <c:v>-0.28407699109220808</c:v>
                </c:pt>
                <c:pt idx="20">
                  <c:v>7.976087883690397</c:v>
                </c:pt>
                <c:pt idx="21">
                  <c:v>8.5156486274217791</c:v>
                </c:pt>
                <c:pt idx="22">
                  <c:v>2.4560962155840693</c:v>
                </c:pt>
                <c:pt idx="23">
                  <c:v>0</c:v>
                </c:pt>
              </c:numCache>
            </c:numRef>
          </c:val>
          <c:smooth val="1"/>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354192768"/>
        <c:axId val="354202752"/>
      </c:lineChart>
      <c:dateAx>
        <c:axId val="354192768"/>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600"/>
            </a:pPr>
            <a:endParaRPr lang="zh-CN"/>
          </a:p>
        </c:txPr>
        <c:crossAx val="354202752"/>
        <c:crosses val="autoZero"/>
        <c:auto val="0"/>
        <c:lblOffset val="0"/>
        <c:baseTimeUnit val="days"/>
        <c:majorUnit val="14"/>
        <c:majorTimeUnit val="days"/>
      </c:dateAx>
      <c:valAx>
        <c:axId val="354202752"/>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54192768"/>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2019</c:v>
                </c:pt>
              </c:strCache>
            </c:strRef>
          </c:tx>
          <c:spPr>
            <a:ln w="28575">
              <a:solidFill>
                <a:srgbClr val="E7E6E6">
                  <a:lumMod val="75000"/>
                </a:srgbClr>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南华!$H$2:$H$366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263E-4541-8F4F-0EB9B7B9BD50}"/>
            </c:ext>
          </c:extLst>
        </c:ser>
        <c:ser>
          <c:idx val="2"/>
          <c:order val="1"/>
          <c:tx>
            <c:strRef>
              <c:f>南华!$I$1</c:f>
              <c:strCache>
                <c:ptCount val="1"/>
                <c:pt idx="0">
                  <c:v>2020</c:v>
                </c:pt>
              </c:strCache>
            </c:strRef>
          </c:tx>
          <c:spPr>
            <a:ln w="28575">
              <a:solidFill>
                <a:srgbClr val="F8CBAD"/>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南华!$I$2:$I$366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2165.1799999999998</c:v>
                </c:pt>
                <c:pt idx="277">
                  <c:v>#N/A</c:v>
                </c:pt>
                <c:pt idx="278">
                  <c:v>#N/A</c:v>
                </c:pt>
                <c:pt idx="279">
                  <c:v>#N/A</c:v>
                </c:pt>
                <c:pt idx="280">
                  <c:v>#N/A</c:v>
                </c:pt>
                <c:pt idx="281">
                  <c:v>#N/A</c:v>
                </c:pt>
                <c:pt idx="282">
                  <c:v>#N/A</c:v>
                </c:pt>
                <c:pt idx="283">
                  <c:v>2225.67</c:v>
                </c:pt>
                <c:pt idx="284">
                  <c:v>#N/A</c:v>
                </c:pt>
                <c:pt idx="285">
                  <c:v>#N/A</c:v>
                </c:pt>
                <c:pt idx="286">
                  <c:v>#N/A</c:v>
                </c:pt>
                <c:pt idx="287">
                  <c:v>#N/A</c:v>
                </c:pt>
                <c:pt idx="288">
                  <c:v>#N/A</c:v>
                </c:pt>
                <c:pt idx="289">
                  <c:v>#N/A</c:v>
                </c:pt>
                <c:pt idx="290">
                  <c:v>2232.08</c:v>
                </c:pt>
                <c:pt idx="291">
                  <c:v>#N/A</c:v>
                </c:pt>
                <c:pt idx="292">
                  <c:v>#N/A</c:v>
                </c:pt>
                <c:pt idx="293">
                  <c:v>#N/A</c:v>
                </c:pt>
                <c:pt idx="294">
                  <c:v>#N/A</c:v>
                </c:pt>
                <c:pt idx="295">
                  <c:v>#N/A</c:v>
                </c:pt>
                <c:pt idx="296">
                  <c:v>#N/A</c:v>
                </c:pt>
                <c:pt idx="297">
                  <c:v>2229.89</c:v>
                </c:pt>
                <c:pt idx="298">
                  <c:v>#N/A</c:v>
                </c:pt>
                <c:pt idx="299">
                  <c:v>#N/A</c:v>
                </c:pt>
                <c:pt idx="300">
                  <c:v>#N/A</c:v>
                </c:pt>
                <c:pt idx="301">
                  <c:v>#N/A</c:v>
                </c:pt>
                <c:pt idx="302">
                  <c:v>#N/A</c:v>
                </c:pt>
                <c:pt idx="303">
                  <c:v>#N/A</c:v>
                </c:pt>
                <c:pt idx="304">
                  <c:v>2160.9499999999998</c:v>
                </c:pt>
                <c:pt idx="305">
                  <c:v>#N/A</c:v>
                </c:pt>
                <c:pt idx="306">
                  <c:v>#N/A</c:v>
                </c:pt>
                <c:pt idx="307">
                  <c:v>#N/A</c:v>
                </c:pt>
                <c:pt idx="308">
                  <c:v>#N/A</c:v>
                </c:pt>
                <c:pt idx="309">
                  <c:v>#N/A</c:v>
                </c:pt>
                <c:pt idx="310">
                  <c:v>#N/A</c:v>
                </c:pt>
                <c:pt idx="311">
                  <c:v>2188.46</c:v>
                </c:pt>
                <c:pt idx="312">
                  <c:v>#N/A</c:v>
                </c:pt>
                <c:pt idx="313">
                  <c:v>#N/A</c:v>
                </c:pt>
                <c:pt idx="314">
                  <c:v>#N/A</c:v>
                </c:pt>
                <c:pt idx="315">
                  <c:v>#N/A</c:v>
                </c:pt>
                <c:pt idx="316">
                  <c:v>#N/A</c:v>
                </c:pt>
                <c:pt idx="317">
                  <c:v>#N/A</c:v>
                </c:pt>
                <c:pt idx="318">
                  <c:v>2263.16</c:v>
                </c:pt>
                <c:pt idx="319">
                  <c:v>#N/A</c:v>
                </c:pt>
                <c:pt idx="320">
                  <c:v>#N/A</c:v>
                </c:pt>
                <c:pt idx="321">
                  <c:v>#N/A</c:v>
                </c:pt>
                <c:pt idx="322">
                  <c:v>#N/A</c:v>
                </c:pt>
                <c:pt idx="323">
                  <c:v>#N/A</c:v>
                </c:pt>
                <c:pt idx="324">
                  <c:v>#N/A</c:v>
                </c:pt>
                <c:pt idx="325">
                  <c:v>2317.21</c:v>
                </c:pt>
                <c:pt idx="326">
                  <c:v>#N/A</c:v>
                </c:pt>
                <c:pt idx="327">
                  <c:v>#N/A</c:v>
                </c:pt>
                <c:pt idx="328">
                  <c:v>#N/A</c:v>
                </c:pt>
                <c:pt idx="329">
                  <c:v>#N/A</c:v>
                </c:pt>
                <c:pt idx="330">
                  <c:v>#N/A</c:v>
                </c:pt>
                <c:pt idx="331">
                  <c:v>#N/A</c:v>
                </c:pt>
                <c:pt idx="332">
                  <c:v>2406.48</c:v>
                </c:pt>
                <c:pt idx="333">
                  <c:v>#N/A</c:v>
                </c:pt>
                <c:pt idx="334">
                  <c:v>#N/A</c:v>
                </c:pt>
                <c:pt idx="335">
                  <c:v>#N/A</c:v>
                </c:pt>
                <c:pt idx="336">
                  <c:v>#N/A</c:v>
                </c:pt>
                <c:pt idx="337">
                  <c:v>#N/A</c:v>
                </c:pt>
                <c:pt idx="338">
                  <c:v>#N/A</c:v>
                </c:pt>
                <c:pt idx="339">
                  <c:v>2446.02</c:v>
                </c:pt>
                <c:pt idx="340">
                  <c:v>#N/A</c:v>
                </c:pt>
                <c:pt idx="341">
                  <c:v>#N/A</c:v>
                </c:pt>
                <c:pt idx="342">
                  <c:v>#N/A</c:v>
                </c:pt>
                <c:pt idx="343">
                  <c:v>#N/A</c:v>
                </c:pt>
                <c:pt idx="344">
                  <c:v>#N/A</c:v>
                </c:pt>
                <c:pt idx="345">
                  <c:v>#N/A</c:v>
                </c:pt>
                <c:pt idx="346">
                  <c:v>2513.1</c:v>
                </c:pt>
                <c:pt idx="347">
                  <c:v>#N/A</c:v>
                </c:pt>
                <c:pt idx="348">
                  <c:v>#N/A</c:v>
                </c:pt>
                <c:pt idx="349">
                  <c:v>#N/A</c:v>
                </c:pt>
                <c:pt idx="350">
                  <c:v>#N/A</c:v>
                </c:pt>
                <c:pt idx="351">
                  <c:v>#N/A</c:v>
                </c:pt>
                <c:pt idx="352">
                  <c:v>#N/A</c:v>
                </c:pt>
                <c:pt idx="353">
                  <c:v>2623.4</c:v>
                </c:pt>
                <c:pt idx="354">
                  <c:v>#N/A</c:v>
                </c:pt>
                <c:pt idx="355">
                  <c:v>#N/A</c:v>
                </c:pt>
                <c:pt idx="356">
                  <c:v>#N/A</c:v>
                </c:pt>
                <c:pt idx="357">
                  <c:v>#N/A</c:v>
                </c:pt>
                <c:pt idx="358">
                  <c:v>#N/A</c:v>
                </c:pt>
                <c:pt idx="359">
                  <c:v>#N/A</c:v>
                </c:pt>
                <c:pt idx="360">
                  <c:v>2604.1</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263E-4541-8F4F-0EB9B7B9BD50}"/>
            </c:ext>
          </c:extLst>
        </c:ser>
        <c:ser>
          <c:idx val="1"/>
          <c:order val="2"/>
          <c:tx>
            <c:strRef>
              <c:f>南华!$J$1</c:f>
              <c:strCache>
                <c:ptCount val="1"/>
                <c:pt idx="0">
                  <c:v>2021</c:v>
                </c:pt>
              </c:strCache>
            </c:strRef>
          </c:tx>
          <c:spPr>
            <a:ln w="28575">
              <a:solidFill>
                <a:srgbClr val="BF5711"/>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南华!$J$2:$J$366</c:f>
              <c:numCache>
                <c:formatCode>General</c:formatCode>
                <c:ptCount val="365"/>
                <c:pt idx="0">
                  <c:v>#N/A</c:v>
                </c:pt>
                <c:pt idx="1">
                  <c:v>2550.4899999999998</c:v>
                </c:pt>
                <c:pt idx="2">
                  <c:v>#N/A</c:v>
                </c:pt>
                <c:pt idx="3">
                  <c:v>#N/A</c:v>
                </c:pt>
                <c:pt idx="4">
                  <c:v>#N/A</c:v>
                </c:pt>
                <c:pt idx="5">
                  <c:v>#N/A</c:v>
                </c:pt>
                <c:pt idx="6">
                  <c:v>#N/A</c:v>
                </c:pt>
                <c:pt idx="7">
                  <c:v>#N/A</c:v>
                </c:pt>
                <c:pt idx="8">
                  <c:v>2690.36</c:v>
                </c:pt>
                <c:pt idx="9">
                  <c:v>#N/A</c:v>
                </c:pt>
                <c:pt idx="10">
                  <c:v>#N/A</c:v>
                </c:pt>
                <c:pt idx="11">
                  <c:v>#N/A</c:v>
                </c:pt>
                <c:pt idx="12">
                  <c:v>#N/A</c:v>
                </c:pt>
                <c:pt idx="13">
                  <c:v>#N/A</c:v>
                </c:pt>
                <c:pt idx="14">
                  <c:v>#N/A</c:v>
                </c:pt>
                <c:pt idx="15">
                  <c:v>2641.58</c:v>
                </c:pt>
                <c:pt idx="16">
                  <c:v>#N/A</c:v>
                </c:pt>
                <c:pt idx="17">
                  <c:v>#N/A</c:v>
                </c:pt>
                <c:pt idx="18">
                  <c:v>#N/A</c:v>
                </c:pt>
                <c:pt idx="19">
                  <c:v>#N/A</c:v>
                </c:pt>
                <c:pt idx="20">
                  <c:v>#N/A</c:v>
                </c:pt>
                <c:pt idx="21">
                  <c:v>#N/A</c:v>
                </c:pt>
                <c:pt idx="22">
                  <c:v>2613.9</c:v>
                </c:pt>
                <c:pt idx="23">
                  <c:v>#N/A</c:v>
                </c:pt>
                <c:pt idx="24">
                  <c:v>#N/A</c:v>
                </c:pt>
                <c:pt idx="25">
                  <c:v>#N/A</c:v>
                </c:pt>
                <c:pt idx="26">
                  <c:v>#N/A</c:v>
                </c:pt>
                <c:pt idx="27">
                  <c:v>#N/A</c:v>
                </c:pt>
                <c:pt idx="28">
                  <c:v>#N/A</c:v>
                </c:pt>
                <c:pt idx="29">
                  <c:v>2578.96</c:v>
                </c:pt>
                <c:pt idx="30">
                  <c:v>#N/A</c:v>
                </c:pt>
                <c:pt idx="31">
                  <c:v>#N/A</c:v>
                </c:pt>
                <c:pt idx="32">
                  <c:v>#N/A</c:v>
                </c:pt>
                <c:pt idx="33">
                  <c:v>#N/A</c:v>
                </c:pt>
                <c:pt idx="34">
                  <c:v>#N/A</c:v>
                </c:pt>
                <c:pt idx="35">
                  <c:v>#N/A</c:v>
                </c:pt>
                <c:pt idx="36">
                  <c:v>2643.67</c:v>
                </c:pt>
                <c:pt idx="37">
                  <c:v>#N/A</c:v>
                </c:pt>
                <c:pt idx="38">
                  <c:v>#N/A</c:v>
                </c:pt>
                <c:pt idx="39">
                  <c:v>#N/A</c:v>
                </c:pt>
                <c:pt idx="40">
                  <c:v>#N/A</c:v>
                </c:pt>
                <c:pt idx="41">
                  <c:v>#N/A</c:v>
                </c:pt>
                <c:pt idx="42">
                  <c:v>#N/A</c:v>
                </c:pt>
                <c:pt idx="43">
                  <c:v>2694.97</c:v>
                </c:pt>
                <c:pt idx="44">
                  <c:v>#N/A</c:v>
                </c:pt>
                <c:pt idx="45">
                  <c:v>#N/A</c:v>
                </c:pt>
                <c:pt idx="46">
                  <c:v>#N/A</c:v>
                </c:pt>
                <c:pt idx="47">
                  <c:v>#N/A</c:v>
                </c:pt>
                <c:pt idx="48">
                  <c:v>#N/A</c:v>
                </c:pt>
                <c:pt idx="49">
                  <c:v>#N/A</c:v>
                </c:pt>
                <c:pt idx="50">
                  <c:v>2833.05</c:v>
                </c:pt>
                <c:pt idx="51">
                  <c:v>#N/A</c:v>
                </c:pt>
                <c:pt idx="52">
                  <c:v>#N/A</c:v>
                </c:pt>
                <c:pt idx="53">
                  <c:v>#N/A</c:v>
                </c:pt>
                <c:pt idx="54">
                  <c:v>#N/A</c:v>
                </c:pt>
                <c:pt idx="55">
                  <c:v>#N/A</c:v>
                </c:pt>
                <c:pt idx="56">
                  <c:v>#N/A</c:v>
                </c:pt>
                <c:pt idx="57">
                  <c:v>2914.95</c:v>
                </c:pt>
                <c:pt idx="58">
                  <c:v>#N/A</c:v>
                </c:pt>
                <c:pt idx="59">
                  <c:v>#N/A</c:v>
                </c:pt>
                <c:pt idx="60">
                  <c:v>#N/A</c:v>
                </c:pt>
                <c:pt idx="61">
                  <c:v>#N/A</c:v>
                </c:pt>
                <c:pt idx="62">
                  <c:v>#N/A</c:v>
                </c:pt>
                <c:pt idx="63">
                  <c:v>#N/A</c:v>
                </c:pt>
                <c:pt idx="64">
                  <c:v>2879.6</c:v>
                </c:pt>
                <c:pt idx="65">
                  <c:v>#N/A</c:v>
                </c:pt>
                <c:pt idx="66">
                  <c:v>#N/A</c:v>
                </c:pt>
                <c:pt idx="67">
                  <c:v>#N/A</c:v>
                </c:pt>
                <c:pt idx="68">
                  <c:v>#N/A</c:v>
                </c:pt>
                <c:pt idx="69">
                  <c:v>#N/A</c:v>
                </c:pt>
                <c:pt idx="70">
                  <c:v>#N/A</c:v>
                </c:pt>
                <c:pt idx="71">
                  <c:v>2846.88</c:v>
                </c:pt>
                <c:pt idx="72">
                  <c:v>#N/A</c:v>
                </c:pt>
                <c:pt idx="73">
                  <c:v>#N/A</c:v>
                </c:pt>
                <c:pt idx="74">
                  <c:v>#N/A</c:v>
                </c:pt>
                <c:pt idx="75">
                  <c:v>#N/A</c:v>
                </c:pt>
                <c:pt idx="76">
                  <c:v>#N/A</c:v>
                </c:pt>
                <c:pt idx="77">
                  <c:v>#N/A</c:v>
                </c:pt>
                <c:pt idx="78">
                  <c:v>2748.48</c:v>
                </c:pt>
                <c:pt idx="79">
                  <c:v>#N/A</c:v>
                </c:pt>
                <c:pt idx="80">
                  <c:v>#N/A</c:v>
                </c:pt>
                <c:pt idx="81">
                  <c:v>#N/A</c:v>
                </c:pt>
                <c:pt idx="82">
                  <c:v>#N/A</c:v>
                </c:pt>
                <c:pt idx="83">
                  <c:v>#N/A</c:v>
                </c:pt>
                <c:pt idx="84">
                  <c:v>#N/A</c:v>
                </c:pt>
                <c:pt idx="85">
                  <c:v>2784.75</c:v>
                </c:pt>
                <c:pt idx="86">
                  <c:v>#N/A</c:v>
                </c:pt>
                <c:pt idx="87">
                  <c:v>#N/A</c:v>
                </c:pt>
                <c:pt idx="88">
                  <c:v>#N/A</c:v>
                </c:pt>
                <c:pt idx="89">
                  <c:v>#N/A</c:v>
                </c:pt>
                <c:pt idx="90">
                  <c:v>#N/A</c:v>
                </c:pt>
                <c:pt idx="91">
                  <c:v>#N/A</c:v>
                </c:pt>
                <c:pt idx="92">
                  <c:v>2871.89</c:v>
                </c:pt>
                <c:pt idx="93">
                  <c:v>#N/A</c:v>
                </c:pt>
                <c:pt idx="94">
                  <c:v>#N/A</c:v>
                </c:pt>
                <c:pt idx="95">
                  <c:v>#N/A</c:v>
                </c:pt>
                <c:pt idx="96">
                  <c:v>#N/A</c:v>
                </c:pt>
                <c:pt idx="97">
                  <c:v>#N/A</c:v>
                </c:pt>
                <c:pt idx="98">
                  <c:v>#N/A</c:v>
                </c:pt>
                <c:pt idx="99">
                  <c:v>2818</c:v>
                </c:pt>
                <c:pt idx="100">
                  <c:v>#N/A</c:v>
                </c:pt>
                <c:pt idx="101">
                  <c:v>#N/A</c:v>
                </c:pt>
                <c:pt idx="102">
                  <c:v>#N/A</c:v>
                </c:pt>
                <c:pt idx="103">
                  <c:v>#N/A</c:v>
                </c:pt>
                <c:pt idx="104">
                  <c:v>#N/A</c:v>
                </c:pt>
                <c:pt idx="105">
                  <c:v>#N/A</c:v>
                </c:pt>
                <c:pt idx="106">
                  <c:v>2926.49</c:v>
                </c:pt>
                <c:pt idx="107">
                  <c:v>#N/A</c:v>
                </c:pt>
                <c:pt idx="108">
                  <c:v>#N/A</c:v>
                </c:pt>
                <c:pt idx="109">
                  <c:v>#N/A</c:v>
                </c:pt>
                <c:pt idx="110">
                  <c:v>#N/A</c:v>
                </c:pt>
                <c:pt idx="111">
                  <c:v>#N/A</c:v>
                </c:pt>
                <c:pt idx="112">
                  <c:v>#N/A</c:v>
                </c:pt>
                <c:pt idx="113">
                  <c:v>2921.81</c:v>
                </c:pt>
                <c:pt idx="114">
                  <c:v>#N/A</c:v>
                </c:pt>
                <c:pt idx="115">
                  <c:v>#N/A</c:v>
                </c:pt>
                <c:pt idx="116">
                  <c:v>#N/A</c:v>
                </c:pt>
                <c:pt idx="117">
                  <c:v>#N/A</c:v>
                </c:pt>
                <c:pt idx="118">
                  <c:v>#N/A</c:v>
                </c:pt>
                <c:pt idx="119">
                  <c:v>#N/A</c:v>
                </c:pt>
                <c:pt idx="120">
                  <c:v>2997.89</c:v>
                </c:pt>
                <c:pt idx="121">
                  <c:v>#N/A</c:v>
                </c:pt>
                <c:pt idx="122">
                  <c:v>#N/A</c:v>
                </c:pt>
                <c:pt idx="123">
                  <c:v>#N/A</c:v>
                </c:pt>
                <c:pt idx="124">
                  <c:v>#N/A</c:v>
                </c:pt>
                <c:pt idx="125">
                  <c:v>#N/A</c:v>
                </c:pt>
                <c:pt idx="126">
                  <c:v>#N/A</c:v>
                </c:pt>
                <c:pt idx="127">
                  <c:v>3144.5</c:v>
                </c:pt>
                <c:pt idx="128">
                  <c:v>#N/A</c:v>
                </c:pt>
                <c:pt idx="129">
                  <c:v>#N/A</c:v>
                </c:pt>
                <c:pt idx="130">
                  <c:v>#N/A</c:v>
                </c:pt>
                <c:pt idx="131">
                  <c:v>#N/A</c:v>
                </c:pt>
                <c:pt idx="132">
                  <c:v>#N/A</c:v>
                </c:pt>
                <c:pt idx="133">
                  <c:v>#N/A</c:v>
                </c:pt>
                <c:pt idx="134">
                  <c:v>3052.2</c:v>
                </c:pt>
                <c:pt idx="135">
                  <c:v>#N/A</c:v>
                </c:pt>
                <c:pt idx="136">
                  <c:v>#N/A</c:v>
                </c:pt>
                <c:pt idx="137">
                  <c:v>#N/A</c:v>
                </c:pt>
                <c:pt idx="138">
                  <c:v>#N/A</c:v>
                </c:pt>
                <c:pt idx="139">
                  <c:v>#N/A</c:v>
                </c:pt>
                <c:pt idx="140">
                  <c:v>#N/A</c:v>
                </c:pt>
                <c:pt idx="141">
                  <c:v>2914.64</c:v>
                </c:pt>
                <c:pt idx="142">
                  <c:v>#N/A</c:v>
                </c:pt>
                <c:pt idx="143">
                  <c:v>#N/A</c:v>
                </c:pt>
                <c:pt idx="144">
                  <c:v>#N/A</c:v>
                </c:pt>
                <c:pt idx="145">
                  <c:v>#N/A</c:v>
                </c:pt>
                <c:pt idx="146">
                  <c:v>#N/A</c:v>
                </c:pt>
                <c:pt idx="147">
                  <c:v>#N/A</c:v>
                </c:pt>
                <c:pt idx="148">
                  <c:v>2972.27</c:v>
                </c:pt>
                <c:pt idx="149">
                  <c:v>#N/A</c:v>
                </c:pt>
                <c:pt idx="150">
                  <c:v>#N/A</c:v>
                </c:pt>
                <c:pt idx="151">
                  <c:v>#N/A</c:v>
                </c:pt>
                <c:pt idx="152">
                  <c:v>#N/A</c:v>
                </c:pt>
                <c:pt idx="153">
                  <c:v>#N/A</c:v>
                </c:pt>
                <c:pt idx="154">
                  <c:v>#N/A</c:v>
                </c:pt>
                <c:pt idx="155">
                  <c:v>3038.36</c:v>
                </c:pt>
                <c:pt idx="156">
                  <c:v>#N/A</c:v>
                </c:pt>
                <c:pt idx="157">
                  <c:v>#N/A</c:v>
                </c:pt>
                <c:pt idx="158">
                  <c:v>#N/A</c:v>
                </c:pt>
                <c:pt idx="159">
                  <c:v>#N/A</c:v>
                </c:pt>
                <c:pt idx="160">
                  <c:v>#N/A</c:v>
                </c:pt>
                <c:pt idx="161">
                  <c:v>#N/A</c:v>
                </c:pt>
                <c:pt idx="162">
                  <c:v>3115.05</c:v>
                </c:pt>
                <c:pt idx="163">
                  <c:v>#N/A</c:v>
                </c:pt>
                <c:pt idx="164">
                  <c:v>#N/A</c:v>
                </c:pt>
                <c:pt idx="165">
                  <c:v>#N/A</c:v>
                </c:pt>
                <c:pt idx="166">
                  <c:v>#N/A</c:v>
                </c:pt>
                <c:pt idx="167">
                  <c:v>#N/A</c:v>
                </c:pt>
                <c:pt idx="168">
                  <c:v>#N/A</c:v>
                </c:pt>
                <c:pt idx="169">
                  <c:v>3043.07</c:v>
                </c:pt>
                <c:pt idx="170">
                  <c:v>#N/A</c:v>
                </c:pt>
                <c:pt idx="171">
                  <c:v>#N/A</c:v>
                </c:pt>
                <c:pt idx="172">
                  <c:v>#N/A</c:v>
                </c:pt>
                <c:pt idx="173">
                  <c:v>#N/A</c:v>
                </c:pt>
                <c:pt idx="174">
                  <c:v>#N/A</c:v>
                </c:pt>
                <c:pt idx="175">
                  <c:v>#N/A</c:v>
                </c:pt>
                <c:pt idx="176">
                  <c:v>3139.09</c:v>
                </c:pt>
                <c:pt idx="177">
                  <c:v>#N/A</c:v>
                </c:pt>
                <c:pt idx="178">
                  <c:v>#N/A</c:v>
                </c:pt>
                <c:pt idx="179">
                  <c:v>#N/A</c:v>
                </c:pt>
                <c:pt idx="180">
                  <c:v>#N/A</c:v>
                </c:pt>
                <c:pt idx="181">
                  <c:v>#N/A</c:v>
                </c:pt>
                <c:pt idx="182">
                  <c:v>#N/A</c:v>
                </c:pt>
                <c:pt idx="183">
                  <c:v>3101.82</c:v>
                </c:pt>
                <c:pt idx="184">
                  <c:v>#N/A</c:v>
                </c:pt>
                <c:pt idx="185">
                  <c:v>#N/A</c:v>
                </c:pt>
                <c:pt idx="186">
                  <c:v>#N/A</c:v>
                </c:pt>
                <c:pt idx="187">
                  <c:v>#N/A</c:v>
                </c:pt>
                <c:pt idx="188">
                  <c:v>#N/A</c:v>
                </c:pt>
                <c:pt idx="189">
                  <c:v>#N/A</c:v>
                </c:pt>
                <c:pt idx="190">
                  <c:v>3115.01</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263E-4541-8F4F-0EB9B7B9BD50}"/>
            </c:ext>
          </c:extLst>
        </c:ser>
        <c:dLbls>
          <c:showLegendKey val="0"/>
          <c:showVal val="0"/>
          <c:showCatName val="0"/>
          <c:showSerName val="0"/>
          <c:showPercent val="0"/>
          <c:showBubbleSize val="0"/>
        </c:dLbls>
        <c:marker val="1"/>
        <c:smooth val="0"/>
        <c:axId val="354297344"/>
        <c:axId val="354298880"/>
      </c:lineChart>
      <c:dateAx>
        <c:axId val="354297344"/>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54298880"/>
        <c:crosses val="autoZero"/>
        <c:auto val="0"/>
        <c:lblOffset val="0"/>
        <c:baseTimeUnit val="days"/>
        <c:majorUnit val="1"/>
        <c:majorTimeUnit val="months"/>
      </c:dateAx>
      <c:valAx>
        <c:axId val="354298880"/>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54297344"/>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2019</c:v>
                </c:pt>
              </c:strCache>
            </c:strRef>
          </c:tx>
          <c:spPr>
            <a:ln w="28575">
              <a:solidFill>
                <a:srgbClr val="E7E6E6">
                  <a:lumMod val="75000"/>
                </a:srgbClr>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水泥!$H$2:$H$366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0-DE56-486F-81AB-A95D34284161}"/>
            </c:ext>
          </c:extLst>
        </c:ser>
        <c:ser>
          <c:idx val="2"/>
          <c:order val="1"/>
          <c:tx>
            <c:strRef>
              <c:f>水泥!$I$1</c:f>
              <c:strCache>
                <c:ptCount val="1"/>
                <c:pt idx="0">
                  <c:v>2020</c:v>
                </c:pt>
              </c:strCache>
            </c:strRef>
          </c:tx>
          <c:spPr>
            <a:ln w="28575">
              <a:solidFill>
                <a:srgbClr val="F8CBAD"/>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水泥!$I$2:$I$366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146.36000000000001</c:v>
                </c:pt>
                <c:pt idx="272">
                  <c:v>146.33000000000001</c:v>
                </c:pt>
                <c:pt idx="273">
                  <c:v>146.33000000000001</c:v>
                </c:pt>
                <c:pt idx="274">
                  <c:v>#N/A</c:v>
                </c:pt>
                <c:pt idx="275">
                  <c:v>#N/A</c:v>
                </c:pt>
                <c:pt idx="276">
                  <c:v>#N/A</c:v>
                </c:pt>
                <c:pt idx="277">
                  <c:v>#N/A</c:v>
                </c:pt>
                <c:pt idx="278">
                  <c:v>#N/A</c:v>
                </c:pt>
                <c:pt idx="279">
                  <c:v>#N/A</c:v>
                </c:pt>
                <c:pt idx="280">
                  <c:v>#N/A</c:v>
                </c:pt>
                <c:pt idx="281">
                  <c:v>#N/A</c:v>
                </c:pt>
                <c:pt idx="282">
                  <c:v>146.38</c:v>
                </c:pt>
                <c:pt idx="283">
                  <c:v>#N/A</c:v>
                </c:pt>
                <c:pt idx="284">
                  <c:v>#N/A</c:v>
                </c:pt>
                <c:pt idx="285">
                  <c:v>147.03</c:v>
                </c:pt>
                <c:pt idx="286">
                  <c:v>147.41</c:v>
                </c:pt>
                <c:pt idx="287">
                  <c:v>147.85</c:v>
                </c:pt>
                <c:pt idx="288">
                  <c:v>148.77000000000001</c:v>
                </c:pt>
                <c:pt idx="289">
                  <c:v>149.19</c:v>
                </c:pt>
                <c:pt idx="290">
                  <c:v>#N/A</c:v>
                </c:pt>
                <c:pt idx="291">
                  <c:v>#N/A</c:v>
                </c:pt>
                <c:pt idx="292">
                  <c:v>150.55000000000001</c:v>
                </c:pt>
                <c:pt idx="293">
                  <c:v>150.56</c:v>
                </c:pt>
                <c:pt idx="294">
                  <c:v>150.51</c:v>
                </c:pt>
                <c:pt idx="295">
                  <c:v>150.4</c:v>
                </c:pt>
                <c:pt idx="296">
                  <c:v>150.41</c:v>
                </c:pt>
                <c:pt idx="297">
                  <c:v>#N/A</c:v>
                </c:pt>
                <c:pt idx="298">
                  <c:v>#N/A</c:v>
                </c:pt>
                <c:pt idx="299">
                  <c:v>150.63999999999999</c:v>
                </c:pt>
                <c:pt idx="300">
                  <c:v>150.51</c:v>
                </c:pt>
                <c:pt idx="301">
                  <c:v>150.52000000000001</c:v>
                </c:pt>
                <c:pt idx="302">
                  <c:v>150.71</c:v>
                </c:pt>
                <c:pt idx="303">
                  <c:v>150.88</c:v>
                </c:pt>
                <c:pt idx="304">
                  <c:v>#N/A</c:v>
                </c:pt>
                <c:pt idx="305">
                  <c:v>#N/A</c:v>
                </c:pt>
                <c:pt idx="306">
                  <c:v>151.57</c:v>
                </c:pt>
                <c:pt idx="307">
                  <c:v>151.69</c:v>
                </c:pt>
                <c:pt idx="308">
                  <c:v>151.85</c:v>
                </c:pt>
                <c:pt idx="309">
                  <c:v>151.9</c:v>
                </c:pt>
                <c:pt idx="310">
                  <c:v>152.11000000000001</c:v>
                </c:pt>
                <c:pt idx="311">
                  <c:v>#N/A</c:v>
                </c:pt>
                <c:pt idx="312">
                  <c:v>#N/A</c:v>
                </c:pt>
                <c:pt idx="313">
                  <c:v>152.5</c:v>
                </c:pt>
                <c:pt idx="314">
                  <c:v>152.56</c:v>
                </c:pt>
                <c:pt idx="315">
                  <c:v>152.85</c:v>
                </c:pt>
                <c:pt idx="316">
                  <c:v>153.11000000000001</c:v>
                </c:pt>
                <c:pt idx="317">
                  <c:v>153.12</c:v>
                </c:pt>
                <c:pt idx="318">
                  <c:v>#N/A</c:v>
                </c:pt>
                <c:pt idx="319">
                  <c:v>#N/A</c:v>
                </c:pt>
                <c:pt idx="320">
                  <c:v>153.74</c:v>
                </c:pt>
                <c:pt idx="321">
                  <c:v>153.93</c:v>
                </c:pt>
                <c:pt idx="322">
                  <c:v>153.88</c:v>
                </c:pt>
                <c:pt idx="323">
                  <c:v>154.21</c:v>
                </c:pt>
                <c:pt idx="324">
                  <c:v>154.66999999999999</c:v>
                </c:pt>
                <c:pt idx="325">
                  <c:v>#N/A</c:v>
                </c:pt>
                <c:pt idx="326">
                  <c:v>#N/A</c:v>
                </c:pt>
                <c:pt idx="327">
                  <c:v>154.83000000000001</c:v>
                </c:pt>
                <c:pt idx="328">
                  <c:v>154.82</c:v>
                </c:pt>
                <c:pt idx="329">
                  <c:v>154.83000000000001</c:v>
                </c:pt>
                <c:pt idx="330">
                  <c:v>154.88</c:v>
                </c:pt>
                <c:pt idx="331">
                  <c:v>154.79</c:v>
                </c:pt>
                <c:pt idx="332">
                  <c:v>#N/A</c:v>
                </c:pt>
                <c:pt idx="333">
                  <c:v>#N/A</c:v>
                </c:pt>
                <c:pt idx="334">
                  <c:v>154.80000000000001</c:v>
                </c:pt>
                <c:pt idx="335">
                  <c:v>154.94999999999999</c:v>
                </c:pt>
                <c:pt idx="336">
                  <c:v>154.9</c:v>
                </c:pt>
                <c:pt idx="337">
                  <c:v>154.88</c:v>
                </c:pt>
                <c:pt idx="338">
                  <c:v>154.99</c:v>
                </c:pt>
                <c:pt idx="339">
                  <c:v>#N/A</c:v>
                </c:pt>
                <c:pt idx="340">
                  <c:v>#N/A</c:v>
                </c:pt>
                <c:pt idx="341">
                  <c:v>154.96</c:v>
                </c:pt>
                <c:pt idx="342">
                  <c:v>155.04</c:v>
                </c:pt>
                <c:pt idx="343">
                  <c:v>155.04</c:v>
                </c:pt>
                <c:pt idx="344">
                  <c:v>155.02000000000001</c:v>
                </c:pt>
                <c:pt idx="345">
                  <c:v>155.02000000000001</c:v>
                </c:pt>
                <c:pt idx="346">
                  <c:v>#N/A</c:v>
                </c:pt>
                <c:pt idx="347">
                  <c:v>#N/A</c:v>
                </c:pt>
                <c:pt idx="348">
                  <c:v>155.05000000000001</c:v>
                </c:pt>
                <c:pt idx="349">
                  <c:v>155.11000000000001</c:v>
                </c:pt>
                <c:pt idx="350">
                  <c:v>155.31</c:v>
                </c:pt>
                <c:pt idx="351">
                  <c:v>155.26</c:v>
                </c:pt>
                <c:pt idx="352">
                  <c:v>155.27000000000001</c:v>
                </c:pt>
                <c:pt idx="353">
                  <c:v>#N/A</c:v>
                </c:pt>
                <c:pt idx="354">
                  <c:v>#N/A</c:v>
                </c:pt>
                <c:pt idx="355">
                  <c:v>155.19</c:v>
                </c:pt>
                <c:pt idx="356">
                  <c:v>155.05000000000001</c:v>
                </c:pt>
                <c:pt idx="357">
                  <c:v>155.07</c:v>
                </c:pt>
                <c:pt idx="358">
                  <c:v>154.99</c:v>
                </c:pt>
                <c:pt idx="359">
                  <c:v>154.9</c:v>
                </c:pt>
                <c:pt idx="360">
                  <c:v>#N/A</c:v>
                </c:pt>
                <c:pt idx="361">
                  <c:v>#N/A</c:v>
                </c:pt>
                <c:pt idx="362">
                  <c:v>154.72</c:v>
                </c:pt>
                <c:pt idx="363">
                  <c:v>154.65</c:v>
                </c:pt>
                <c:pt idx="364">
                  <c:v>154.6</c:v>
                </c:pt>
              </c:numCache>
            </c:numRef>
          </c:val>
          <c:smooth val="1"/>
          <c:extLst xmlns:c16r2="http://schemas.microsoft.com/office/drawing/2015/06/chart">
            <c:ext xmlns:c16="http://schemas.microsoft.com/office/drawing/2014/chart" uri="{C3380CC4-5D6E-409C-BE32-E72D297353CC}">
              <c16:uniqueId val="{00000001-DE56-486F-81AB-A95D34284161}"/>
            </c:ext>
          </c:extLst>
        </c:ser>
        <c:ser>
          <c:idx val="1"/>
          <c:order val="2"/>
          <c:tx>
            <c:strRef>
              <c:f>水泥!$J$1</c:f>
              <c:strCache>
                <c:ptCount val="1"/>
                <c:pt idx="0">
                  <c:v>2021</c:v>
                </c:pt>
              </c:strCache>
            </c:strRef>
          </c:tx>
          <c:spPr>
            <a:ln w="28575">
              <a:solidFill>
                <a:srgbClr val="BF5711"/>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水泥!$J$2:$J$366</c:f>
              <c:numCache>
                <c:formatCode>General</c:formatCode>
                <c:ptCount val="365"/>
                <c:pt idx="0">
                  <c:v>#N/A</c:v>
                </c:pt>
                <c:pt idx="1">
                  <c:v>#N/A</c:v>
                </c:pt>
                <c:pt idx="2">
                  <c:v>#N/A</c:v>
                </c:pt>
                <c:pt idx="3">
                  <c:v>154.13999999999999</c:v>
                </c:pt>
                <c:pt idx="4">
                  <c:v>153.87</c:v>
                </c:pt>
                <c:pt idx="5">
                  <c:v>153.79</c:v>
                </c:pt>
                <c:pt idx="6">
                  <c:v>153.74</c:v>
                </c:pt>
                <c:pt idx="7">
                  <c:v>153.63</c:v>
                </c:pt>
                <c:pt idx="8">
                  <c:v>#N/A</c:v>
                </c:pt>
                <c:pt idx="9">
                  <c:v>#N/A</c:v>
                </c:pt>
                <c:pt idx="10">
                  <c:v>153.41999999999999</c:v>
                </c:pt>
                <c:pt idx="11">
                  <c:v>153.36000000000001</c:v>
                </c:pt>
                <c:pt idx="12">
                  <c:v>153.22999999999999</c:v>
                </c:pt>
                <c:pt idx="13">
                  <c:v>153.03</c:v>
                </c:pt>
                <c:pt idx="14">
                  <c:v>152.94</c:v>
                </c:pt>
                <c:pt idx="15">
                  <c:v>#N/A</c:v>
                </c:pt>
                <c:pt idx="16">
                  <c:v>#N/A</c:v>
                </c:pt>
                <c:pt idx="17">
                  <c:v>152.44</c:v>
                </c:pt>
                <c:pt idx="18">
                  <c:v>152.34</c:v>
                </c:pt>
                <c:pt idx="19">
                  <c:v>152.25</c:v>
                </c:pt>
                <c:pt idx="20">
                  <c:v>152.21</c:v>
                </c:pt>
                <c:pt idx="21">
                  <c:v>152.28</c:v>
                </c:pt>
                <c:pt idx="22">
                  <c:v>#N/A</c:v>
                </c:pt>
                <c:pt idx="23">
                  <c:v>#N/A</c:v>
                </c:pt>
                <c:pt idx="24">
                  <c:v>151.94</c:v>
                </c:pt>
                <c:pt idx="25">
                  <c:v>151.84</c:v>
                </c:pt>
                <c:pt idx="26">
                  <c:v>151.69999999999999</c:v>
                </c:pt>
                <c:pt idx="27">
                  <c:v>151.44999999999999</c:v>
                </c:pt>
                <c:pt idx="28">
                  <c:v>150.91999999999999</c:v>
                </c:pt>
                <c:pt idx="29">
                  <c:v>#N/A</c:v>
                </c:pt>
                <c:pt idx="30">
                  <c:v>#N/A</c:v>
                </c:pt>
                <c:pt idx="31">
                  <c:v>150.91999999999999</c:v>
                </c:pt>
                <c:pt idx="32">
                  <c:v>150.81</c:v>
                </c:pt>
                <c:pt idx="33">
                  <c:v>150.30000000000001</c:v>
                </c:pt>
                <c:pt idx="34">
                  <c:v>150.4</c:v>
                </c:pt>
                <c:pt idx="35">
                  <c:v>150.01</c:v>
                </c:pt>
                <c:pt idx="36">
                  <c:v>#N/A</c:v>
                </c:pt>
                <c:pt idx="37">
                  <c:v>#N/A</c:v>
                </c:pt>
                <c:pt idx="38">
                  <c:v>149.69999999999999</c:v>
                </c:pt>
                <c:pt idx="39">
                  <c:v>#N/A</c:v>
                </c:pt>
                <c:pt idx="40">
                  <c:v>#N/A</c:v>
                </c:pt>
                <c:pt idx="41">
                  <c:v>#N/A</c:v>
                </c:pt>
                <c:pt idx="42">
                  <c:v>#N/A</c:v>
                </c:pt>
                <c:pt idx="43">
                  <c:v>#N/A</c:v>
                </c:pt>
                <c:pt idx="44">
                  <c:v>#N/A</c:v>
                </c:pt>
                <c:pt idx="45">
                  <c:v>#N/A</c:v>
                </c:pt>
                <c:pt idx="46">
                  <c:v>#N/A</c:v>
                </c:pt>
                <c:pt idx="47">
                  <c:v>#N/A</c:v>
                </c:pt>
                <c:pt idx="48">
                  <c:v>#N/A</c:v>
                </c:pt>
                <c:pt idx="49">
                  <c:v>149.66999999999999</c:v>
                </c:pt>
                <c:pt idx="50">
                  <c:v>#N/A</c:v>
                </c:pt>
                <c:pt idx="51">
                  <c:v>#N/A</c:v>
                </c:pt>
                <c:pt idx="52">
                  <c:v>147.22</c:v>
                </c:pt>
                <c:pt idx="53">
                  <c:v>146.5</c:v>
                </c:pt>
                <c:pt idx="54">
                  <c:v>146.12</c:v>
                </c:pt>
                <c:pt idx="55">
                  <c:v>146.02000000000001</c:v>
                </c:pt>
                <c:pt idx="56">
                  <c:v>145.86000000000001</c:v>
                </c:pt>
                <c:pt idx="57">
                  <c:v>#N/A</c:v>
                </c:pt>
                <c:pt idx="58">
                  <c:v>#N/A</c:v>
                </c:pt>
                <c:pt idx="59">
                  <c:v>146.13</c:v>
                </c:pt>
                <c:pt idx="60">
                  <c:v>146.04</c:v>
                </c:pt>
                <c:pt idx="61">
                  <c:v>146.02000000000001</c:v>
                </c:pt>
                <c:pt idx="62">
                  <c:v>146.02000000000001</c:v>
                </c:pt>
                <c:pt idx="63">
                  <c:v>145.46</c:v>
                </c:pt>
                <c:pt idx="64">
                  <c:v>#N/A</c:v>
                </c:pt>
                <c:pt idx="65">
                  <c:v>#N/A</c:v>
                </c:pt>
                <c:pt idx="66">
                  <c:v>145.5</c:v>
                </c:pt>
                <c:pt idx="67">
                  <c:v>145.35</c:v>
                </c:pt>
                <c:pt idx="68">
                  <c:v>145.12</c:v>
                </c:pt>
                <c:pt idx="69">
                  <c:v>145.21</c:v>
                </c:pt>
                <c:pt idx="70">
                  <c:v>144.78</c:v>
                </c:pt>
                <c:pt idx="71">
                  <c:v>#N/A</c:v>
                </c:pt>
                <c:pt idx="72">
                  <c:v>#N/A</c:v>
                </c:pt>
                <c:pt idx="73">
                  <c:v>144.74</c:v>
                </c:pt>
                <c:pt idx="74">
                  <c:v>144.78</c:v>
                </c:pt>
                <c:pt idx="75">
                  <c:v>144.82</c:v>
                </c:pt>
                <c:pt idx="76">
                  <c:v>144.82</c:v>
                </c:pt>
                <c:pt idx="77">
                  <c:v>144.86000000000001</c:v>
                </c:pt>
                <c:pt idx="78">
                  <c:v>#N/A</c:v>
                </c:pt>
                <c:pt idx="79">
                  <c:v>#N/A</c:v>
                </c:pt>
                <c:pt idx="80">
                  <c:v>146.4</c:v>
                </c:pt>
                <c:pt idx="81">
                  <c:v>146.54</c:v>
                </c:pt>
                <c:pt idx="82">
                  <c:v>146.44999999999999</c:v>
                </c:pt>
                <c:pt idx="83">
                  <c:v>147.52000000000001</c:v>
                </c:pt>
                <c:pt idx="84">
                  <c:v>148.02000000000001</c:v>
                </c:pt>
                <c:pt idx="85">
                  <c:v>#N/A</c:v>
                </c:pt>
                <c:pt idx="86">
                  <c:v>#N/A</c:v>
                </c:pt>
                <c:pt idx="87">
                  <c:v>148.41999999999999</c:v>
                </c:pt>
                <c:pt idx="88">
                  <c:v>148.56</c:v>
                </c:pt>
                <c:pt idx="89">
                  <c:v>149.21</c:v>
                </c:pt>
                <c:pt idx="90">
                  <c:v>149.47</c:v>
                </c:pt>
                <c:pt idx="91">
                  <c:v>149.88</c:v>
                </c:pt>
                <c:pt idx="92">
                  <c:v>#N/A</c:v>
                </c:pt>
                <c:pt idx="93">
                  <c:v>#N/A</c:v>
                </c:pt>
                <c:pt idx="94">
                  <c:v>#N/A</c:v>
                </c:pt>
                <c:pt idx="95">
                  <c:v>150.34</c:v>
                </c:pt>
                <c:pt idx="96">
                  <c:v>150.25</c:v>
                </c:pt>
                <c:pt idx="97">
                  <c:v>150.66999999999999</c:v>
                </c:pt>
                <c:pt idx="98">
                  <c:v>150.84</c:v>
                </c:pt>
                <c:pt idx="99">
                  <c:v>#N/A</c:v>
                </c:pt>
                <c:pt idx="100">
                  <c:v>#N/A</c:v>
                </c:pt>
                <c:pt idx="101">
                  <c:v>152.19</c:v>
                </c:pt>
                <c:pt idx="102">
                  <c:v>152.47999999999999</c:v>
                </c:pt>
                <c:pt idx="103">
                  <c:v>153.24</c:v>
                </c:pt>
                <c:pt idx="104">
                  <c:v>153.57</c:v>
                </c:pt>
                <c:pt idx="105">
                  <c:v>153.81</c:v>
                </c:pt>
                <c:pt idx="106">
                  <c:v>#N/A</c:v>
                </c:pt>
                <c:pt idx="107">
                  <c:v>#N/A</c:v>
                </c:pt>
                <c:pt idx="108">
                  <c:v>154.16</c:v>
                </c:pt>
                <c:pt idx="109">
                  <c:v>154.68</c:v>
                </c:pt>
                <c:pt idx="110">
                  <c:v>154.94</c:v>
                </c:pt>
                <c:pt idx="111">
                  <c:v>154.94</c:v>
                </c:pt>
                <c:pt idx="112">
                  <c:v>154.97999999999999</c:v>
                </c:pt>
                <c:pt idx="113">
                  <c:v>#N/A</c:v>
                </c:pt>
                <c:pt idx="114">
                  <c:v>155.56</c:v>
                </c:pt>
                <c:pt idx="115">
                  <c:v>156.24</c:v>
                </c:pt>
                <c:pt idx="116">
                  <c:v>157</c:v>
                </c:pt>
                <c:pt idx="117">
                  <c:v>157.51</c:v>
                </c:pt>
                <c:pt idx="118">
                  <c:v>157.88999999999999</c:v>
                </c:pt>
                <c:pt idx="119">
                  <c:v>157.44</c:v>
                </c:pt>
                <c:pt idx="120">
                  <c:v>#N/A</c:v>
                </c:pt>
                <c:pt idx="121">
                  <c:v>#N/A</c:v>
                </c:pt>
                <c:pt idx="122">
                  <c:v>#N/A</c:v>
                </c:pt>
                <c:pt idx="123">
                  <c:v>#N/A</c:v>
                </c:pt>
                <c:pt idx="124">
                  <c:v>#N/A</c:v>
                </c:pt>
                <c:pt idx="125">
                  <c:v>157.91999999999999</c:v>
                </c:pt>
                <c:pt idx="126">
                  <c:v>158.16</c:v>
                </c:pt>
                <c:pt idx="127">
                  <c:v>158.22</c:v>
                </c:pt>
                <c:pt idx="128">
                  <c:v>#N/A</c:v>
                </c:pt>
                <c:pt idx="129">
                  <c:v>158.97</c:v>
                </c:pt>
                <c:pt idx="130">
                  <c:v>159.03</c:v>
                </c:pt>
                <c:pt idx="131">
                  <c:v>159.01</c:v>
                </c:pt>
                <c:pt idx="132">
                  <c:v>158.81</c:v>
                </c:pt>
                <c:pt idx="133">
                  <c:v>158.79</c:v>
                </c:pt>
                <c:pt idx="134">
                  <c:v>#N/A</c:v>
                </c:pt>
                <c:pt idx="135">
                  <c:v>#N/A</c:v>
                </c:pt>
                <c:pt idx="136">
                  <c:v>159.13</c:v>
                </c:pt>
                <c:pt idx="137">
                  <c:v>159.12</c:v>
                </c:pt>
                <c:pt idx="138">
                  <c:v>159.13</c:v>
                </c:pt>
                <c:pt idx="139">
                  <c:v>159.34</c:v>
                </c:pt>
                <c:pt idx="140">
                  <c:v>159.29</c:v>
                </c:pt>
                <c:pt idx="141">
                  <c:v>#N/A</c:v>
                </c:pt>
                <c:pt idx="142">
                  <c:v>#N/A</c:v>
                </c:pt>
                <c:pt idx="143">
                  <c:v>159.02000000000001</c:v>
                </c:pt>
                <c:pt idx="144">
                  <c:v>158.94999999999999</c:v>
                </c:pt>
                <c:pt idx="145">
                  <c:v>158.96</c:v>
                </c:pt>
                <c:pt idx="146">
                  <c:v>158.75</c:v>
                </c:pt>
                <c:pt idx="147">
                  <c:v>158.43</c:v>
                </c:pt>
                <c:pt idx="148">
                  <c:v>#N/A</c:v>
                </c:pt>
                <c:pt idx="149">
                  <c:v>#N/A</c:v>
                </c:pt>
                <c:pt idx="150">
                  <c:v>157.58000000000001</c:v>
                </c:pt>
                <c:pt idx="151">
                  <c:v>156.63</c:v>
                </c:pt>
                <c:pt idx="152">
                  <c:v>156.71</c:v>
                </c:pt>
                <c:pt idx="153">
                  <c:v>156.83000000000001</c:v>
                </c:pt>
                <c:pt idx="154">
                  <c:v>155.80000000000001</c:v>
                </c:pt>
                <c:pt idx="155">
                  <c:v>#N/A</c:v>
                </c:pt>
                <c:pt idx="156">
                  <c:v>#N/A</c:v>
                </c:pt>
                <c:pt idx="157">
                  <c:v>155.07</c:v>
                </c:pt>
                <c:pt idx="158">
                  <c:v>154.6</c:v>
                </c:pt>
                <c:pt idx="159">
                  <c:v>154.07</c:v>
                </c:pt>
                <c:pt idx="160">
                  <c:v>153.33000000000001</c:v>
                </c:pt>
                <c:pt idx="161">
                  <c:v>153.19999999999999</c:v>
                </c:pt>
                <c:pt idx="162">
                  <c:v>#N/A</c:v>
                </c:pt>
                <c:pt idx="163">
                  <c:v>#N/A</c:v>
                </c:pt>
                <c:pt idx="164">
                  <c:v>#N/A</c:v>
                </c:pt>
                <c:pt idx="165">
                  <c:v>153.16999999999999</c:v>
                </c:pt>
                <c:pt idx="166">
                  <c:v>152.41999999999999</c:v>
                </c:pt>
                <c:pt idx="167">
                  <c:v>152.01</c:v>
                </c:pt>
                <c:pt idx="168">
                  <c:v>150.75</c:v>
                </c:pt>
                <c:pt idx="169">
                  <c:v>#N/A</c:v>
                </c:pt>
                <c:pt idx="170">
                  <c:v>#N/A</c:v>
                </c:pt>
                <c:pt idx="171">
                  <c:v>148.87</c:v>
                </c:pt>
                <c:pt idx="172">
                  <c:v>148.43</c:v>
                </c:pt>
                <c:pt idx="173">
                  <c:v>148.09</c:v>
                </c:pt>
                <c:pt idx="174">
                  <c:v>147.71</c:v>
                </c:pt>
                <c:pt idx="175">
                  <c:v>147.4</c:v>
                </c:pt>
                <c:pt idx="176">
                  <c:v>#N/A</c:v>
                </c:pt>
                <c:pt idx="177">
                  <c:v>#N/A</c:v>
                </c:pt>
                <c:pt idx="178">
                  <c:v>147.24</c:v>
                </c:pt>
                <c:pt idx="179">
                  <c:v>147.13999999999999</c:v>
                </c:pt>
                <c:pt idx="180">
                  <c:v>146.91</c:v>
                </c:pt>
                <c:pt idx="181">
                  <c:v>146.66999999999999</c:v>
                </c:pt>
                <c:pt idx="182">
                  <c:v>145.88999999999999</c:v>
                </c:pt>
                <c:pt idx="183">
                  <c:v>#N/A</c:v>
                </c:pt>
                <c:pt idx="184">
                  <c:v>#N/A</c:v>
                </c:pt>
                <c:pt idx="185">
                  <c:v>145.09</c:v>
                </c:pt>
                <c:pt idx="186">
                  <c:v>143.96</c:v>
                </c:pt>
                <c:pt idx="187">
                  <c:v>143.51</c:v>
                </c:pt>
                <c:pt idx="188">
                  <c:v>143.03</c:v>
                </c:pt>
                <c:pt idx="189">
                  <c:v>142.46</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DE56-486F-81AB-A95D34284161}"/>
            </c:ext>
          </c:extLst>
        </c:ser>
        <c:dLbls>
          <c:showLegendKey val="0"/>
          <c:showVal val="0"/>
          <c:showCatName val="0"/>
          <c:showSerName val="0"/>
          <c:showPercent val="0"/>
          <c:showBubbleSize val="0"/>
        </c:dLbls>
        <c:marker val="1"/>
        <c:smooth val="0"/>
        <c:axId val="354338304"/>
        <c:axId val="354339840"/>
      </c:lineChart>
      <c:dateAx>
        <c:axId val="354338304"/>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54339840"/>
        <c:crosses val="autoZero"/>
        <c:auto val="0"/>
        <c:lblOffset val="0"/>
        <c:baseTimeUnit val="days"/>
        <c:majorUnit val="1"/>
        <c:majorTimeUnit val="months"/>
      </c:dateAx>
      <c:valAx>
        <c:axId val="354339840"/>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54338304"/>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汇率!$B$2</c:f>
              <c:strCache>
                <c:ptCount val="1"/>
                <c:pt idx="0">
                  <c:v>美元兑人民币</c:v>
                </c:pt>
              </c:strCache>
            </c:strRef>
          </c:tx>
          <c:spPr>
            <a:ln w="25400">
              <a:solidFill>
                <a:srgbClr val="ED7D31">
                  <a:lumMod val="75000"/>
                </a:srgbClr>
              </a:solidFill>
            </a:ln>
          </c:spPr>
          <c:marker>
            <c:symbol val="none"/>
          </c:marker>
          <c:cat>
            <c:numRef>
              <c:f>汇率!$A$3:$A$28</c:f>
              <c:numCache>
                <c:formatCode>yyyy\-mm\-dd;@</c:formatCode>
                <c:ptCount val="26"/>
                <c:pt idx="0">
                  <c:v>44387</c:v>
                </c:pt>
                <c:pt idx="1">
                  <c:v>44380</c:v>
                </c:pt>
                <c:pt idx="2">
                  <c:v>44373</c:v>
                </c:pt>
                <c:pt idx="3">
                  <c:v>44366</c:v>
                </c:pt>
                <c:pt idx="4">
                  <c:v>44359</c:v>
                </c:pt>
                <c:pt idx="5">
                  <c:v>44352</c:v>
                </c:pt>
                <c:pt idx="6">
                  <c:v>44345</c:v>
                </c:pt>
                <c:pt idx="7">
                  <c:v>44338</c:v>
                </c:pt>
                <c:pt idx="8">
                  <c:v>44331</c:v>
                </c:pt>
                <c:pt idx="9">
                  <c:v>44324</c:v>
                </c:pt>
                <c:pt idx="10">
                  <c:v>44317</c:v>
                </c:pt>
                <c:pt idx="11">
                  <c:v>44310</c:v>
                </c:pt>
                <c:pt idx="12">
                  <c:v>44303</c:v>
                </c:pt>
                <c:pt idx="13">
                  <c:v>44296</c:v>
                </c:pt>
                <c:pt idx="14">
                  <c:v>44289</c:v>
                </c:pt>
                <c:pt idx="15">
                  <c:v>44282</c:v>
                </c:pt>
                <c:pt idx="16">
                  <c:v>44275</c:v>
                </c:pt>
                <c:pt idx="17">
                  <c:v>44268</c:v>
                </c:pt>
                <c:pt idx="18">
                  <c:v>44261</c:v>
                </c:pt>
                <c:pt idx="19">
                  <c:v>44254</c:v>
                </c:pt>
                <c:pt idx="20">
                  <c:v>44247</c:v>
                </c:pt>
                <c:pt idx="21">
                  <c:v>44240</c:v>
                </c:pt>
                <c:pt idx="22">
                  <c:v>44233</c:v>
                </c:pt>
                <c:pt idx="23">
                  <c:v>44226</c:v>
                </c:pt>
                <c:pt idx="24">
                  <c:v>44219</c:v>
                </c:pt>
                <c:pt idx="25">
                  <c:v>44212</c:v>
                </c:pt>
              </c:numCache>
            </c:numRef>
          </c:cat>
          <c:val>
            <c:numRef>
              <c:f>汇率!$B$3:$B$28</c:f>
              <c:numCache>
                <c:formatCode>###,###,###,###,##0.00</c:formatCode>
                <c:ptCount val="26"/>
                <c:pt idx="0">
                  <c:v>6.4790999999999999</c:v>
                </c:pt>
                <c:pt idx="1">
                  <c:v>6.4824999999999999</c:v>
                </c:pt>
                <c:pt idx="2">
                  <c:v>6.4553000000000003</c:v>
                </c:pt>
                <c:pt idx="3">
                  <c:v>6.4408000000000003</c:v>
                </c:pt>
                <c:pt idx="4">
                  <c:v>6.3914</c:v>
                </c:pt>
                <c:pt idx="5">
                  <c:v>6.4092000000000002</c:v>
                </c:pt>
                <c:pt idx="6">
                  <c:v>6.3654000000000002</c:v>
                </c:pt>
                <c:pt idx="7">
                  <c:v>6.4337</c:v>
                </c:pt>
                <c:pt idx="8">
                  <c:v>6.4347000000000003</c:v>
                </c:pt>
                <c:pt idx="9">
                  <c:v>6.4588999999999999</c:v>
                </c:pt>
                <c:pt idx="10">
                  <c:v>6.4715999999999996</c:v>
                </c:pt>
                <c:pt idx="11">
                  <c:v>6.4935999999999998</c:v>
                </c:pt>
                <c:pt idx="12">
                  <c:v>6.5228000000000002</c:v>
                </c:pt>
                <c:pt idx="13">
                  <c:v>6.5589000000000004</c:v>
                </c:pt>
                <c:pt idx="14">
                  <c:v>6.5612000000000004</c:v>
                </c:pt>
                <c:pt idx="15">
                  <c:v>6.5407000000000002</c:v>
                </c:pt>
                <c:pt idx="16">
                  <c:v>6.5045000000000002</c:v>
                </c:pt>
                <c:pt idx="17">
                  <c:v>6.5035999999999996</c:v>
                </c:pt>
                <c:pt idx="18">
                  <c:v>6.4767999999999999</c:v>
                </c:pt>
                <c:pt idx="19">
                  <c:v>6.4589999999999996</c:v>
                </c:pt>
                <c:pt idx="20">
                  <c:v>6.4574999999999996</c:v>
                </c:pt>
                <c:pt idx="21">
                  <c:v>6.4379999999999997</c:v>
                </c:pt>
                <c:pt idx="22">
                  <c:v>6.4809999999999999</c:v>
                </c:pt>
                <c:pt idx="23">
                  <c:v>6.4611999999999998</c:v>
                </c:pt>
                <c:pt idx="24">
                  <c:v>6.4776999999999996</c:v>
                </c:pt>
                <c:pt idx="25">
                  <c:v>6.4752000000000001</c:v>
                </c:pt>
              </c:numCache>
            </c:numRef>
          </c:val>
          <c:smooth val="1"/>
          <c:extLst xmlns:c16r2="http://schemas.microsoft.com/office/drawing/2015/06/char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marker val="1"/>
        <c:smooth val="0"/>
        <c:axId val="354645888"/>
        <c:axId val="354647424"/>
      </c:lineChart>
      <c:lineChart>
        <c:grouping val="standard"/>
        <c:varyColors val="0"/>
        <c:ser>
          <c:idx val="2"/>
          <c:order val="1"/>
          <c:tx>
            <c:strRef>
              <c:f>汇率!$C$2</c:f>
              <c:strCache>
                <c:ptCount val="1"/>
                <c:pt idx="0">
                  <c:v>中美利差</c:v>
                </c:pt>
              </c:strCache>
            </c:strRef>
          </c:tx>
          <c:spPr>
            <a:ln w="25400">
              <a:solidFill>
                <a:srgbClr val="ED7D31"/>
              </a:solidFill>
              <a:prstDash val="sysDash"/>
            </a:ln>
          </c:spPr>
          <c:marker>
            <c:symbol val="none"/>
          </c:marker>
          <c:cat>
            <c:numRef>
              <c:f>汇率!$A$3:$A$28</c:f>
              <c:numCache>
                <c:formatCode>yyyy\-mm\-dd;@</c:formatCode>
                <c:ptCount val="26"/>
                <c:pt idx="0">
                  <c:v>44387</c:v>
                </c:pt>
                <c:pt idx="1">
                  <c:v>44380</c:v>
                </c:pt>
                <c:pt idx="2">
                  <c:v>44373</c:v>
                </c:pt>
                <c:pt idx="3">
                  <c:v>44366</c:v>
                </c:pt>
                <c:pt idx="4">
                  <c:v>44359</c:v>
                </c:pt>
                <c:pt idx="5">
                  <c:v>44352</c:v>
                </c:pt>
                <c:pt idx="6">
                  <c:v>44345</c:v>
                </c:pt>
                <c:pt idx="7">
                  <c:v>44338</c:v>
                </c:pt>
                <c:pt idx="8">
                  <c:v>44331</c:v>
                </c:pt>
                <c:pt idx="9">
                  <c:v>44324</c:v>
                </c:pt>
                <c:pt idx="10">
                  <c:v>44317</c:v>
                </c:pt>
                <c:pt idx="11">
                  <c:v>44310</c:v>
                </c:pt>
                <c:pt idx="12">
                  <c:v>44303</c:v>
                </c:pt>
                <c:pt idx="13">
                  <c:v>44296</c:v>
                </c:pt>
                <c:pt idx="14">
                  <c:v>44289</c:v>
                </c:pt>
                <c:pt idx="15">
                  <c:v>44282</c:v>
                </c:pt>
                <c:pt idx="16">
                  <c:v>44275</c:v>
                </c:pt>
                <c:pt idx="17">
                  <c:v>44268</c:v>
                </c:pt>
                <c:pt idx="18">
                  <c:v>44261</c:v>
                </c:pt>
                <c:pt idx="19">
                  <c:v>44254</c:v>
                </c:pt>
                <c:pt idx="20">
                  <c:v>44247</c:v>
                </c:pt>
                <c:pt idx="21">
                  <c:v>44240</c:v>
                </c:pt>
                <c:pt idx="22">
                  <c:v>44233</c:v>
                </c:pt>
                <c:pt idx="23">
                  <c:v>44226</c:v>
                </c:pt>
                <c:pt idx="24">
                  <c:v>44219</c:v>
                </c:pt>
                <c:pt idx="25">
                  <c:v>44212</c:v>
                </c:pt>
              </c:numCache>
            </c:numRef>
          </c:cat>
          <c:val>
            <c:numRef>
              <c:f>汇率!$C$3:$C$28</c:f>
              <c:numCache>
                <c:formatCode>###,###,###,###,##0.00</c:formatCode>
                <c:ptCount val="26"/>
                <c:pt idx="0">
                  <c:v>164.04999999999998</c:v>
                </c:pt>
                <c:pt idx="1">
                  <c:v>164.02999999999997</c:v>
                </c:pt>
                <c:pt idx="2">
                  <c:v>154.26999999999998</c:v>
                </c:pt>
                <c:pt idx="3">
                  <c:v>167.02</c:v>
                </c:pt>
                <c:pt idx="4">
                  <c:v>165.76000000000002</c:v>
                </c:pt>
                <c:pt idx="5">
                  <c:v>153.24999999999997</c:v>
                </c:pt>
                <c:pt idx="6">
                  <c:v>150.25</c:v>
                </c:pt>
                <c:pt idx="7">
                  <c:v>145.76000000000002</c:v>
                </c:pt>
                <c:pt idx="8">
                  <c:v>151.22</c:v>
                </c:pt>
                <c:pt idx="9">
                  <c:v>155.88999999999999</c:v>
                </c:pt>
                <c:pt idx="10">
                  <c:v>151.40000000000003</c:v>
                </c:pt>
                <c:pt idx="11">
                  <c:v>159.19</c:v>
                </c:pt>
                <c:pt idx="12">
                  <c:v>157.31</c:v>
                </c:pt>
                <c:pt idx="13">
                  <c:v>154.21</c:v>
                </c:pt>
                <c:pt idx="14">
                  <c:v>148.13</c:v>
                </c:pt>
                <c:pt idx="15">
                  <c:v>152.85000000000002</c:v>
                </c:pt>
                <c:pt idx="16">
                  <c:v>149.64000000000001</c:v>
                </c:pt>
                <c:pt idx="17">
                  <c:v>162.13</c:v>
                </c:pt>
                <c:pt idx="18">
                  <c:v>168.56999999999996</c:v>
                </c:pt>
                <c:pt idx="19">
                  <c:v>183.98</c:v>
                </c:pt>
                <c:pt idx="20">
                  <c:v>191.78</c:v>
                </c:pt>
                <c:pt idx="21">
                  <c:v>209.49</c:v>
                </c:pt>
                <c:pt idx="22">
                  <c:v>202.64000000000001</c:v>
                </c:pt>
                <c:pt idx="23">
                  <c:v>206.86</c:v>
                </c:pt>
                <c:pt idx="24">
                  <c:v>201.85</c:v>
                </c:pt>
                <c:pt idx="25">
                  <c:v>204.07999999999998</c:v>
                </c:pt>
              </c:numCache>
            </c:numRef>
          </c:val>
          <c:smooth val="1"/>
          <c:extLst xmlns:c16r2="http://schemas.microsoft.com/office/drawing/2015/06/char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354667136"/>
        <c:axId val="354665600"/>
      </c:lineChart>
      <c:dateAx>
        <c:axId val="354645888"/>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54647424"/>
        <c:crosses val="autoZero"/>
        <c:auto val="0"/>
        <c:lblOffset val="0"/>
        <c:baseTimeUnit val="days"/>
      </c:dateAx>
      <c:valAx>
        <c:axId val="354647424"/>
        <c:scaling>
          <c:orientation val="minMax"/>
        </c:scaling>
        <c:delete val="0"/>
        <c:axPos val="l"/>
        <c:numFmt formatCode="#,##0.00_);[Red]\(#,##0.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54645888"/>
        <c:crosses val="autoZero"/>
        <c:crossBetween val="between"/>
      </c:valAx>
      <c:valAx>
        <c:axId val="354665600"/>
        <c:scaling>
          <c:orientation val="minMax"/>
        </c:scaling>
        <c:delete val="0"/>
        <c:axPos val="r"/>
        <c:numFmt formatCode="#,##0_);[Red]\(#,##0\)" sourceLinked="0"/>
        <c:majorTickMark val="out"/>
        <c:minorTickMark val="none"/>
        <c:tickLblPos val="nextTo"/>
        <c:spPr>
          <a:ln w="3175">
            <a:solidFill>
              <a:sysClr val="windowText" lastClr="000000"/>
            </a:solidFill>
          </a:ln>
        </c:spPr>
        <c:crossAx val="354667136"/>
        <c:crosses val="max"/>
        <c:crossBetween val="between"/>
      </c:valAx>
      <c:dateAx>
        <c:axId val="354667136"/>
        <c:scaling>
          <c:orientation val="minMax"/>
        </c:scaling>
        <c:delete val="1"/>
        <c:axPos val="b"/>
        <c:numFmt formatCode="yyyy\-mm\-dd;@" sourceLinked="1"/>
        <c:majorTickMark val="out"/>
        <c:minorTickMark val="none"/>
        <c:tickLblPos val="nextTo"/>
        <c:crossAx val="354665600"/>
        <c:crosses val="autoZero"/>
        <c:auto val="0"/>
        <c:lblOffset val="100"/>
        <c:baseTimeUnit val="years"/>
      </c:dateAx>
    </c:plotArea>
    <c:legend>
      <c:legendPos val="r"/>
      <c:layout>
        <c:manualLayout>
          <c:xMode val="edge"/>
          <c:yMode val="edge"/>
          <c:x val="0.15225"/>
          <c:y val="2.3337707786526686E-3"/>
          <c:w val="0.690571084864392"/>
          <c:h val="8.584900845727618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猪价!$H$1</c:f>
              <c:strCache>
                <c:ptCount val="1"/>
                <c:pt idx="0">
                  <c:v>2019</c:v>
                </c:pt>
              </c:strCache>
            </c:strRef>
          </c:tx>
          <c:spPr>
            <a:ln w="19050" cap="rnd" cmpd="sng" algn="ctr">
              <a:solidFill>
                <a:schemeClr val="accent2">
                  <a:shade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猪价!$H$2:$H$366</c:f>
              <c:numCache>
                <c:formatCode>General</c:formatCode>
                <c:ptCount val="365"/>
                <c:pt idx="0">
                  <c:v>#N/A</c:v>
                </c:pt>
                <c:pt idx="1">
                  <c:v>#N/A</c:v>
                </c:pt>
                <c:pt idx="2">
                  <c:v>#N/A</c:v>
                </c:pt>
                <c:pt idx="3">
                  <c:v>#N/A</c:v>
                </c:pt>
                <c:pt idx="4">
                  <c:v>19.260000000000002</c:v>
                </c:pt>
                <c:pt idx="5">
                  <c:v>#N/A</c:v>
                </c:pt>
                <c:pt idx="6">
                  <c:v>#N/A</c:v>
                </c:pt>
                <c:pt idx="7">
                  <c:v>#N/A</c:v>
                </c:pt>
                <c:pt idx="8">
                  <c:v>#N/A</c:v>
                </c:pt>
                <c:pt idx="9">
                  <c:v>#N/A</c:v>
                </c:pt>
                <c:pt idx="10">
                  <c:v>#N/A</c:v>
                </c:pt>
                <c:pt idx="11">
                  <c:v>19.13</c:v>
                </c:pt>
                <c:pt idx="12">
                  <c:v>#N/A</c:v>
                </c:pt>
                <c:pt idx="13">
                  <c:v>#N/A</c:v>
                </c:pt>
                <c:pt idx="14">
                  <c:v>#N/A</c:v>
                </c:pt>
                <c:pt idx="15">
                  <c:v>#N/A</c:v>
                </c:pt>
                <c:pt idx="16">
                  <c:v>#N/A</c:v>
                </c:pt>
                <c:pt idx="17">
                  <c:v>#N/A</c:v>
                </c:pt>
                <c:pt idx="18">
                  <c:v>19.13</c:v>
                </c:pt>
                <c:pt idx="19">
                  <c:v>#N/A</c:v>
                </c:pt>
                <c:pt idx="20">
                  <c:v>#N/A</c:v>
                </c:pt>
                <c:pt idx="21">
                  <c:v>#N/A</c:v>
                </c:pt>
                <c:pt idx="22">
                  <c:v>#N/A</c:v>
                </c:pt>
                <c:pt idx="23">
                  <c:v>#N/A</c:v>
                </c:pt>
                <c:pt idx="24">
                  <c:v>#N/A</c:v>
                </c:pt>
                <c:pt idx="25">
                  <c:v>19.12</c:v>
                </c:pt>
                <c:pt idx="26">
                  <c:v>#N/A</c:v>
                </c:pt>
                <c:pt idx="27">
                  <c:v>#N/A</c:v>
                </c:pt>
                <c:pt idx="28">
                  <c:v>#N/A</c:v>
                </c:pt>
                <c:pt idx="29">
                  <c:v>#N/A</c:v>
                </c:pt>
                <c:pt idx="30">
                  <c:v>#N/A</c:v>
                </c:pt>
                <c:pt idx="31">
                  <c:v>#N/A</c:v>
                </c:pt>
                <c:pt idx="32">
                  <c:v>18.2</c:v>
                </c:pt>
                <c:pt idx="33">
                  <c:v>#N/A</c:v>
                </c:pt>
                <c:pt idx="34">
                  <c:v>#N/A</c:v>
                </c:pt>
                <c:pt idx="35">
                  <c:v>#N/A</c:v>
                </c:pt>
                <c:pt idx="36">
                  <c:v>#N/A</c:v>
                </c:pt>
                <c:pt idx="37">
                  <c:v>#N/A</c:v>
                </c:pt>
                <c:pt idx="38">
                  <c:v>#N/A</c:v>
                </c:pt>
                <c:pt idx="39">
                  <c:v>18.73</c:v>
                </c:pt>
                <c:pt idx="40">
                  <c:v>#N/A</c:v>
                </c:pt>
                <c:pt idx="41">
                  <c:v>#N/A</c:v>
                </c:pt>
                <c:pt idx="42">
                  <c:v>#N/A</c:v>
                </c:pt>
                <c:pt idx="43">
                  <c:v>#N/A</c:v>
                </c:pt>
                <c:pt idx="44">
                  <c:v>#N/A</c:v>
                </c:pt>
                <c:pt idx="45">
                  <c:v>#N/A</c:v>
                </c:pt>
                <c:pt idx="46">
                  <c:v>18.52</c:v>
                </c:pt>
                <c:pt idx="47">
                  <c:v>#N/A</c:v>
                </c:pt>
                <c:pt idx="48">
                  <c:v>#N/A</c:v>
                </c:pt>
                <c:pt idx="49">
                  <c:v>#N/A</c:v>
                </c:pt>
                <c:pt idx="50">
                  <c:v>#N/A</c:v>
                </c:pt>
                <c:pt idx="51">
                  <c:v>#N/A</c:v>
                </c:pt>
                <c:pt idx="52">
                  <c:v>#N/A</c:v>
                </c:pt>
                <c:pt idx="53">
                  <c:v>18.260000000000002</c:v>
                </c:pt>
                <c:pt idx="54">
                  <c:v>#N/A</c:v>
                </c:pt>
                <c:pt idx="55">
                  <c:v>#N/A</c:v>
                </c:pt>
                <c:pt idx="56">
                  <c:v>#N/A</c:v>
                </c:pt>
                <c:pt idx="57">
                  <c:v>#N/A</c:v>
                </c:pt>
                <c:pt idx="58">
                  <c:v>#N/A</c:v>
                </c:pt>
                <c:pt idx="59">
                  <c:v>#N/A</c:v>
                </c:pt>
                <c:pt idx="60">
                  <c:v>18.2</c:v>
                </c:pt>
                <c:pt idx="61">
                  <c:v>#N/A</c:v>
                </c:pt>
                <c:pt idx="62">
                  <c:v>#N/A</c:v>
                </c:pt>
                <c:pt idx="63">
                  <c:v>#N/A</c:v>
                </c:pt>
                <c:pt idx="64">
                  <c:v>#N/A</c:v>
                </c:pt>
                <c:pt idx="65">
                  <c:v>#N/A</c:v>
                </c:pt>
                <c:pt idx="66">
                  <c:v>#N/A</c:v>
                </c:pt>
                <c:pt idx="67">
                  <c:v>18.02</c:v>
                </c:pt>
                <c:pt idx="68">
                  <c:v>#N/A</c:v>
                </c:pt>
                <c:pt idx="69">
                  <c:v>#N/A</c:v>
                </c:pt>
                <c:pt idx="70">
                  <c:v>#N/A</c:v>
                </c:pt>
                <c:pt idx="71">
                  <c:v>#N/A</c:v>
                </c:pt>
                <c:pt idx="72">
                  <c:v>#N/A</c:v>
                </c:pt>
                <c:pt idx="73">
                  <c:v>#N/A</c:v>
                </c:pt>
                <c:pt idx="74">
                  <c:v>19.77</c:v>
                </c:pt>
                <c:pt idx="75">
                  <c:v>#N/A</c:v>
                </c:pt>
                <c:pt idx="76">
                  <c:v>#N/A</c:v>
                </c:pt>
                <c:pt idx="77">
                  <c:v>#N/A</c:v>
                </c:pt>
                <c:pt idx="78">
                  <c:v>#N/A</c:v>
                </c:pt>
                <c:pt idx="79">
                  <c:v>#N/A</c:v>
                </c:pt>
                <c:pt idx="80">
                  <c:v>#N/A</c:v>
                </c:pt>
                <c:pt idx="81">
                  <c:v>20.43</c:v>
                </c:pt>
                <c:pt idx="82">
                  <c:v>#N/A</c:v>
                </c:pt>
                <c:pt idx="83">
                  <c:v>#N/A</c:v>
                </c:pt>
                <c:pt idx="84">
                  <c:v>#N/A</c:v>
                </c:pt>
                <c:pt idx="85">
                  <c:v>#N/A</c:v>
                </c:pt>
                <c:pt idx="86">
                  <c:v>#N/A</c:v>
                </c:pt>
                <c:pt idx="87">
                  <c:v>#N/A</c:v>
                </c:pt>
                <c:pt idx="88">
                  <c:v>20.25</c:v>
                </c:pt>
                <c:pt idx="89">
                  <c:v>#N/A</c:v>
                </c:pt>
                <c:pt idx="90">
                  <c:v>#N/A</c:v>
                </c:pt>
                <c:pt idx="91">
                  <c:v>#N/A</c:v>
                </c:pt>
                <c:pt idx="92">
                  <c:v>#N/A</c:v>
                </c:pt>
                <c:pt idx="93">
                  <c:v>#N/A</c:v>
                </c:pt>
                <c:pt idx="94">
                  <c:v>#N/A</c:v>
                </c:pt>
                <c:pt idx="95">
                  <c:v>20.39</c:v>
                </c:pt>
                <c:pt idx="96">
                  <c:v>#N/A</c:v>
                </c:pt>
                <c:pt idx="97">
                  <c:v>#N/A</c:v>
                </c:pt>
                <c:pt idx="98">
                  <c:v>#N/A</c:v>
                </c:pt>
                <c:pt idx="99">
                  <c:v>#N/A</c:v>
                </c:pt>
                <c:pt idx="100">
                  <c:v>#N/A</c:v>
                </c:pt>
                <c:pt idx="101">
                  <c:v>#N/A</c:v>
                </c:pt>
                <c:pt idx="102">
                  <c:v>20.21</c:v>
                </c:pt>
                <c:pt idx="103">
                  <c:v>#N/A</c:v>
                </c:pt>
                <c:pt idx="104">
                  <c:v>#N/A</c:v>
                </c:pt>
                <c:pt idx="105">
                  <c:v>#N/A</c:v>
                </c:pt>
                <c:pt idx="106">
                  <c:v>#N/A</c:v>
                </c:pt>
                <c:pt idx="107">
                  <c:v>#N/A</c:v>
                </c:pt>
                <c:pt idx="108">
                  <c:v>#N/A</c:v>
                </c:pt>
                <c:pt idx="109">
                  <c:v>20.12</c:v>
                </c:pt>
                <c:pt idx="110">
                  <c:v>#N/A</c:v>
                </c:pt>
                <c:pt idx="111">
                  <c:v>#N/A</c:v>
                </c:pt>
                <c:pt idx="112">
                  <c:v>#N/A</c:v>
                </c:pt>
                <c:pt idx="113">
                  <c:v>#N/A</c:v>
                </c:pt>
                <c:pt idx="114">
                  <c:v>#N/A</c:v>
                </c:pt>
                <c:pt idx="115">
                  <c:v>#N/A</c:v>
                </c:pt>
                <c:pt idx="116">
                  <c:v>20.399999999999999</c:v>
                </c:pt>
                <c:pt idx="117">
                  <c:v>#N/A</c:v>
                </c:pt>
                <c:pt idx="118">
                  <c:v>#N/A</c:v>
                </c:pt>
                <c:pt idx="119">
                  <c:v>#N/A</c:v>
                </c:pt>
                <c:pt idx="120">
                  <c:v>#N/A</c:v>
                </c:pt>
                <c:pt idx="121">
                  <c:v>#N/A</c:v>
                </c:pt>
                <c:pt idx="122">
                  <c:v>#N/A</c:v>
                </c:pt>
                <c:pt idx="123">
                  <c:v>20.5</c:v>
                </c:pt>
                <c:pt idx="124">
                  <c:v>#N/A</c:v>
                </c:pt>
                <c:pt idx="125">
                  <c:v>#N/A</c:v>
                </c:pt>
                <c:pt idx="126">
                  <c:v>#N/A</c:v>
                </c:pt>
                <c:pt idx="127">
                  <c:v>#N/A</c:v>
                </c:pt>
                <c:pt idx="128">
                  <c:v>#N/A</c:v>
                </c:pt>
                <c:pt idx="129">
                  <c:v>#N/A</c:v>
                </c:pt>
                <c:pt idx="130">
                  <c:v>20.59</c:v>
                </c:pt>
                <c:pt idx="131">
                  <c:v>#N/A</c:v>
                </c:pt>
                <c:pt idx="132">
                  <c:v>#N/A</c:v>
                </c:pt>
                <c:pt idx="133">
                  <c:v>#N/A</c:v>
                </c:pt>
                <c:pt idx="134">
                  <c:v>#N/A</c:v>
                </c:pt>
                <c:pt idx="135">
                  <c:v>#N/A</c:v>
                </c:pt>
                <c:pt idx="136">
                  <c:v>#N/A</c:v>
                </c:pt>
                <c:pt idx="137">
                  <c:v>20.75</c:v>
                </c:pt>
                <c:pt idx="138">
                  <c:v>#N/A</c:v>
                </c:pt>
                <c:pt idx="139">
                  <c:v>#N/A</c:v>
                </c:pt>
                <c:pt idx="140">
                  <c:v>#N/A</c:v>
                </c:pt>
                <c:pt idx="141">
                  <c:v>#N/A</c:v>
                </c:pt>
                <c:pt idx="142">
                  <c:v>#N/A</c:v>
                </c:pt>
                <c:pt idx="143">
                  <c:v>#N/A</c:v>
                </c:pt>
                <c:pt idx="144">
                  <c:v>20.65</c:v>
                </c:pt>
                <c:pt idx="145">
                  <c:v>#N/A</c:v>
                </c:pt>
                <c:pt idx="146">
                  <c:v>#N/A</c:v>
                </c:pt>
                <c:pt idx="147">
                  <c:v>#N/A</c:v>
                </c:pt>
                <c:pt idx="148">
                  <c:v>#N/A</c:v>
                </c:pt>
                <c:pt idx="149">
                  <c:v>#N/A</c:v>
                </c:pt>
                <c:pt idx="150">
                  <c:v>#N/A</c:v>
                </c:pt>
                <c:pt idx="151">
                  <c:v>20.45</c:v>
                </c:pt>
                <c:pt idx="152">
                  <c:v>#N/A</c:v>
                </c:pt>
                <c:pt idx="153">
                  <c:v>#N/A</c:v>
                </c:pt>
                <c:pt idx="154">
                  <c:v>#N/A</c:v>
                </c:pt>
                <c:pt idx="155">
                  <c:v>#N/A</c:v>
                </c:pt>
                <c:pt idx="156">
                  <c:v>#N/A</c:v>
                </c:pt>
                <c:pt idx="157">
                  <c:v>#N/A</c:v>
                </c:pt>
                <c:pt idx="158">
                  <c:v>21.02</c:v>
                </c:pt>
                <c:pt idx="159">
                  <c:v>#N/A</c:v>
                </c:pt>
                <c:pt idx="160">
                  <c:v>#N/A</c:v>
                </c:pt>
                <c:pt idx="161">
                  <c:v>#N/A</c:v>
                </c:pt>
                <c:pt idx="162">
                  <c:v>#N/A</c:v>
                </c:pt>
                <c:pt idx="163">
                  <c:v>#N/A</c:v>
                </c:pt>
                <c:pt idx="164">
                  <c:v>#N/A</c:v>
                </c:pt>
                <c:pt idx="165">
                  <c:v>21.06</c:v>
                </c:pt>
                <c:pt idx="166">
                  <c:v>#N/A</c:v>
                </c:pt>
                <c:pt idx="167">
                  <c:v>#N/A</c:v>
                </c:pt>
                <c:pt idx="168">
                  <c:v>#N/A</c:v>
                </c:pt>
                <c:pt idx="169">
                  <c:v>#N/A</c:v>
                </c:pt>
                <c:pt idx="170">
                  <c:v>#N/A</c:v>
                </c:pt>
                <c:pt idx="171">
                  <c:v>#N/A</c:v>
                </c:pt>
                <c:pt idx="172">
                  <c:v>21.92</c:v>
                </c:pt>
                <c:pt idx="173">
                  <c:v>#N/A</c:v>
                </c:pt>
                <c:pt idx="174">
                  <c:v>#N/A</c:v>
                </c:pt>
                <c:pt idx="175">
                  <c:v>#N/A</c:v>
                </c:pt>
                <c:pt idx="176">
                  <c:v>#N/A</c:v>
                </c:pt>
                <c:pt idx="177">
                  <c:v>#N/A</c:v>
                </c:pt>
                <c:pt idx="178">
                  <c:v>#N/A</c:v>
                </c:pt>
                <c:pt idx="179">
                  <c:v>22.93</c:v>
                </c:pt>
                <c:pt idx="180">
                  <c:v>#N/A</c:v>
                </c:pt>
                <c:pt idx="181">
                  <c:v>#N/A</c:v>
                </c:pt>
                <c:pt idx="182">
                  <c:v>#N/A</c:v>
                </c:pt>
                <c:pt idx="183">
                  <c:v>#N/A</c:v>
                </c:pt>
                <c:pt idx="184">
                  <c:v>#N/A</c:v>
                </c:pt>
                <c:pt idx="185">
                  <c:v>#N/A</c:v>
                </c:pt>
                <c:pt idx="186">
                  <c:v>23.05</c:v>
                </c:pt>
                <c:pt idx="187">
                  <c:v>#N/A</c:v>
                </c:pt>
                <c:pt idx="188">
                  <c:v>#N/A</c:v>
                </c:pt>
                <c:pt idx="189">
                  <c:v>#N/A</c:v>
                </c:pt>
                <c:pt idx="190">
                  <c:v>#N/A</c:v>
                </c:pt>
                <c:pt idx="191">
                  <c:v>#N/A</c:v>
                </c:pt>
                <c:pt idx="192">
                  <c:v>#N/A</c:v>
                </c:pt>
                <c:pt idx="193">
                  <c:v>23.27</c:v>
                </c:pt>
                <c:pt idx="194">
                  <c:v>#N/A</c:v>
                </c:pt>
                <c:pt idx="195">
                  <c:v>#N/A</c:v>
                </c:pt>
                <c:pt idx="196">
                  <c:v>#N/A</c:v>
                </c:pt>
                <c:pt idx="197">
                  <c:v>#N/A</c:v>
                </c:pt>
                <c:pt idx="198">
                  <c:v>#N/A</c:v>
                </c:pt>
                <c:pt idx="199">
                  <c:v>#N/A</c:v>
                </c:pt>
                <c:pt idx="200">
                  <c:v>23.89</c:v>
                </c:pt>
                <c:pt idx="201">
                  <c:v>#N/A</c:v>
                </c:pt>
                <c:pt idx="202">
                  <c:v>#N/A</c:v>
                </c:pt>
                <c:pt idx="203">
                  <c:v>#N/A</c:v>
                </c:pt>
                <c:pt idx="204">
                  <c:v>#N/A</c:v>
                </c:pt>
                <c:pt idx="205">
                  <c:v>#N/A</c:v>
                </c:pt>
                <c:pt idx="206">
                  <c:v>#N/A</c:v>
                </c:pt>
                <c:pt idx="207">
                  <c:v>24.05</c:v>
                </c:pt>
                <c:pt idx="208">
                  <c:v>#N/A</c:v>
                </c:pt>
                <c:pt idx="209">
                  <c:v>#N/A</c:v>
                </c:pt>
                <c:pt idx="210">
                  <c:v>#N/A</c:v>
                </c:pt>
                <c:pt idx="211">
                  <c:v>#N/A</c:v>
                </c:pt>
                <c:pt idx="212">
                  <c:v>#N/A</c:v>
                </c:pt>
                <c:pt idx="213">
                  <c:v>#N/A</c:v>
                </c:pt>
                <c:pt idx="214">
                  <c:v>24.48</c:v>
                </c:pt>
                <c:pt idx="215">
                  <c:v>#N/A</c:v>
                </c:pt>
                <c:pt idx="216">
                  <c:v>#N/A</c:v>
                </c:pt>
                <c:pt idx="217">
                  <c:v>#N/A</c:v>
                </c:pt>
                <c:pt idx="218">
                  <c:v>#N/A</c:v>
                </c:pt>
                <c:pt idx="219">
                  <c:v>#N/A</c:v>
                </c:pt>
                <c:pt idx="220">
                  <c:v>#N/A</c:v>
                </c:pt>
                <c:pt idx="221">
                  <c:v>25.78</c:v>
                </c:pt>
                <c:pt idx="222">
                  <c:v>#N/A</c:v>
                </c:pt>
                <c:pt idx="223">
                  <c:v>#N/A</c:v>
                </c:pt>
                <c:pt idx="224">
                  <c:v>#N/A</c:v>
                </c:pt>
                <c:pt idx="225">
                  <c:v>#N/A</c:v>
                </c:pt>
                <c:pt idx="226">
                  <c:v>#N/A</c:v>
                </c:pt>
                <c:pt idx="227">
                  <c:v>#N/A</c:v>
                </c:pt>
                <c:pt idx="228">
                  <c:v>28.27</c:v>
                </c:pt>
                <c:pt idx="229">
                  <c:v>#N/A</c:v>
                </c:pt>
                <c:pt idx="230">
                  <c:v>#N/A</c:v>
                </c:pt>
                <c:pt idx="231">
                  <c:v>#N/A</c:v>
                </c:pt>
                <c:pt idx="232">
                  <c:v>#N/A</c:v>
                </c:pt>
                <c:pt idx="233">
                  <c:v>#N/A</c:v>
                </c:pt>
                <c:pt idx="234">
                  <c:v>#N/A</c:v>
                </c:pt>
                <c:pt idx="235">
                  <c:v>31.09</c:v>
                </c:pt>
                <c:pt idx="236">
                  <c:v>#N/A</c:v>
                </c:pt>
                <c:pt idx="237">
                  <c:v>#N/A</c:v>
                </c:pt>
                <c:pt idx="238">
                  <c:v>#N/A</c:v>
                </c:pt>
                <c:pt idx="239">
                  <c:v>#N/A</c:v>
                </c:pt>
                <c:pt idx="240">
                  <c:v>#N/A</c:v>
                </c:pt>
                <c:pt idx="241">
                  <c:v>#N/A</c:v>
                </c:pt>
                <c:pt idx="242">
                  <c:v>33.619999999999997</c:v>
                </c:pt>
                <c:pt idx="243">
                  <c:v>#N/A</c:v>
                </c:pt>
                <c:pt idx="244">
                  <c:v>#N/A</c:v>
                </c:pt>
                <c:pt idx="245">
                  <c:v>#N/A</c:v>
                </c:pt>
                <c:pt idx="246">
                  <c:v>#N/A</c:v>
                </c:pt>
                <c:pt idx="247">
                  <c:v>#N/A</c:v>
                </c:pt>
                <c:pt idx="248">
                  <c:v>#N/A</c:v>
                </c:pt>
                <c:pt idx="249">
                  <c:v>35.119999999999997</c:v>
                </c:pt>
                <c:pt idx="250">
                  <c:v>#N/A</c:v>
                </c:pt>
                <c:pt idx="251">
                  <c:v>#N/A</c:v>
                </c:pt>
                <c:pt idx="252">
                  <c:v>#N/A</c:v>
                </c:pt>
                <c:pt idx="253">
                  <c:v>#N/A</c:v>
                </c:pt>
                <c:pt idx="254">
                  <c:v>#N/A</c:v>
                </c:pt>
                <c:pt idx="255">
                  <c:v>#N/A</c:v>
                </c:pt>
                <c:pt idx="256">
                  <c:v>35.72</c:v>
                </c:pt>
                <c:pt idx="257">
                  <c:v>#N/A</c:v>
                </c:pt>
                <c:pt idx="258">
                  <c:v>#N/A</c:v>
                </c:pt>
                <c:pt idx="259">
                  <c:v>#N/A</c:v>
                </c:pt>
                <c:pt idx="260">
                  <c:v>#N/A</c:v>
                </c:pt>
                <c:pt idx="261">
                  <c:v>#N/A</c:v>
                </c:pt>
                <c:pt idx="262">
                  <c:v>#N/A</c:v>
                </c:pt>
                <c:pt idx="263">
                  <c:v>36.14</c:v>
                </c:pt>
                <c:pt idx="264">
                  <c:v>#N/A</c:v>
                </c:pt>
                <c:pt idx="265">
                  <c:v>#N/A</c:v>
                </c:pt>
                <c:pt idx="266">
                  <c:v>#N/A</c:v>
                </c:pt>
                <c:pt idx="267">
                  <c:v>#N/A</c:v>
                </c:pt>
                <c:pt idx="268">
                  <c:v>#N/A</c:v>
                </c:pt>
                <c:pt idx="269">
                  <c:v>#N/A</c:v>
                </c:pt>
                <c:pt idx="270">
                  <c:v>36.340000000000003</c:v>
                </c:pt>
                <c:pt idx="271">
                  <c:v>#N/A</c:v>
                </c:pt>
                <c:pt idx="272">
                  <c:v>#N/A</c:v>
                </c:pt>
                <c:pt idx="273">
                  <c:v>#N/A</c:v>
                </c:pt>
                <c:pt idx="274">
                  <c:v>#N/A</c:v>
                </c:pt>
                <c:pt idx="275">
                  <c:v>#N/A</c:v>
                </c:pt>
                <c:pt idx="276">
                  <c:v>#N/A</c:v>
                </c:pt>
                <c:pt idx="277">
                  <c:v>36.79</c:v>
                </c:pt>
                <c:pt idx="278">
                  <c:v>#N/A</c:v>
                </c:pt>
                <c:pt idx="279">
                  <c:v>#N/A</c:v>
                </c:pt>
                <c:pt idx="280">
                  <c:v>#N/A</c:v>
                </c:pt>
                <c:pt idx="281">
                  <c:v>#N/A</c:v>
                </c:pt>
                <c:pt idx="282">
                  <c:v>#N/A</c:v>
                </c:pt>
                <c:pt idx="283">
                  <c:v>#N/A</c:v>
                </c:pt>
                <c:pt idx="284">
                  <c:v>42.29</c:v>
                </c:pt>
                <c:pt idx="285">
                  <c:v>#N/A</c:v>
                </c:pt>
                <c:pt idx="286">
                  <c:v>#N/A</c:v>
                </c:pt>
                <c:pt idx="287">
                  <c:v>#N/A</c:v>
                </c:pt>
                <c:pt idx="288">
                  <c:v>#N/A</c:v>
                </c:pt>
                <c:pt idx="289">
                  <c:v>#N/A</c:v>
                </c:pt>
                <c:pt idx="290">
                  <c:v>#N/A</c:v>
                </c:pt>
                <c:pt idx="291">
                  <c:v>45.57</c:v>
                </c:pt>
                <c:pt idx="292">
                  <c:v>#N/A</c:v>
                </c:pt>
                <c:pt idx="293">
                  <c:v>#N/A</c:v>
                </c:pt>
                <c:pt idx="294">
                  <c:v>#N/A</c:v>
                </c:pt>
                <c:pt idx="295">
                  <c:v>#N/A</c:v>
                </c:pt>
                <c:pt idx="296">
                  <c:v>#N/A</c:v>
                </c:pt>
                <c:pt idx="297">
                  <c:v>#N/A</c:v>
                </c:pt>
                <c:pt idx="298">
                  <c:v>51.01</c:v>
                </c:pt>
                <c:pt idx="299">
                  <c:v>#N/A</c:v>
                </c:pt>
                <c:pt idx="300">
                  <c:v>#N/A</c:v>
                </c:pt>
                <c:pt idx="301">
                  <c:v>#N/A</c:v>
                </c:pt>
                <c:pt idx="302">
                  <c:v>#N/A</c:v>
                </c:pt>
                <c:pt idx="303">
                  <c:v>#N/A</c:v>
                </c:pt>
                <c:pt idx="304">
                  <c:v>#N/A</c:v>
                </c:pt>
                <c:pt idx="305">
                  <c:v>52.4</c:v>
                </c:pt>
                <c:pt idx="306">
                  <c:v>#N/A</c:v>
                </c:pt>
                <c:pt idx="307">
                  <c:v>#N/A</c:v>
                </c:pt>
                <c:pt idx="308">
                  <c:v>#N/A</c:v>
                </c:pt>
                <c:pt idx="309">
                  <c:v>#N/A</c:v>
                </c:pt>
                <c:pt idx="310">
                  <c:v>#N/A</c:v>
                </c:pt>
                <c:pt idx="311">
                  <c:v>#N/A</c:v>
                </c:pt>
                <c:pt idx="312">
                  <c:v>51.18</c:v>
                </c:pt>
                <c:pt idx="313">
                  <c:v>#N/A</c:v>
                </c:pt>
                <c:pt idx="314">
                  <c:v>#N/A</c:v>
                </c:pt>
                <c:pt idx="315">
                  <c:v>#N/A</c:v>
                </c:pt>
                <c:pt idx="316">
                  <c:v>#N/A</c:v>
                </c:pt>
                <c:pt idx="317">
                  <c:v>#N/A</c:v>
                </c:pt>
                <c:pt idx="318">
                  <c:v>#N/A</c:v>
                </c:pt>
                <c:pt idx="319">
                  <c:v>48.13</c:v>
                </c:pt>
                <c:pt idx="320">
                  <c:v>#N/A</c:v>
                </c:pt>
                <c:pt idx="321">
                  <c:v>#N/A</c:v>
                </c:pt>
                <c:pt idx="322">
                  <c:v>#N/A</c:v>
                </c:pt>
                <c:pt idx="323">
                  <c:v>#N/A</c:v>
                </c:pt>
                <c:pt idx="324">
                  <c:v>#N/A</c:v>
                </c:pt>
                <c:pt idx="325">
                  <c:v>#N/A</c:v>
                </c:pt>
                <c:pt idx="326">
                  <c:v>43.78</c:v>
                </c:pt>
                <c:pt idx="327">
                  <c:v>#N/A</c:v>
                </c:pt>
                <c:pt idx="328">
                  <c:v>#N/A</c:v>
                </c:pt>
                <c:pt idx="329">
                  <c:v>#N/A</c:v>
                </c:pt>
                <c:pt idx="330">
                  <c:v>#N/A</c:v>
                </c:pt>
                <c:pt idx="331">
                  <c:v>#N/A</c:v>
                </c:pt>
                <c:pt idx="332">
                  <c:v>#N/A</c:v>
                </c:pt>
                <c:pt idx="333">
                  <c:v>42.06</c:v>
                </c:pt>
                <c:pt idx="334">
                  <c:v>#N/A</c:v>
                </c:pt>
                <c:pt idx="335">
                  <c:v>#N/A</c:v>
                </c:pt>
                <c:pt idx="336">
                  <c:v>#N/A</c:v>
                </c:pt>
                <c:pt idx="337">
                  <c:v>#N/A</c:v>
                </c:pt>
                <c:pt idx="338">
                  <c:v>#N/A</c:v>
                </c:pt>
                <c:pt idx="339">
                  <c:v>#N/A</c:v>
                </c:pt>
                <c:pt idx="340">
                  <c:v>43.74</c:v>
                </c:pt>
                <c:pt idx="341">
                  <c:v>#N/A</c:v>
                </c:pt>
                <c:pt idx="342">
                  <c:v>#N/A</c:v>
                </c:pt>
                <c:pt idx="343">
                  <c:v>#N/A</c:v>
                </c:pt>
                <c:pt idx="344">
                  <c:v>#N/A</c:v>
                </c:pt>
                <c:pt idx="345">
                  <c:v>#N/A</c:v>
                </c:pt>
                <c:pt idx="346">
                  <c:v>#N/A</c:v>
                </c:pt>
                <c:pt idx="347">
                  <c:v>43.7</c:v>
                </c:pt>
                <c:pt idx="348">
                  <c:v>#N/A</c:v>
                </c:pt>
                <c:pt idx="349">
                  <c:v>#N/A</c:v>
                </c:pt>
                <c:pt idx="350">
                  <c:v>#N/A</c:v>
                </c:pt>
                <c:pt idx="351">
                  <c:v>#N/A</c:v>
                </c:pt>
                <c:pt idx="352">
                  <c:v>#N/A</c:v>
                </c:pt>
                <c:pt idx="353">
                  <c:v>#N/A</c:v>
                </c:pt>
                <c:pt idx="354">
                  <c:v>43.34</c:v>
                </c:pt>
                <c:pt idx="355">
                  <c:v>#N/A</c:v>
                </c:pt>
                <c:pt idx="356">
                  <c:v>#N/A</c:v>
                </c:pt>
                <c:pt idx="357">
                  <c:v>#N/A</c:v>
                </c:pt>
                <c:pt idx="358">
                  <c:v>#N/A</c:v>
                </c:pt>
                <c:pt idx="359">
                  <c:v>#N/A</c:v>
                </c:pt>
                <c:pt idx="360">
                  <c:v>#N/A</c:v>
                </c:pt>
                <c:pt idx="361">
                  <c:v>42.89</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1B69-41E2-9965-8575E7F426CB}"/>
            </c:ext>
          </c:extLst>
        </c:ser>
        <c:ser>
          <c:idx val="2"/>
          <c:order val="1"/>
          <c:tx>
            <c:strRef>
              <c:f>猪价!$I$1</c:f>
              <c:strCache>
                <c:ptCount val="1"/>
                <c:pt idx="0">
                  <c:v>2020</c:v>
                </c:pt>
              </c:strCache>
            </c:strRef>
          </c:tx>
          <c:spPr>
            <a:ln w="19050" cap="rnd" cmpd="sng" algn="ctr">
              <a:solidFill>
                <a:schemeClr val="accent2">
                  <a:tint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猪价!$I$2:$I$366</c:f>
              <c:numCache>
                <c:formatCode>General</c:formatCode>
                <c:ptCount val="365"/>
                <c:pt idx="0">
                  <c:v>#N/A</c:v>
                </c:pt>
                <c:pt idx="1">
                  <c:v>#N/A</c:v>
                </c:pt>
                <c:pt idx="2">
                  <c:v>#N/A</c:v>
                </c:pt>
                <c:pt idx="3">
                  <c:v>44.65</c:v>
                </c:pt>
                <c:pt idx="4">
                  <c:v>#N/A</c:v>
                </c:pt>
                <c:pt idx="5">
                  <c:v>#N/A</c:v>
                </c:pt>
                <c:pt idx="6">
                  <c:v>#N/A</c:v>
                </c:pt>
                <c:pt idx="7">
                  <c:v>#N/A</c:v>
                </c:pt>
                <c:pt idx="8">
                  <c:v>#N/A</c:v>
                </c:pt>
                <c:pt idx="9">
                  <c:v>#N/A</c:v>
                </c:pt>
                <c:pt idx="10">
                  <c:v>46.02</c:v>
                </c:pt>
                <c:pt idx="11">
                  <c:v>#N/A</c:v>
                </c:pt>
                <c:pt idx="12">
                  <c:v>#N/A</c:v>
                </c:pt>
                <c:pt idx="13">
                  <c:v>#N/A</c:v>
                </c:pt>
                <c:pt idx="14">
                  <c:v>#N/A</c:v>
                </c:pt>
                <c:pt idx="15">
                  <c:v>#N/A</c:v>
                </c:pt>
                <c:pt idx="16">
                  <c:v>#N/A</c:v>
                </c:pt>
                <c:pt idx="17">
                  <c:v>46.92</c:v>
                </c:pt>
                <c:pt idx="18">
                  <c:v>#N/A</c:v>
                </c:pt>
                <c:pt idx="19">
                  <c:v>#N/A</c:v>
                </c:pt>
                <c:pt idx="20">
                  <c:v>#N/A</c:v>
                </c:pt>
                <c:pt idx="21">
                  <c:v>#N/A</c:v>
                </c:pt>
                <c:pt idx="22">
                  <c:v>#N/A</c:v>
                </c:pt>
                <c:pt idx="23">
                  <c:v>#N/A</c:v>
                </c:pt>
                <c:pt idx="24">
                  <c:v>47.21</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50.09</c:v>
                </c:pt>
                <c:pt idx="46">
                  <c:v>#N/A</c:v>
                </c:pt>
                <c:pt idx="47">
                  <c:v>#N/A</c:v>
                </c:pt>
                <c:pt idx="48">
                  <c:v>#N/A</c:v>
                </c:pt>
                <c:pt idx="49">
                  <c:v>#N/A</c:v>
                </c:pt>
                <c:pt idx="50">
                  <c:v>#N/A</c:v>
                </c:pt>
                <c:pt idx="51">
                  <c:v>#N/A</c:v>
                </c:pt>
                <c:pt idx="52">
                  <c:v>50.21</c:v>
                </c:pt>
                <c:pt idx="53">
                  <c:v>#N/A</c:v>
                </c:pt>
                <c:pt idx="54">
                  <c:v>#N/A</c:v>
                </c:pt>
                <c:pt idx="55">
                  <c:v>#N/A</c:v>
                </c:pt>
                <c:pt idx="56">
                  <c:v>#N/A</c:v>
                </c:pt>
                <c:pt idx="57">
                  <c:v>#N/A</c:v>
                </c:pt>
                <c:pt idx="58">
                  <c:v>#N/A</c:v>
                </c:pt>
                <c:pt idx="59">
                  <c:v>48.92</c:v>
                </c:pt>
                <c:pt idx="60">
                  <c:v>#N/A</c:v>
                </c:pt>
                <c:pt idx="61">
                  <c:v>#N/A</c:v>
                </c:pt>
                <c:pt idx="62">
                  <c:v>#N/A</c:v>
                </c:pt>
                <c:pt idx="63">
                  <c:v>#N/A</c:v>
                </c:pt>
                <c:pt idx="64">
                  <c:v>#N/A</c:v>
                </c:pt>
                <c:pt idx="65">
                  <c:v>#N/A</c:v>
                </c:pt>
                <c:pt idx="66">
                  <c:v>48.49</c:v>
                </c:pt>
                <c:pt idx="67">
                  <c:v>#N/A</c:v>
                </c:pt>
                <c:pt idx="68">
                  <c:v>#N/A</c:v>
                </c:pt>
                <c:pt idx="69">
                  <c:v>#N/A</c:v>
                </c:pt>
                <c:pt idx="70">
                  <c:v>#N/A</c:v>
                </c:pt>
                <c:pt idx="71">
                  <c:v>#N/A</c:v>
                </c:pt>
                <c:pt idx="72">
                  <c:v>#N/A</c:v>
                </c:pt>
                <c:pt idx="73">
                  <c:v>48.1</c:v>
                </c:pt>
                <c:pt idx="74">
                  <c:v>#N/A</c:v>
                </c:pt>
                <c:pt idx="75">
                  <c:v>#N/A</c:v>
                </c:pt>
                <c:pt idx="76">
                  <c:v>#N/A</c:v>
                </c:pt>
                <c:pt idx="77">
                  <c:v>#N/A</c:v>
                </c:pt>
                <c:pt idx="78">
                  <c:v>#N/A</c:v>
                </c:pt>
                <c:pt idx="79">
                  <c:v>#N/A</c:v>
                </c:pt>
                <c:pt idx="80">
                  <c:v>47.47</c:v>
                </c:pt>
                <c:pt idx="81">
                  <c:v>#N/A</c:v>
                </c:pt>
                <c:pt idx="82">
                  <c:v>#N/A</c:v>
                </c:pt>
                <c:pt idx="83">
                  <c:v>#N/A</c:v>
                </c:pt>
                <c:pt idx="84">
                  <c:v>#N/A</c:v>
                </c:pt>
                <c:pt idx="85">
                  <c:v>#N/A</c:v>
                </c:pt>
                <c:pt idx="86">
                  <c:v>#N/A</c:v>
                </c:pt>
                <c:pt idx="87">
                  <c:v>46.89</c:v>
                </c:pt>
                <c:pt idx="88">
                  <c:v>#N/A</c:v>
                </c:pt>
                <c:pt idx="89">
                  <c:v>#N/A</c:v>
                </c:pt>
                <c:pt idx="90">
                  <c:v>#N/A</c:v>
                </c:pt>
                <c:pt idx="91">
                  <c:v>#N/A</c:v>
                </c:pt>
                <c:pt idx="92">
                  <c:v>#N/A</c:v>
                </c:pt>
                <c:pt idx="93">
                  <c:v>#N/A</c:v>
                </c:pt>
                <c:pt idx="94">
                  <c:v>46.28</c:v>
                </c:pt>
                <c:pt idx="95">
                  <c:v>#N/A</c:v>
                </c:pt>
                <c:pt idx="96">
                  <c:v>#N/A</c:v>
                </c:pt>
                <c:pt idx="97">
                  <c:v>#N/A</c:v>
                </c:pt>
                <c:pt idx="98">
                  <c:v>#N/A</c:v>
                </c:pt>
                <c:pt idx="99">
                  <c:v>#N/A</c:v>
                </c:pt>
                <c:pt idx="100">
                  <c:v>#N/A</c:v>
                </c:pt>
                <c:pt idx="101">
                  <c:v>44.72</c:v>
                </c:pt>
                <c:pt idx="102">
                  <c:v>#N/A</c:v>
                </c:pt>
                <c:pt idx="103">
                  <c:v>#N/A</c:v>
                </c:pt>
                <c:pt idx="104">
                  <c:v>#N/A</c:v>
                </c:pt>
                <c:pt idx="105">
                  <c:v>#N/A</c:v>
                </c:pt>
                <c:pt idx="106">
                  <c:v>#N/A</c:v>
                </c:pt>
                <c:pt idx="107">
                  <c:v>#N/A</c:v>
                </c:pt>
                <c:pt idx="108">
                  <c:v>44.7</c:v>
                </c:pt>
                <c:pt idx="109">
                  <c:v>#N/A</c:v>
                </c:pt>
                <c:pt idx="110">
                  <c:v>#N/A</c:v>
                </c:pt>
                <c:pt idx="111">
                  <c:v>#N/A</c:v>
                </c:pt>
                <c:pt idx="112">
                  <c:v>#N/A</c:v>
                </c:pt>
                <c:pt idx="113">
                  <c:v>#N/A</c:v>
                </c:pt>
                <c:pt idx="114">
                  <c:v>#N/A</c:v>
                </c:pt>
                <c:pt idx="115">
                  <c:v>44.15</c:v>
                </c:pt>
                <c:pt idx="116">
                  <c:v>#N/A</c:v>
                </c:pt>
                <c:pt idx="117">
                  <c:v>#N/A</c:v>
                </c:pt>
                <c:pt idx="118">
                  <c:v>#N/A</c:v>
                </c:pt>
                <c:pt idx="119">
                  <c:v>#N/A</c:v>
                </c:pt>
                <c:pt idx="120">
                  <c:v>#N/A</c:v>
                </c:pt>
                <c:pt idx="121">
                  <c:v>#N/A</c:v>
                </c:pt>
                <c:pt idx="122">
                  <c:v>43.53</c:v>
                </c:pt>
                <c:pt idx="123">
                  <c:v>#N/A</c:v>
                </c:pt>
                <c:pt idx="124">
                  <c:v>#N/A</c:v>
                </c:pt>
                <c:pt idx="125">
                  <c:v>#N/A</c:v>
                </c:pt>
                <c:pt idx="126">
                  <c:v>#N/A</c:v>
                </c:pt>
                <c:pt idx="127">
                  <c:v>#N/A</c:v>
                </c:pt>
                <c:pt idx="128">
                  <c:v>#N/A</c:v>
                </c:pt>
                <c:pt idx="129">
                  <c:v>42.28</c:v>
                </c:pt>
                <c:pt idx="130">
                  <c:v>#N/A</c:v>
                </c:pt>
                <c:pt idx="131">
                  <c:v>#N/A</c:v>
                </c:pt>
                <c:pt idx="132">
                  <c:v>#N/A</c:v>
                </c:pt>
                <c:pt idx="133">
                  <c:v>#N/A</c:v>
                </c:pt>
                <c:pt idx="134">
                  <c:v>#N/A</c:v>
                </c:pt>
                <c:pt idx="135">
                  <c:v>#N/A</c:v>
                </c:pt>
                <c:pt idx="136">
                  <c:v>39.53</c:v>
                </c:pt>
                <c:pt idx="137">
                  <c:v>#N/A</c:v>
                </c:pt>
                <c:pt idx="138">
                  <c:v>#N/A</c:v>
                </c:pt>
                <c:pt idx="139">
                  <c:v>#N/A</c:v>
                </c:pt>
                <c:pt idx="140">
                  <c:v>#N/A</c:v>
                </c:pt>
                <c:pt idx="141">
                  <c:v>#N/A</c:v>
                </c:pt>
                <c:pt idx="142">
                  <c:v>#N/A</c:v>
                </c:pt>
                <c:pt idx="143">
                  <c:v>38.770000000000003</c:v>
                </c:pt>
                <c:pt idx="144">
                  <c:v>#N/A</c:v>
                </c:pt>
                <c:pt idx="145">
                  <c:v>#N/A</c:v>
                </c:pt>
                <c:pt idx="146">
                  <c:v>#N/A</c:v>
                </c:pt>
                <c:pt idx="147">
                  <c:v>#N/A</c:v>
                </c:pt>
                <c:pt idx="148">
                  <c:v>#N/A</c:v>
                </c:pt>
                <c:pt idx="149">
                  <c:v>#N/A</c:v>
                </c:pt>
                <c:pt idx="150">
                  <c:v>38.65</c:v>
                </c:pt>
                <c:pt idx="151">
                  <c:v>#N/A</c:v>
                </c:pt>
                <c:pt idx="152">
                  <c:v>#N/A</c:v>
                </c:pt>
                <c:pt idx="153">
                  <c:v>#N/A</c:v>
                </c:pt>
                <c:pt idx="154">
                  <c:v>#N/A</c:v>
                </c:pt>
                <c:pt idx="155">
                  <c:v>#N/A</c:v>
                </c:pt>
                <c:pt idx="156">
                  <c:v>#N/A</c:v>
                </c:pt>
                <c:pt idx="157">
                  <c:v>39.81</c:v>
                </c:pt>
                <c:pt idx="158">
                  <c:v>#N/A</c:v>
                </c:pt>
                <c:pt idx="159">
                  <c:v>#N/A</c:v>
                </c:pt>
                <c:pt idx="160">
                  <c:v>#N/A</c:v>
                </c:pt>
                <c:pt idx="161">
                  <c:v>#N/A</c:v>
                </c:pt>
                <c:pt idx="162">
                  <c:v>#N/A</c:v>
                </c:pt>
                <c:pt idx="163">
                  <c:v>#N/A</c:v>
                </c:pt>
                <c:pt idx="164">
                  <c:v>40.6</c:v>
                </c:pt>
                <c:pt idx="165">
                  <c:v>#N/A</c:v>
                </c:pt>
                <c:pt idx="166">
                  <c:v>#N/A</c:v>
                </c:pt>
                <c:pt idx="167">
                  <c:v>#N/A</c:v>
                </c:pt>
                <c:pt idx="168">
                  <c:v>#N/A</c:v>
                </c:pt>
                <c:pt idx="169">
                  <c:v>#N/A</c:v>
                </c:pt>
                <c:pt idx="170">
                  <c:v>#N/A</c:v>
                </c:pt>
                <c:pt idx="171">
                  <c:v>43.25</c:v>
                </c:pt>
                <c:pt idx="172">
                  <c:v>#N/A</c:v>
                </c:pt>
                <c:pt idx="173">
                  <c:v>#N/A</c:v>
                </c:pt>
                <c:pt idx="174">
                  <c:v>#N/A</c:v>
                </c:pt>
                <c:pt idx="175">
                  <c:v>#N/A</c:v>
                </c:pt>
                <c:pt idx="176">
                  <c:v>#N/A</c:v>
                </c:pt>
                <c:pt idx="177">
                  <c:v>#N/A</c:v>
                </c:pt>
                <c:pt idx="178">
                  <c:v>44.67</c:v>
                </c:pt>
                <c:pt idx="179">
                  <c:v>#N/A</c:v>
                </c:pt>
                <c:pt idx="180">
                  <c:v>#N/A</c:v>
                </c:pt>
                <c:pt idx="181">
                  <c:v>#N/A</c:v>
                </c:pt>
                <c:pt idx="182">
                  <c:v>#N/A</c:v>
                </c:pt>
                <c:pt idx="183">
                  <c:v>#N/A</c:v>
                </c:pt>
                <c:pt idx="184">
                  <c:v>#N/A</c:v>
                </c:pt>
                <c:pt idx="185">
                  <c:v>46.05</c:v>
                </c:pt>
                <c:pt idx="186">
                  <c:v>#N/A</c:v>
                </c:pt>
                <c:pt idx="187">
                  <c:v>#N/A</c:v>
                </c:pt>
                <c:pt idx="188">
                  <c:v>#N/A</c:v>
                </c:pt>
                <c:pt idx="189">
                  <c:v>#N/A</c:v>
                </c:pt>
                <c:pt idx="190">
                  <c:v>#N/A</c:v>
                </c:pt>
                <c:pt idx="191">
                  <c:v>#N/A</c:v>
                </c:pt>
                <c:pt idx="192">
                  <c:v>48.02</c:v>
                </c:pt>
                <c:pt idx="193">
                  <c:v>#N/A</c:v>
                </c:pt>
                <c:pt idx="194">
                  <c:v>#N/A</c:v>
                </c:pt>
                <c:pt idx="195">
                  <c:v>#N/A</c:v>
                </c:pt>
                <c:pt idx="196">
                  <c:v>#N/A</c:v>
                </c:pt>
                <c:pt idx="197">
                  <c:v>#N/A</c:v>
                </c:pt>
                <c:pt idx="198">
                  <c:v>#N/A</c:v>
                </c:pt>
                <c:pt idx="199">
                  <c:v>48.53</c:v>
                </c:pt>
                <c:pt idx="200">
                  <c:v>#N/A</c:v>
                </c:pt>
                <c:pt idx="201">
                  <c:v>#N/A</c:v>
                </c:pt>
                <c:pt idx="202">
                  <c:v>#N/A</c:v>
                </c:pt>
                <c:pt idx="203">
                  <c:v>#N/A</c:v>
                </c:pt>
                <c:pt idx="204">
                  <c:v>#N/A</c:v>
                </c:pt>
                <c:pt idx="205">
                  <c:v>#N/A</c:v>
                </c:pt>
                <c:pt idx="206">
                  <c:v>48.67</c:v>
                </c:pt>
                <c:pt idx="207">
                  <c:v>#N/A</c:v>
                </c:pt>
                <c:pt idx="208">
                  <c:v>#N/A</c:v>
                </c:pt>
                <c:pt idx="209">
                  <c:v>#N/A</c:v>
                </c:pt>
                <c:pt idx="210">
                  <c:v>#N/A</c:v>
                </c:pt>
                <c:pt idx="211">
                  <c:v>#N/A</c:v>
                </c:pt>
                <c:pt idx="212">
                  <c:v>#N/A</c:v>
                </c:pt>
                <c:pt idx="213">
                  <c:v>48.34</c:v>
                </c:pt>
                <c:pt idx="214">
                  <c:v>#N/A</c:v>
                </c:pt>
                <c:pt idx="215">
                  <c:v>#N/A</c:v>
                </c:pt>
                <c:pt idx="216">
                  <c:v>#N/A</c:v>
                </c:pt>
                <c:pt idx="217">
                  <c:v>#N/A</c:v>
                </c:pt>
                <c:pt idx="218">
                  <c:v>#N/A</c:v>
                </c:pt>
                <c:pt idx="219">
                  <c:v>#N/A</c:v>
                </c:pt>
                <c:pt idx="220">
                  <c:v>48.47</c:v>
                </c:pt>
                <c:pt idx="221">
                  <c:v>#N/A</c:v>
                </c:pt>
                <c:pt idx="222">
                  <c:v>#N/A</c:v>
                </c:pt>
                <c:pt idx="223">
                  <c:v>#N/A</c:v>
                </c:pt>
                <c:pt idx="224">
                  <c:v>#N/A</c:v>
                </c:pt>
                <c:pt idx="225">
                  <c:v>#N/A</c:v>
                </c:pt>
                <c:pt idx="226">
                  <c:v>#N/A</c:v>
                </c:pt>
                <c:pt idx="227">
                  <c:v>48.25</c:v>
                </c:pt>
                <c:pt idx="228">
                  <c:v>#N/A</c:v>
                </c:pt>
                <c:pt idx="229">
                  <c:v>#N/A</c:v>
                </c:pt>
                <c:pt idx="230">
                  <c:v>#N/A</c:v>
                </c:pt>
                <c:pt idx="231">
                  <c:v>#N/A</c:v>
                </c:pt>
                <c:pt idx="232">
                  <c:v>#N/A</c:v>
                </c:pt>
                <c:pt idx="233">
                  <c:v>#N/A</c:v>
                </c:pt>
                <c:pt idx="234">
                  <c:v>48.4</c:v>
                </c:pt>
                <c:pt idx="235">
                  <c:v>#N/A</c:v>
                </c:pt>
                <c:pt idx="236">
                  <c:v>#N/A</c:v>
                </c:pt>
                <c:pt idx="237">
                  <c:v>#N/A</c:v>
                </c:pt>
                <c:pt idx="238">
                  <c:v>#N/A</c:v>
                </c:pt>
                <c:pt idx="239">
                  <c:v>#N/A</c:v>
                </c:pt>
                <c:pt idx="240">
                  <c:v>#N/A</c:v>
                </c:pt>
                <c:pt idx="241">
                  <c:v>48.41</c:v>
                </c:pt>
                <c:pt idx="242">
                  <c:v>#N/A</c:v>
                </c:pt>
                <c:pt idx="243">
                  <c:v>#N/A</c:v>
                </c:pt>
                <c:pt idx="244">
                  <c:v>#N/A</c:v>
                </c:pt>
                <c:pt idx="245">
                  <c:v>#N/A</c:v>
                </c:pt>
                <c:pt idx="246">
                  <c:v>#N/A</c:v>
                </c:pt>
                <c:pt idx="247">
                  <c:v>#N/A</c:v>
                </c:pt>
                <c:pt idx="248">
                  <c:v>47.95</c:v>
                </c:pt>
                <c:pt idx="249">
                  <c:v>#N/A</c:v>
                </c:pt>
                <c:pt idx="250">
                  <c:v>#N/A</c:v>
                </c:pt>
                <c:pt idx="251">
                  <c:v>#N/A</c:v>
                </c:pt>
                <c:pt idx="252">
                  <c:v>#N/A</c:v>
                </c:pt>
                <c:pt idx="253">
                  <c:v>#N/A</c:v>
                </c:pt>
                <c:pt idx="254">
                  <c:v>#N/A</c:v>
                </c:pt>
                <c:pt idx="255">
                  <c:v>47.85</c:v>
                </c:pt>
                <c:pt idx="256">
                  <c:v>#N/A</c:v>
                </c:pt>
                <c:pt idx="257">
                  <c:v>#N/A</c:v>
                </c:pt>
                <c:pt idx="258">
                  <c:v>#N/A</c:v>
                </c:pt>
                <c:pt idx="259">
                  <c:v>#N/A</c:v>
                </c:pt>
                <c:pt idx="260">
                  <c:v>#N/A</c:v>
                </c:pt>
                <c:pt idx="261">
                  <c:v>#N/A</c:v>
                </c:pt>
                <c:pt idx="262">
                  <c:v>47.28</c:v>
                </c:pt>
                <c:pt idx="263">
                  <c:v>#N/A</c:v>
                </c:pt>
                <c:pt idx="264">
                  <c:v>#N/A</c:v>
                </c:pt>
                <c:pt idx="265">
                  <c:v>#N/A</c:v>
                </c:pt>
                <c:pt idx="266">
                  <c:v>#N/A</c:v>
                </c:pt>
                <c:pt idx="267">
                  <c:v>#N/A</c:v>
                </c:pt>
                <c:pt idx="268">
                  <c:v>#N/A</c:v>
                </c:pt>
                <c:pt idx="269">
                  <c:v>46.57</c:v>
                </c:pt>
                <c:pt idx="270">
                  <c:v>#N/A</c:v>
                </c:pt>
                <c:pt idx="271">
                  <c:v>#N/A</c:v>
                </c:pt>
                <c:pt idx="272">
                  <c:v>#N/A</c:v>
                </c:pt>
                <c:pt idx="273">
                  <c:v>#N/A</c:v>
                </c:pt>
                <c:pt idx="274">
                  <c:v>#N/A</c:v>
                </c:pt>
                <c:pt idx="275">
                  <c:v>#N/A</c:v>
                </c:pt>
                <c:pt idx="276">
                  <c:v>45.41</c:v>
                </c:pt>
                <c:pt idx="277">
                  <c:v>#N/A</c:v>
                </c:pt>
                <c:pt idx="278">
                  <c:v>#N/A</c:v>
                </c:pt>
                <c:pt idx="279">
                  <c:v>#N/A</c:v>
                </c:pt>
                <c:pt idx="280">
                  <c:v>#N/A</c:v>
                </c:pt>
                <c:pt idx="281">
                  <c:v>#N/A</c:v>
                </c:pt>
                <c:pt idx="282">
                  <c:v>#N/A</c:v>
                </c:pt>
                <c:pt idx="283">
                  <c:v>43.96</c:v>
                </c:pt>
                <c:pt idx="284">
                  <c:v>#N/A</c:v>
                </c:pt>
                <c:pt idx="285">
                  <c:v>#N/A</c:v>
                </c:pt>
                <c:pt idx="286">
                  <c:v>#N/A</c:v>
                </c:pt>
                <c:pt idx="287">
                  <c:v>#N/A</c:v>
                </c:pt>
                <c:pt idx="288">
                  <c:v>#N/A</c:v>
                </c:pt>
                <c:pt idx="289">
                  <c:v>#N/A</c:v>
                </c:pt>
                <c:pt idx="290">
                  <c:v>42.41</c:v>
                </c:pt>
                <c:pt idx="291">
                  <c:v>#N/A</c:v>
                </c:pt>
                <c:pt idx="292">
                  <c:v>#N/A</c:v>
                </c:pt>
                <c:pt idx="293">
                  <c:v>#N/A</c:v>
                </c:pt>
                <c:pt idx="294">
                  <c:v>#N/A</c:v>
                </c:pt>
                <c:pt idx="295">
                  <c:v>#N/A</c:v>
                </c:pt>
                <c:pt idx="296">
                  <c:v>#N/A</c:v>
                </c:pt>
                <c:pt idx="297">
                  <c:v>40.44</c:v>
                </c:pt>
                <c:pt idx="298">
                  <c:v>#N/A</c:v>
                </c:pt>
                <c:pt idx="299">
                  <c:v>#N/A</c:v>
                </c:pt>
                <c:pt idx="300">
                  <c:v>#N/A</c:v>
                </c:pt>
                <c:pt idx="301">
                  <c:v>#N/A</c:v>
                </c:pt>
                <c:pt idx="302">
                  <c:v>#N/A</c:v>
                </c:pt>
                <c:pt idx="303">
                  <c:v>#N/A</c:v>
                </c:pt>
                <c:pt idx="304">
                  <c:v>38.85</c:v>
                </c:pt>
                <c:pt idx="305">
                  <c:v>#N/A</c:v>
                </c:pt>
                <c:pt idx="306">
                  <c:v>#N/A</c:v>
                </c:pt>
                <c:pt idx="307">
                  <c:v>#N/A</c:v>
                </c:pt>
                <c:pt idx="308">
                  <c:v>#N/A</c:v>
                </c:pt>
                <c:pt idx="309">
                  <c:v>#N/A</c:v>
                </c:pt>
                <c:pt idx="310">
                  <c:v>#N/A</c:v>
                </c:pt>
                <c:pt idx="311">
                  <c:v>39.369999999999997</c:v>
                </c:pt>
                <c:pt idx="312">
                  <c:v>#N/A</c:v>
                </c:pt>
                <c:pt idx="313">
                  <c:v>#N/A</c:v>
                </c:pt>
                <c:pt idx="314">
                  <c:v>#N/A</c:v>
                </c:pt>
                <c:pt idx="315">
                  <c:v>#N/A</c:v>
                </c:pt>
                <c:pt idx="316">
                  <c:v>#N/A</c:v>
                </c:pt>
                <c:pt idx="317">
                  <c:v>#N/A</c:v>
                </c:pt>
                <c:pt idx="318">
                  <c:v>39.26</c:v>
                </c:pt>
                <c:pt idx="319">
                  <c:v>#N/A</c:v>
                </c:pt>
                <c:pt idx="320">
                  <c:v>#N/A</c:v>
                </c:pt>
                <c:pt idx="321">
                  <c:v>#N/A</c:v>
                </c:pt>
                <c:pt idx="322">
                  <c:v>#N/A</c:v>
                </c:pt>
                <c:pt idx="323">
                  <c:v>#N/A</c:v>
                </c:pt>
                <c:pt idx="324">
                  <c:v>#N/A</c:v>
                </c:pt>
                <c:pt idx="325">
                  <c:v>39.36</c:v>
                </c:pt>
                <c:pt idx="326">
                  <c:v>#N/A</c:v>
                </c:pt>
                <c:pt idx="327">
                  <c:v>#N/A</c:v>
                </c:pt>
                <c:pt idx="328">
                  <c:v>#N/A</c:v>
                </c:pt>
                <c:pt idx="329">
                  <c:v>#N/A</c:v>
                </c:pt>
                <c:pt idx="330">
                  <c:v>#N/A</c:v>
                </c:pt>
                <c:pt idx="331">
                  <c:v>#N/A</c:v>
                </c:pt>
                <c:pt idx="332">
                  <c:v>39.1</c:v>
                </c:pt>
                <c:pt idx="333">
                  <c:v>#N/A</c:v>
                </c:pt>
                <c:pt idx="334">
                  <c:v>#N/A</c:v>
                </c:pt>
                <c:pt idx="335">
                  <c:v>#N/A</c:v>
                </c:pt>
                <c:pt idx="336">
                  <c:v>#N/A</c:v>
                </c:pt>
                <c:pt idx="337">
                  <c:v>#N/A</c:v>
                </c:pt>
                <c:pt idx="338">
                  <c:v>#N/A</c:v>
                </c:pt>
                <c:pt idx="339">
                  <c:v>41.79</c:v>
                </c:pt>
                <c:pt idx="340">
                  <c:v>#N/A</c:v>
                </c:pt>
                <c:pt idx="341">
                  <c:v>#N/A</c:v>
                </c:pt>
                <c:pt idx="342">
                  <c:v>#N/A</c:v>
                </c:pt>
                <c:pt idx="343">
                  <c:v>#N/A</c:v>
                </c:pt>
                <c:pt idx="344">
                  <c:v>#N/A</c:v>
                </c:pt>
                <c:pt idx="345">
                  <c:v>#N/A</c:v>
                </c:pt>
                <c:pt idx="346">
                  <c:v>42.84</c:v>
                </c:pt>
                <c:pt idx="347">
                  <c:v>#N/A</c:v>
                </c:pt>
                <c:pt idx="348">
                  <c:v>#N/A</c:v>
                </c:pt>
                <c:pt idx="349">
                  <c:v>#N/A</c:v>
                </c:pt>
                <c:pt idx="350">
                  <c:v>#N/A</c:v>
                </c:pt>
                <c:pt idx="351">
                  <c:v>#N/A</c:v>
                </c:pt>
                <c:pt idx="352">
                  <c:v>#N/A</c:v>
                </c:pt>
                <c:pt idx="353">
                  <c:v>43.83</c:v>
                </c:pt>
                <c:pt idx="354">
                  <c:v>#N/A</c:v>
                </c:pt>
                <c:pt idx="355">
                  <c:v>#N/A</c:v>
                </c:pt>
                <c:pt idx="356">
                  <c:v>#N/A</c:v>
                </c:pt>
                <c:pt idx="357">
                  <c:v>#N/A</c:v>
                </c:pt>
                <c:pt idx="358">
                  <c:v>#N/A</c:v>
                </c:pt>
                <c:pt idx="359">
                  <c:v>#N/A</c:v>
                </c:pt>
                <c:pt idx="360">
                  <c:v>44.12</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1B69-41E2-9965-8575E7F426CB}"/>
            </c:ext>
          </c:extLst>
        </c:ser>
        <c:ser>
          <c:idx val="1"/>
          <c:order val="2"/>
          <c:tx>
            <c:strRef>
              <c:f>猪价!$J$1</c:f>
              <c:strCache>
                <c:ptCount val="1"/>
                <c:pt idx="0">
                  <c:v>2021</c:v>
                </c:pt>
              </c:strCache>
            </c:strRef>
          </c:tx>
          <c:spPr>
            <a:ln w="19050" cap="rnd" cmpd="sng" algn="ctr">
              <a:solidFill>
                <a:schemeClr val="accent2"/>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猪价!$J$2:$J$366</c:f>
              <c:numCache>
                <c:formatCode>General</c:formatCode>
                <c:ptCount val="365"/>
                <c:pt idx="0">
                  <c:v>#N/A</c:v>
                </c:pt>
                <c:pt idx="1">
                  <c:v>45.4</c:v>
                </c:pt>
                <c:pt idx="2">
                  <c:v>#N/A</c:v>
                </c:pt>
                <c:pt idx="3">
                  <c:v>#N/A</c:v>
                </c:pt>
                <c:pt idx="4">
                  <c:v>#N/A</c:v>
                </c:pt>
                <c:pt idx="5">
                  <c:v>#N/A</c:v>
                </c:pt>
                <c:pt idx="6">
                  <c:v>#N/A</c:v>
                </c:pt>
                <c:pt idx="7">
                  <c:v>#N/A</c:v>
                </c:pt>
                <c:pt idx="8">
                  <c:v>46.26</c:v>
                </c:pt>
                <c:pt idx="9">
                  <c:v>#N/A</c:v>
                </c:pt>
                <c:pt idx="10">
                  <c:v>#N/A</c:v>
                </c:pt>
                <c:pt idx="11">
                  <c:v>#N/A</c:v>
                </c:pt>
                <c:pt idx="12">
                  <c:v>#N/A</c:v>
                </c:pt>
                <c:pt idx="13">
                  <c:v>#N/A</c:v>
                </c:pt>
                <c:pt idx="14">
                  <c:v>#N/A</c:v>
                </c:pt>
                <c:pt idx="15">
                  <c:v>47.58</c:v>
                </c:pt>
                <c:pt idx="16">
                  <c:v>#N/A</c:v>
                </c:pt>
                <c:pt idx="17">
                  <c:v>#N/A</c:v>
                </c:pt>
                <c:pt idx="18">
                  <c:v>#N/A</c:v>
                </c:pt>
                <c:pt idx="19">
                  <c:v>#N/A</c:v>
                </c:pt>
                <c:pt idx="20">
                  <c:v>#N/A</c:v>
                </c:pt>
                <c:pt idx="21">
                  <c:v>#N/A</c:v>
                </c:pt>
                <c:pt idx="22">
                  <c:v>47</c:v>
                </c:pt>
                <c:pt idx="23">
                  <c:v>#N/A</c:v>
                </c:pt>
                <c:pt idx="24">
                  <c:v>#N/A</c:v>
                </c:pt>
                <c:pt idx="25">
                  <c:v>#N/A</c:v>
                </c:pt>
                <c:pt idx="26">
                  <c:v>#N/A</c:v>
                </c:pt>
                <c:pt idx="27">
                  <c:v>#N/A</c:v>
                </c:pt>
                <c:pt idx="28">
                  <c:v>#N/A</c:v>
                </c:pt>
                <c:pt idx="29">
                  <c:v>46.37</c:v>
                </c:pt>
                <c:pt idx="30">
                  <c:v>#N/A</c:v>
                </c:pt>
                <c:pt idx="31">
                  <c:v>#N/A</c:v>
                </c:pt>
                <c:pt idx="32">
                  <c:v>#N/A</c:v>
                </c:pt>
                <c:pt idx="33">
                  <c:v>#N/A</c:v>
                </c:pt>
                <c:pt idx="34">
                  <c:v>#N/A</c:v>
                </c:pt>
                <c:pt idx="35">
                  <c:v>#N/A</c:v>
                </c:pt>
                <c:pt idx="36">
                  <c:v>45.23</c:v>
                </c:pt>
                <c:pt idx="37">
                  <c:v>#N/A</c:v>
                </c:pt>
                <c:pt idx="38">
                  <c:v>#N/A</c:v>
                </c:pt>
                <c:pt idx="39">
                  <c:v>#N/A</c:v>
                </c:pt>
                <c:pt idx="40">
                  <c:v>#N/A</c:v>
                </c:pt>
                <c:pt idx="41">
                  <c:v>#N/A</c:v>
                </c:pt>
                <c:pt idx="42">
                  <c:v>#N/A</c:v>
                </c:pt>
                <c:pt idx="43">
                  <c:v>45.39</c:v>
                </c:pt>
                <c:pt idx="44">
                  <c:v>#N/A</c:v>
                </c:pt>
                <c:pt idx="45">
                  <c:v>#N/A</c:v>
                </c:pt>
                <c:pt idx="46">
                  <c:v>#N/A</c:v>
                </c:pt>
                <c:pt idx="47">
                  <c:v>#N/A</c:v>
                </c:pt>
                <c:pt idx="48">
                  <c:v>#N/A</c:v>
                </c:pt>
                <c:pt idx="49">
                  <c:v>#N/A</c:v>
                </c:pt>
                <c:pt idx="50">
                  <c:v>42.18</c:v>
                </c:pt>
                <c:pt idx="51">
                  <c:v>#N/A</c:v>
                </c:pt>
                <c:pt idx="52">
                  <c:v>#N/A</c:v>
                </c:pt>
                <c:pt idx="53">
                  <c:v>#N/A</c:v>
                </c:pt>
                <c:pt idx="54">
                  <c:v>#N/A</c:v>
                </c:pt>
                <c:pt idx="55">
                  <c:v>#N/A</c:v>
                </c:pt>
                <c:pt idx="56">
                  <c:v>#N/A</c:v>
                </c:pt>
                <c:pt idx="57">
                  <c:v>39.049999999999997</c:v>
                </c:pt>
                <c:pt idx="58">
                  <c:v>#N/A</c:v>
                </c:pt>
                <c:pt idx="59">
                  <c:v>#N/A</c:v>
                </c:pt>
                <c:pt idx="60">
                  <c:v>#N/A</c:v>
                </c:pt>
                <c:pt idx="61">
                  <c:v>#N/A</c:v>
                </c:pt>
                <c:pt idx="62">
                  <c:v>#N/A</c:v>
                </c:pt>
                <c:pt idx="63">
                  <c:v>#N/A</c:v>
                </c:pt>
                <c:pt idx="64">
                  <c:v>38.57</c:v>
                </c:pt>
                <c:pt idx="65">
                  <c:v>#N/A</c:v>
                </c:pt>
                <c:pt idx="66">
                  <c:v>#N/A</c:v>
                </c:pt>
                <c:pt idx="67">
                  <c:v>#N/A</c:v>
                </c:pt>
                <c:pt idx="68">
                  <c:v>#N/A</c:v>
                </c:pt>
                <c:pt idx="69">
                  <c:v>#N/A</c:v>
                </c:pt>
                <c:pt idx="70">
                  <c:v>#N/A</c:v>
                </c:pt>
                <c:pt idx="71">
                  <c:v>38</c:v>
                </c:pt>
                <c:pt idx="72">
                  <c:v>#N/A</c:v>
                </c:pt>
                <c:pt idx="73">
                  <c:v>#N/A</c:v>
                </c:pt>
                <c:pt idx="74">
                  <c:v>#N/A</c:v>
                </c:pt>
                <c:pt idx="75">
                  <c:v>#N/A</c:v>
                </c:pt>
                <c:pt idx="76">
                  <c:v>#N/A</c:v>
                </c:pt>
                <c:pt idx="77">
                  <c:v>#N/A</c:v>
                </c:pt>
                <c:pt idx="78">
                  <c:v>37.299999999999997</c:v>
                </c:pt>
                <c:pt idx="79">
                  <c:v>#N/A</c:v>
                </c:pt>
                <c:pt idx="80">
                  <c:v>#N/A</c:v>
                </c:pt>
                <c:pt idx="81">
                  <c:v>#N/A</c:v>
                </c:pt>
                <c:pt idx="82">
                  <c:v>#N/A</c:v>
                </c:pt>
                <c:pt idx="83">
                  <c:v>#N/A</c:v>
                </c:pt>
                <c:pt idx="84">
                  <c:v>#N/A</c:v>
                </c:pt>
                <c:pt idx="85">
                  <c:v>36.33</c:v>
                </c:pt>
                <c:pt idx="86">
                  <c:v>#N/A</c:v>
                </c:pt>
                <c:pt idx="87">
                  <c:v>#N/A</c:v>
                </c:pt>
                <c:pt idx="88">
                  <c:v>#N/A</c:v>
                </c:pt>
                <c:pt idx="89">
                  <c:v>#N/A</c:v>
                </c:pt>
                <c:pt idx="90">
                  <c:v>#N/A</c:v>
                </c:pt>
                <c:pt idx="91">
                  <c:v>#N/A</c:v>
                </c:pt>
                <c:pt idx="92">
                  <c:v>35</c:v>
                </c:pt>
                <c:pt idx="93">
                  <c:v>#N/A</c:v>
                </c:pt>
                <c:pt idx="94">
                  <c:v>#N/A</c:v>
                </c:pt>
                <c:pt idx="95">
                  <c:v>#N/A</c:v>
                </c:pt>
                <c:pt idx="96">
                  <c:v>#N/A</c:v>
                </c:pt>
                <c:pt idx="97">
                  <c:v>#N/A</c:v>
                </c:pt>
                <c:pt idx="98">
                  <c:v>#N/A</c:v>
                </c:pt>
                <c:pt idx="99">
                  <c:v>32.4</c:v>
                </c:pt>
                <c:pt idx="100">
                  <c:v>#N/A</c:v>
                </c:pt>
                <c:pt idx="101">
                  <c:v>#N/A</c:v>
                </c:pt>
                <c:pt idx="102">
                  <c:v>#N/A</c:v>
                </c:pt>
                <c:pt idx="103">
                  <c:v>#N/A</c:v>
                </c:pt>
                <c:pt idx="104">
                  <c:v>#N/A</c:v>
                </c:pt>
                <c:pt idx="105">
                  <c:v>#N/A</c:v>
                </c:pt>
                <c:pt idx="106">
                  <c:v>31.77</c:v>
                </c:pt>
                <c:pt idx="107">
                  <c:v>#N/A</c:v>
                </c:pt>
                <c:pt idx="108">
                  <c:v>#N/A</c:v>
                </c:pt>
                <c:pt idx="109">
                  <c:v>#N/A</c:v>
                </c:pt>
                <c:pt idx="110">
                  <c:v>#N/A</c:v>
                </c:pt>
                <c:pt idx="111">
                  <c:v>#N/A</c:v>
                </c:pt>
                <c:pt idx="112">
                  <c:v>#N/A</c:v>
                </c:pt>
                <c:pt idx="113">
                  <c:v>31.5</c:v>
                </c:pt>
                <c:pt idx="114">
                  <c:v>#N/A</c:v>
                </c:pt>
                <c:pt idx="115">
                  <c:v>#N/A</c:v>
                </c:pt>
                <c:pt idx="116">
                  <c:v>#N/A</c:v>
                </c:pt>
                <c:pt idx="117">
                  <c:v>#N/A</c:v>
                </c:pt>
                <c:pt idx="118">
                  <c:v>#N/A</c:v>
                </c:pt>
                <c:pt idx="119">
                  <c:v>#N/A</c:v>
                </c:pt>
                <c:pt idx="120">
                  <c:v>30.62</c:v>
                </c:pt>
                <c:pt idx="121">
                  <c:v>#N/A</c:v>
                </c:pt>
                <c:pt idx="122">
                  <c:v>#N/A</c:v>
                </c:pt>
                <c:pt idx="123">
                  <c:v>#N/A</c:v>
                </c:pt>
                <c:pt idx="124">
                  <c:v>#N/A</c:v>
                </c:pt>
                <c:pt idx="125">
                  <c:v>#N/A</c:v>
                </c:pt>
                <c:pt idx="126">
                  <c:v>#N/A</c:v>
                </c:pt>
                <c:pt idx="127">
                  <c:v>30.04</c:v>
                </c:pt>
                <c:pt idx="128">
                  <c:v>#N/A</c:v>
                </c:pt>
                <c:pt idx="129">
                  <c:v>#N/A</c:v>
                </c:pt>
                <c:pt idx="130">
                  <c:v>#N/A</c:v>
                </c:pt>
                <c:pt idx="131">
                  <c:v>#N/A</c:v>
                </c:pt>
                <c:pt idx="132">
                  <c:v>#N/A</c:v>
                </c:pt>
                <c:pt idx="133">
                  <c:v>#N/A</c:v>
                </c:pt>
                <c:pt idx="134">
                  <c:v>27.78</c:v>
                </c:pt>
                <c:pt idx="135">
                  <c:v>#N/A</c:v>
                </c:pt>
                <c:pt idx="136">
                  <c:v>#N/A</c:v>
                </c:pt>
                <c:pt idx="137">
                  <c:v>#N/A</c:v>
                </c:pt>
                <c:pt idx="138">
                  <c:v>#N/A</c:v>
                </c:pt>
                <c:pt idx="139">
                  <c:v>#N/A</c:v>
                </c:pt>
                <c:pt idx="140">
                  <c:v>#N/A</c:v>
                </c:pt>
                <c:pt idx="141">
                  <c:v>26.29</c:v>
                </c:pt>
                <c:pt idx="142">
                  <c:v>#N/A</c:v>
                </c:pt>
                <c:pt idx="143">
                  <c:v>#N/A</c:v>
                </c:pt>
                <c:pt idx="144">
                  <c:v>#N/A</c:v>
                </c:pt>
                <c:pt idx="145">
                  <c:v>#N/A</c:v>
                </c:pt>
                <c:pt idx="146">
                  <c:v>#N/A</c:v>
                </c:pt>
                <c:pt idx="147">
                  <c:v>#N/A</c:v>
                </c:pt>
                <c:pt idx="148">
                  <c:v>26.08</c:v>
                </c:pt>
                <c:pt idx="149">
                  <c:v>#N/A</c:v>
                </c:pt>
                <c:pt idx="150">
                  <c:v>#N/A</c:v>
                </c:pt>
                <c:pt idx="151">
                  <c:v>#N/A</c:v>
                </c:pt>
                <c:pt idx="152">
                  <c:v>#N/A</c:v>
                </c:pt>
                <c:pt idx="153">
                  <c:v>#N/A</c:v>
                </c:pt>
                <c:pt idx="154">
                  <c:v>#N/A</c:v>
                </c:pt>
                <c:pt idx="155">
                  <c:v>24.68</c:v>
                </c:pt>
                <c:pt idx="156">
                  <c:v>#N/A</c:v>
                </c:pt>
                <c:pt idx="157">
                  <c:v>#N/A</c:v>
                </c:pt>
                <c:pt idx="158">
                  <c:v>#N/A</c:v>
                </c:pt>
                <c:pt idx="159">
                  <c:v>#N/A</c:v>
                </c:pt>
                <c:pt idx="160">
                  <c:v>#N/A</c:v>
                </c:pt>
                <c:pt idx="161">
                  <c:v>#N/A</c:v>
                </c:pt>
                <c:pt idx="162">
                  <c:v>23.89</c:v>
                </c:pt>
                <c:pt idx="163">
                  <c:v>#N/A</c:v>
                </c:pt>
                <c:pt idx="164">
                  <c:v>#N/A</c:v>
                </c:pt>
                <c:pt idx="165">
                  <c:v>#N/A</c:v>
                </c:pt>
                <c:pt idx="166">
                  <c:v>#N/A</c:v>
                </c:pt>
                <c:pt idx="167">
                  <c:v>#N/A</c:v>
                </c:pt>
                <c:pt idx="168">
                  <c:v>#N/A</c:v>
                </c:pt>
                <c:pt idx="169">
                  <c:v>22.77</c:v>
                </c:pt>
                <c:pt idx="170">
                  <c:v>#N/A</c:v>
                </c:pt>
                <c:pt idx="171">
                  <c:v>#N/A</c:v>
                </c:pt>
                <c:pt idx="172">
                  <c:v>#N/A</c:v>
                </c:pt>
                <c:pt idx="173">
                  <c:v>#N/A</c:v>
                </c:pt>
                <c:pt idx="174">
                  <c:v>#N/A</c:v>
                </c:pt>
                <c:pt idx="175">
                  <c:v>#N/A</c:v>
                </c:pt>
                <c:pt idx="176">
                  <c:v>21.68</c:v>
                </c:pt>
                <c:pt idx="177">
                  <c:v>#N/A</c:v>
                </c:pt>
                <c:pt idx="178">
                  <c:v>#N/A</c:v>
                </c:pt>
                <c:pt idx="179">
                  <c:v>#N/A</c:v>
                </c:pt>
                <c:pt idx="180">
                  <c:v>#N/A</c:v>
                </c:pt>
                <c:pt idx="181">
                  <c:v>#N/A</c:v>
                </c:pt>
                <c:pt idx="182">
                  <c:v>#N/A</c:v>
                </c:pt>
                <c:pt idx="183">
                  <c:v>22.89</c:v>
                </c:pt>
                <c:pt idx="184">
                  <c:v>#N/A</c:v>
                </c:pt>
                <c:pt idx="185">
                  <c:v>#N/A</c:v>
                </c:pt>
                <c:pt idx="186">
                  <c:v>#N/A</c:v>
                </c:pt>
                <c:pt idx="187">
                  <c:v>#N/A</c:v>
                </c:pt>
                <c:pt idx="188">
                  <c:v>#N/A</c:v>
                </c:pt>
                <c:pt idx="189">
                  <c:v>#N/A</c:v>
                </c:pt>
                <c:pt idx="190">
                  <c:v>22.42</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0"/>
        </c:ser>
        <c:dLbls>
          <c:showLegendKey val="0"/>
          <c:showVal val="0"/>
          <c:showCatName val="0"/>
          <c:showSerName val="0"/>
          <c:showPercent val="0"/>
          <c:showBubbleSize val="0"/>
        </c:dLbls>
        <c:marker val="1"/>
        <c:smooth val="0"/>
        <c:axId val="354251904"/>
        <c:axId val="354253440"/>
      </c:lineChart>
      <c:dateAx>
        <c:axId val="354251904"/>
        <c:scaling>
          <c:orientation val="minMax"/>
        </c:scaling>
        <c:delete val="0"/>
        <c:axPos val="b"/>
        <c:numFmt formatCode="m" sourceLinked="0"/>
        <c:majorTickMark val="out"/>
        <c:minorTickMark val="out"/>
        <c:tickLblPos val="low"/>
        <c:spPr>
          <a:noFill/>
          <a:ln w="3175" cap="flat" cmpd="sng" algn="ctr">
            <a:solidFill>
              <a:sysClr val="windowText" lastClr="000000"/>
            </a:solidFill>
            <a:prstDash val="solid"/>
            <a:roun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354253440"/>
        <c:crosses val="autoZero"/>
        <c:auto val="0"/>
        <c:lblOffset val="0"/>
        <c:baseTimeUnit val="days"/>
        <c:majorUnit val="1"/>
        <c:majorTimeUnit val="months"/>
      </c:dateAx>
      <c:valAx>
        <c:axId val="354253440"/>
        <c:scaling>
          <c:orientation val="minMax"/>
          <c:min val="14"/>
        </c:scaling>
        <c:delete val="0"/>
        <c:axPos val="l"/>
        <c:numFmt formatCode="#,##0_);[Red]\(#,##0\)" sourceLinked="0"/>
        <c:majorTickMark val="out"/>
        <c:minorTickMark val="none"/>
        <c:tickLblPos val="nextTo"/>
        <c:spPr>
          <a:noFill/>
          <a:ln w="3175" cap="flat" cmpd="sng" algn="ctr">
            <a:solidFill>
              <a:sysClr val="windowText" lastClr="000000"/>
            </a:solidFill>
            <a:prstDash val="solid"/>
            <a:roun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354251904"/>
        <c:crosses val="autoZero"/>
        <c:crossBetween val="between"/>
      </c:valAx>
      <c:spPr>
        <a:solidFill>
          <a:schemeClr val="bg1"/>
        </a:solidFill>
        <a:ln>
          <a:noFill/>
        </a:ln>
        <a:effectLst/>
      </c:spPr>
    </c:plotArea>
    <c:legend>
      <c:legendPos val="r"/>
      <c:layout>
        <c:manualLayout>
          <c:xMode val="edge"/>
          <c:yMode val="edge"/>
          <c:x val="0.22001787578331616"/>
          <c:y val="2.3336327810282295E-3"/>
          <c:w val="0.68784680186895319"/>
          <c:h val="8.2350003732370988E-2"/>
        </c:manualLayout>
      </c:layout>
      <c:overlay val="0"/>
      <c:spPr>
        <a:noFill/>
        <a:ln w="3175">
          <a:noFill/>
          <a:prstDash val="soli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legend>
    <c:plotVisOnly val="1"/>
    <c:dispBlanksAs val="span"/>
    <c:showDLblsOverMax val="0"/>
  </c:chart>
  <c:spPr>
    <a:solidFill>
      <a:schemeClr val="bg1"/>
    </a:solidFill>
    <a:ln w="6350" cap="flat" cmpd="sng" algn="ctr">
      <a:noFill/>
      <a:prstDash val="solid"/>
      <a:round/>
    </a:ln>
    <a:effectLst/>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10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0</cdr:y>
    </cdr:from>
    <cdr:to>
      <cdr:x>0.12198</cdr:x>
      <cdr:y>0.08662</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365760" cy="16824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千克</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62450B-2F4A-43F9-AB7A-AAFBB4F749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6</Pages>
  <Words>842</Words>
  <Characters>4803</Characters>
  <Application>Microsoft Office Word</Application>
  <DocSecurity>0</DocSecurity>
  <Lines>40</Lines>
  <Paragraphs>11</Paragraphs>
  <ScaleCrop>false</ScaleCrop>
  <Company>Microsoft</Company>
  <LinksUpToDate>false</LinksUpToDate>
  <CharactersWithSpaces>5634</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钱伟</dc:creator>
  <cp:lastModifiedBy>Administrator</cp:lastModifiedBy>
  <cp:revision>4</cp:revision>
  <cp:lastPrinted>2019-06-26T06:05:00Z</cp:lastPrinted>
  <dcterms:created xsi:type="dcterms:W3CDTF">2021-07-12T05:07:00Z</dcterms:created>
  <dcterms:modified xsi:type="dcterms:W3CDTF">2021-07-12T08:15:00Z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