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26E49D43"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4D3B88">
        <w:rPr>
          <w:rFonts w:ascii="楷体" w:eastAsia="楷体" w:hAnsi="楷体" w:hint="eastAsia"/>
          <w:sz w:val="28"/>
          <w:szCs w:val="28"/>
        </w:rPr>
        <w:t>基本面稳中向好</w:t>
      </w:r>
      <w:r w:rsidR="00CD02EA">
        <w:rPr>
          <w:rFonts w:ascii="楷体" w:eastAsia="楷体" w:hAnsi="楷体" w:hint="eastAsia"/>
          <w:sz w:val="28"/>
          <w:szCs w:val="28"/>
        </w:rPr>
        <w:t>，</w:t>
      </w:r>
      <w:r w:rsidR="004D3B88">
        <w:rPr>
          <w:rFonts w:ascii="楷体" w:eastAsia="楷体" w:hAnsi="楷体" w:hint="eastAsia"/>
          <w:sz w:val="28"/>
          <w:szCs w:val="28"/>
        </w:rPr>
        <w:t>债市进入振荡期</w:t>
      </w:r>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1775005D" w14:textId="6141F683" w:rsidR="00B50EF0" w:rsidRDefault="007F3080" w:rsidP="00695DD9">
      <w:pPr>
        <w:pStyle w:val="Header1"/>
        <w:spacing w:before="240"/>
        <w:ind w:firstLine="480"/>
        <w:rPr>
          <w:rFonts w:ascii="华文楷体" w:hAnsi="华文楷体"/>
          <w:b w:val="0"/>
          <w:color w:val="auto"/>
          <w:sz w:val="24"/>
          <w:szCs w:val="24"/>
        </w:rPr>
      </w:pPr>
      <w:r w:rsidRPr="007F3080">
        <w:rPr>
          <w:rFonts w:ascii="华文楷体" w:hAnsi="华文楷体" w:hint="eastAsia"/>
          <w:b w:val="0"/>
          <w:color w:val="auto"/>
          <w:sz w:val="24"/>
          <w:szCs w:val="24"/>
        </w:rPr>
        <w:t>近期</w:t>
      </w:r>
      <w:r>
        <w:rPr>
          <w:rFonts w:ascii="华文楷体" w:hAnsi="华文楷体" w:hint="eastAsia"/>
          <w:b w:val="0"/>
          <w:color w:val="auto"/>
          <w:sz w:val="24"/>
          <w:szCs w:val="24"/>
        </w:rPr>
        <w:t>，</w:t>
      </w:r>
      <w:r w:rsidR="00064C5C" w:rsidRPr="00064C5C">
        <w:rPr>
          <w:rFonts w:ascii="华文楷体" w:hAnsi="华文楷体" w:hint="eastAsia"/>
          <w:b w:val="0"/>
          <w:color w:val="auto"/>
          <w:sz w:val="24"/>
          <w:szCs w:val="24"/>
        </w:rPr>
        <w:t>统计局公布数据显示，</w:t>
      </w:r>
      <w:r w:rsidR="00B50EF0" w:rsidRPr="00B50EF0">
        <w:rPr>
          <w:rFonts w:ascii="华文楷体" w:hAnsi="华文楷体" w:hint="eastAsia"/>
          <w:b w:val="0"/>
          <w:color w:val="auto"/>
          <w:sz w:val="24"/>
          <w:szCs w:val="24"/>
        </w:rPr>
        <w:t>前两季度GDP累积同比增速达12.7%，两年平均增长5.3%。其中，第二季度同比增长7.9%，两年平均增长5.5%</w:t>
      </w:r>
      <w:r w:rsidR="00B50EF0">
        <w:rPr>
          <w:rFonts w:ascii="华文楷体" w:hAnsi="华文楷体" w:hint="eastAsia"/>
          <w:b w:val="0"/>
          <w:color w:val="auto"/>
          <w:sz w:val="24"/>
          <w:szCs w:val="24"/>
        </w:rPr>
        <w:t>，</w:t>
      </w:r>
      <w:r w:rsidR="00B50EF0" w:rsidRPr="00B50EF0">
        <w:rPr>
          <w:rFonts w:ascii="华文楷体" w:hAnsi="华文楷体" w:hint="eastAsia"/>
          <w:b w:val="0"/>
          <w:color w:val="auto"/>
          <w:sz w:val="24"/>
          <w:szCs w:val="24"/>
        </w:rPr>
        <w:t>前值为5.0%</w:t>
      </w:r>
      <w:r w:rsidR="00B50EF0">
        <w:rPr>
          <w:rFonts w:ascii="华文楷体" w:hAnsi="华文楷体" w:hint="eastAsia"/>
          <w:b w:val="0"/>
          <w:color w:val="auto"/>
          <w:sz w:val="24"/>
          <w:szCs w:val="24"/>
        </w:rPr>
        <w:t>。</w:t>
      </w:r>
      <w:r w:rsidR="00B50EF0" w:rsidRPr="00B50EF0">
        <w:rPr>
          <w:rFonts w:ascii="华文楷体" w:hAnsi="华文楷体" w:hint="eastAsia"/>
          <w:b w:val="0"/>
          <w:color w:val="auto"/>
          <w:sz w:val="24"/>
          <w:szCs w:val="24"/>
        </w:rPr>
        <w:t>1-6月份工业增加值同比增长15.9%，两年平均增速为7%，高于2019年同期增速。1</w:t>
      </w:r>
      <w:r w:rsidR="00B50EF0">
        <w:rPr>
          <w:rFonts w:ascii="华文楷体" w:hAnsi="华文楷体" w:hint="eastAsia"/>
          <w:b w:val="0"/>
          <w:color w:val="auto"/>
          <w:sz w:val="24"/>
          <w:szCs w:val="24"/>
        </w:rPr>
        <w:t>-</w:t>
      </w:r>
      <w:r w:rsidR="00B50EF0" w:rsidRPr="00B50EF0">
        <w:rPr>
          <w:rFonts w:ascii="华文楷体" w:hAnsi="华文楷体" w:hint="eastAsia"/>
          <w:b w:val="0"/>
          <w:color w:val="auto"/>
          <w:sz w:val="24"/>
          <w:szCs w:val="24"/>
        </w:rPr>
        <w:t>6月份固定资产投资同比增长12.6%，两年平均增速4.4%</w:t>
      </w:r>
      <w:r w:rsidR="00B50EF0">
        <w:rPr>
          <w:rFonts w:ascii="华文楷体" w:hAnsi="华文楷体" w:hint="eastAsia"/>
          <w:b w:val="0"/>
          <w:color w:val="auto"/>
          <w:sz w:val="24"/>
          <w:szCs w:val="24"/>
        </w:rPr>
        <w:t>，</w:t>
      </w:r>
      <w:r w:rsidR="00B50EF0" w:rsidRPr="00B50EF0">
        <w:rPr>
          <w:rFonts w:ascii="华文楷体" w:hAnsi="华文楷体" w:hint="eastAsia"/>
          <w:b w:val="0"/>
          <w:color w:val="auto"/>
          <w:sz w:val="24"/>
          <w:szCs w:val="24"/>
        </w:rPr>
        <w:t>2019年同期8.4%，社零</w:t>
      </w:r>
      <w:proofErr w:type="gramStart"/>
      <w:r w:rsidR="00B50EF0" w:rsidRPr="00B50EF0">
        <w:rPr>
          <w:rFonts w:ascii="华文楷体" w:hAnsi="华文楷体" w:hint="eastAsia"/>
          <w:b w:val="0"/>
          <w:color w:val="auto"/>
          <w:sz w:val="24"/>
          <w:szCs w:val="24"/>
        </w:rPr>
        <w:t>1</w:t>
      </w:r>
      <w:proofErr w:type="gramEnd"/>
      <w:r w:rsidR="00B50EF0">
        <w:rPr>
          <w:rFonts w:ascii="华文楷体" w:hAnsi="华文楷体" w:hint="eastAsia"/>
          <w:b w:val="0"/>
          <w:color w:val="auto"/>
          <w:sz w:val="24"/>
          <w:szCs w:val="24"/>
        </w:rPr>
        <w:t>-</w:t>
      </w:r>
      <w:r w:rsidR="00B50EF0" w:rsidRPr="00B50EF0">
        <w:rPr>
          <w:rFonts w:ascii="华文楷体" w:hAnsi="华文楷体" w:hint="eastAsia"/>
          <w:b w:val="0"/>
          <w:color w:val="auto"/>
          <w:sz w:val="24"/>
          <w:szCs w:val="24"/>
        </w:rPr>
        <w:t>6月份同比增长23%，两年平均增速4.4%，略低于2019年同期5.8%的水平。1</w:t>
      </w:r>
      <w:r w:rsidR="00B50EF0">
        <w:rPr>
          <w:rFonts w:ascii="华文楷体" w:hAnsi="华文楷体" w:hint="eastAsia"/>
          <w:b w:val="0"/>
          <w:color w:val="auto"/>
          <w:sz w:val="24"/>
          <w:szCs w:val="24"/>
        </w:rPr>
        <w:t>-</w:t>
      </w:r>
      <w:r w:rsidR="00B50EF0" w:rsidRPr="00B50EF0">
        <w:rPr>
          <w:rFonts w:ascii="华文楷体" w:hAnsi="华文楷体" w:hint="eastAsia"/>
          <w:b w:val="0"/>
          <w:color w:val="auto"/>
          <w:sz w:val="24"/>
          <w:szCs w:val="24"/>
        </w:rPr>
        <w:t>6月份进出口总值同比增加27.1%</w:t>
      </w:r>
      <w:r w:rsidR="00B50EF0">
        <w:rPr>
          <w:rFonts w:ascii="华文楷体" w:hAnsi="华文楷体" w:hint="eastAsia"/>
          <w:b w:val="0"/>
          <w:color w:val="auto"/>
          <w:sz w:val="24"/>
          <w:szCs w:val="24"/>
        </w:rPr>
        <w:t>。</w:t>
      </w:r>
    </w:p>
    <w:p w14:paraId="3A9ADC47" w14:textId="6DF6C11F" w:rsidR="00B50EF0" w:rsidRDefault="00B50EF0" w:rsidP="00695DD9">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具体看，</w:t>
      </w:r>
      <w:r w:rsidRPr="00B50EF0">
        <w:rPr>
          <w:rFonts w:ascii="华文楷体" w:hAnsi="华文楷体" w:hint="eastAsia"/>
          <w:b w:val="0"/>
          <w:color w:val="auto"/>
          <w:sz w:val="24"/>
          <w:szCs w:val="24"/>
        </w:rPr>
        <w:t>6月规模以上工业增加值同比实际增长8.3%，前值为8.8%，两年平均增长6.5%。环比来看工业生产趋缓，6月增速略微回升至0.56%，前值为0.53%。1</w:t>
      </w:r>
      <w:r>
        <w:rPr>
          <w:rFonts w:ascii="华文楷体" w:hAnsi="华文楷体" w:hint="eastAsia"/>
          <w:b w:val="0"/>
          <w:color w:val="auto"/>
          <w:sz w:val="24"/>
          <w:szCs w:val="24"/>
        </w:rPr>
        <w:t>-</w:t>
      </w:r>
      <w:r w:rsidRPr="00B50EF0">
        <w:rPr>
          <w:rFonts w:ascii="华文楷体" w:hAnsi="华文楷体" w:hint="eastAsia"/>
          <w:b w:val="0"/>
          <w:color w:val="auto"/>
          <w:sz w:val="24"/>
          <w:szCs w:val="24"/>
        </w:rPr>
        <w:t>6月份，规模以上工业增加值同比增长15.9%，两年平均增长7.0%。具体行业来看，医药制造业</w:t>
      </w:r>
      <w:r>
        <w:rPr>
          <w:rFonts w:ascii="华文楷体" w:hAnsi="华文楷体" w:hint="eastAsia"/>
          <w:b w:val="0"/>
          <w:color w:val="auto"/>
          <w:sz w:val="24"/>
          <w:szCs w:val="24"/>
        </w:rPr>
        <w:t>增长</w:t>
      </w:r>
      <w:r w:rsidRPr="00B50EF0">
        <w:rPr>
          <w:rFonts w:ascii="华文楷体" w:hAnsi="华文楷体" w:hint="eastAsia"/>
          <w:b w:val="0"/>
          <w:color w:val="auto"/>
          <w:sz w:val="24"/>
          <w:szCs w:val="24"/>
        </w:rPr>
        <w:t>32.5%、金融制品业</w:t>
      </w:r>
      <w:r>
        <w:rPr>
          <w:rFonts w:ascii="华文楷体" w:hAnsi="华文楷体" w:hint="eastAsia"/>
          <w:b w:val="0"/>
          <w:color w:val="auto"/>
          <w:sz w:val="24"/>
          <w:szCs w:val="24"/>
        </w:rPr>
        <w:t>增长</w:t>
      </w:r>
      <w:r w:rsidRPr="00B50EF0">
        <w:rPr>
          <w:rFonts w:ascii="华文楷体" w:hAnsi="华文楷体" w:hint="eastAsia"/>
          <w:b w:val="0"/>
          <w:color w:val="auto"/>
          <w:sz w:val="24"/>
          <w:szCs w:val="24"/>
        </w:rPr>
        <w:t>19.7%</w:t>
      </w:r>
      <w:r>
        <w:rPr>
          <w:rFonts w:ascii="华文楷体" w:hAnsi="华文楷体" w:hint="eastAsia"/>
          <w:b w:val="0"/>
          <w:color w:val="auto"/>
          <w:sz w:val="24"/>
          <w:szCs w:val="24"/>
        </w:rPr>
        <w:t>、</w:t>
      </w:r>
      <w:r w:rsidRPr="00B50EF0">
        <w:rPr>
          <w:rFonts w:ascii="华文楷体" w:hAnsi="华文楷体" w:hint="eastAsia"/>
          <w:b w:val="0"/>
          <w:color w:val="auto"/>
          <w:sz w:val="24"/>
          <w:szCs w:val="24"/>
        </w:rPr>
        <w:t>通用设备</w:t>
      </w:r>
      <w:r>
        <w:rPr>
          <w:rFonts w:ascii="华文楷体" w:hAnsi="华文楷体" w:hint="eastAsia"/>
          <w:b w:val="0"/>
          <w:color w:val="auto"/>
          <w:sz w:val="24"/>
          <w:szCs w:val="24"/>
        </w:rPr>
        <w:t>增长</w:t>
      </w:r>
      <w:r w:rsidRPr="00B50EF0">
        <w:rPr>
          <w:rFonts w:ascii="华文楷体" w:hAnsi="华文楷体" w:hint="eastAsia"/>
          <w:b w:val="0"/>
          <w:color w:val="auto"/>
          <w:sz w:val="24"/>
          <w:szCs w:val="24"/>
        </w:rPr>
        <w:t>13.9%、计算机通讯等电子设备</w:t>
      </w:r>
      <w:r>
        <w:rPr>
          <w:rFonts w:ascii="华文楷体" w:hAnsi="华文楷体" w:hint="eastAsia"/>
          <w:b w:val="0"/>
          <w:color w:val="auto"/>
          <w:sz w:val="24"/>
          <w:szCs w:val="24"/>
        </w:rPr>
        <w:t>增速</w:t>
      </w:r>
      <w:r w:rsidRPr="00B50EF0">
        <w:rPr>
          <w:rFonts w:ascii="华文楷体" w:hAnsi="华文楷体" w:hint="eastAsia"/>
          <w:b w:val="0"/>
          <w:color w:val="auto"/>
          <w:sz w:val="24"/>
          <w:szCs w:val="24"/>
        </w:rPr>
        <w:t>13.4%</w:t>
      </w:r>
      <w:r>
        <w:rPr>
          <w:rFonts w:ascii="华文楷体" w:hAnsi="华文楷体" w:hint="eastAsia"/>
          <w:b w:val="0"/>
          <w:color w:val="auto"/>
          <w:sz w:val="24"/>
          <w:szCs w:val="24"/>
        </w:rPr>
        <w:t>，</w:t>
      </w:r>
      <w:r w:rsidRPr="00B50EF0">
        <w:rPr>
          <w:rFonts w:ascii="华文楷体" w:hAnsi="华文楷体" w:hint="eastAsia"/>
          <w:b w:val="0"/>
          <w:color w:val="auto"/>
          <w:sz w:val="24"/>
          <w:szCs w:val="24"/>
        </w:rPr>
        <w:t>增</w:t>
      </w:r>
      <w:r>
        <w:rPr>
          <w:rFonts w:ascii="华文楷体" w:hAnsi="华文楷体" w:hint="eastAsia"/>
          <w:b w:val="0"/>
          <w:color w:val="auto"/>
          <w:sz w:val="24"/>
          <w:szCs w:val="24"/>
        </w:rPr>
        <w:t>长相对</w:t>
      </w:r>
      <w:r w:rsidRPr="00B50EF0">
        <w:rPr>
          <w:rFonts w:ascii="华文楷体" w:hAnsi="华文楷体" w:hint="eastAsia"/>
          <w:b w:val="0"/>
          <w:color w:val="auto"/>
          <w:sz w:val="24"/>
          <w:szCs w:val="24"/>
        </w:rPr>
        <w:t>处于前列。6月汽车制造业增加值同比下降4.3%，前值为增长0.5%，汽车制造业生产下滑拖累工业增加值增速。</w:t>
      </w:r>
    </w:p>
    <w:p w14:paraId="2E5BA851" w14:textId="6EEBCA3D" w:rsidR="00B50EF0" w:rsidRDefault="00B50EF0" w:rsidP="00695DD9">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投资方面，</w:t>
      </w:r>
      <w:r w:rsidRPr="00B50EF0">
        <w:rPr>
          <w:rFonts w:ascii="华文楷体" w:hAnsi="华文楷体" w:hint="eastAsia"/>
          <w:b w:val="0"/>
          <w:color w:val="auto"/>
          <w:sz w:val="24"/>
          <w:szCs w:val="24"/>
        </w:rPr>
        <w:t>固定资产投资尚未</w:t>
      </w:r>
      <w:r>
        <w:rPr>
          <w:rFonts w:ascii="华文楷体" w:hAnsi="华文楷体" w:hint="eastAsia"/>
          <w:b w:val="0"/>
          <w:color w:val="auto"/>
          <w:sz w:val="24"/>
          <w:szCs w:val="24"/>
        </w:rPr>
        <w:t>完全恢复疫情前水平</w:t>
      </w:r>
      <w:r w:rsidRPr="00B50EF0">
        <w:rPr>
          <w:rFonts w:ascii="华文楷体" w:hAnsi="华文楷体" w:hint="eastAsia"/>
          <w:b w:val="0"/>
          <w:color w:val="auto"/>
          <w:sz w:val="24"/>
          <w:szCs w:val="24"/>
        </w:rPr>
        <w:t>。上半年，固定资产投资同比增长12.6%，比2019年上半年增长9.1%，两年平均增长4.4%，低于2019年同期8.4%的水平。上半年，全国房地产开发投资同比增长15.0%；比2019年同期增长17.2%，两年平均增长8.2%。商品房销售仍较为火热，上半年销售额92931亿元，同比增长38.9%；但房屋新开工面积增长趋平，上半年同比仅增长3.8%。</w:t>
      </w:r>
    </w:p>
    <w:p w14:paraId="1D69469D" w14:textId="77777777" w:rsidR="004D3B88" w:rsidRDefault="00B50EF0" w:rsidP="004D3B88">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全国</w:t>
      </w:r>
      <w:r w:rsidRPr="00B50EF0">
        <w:rPr>
          <w:rFonts w:ascii="华文楷体" w:hAnsi="华文楷体" w:hint="eastAsia"/>
          <w:b w:val="0"/>
          <w:color w:val="auto"/>
          <w:sz w:val="24"/>
          <w:szCs w:val="24"/>
        </w:rPr>
        <w:t>房地产开发投资同比增长15.0%；比2019年同期增长17.2%，两年平均增长8.2%。商品房上半年销售额92931亿元，同比增长38.9%；但房屋新开工面积增长趋平，上半年同比仅增长3.8%。</w:t>
      </w:r>
    </w:p>
    <w:p w14:paraId="4AE183B0" w14:textId="6E272CAD" w:rsidR="004D3B88" w:rsidRDefault="004D3B88" w:rsidP="004D3B88">
      <w:pPr>
        <w:pStyle w:val="Header1"/>
        <w:spacing w:before="240"/>
        <w:ind w:firstLine="480"/>
        <w:rPr>
          <w:rFonts w:ascii="华文楷体" w:hAnsi="华文楷体"/>
          <w:b w:val="0"/>
          <w:color w:val="auto"/>
          <w:sz w:val="24"/>
          <w:szCs w:val="24"/>
        </w:rPr>
      </w:pPr>
      <w:r w:rsidRPr="004D3B88">
        <w:rPr>
          <w:rFonts w:ascii="华文楷体" w:hAnsi="华文楷体" w:hint="eastAsia"/>
          <w:b w:val="0"/>
          <w:color w:val="auto"/>
          <w:sz w:val="24"/>
          <w:szCs w:val="24"/>
        </w:rPr>
        <w:t>制造业投资同比增长19.2%，两年平均增长3.0%。上半年高技术制造业同比分别增长29.7%，两年平均分别增长17.1%</w:t>
      </w:r>
      <w:r>
        <w:rPr>
          <w:rFonts w:ascii="华文楷体" w:hAnsi="华文楷体" w:hint="eastAsia"/>
          <w:b w:val="0"/>
          <w:color w:val="auto"/>
          <w:sz w:val="24"/>
          <w:szCs w:val="24"/>
        </w:rPr>
        <w:t>，表现相对亮眼。</w:t>
      </w:r>
    </w:p>
    <w:p w14:paraId="6FE9E168" w14:textId="7E4AE898" w:rsidR="004D3B88" w:rsidRDefault="004D3B88" w:rsidP="004D3B88">
      <w:pPr>
        <w:pStyle w:val="Header1"/>
        <w:spacing w:before="240"/>
        <w:ind w:firstLine="480"/>
        <w:rPr>
          <w:rFonts w:ascii="华文楷体" w:hAnsi="华文楷体"/>
          <w:b w:val="0"/>
          <w:color w:val="auto"/>
          <w:sz w:val="24"/>
          <w:szCs w:val="24"/>
        </w:rPr>
      </w:pPr>
      <w:r w:rsidRPr="004D3B88">
        <w:rPr>
          <w:rFonts w:ascii="华文楷体" w:hAnsi="华文楷体" w:hint="eastAsia"/>
          <w:b w:val="0"/>
          <w:color w:val="auto"/>
          <w:sz w:val="24"/>
          <w:szCs w:val="24"/>
        </w:rPr>
        <w:t>基础设施建设投资同比增速为7.8%。以近两年平均增速水平来看，基建投资同比增速为2.4%，仍未恢复至疫情前水平</w:t>
      </w:r>
      <w:r>
        <w:rPr>
          <w:rFonts w:ascii="华文楷体" w:hAnsi="华文楷体" w:hint="eastAsia"/>
          <w:b w:val="0"/>
          <w:color w:val="auto"/>
          <w:sz w:val="24"/>
          <w:szCs w:val="24"/>
        </w:rPr>
        <w:t>。</w:t>
      </w:r>
      <w:r w:rsidRPr="004D3B88">
        <w:rPr>
          <w:rFonts w:ascii="华文楷体" w:hAnsi="华文楷体" w:hint="eastAsia"/>
          <w:b w:val="0"/>
          <w:color w:val="auto"/>
          <w:sz w:val="24"/>
          <w:szCs w:val="24"/>
        </w:rPr>
        <w:t>上半年地方政府专项债发行节奏较去年大幅放缓，截至6月末，专项债发行仅使用全年额度的23.8%</w:t>
      </w:r>
      <w:r>
        <w:rPr>
          <w:rFonts w:ascii="华文楷体" w:hAnsi="华文楷体" w:hint="eastAsia"/>
          <w:b w:val="0"/>
          <w:color w:val="auto"/>
          <w:sz w:val="24"/>
          <w:szCs w:val="24"/>
        </w:rPr>
        <w:t>。</w:t>
      </w:r>
    </w:p>
    <w:p w14:paraId="5959AB6F" w14:textId="66335C88" w:rsidR="004D3B88" w:rsidRDefault="004D3B88" w:rsidP="004D3B88">
      <w:pPr>
        <w:pStyle w:val="Header1"/>
        <w:spacing w:before="240"/>
        <w:ind w:firstLineChars="200" w:firstLine="480"/>
        <w:rPr>
          <w:rFonts w:ascii="华文楷体" w:hAnsi="华文楷体"/>
          <w:b w:val="0"/>
          <w:color w:val="auto"/>
          <w:sz w:val="24"/>
          <w:szCs w:val="24"/>
        </w:rPr>
      </w:pPr>
      <w:r>
        <w:rPr>
          <w:rFonts w:ascii="华文楷体" w:hAnsi="华文楷体" w:hint="eastAsia"/>
          <w:b w:val="0"/>
          <w:color w:val="auto"/>
          <w:sz w:val="24"/>
          <w:szCs w:val="24"/>
        </w:rPr>
        <w:t>消费方面，1-</w:t>
      </w:r>
      <w:r w:rsidRPr="004D3B88">
        <w:rPr>
          <w:rFonts w:ascii="华文楷体" w:hAnsi="华文楷体" w:hint="eastAsia"/>
          <w:b w:val="0"/>
          <w:color w:val="auto"/>
          <w:sz w:val="24"/>
          <w:szCs w:val="24"/>
        </w:rPr>
        <w:t>6月份，社会消费品零售总额211904亿元，同比增长23.0%，两年平均增长4.4%，比第一季度增加0.2个百分点。2021年6月社会消费品零售总额同比增长12.1%，两年平均增速为4.92%，低于2019年6月同期增速。商品零售同比增长11.2%，较上月维持稳定；餐饮收入同比增加20.2%，两年平均增速为0.96%，</w:t>
      </w:r>
      <w:r>
        <w:rPr>
          <w:rFonts w:ascii="华文楷体" w:hAnsi="华文楷体" w:hint="eastAsia"/>
          <w:b w:val="0"/>
          <w:color w:val="auto"/>
          <w:sz w:val="24"/>
          <w:szCs w:val="24"/>
        </w:rPr>
        <w:t>明显</w:t>
      </w:r>
      <w:r w:rsidRPr="004D3B88">
        <w:rPr>
          <w:rFonts w:ascii="华文楷体" w:hAnsi="华文楷体" w:hint="eastAsia"/>
          <w:b w:val="0"/>
          <w:color w:val="auto"/>
          <w:sz w:val="24"/>
          <w:szCs w:val="24"/>
        </w:rPr>
        <w:t>低于疫情前2019年同期增速。</w:t>
      </w:r>
    </w:p>
    <w:p w14:paraId="5B71BC86" w14:textId="3605B44F" w:rsidR="004D3B88" w:rsidRPr="004D3B88" w:rsidRDefault="004D3B88" w:rsidP="004D3B88">
      <w:pPr>
        <w:pStyle w:val="Header1"/>
        <w:spacing w:before="240"/>
        <w:ind w:firstLineChars="200" w:firstLine="480"/>
        <w:rPr>
          <w:rFonts w:ascii="华文楷体" w:hAnsi="华文楷体"/>
          <w:b w:val="0"/>
          <w:color w:val="auto"/>
          <w:sz w:val="24"/>
          <w:szCs w:val="24"/>
        </w:rPr>
      </w:pPr>
      <w:r>
        <w:rPr>
          <w:rFonts w:ascii="华文楷体" w:hAnsi="华文楷体" w:hint="eastAsia"/>
          <w:b w:val="0"/>
          <w:color w:val="auto"/>
          <w:sz w:val="24"/>
          <w:szCs w:val="24"/>
        </w:rPr>
        <w:t>进出口方面，</w:t>
      </w:r>
      <w:r w:rsidRPr="004D3B88">
        <w:rPr>
          <w:rFonts w:ascii="华文楷体" w:hAnsi="华文楷体" w:hint="eastAsia"/>
          <w:b w:val="0"/>
          <w:color w:val="auto"/>
          <w:sz w:val="24"/>
          <w:szCs w:val="24"/>
        </w:rPr>
        <w:t>2021年6月出口同比增长32.2%，较上月增加4.3个百分点。进口同比增长</w:t>
      </w:r>
      <w:r w:rsidRPr="004D3B88">
        <w:rPr>
          <w:rFonts w:ascii="华文楷体" w:hAnsi="华文楷体" w:hint="eastAsia"/>
          <w:b w:val="0"/>
          <w:color w:val="auto"/>
          <w:sz w:val="24"/>
          <w:szCs w:val="24"/>
        </w:rPr>
        <w:lastRenderedPageBreak/>
        <w:t>36.7%。进口方面，6月进口价格的同比增速继续上升，成为进口增长的主要支撑</w:t>
      </w:r>
      <w:r>
        <w:rPr>
          <w:rFonts w:ascii="华文楷体" w:hAnsi="华文楷体" w:hint="eastAsia"/>
          <w:b w:val="0"/>
          <w:color w:val="auto"/>
          <w:sz w:val="24"/>
          <w:szCs w:val="24"/>
        </w:rPr>
        <w:t>。</w:t>
      </w:r>
    </w:p>
    <w:p w14:paraId="40AF4CA3" w14:textId="3D98A86A" w:rsidR="00695DD9" w:rsidRDefault="00B50EF0" w:rsidP="00695DD9">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整体上半年经济基本保持持续稳定恢复过程中，呈现一定稳中向好态势，上半年工业增长相对稳健，固定资产投资和消费持续修复但尚未恢复至2</w:t>
      </w:r>
      <w:r>
        <w:rPr>
          <w:rFonts w:ascii="华文楷体" w:hAnsi="华文楷体"/>
          <w:b w:val="0"/>
          <w:color w:val="auto"/>
          <w:sz w:val="24"/>
          <w:szCs w:val="24"/>
        </w:rPr>
        <w:t>019</w:t>
      </w:r>
      <w:r>
        <w:rPr>
          <w:rFonts w:ascii="华文楷体" w:hAnsi="华文楷体" w:hint="eastAsia"/>
          <w:b w:val="0"/>
          <w:color w:val="auto"/>
          <w:sz w:val="24"/>
          <w:szCs w:val="24"/>
        </w:rPr>
        <w:t>年同期，</w:t>
      </w:r>
      <w:r w:rsidRPr="00B50EF0">
        <w:rPr>
          <w:rFonts w:ascii="华文楷体" w:hAnsi="华文楷体" w:hint="eastAsia"/>
          <w:b w:val="0"/>
          <w:color w:val="auto"/>
          <w:sz w:val="24"/>
          <w:szCs w:val="24"/>
        </w:rPr>
        <w:t>进出口增速</w:t>
      </w:r>
      <w:r>
        <w:rPr>
          <w:rFonts w:ascii="华文楷体" w:hAnsi="华文楷体" w:hint="eastAsia"/>
          <w:b w:val="0"/>
          <w:color w:val="auto"/>
          <w:sz w:val="24"/>
          <w:szCs w:val="24"/>
        </w:rPr>
        <w:t>保持较高韧性。</w:t>
      </w:r>
      <w:r w:rsidR="004D3B88">
        <w:rPr>
          <w:rFonts w:ascii="华文楷体" w:hAnsi="华文楷体" w:hint="eastAsia"/>
          <w:b w:val="0"/>
          <w:color w:val="auto"/>
          <w:sz w:val="24"/>
          <w:szCs w:val="24"/>
        </w:rPr>
        <w:t>大宗商品价格上涨压力仍在，但预计年内高点已经逐渐走过。下半年，进出口、地产投资和基建投资都将面临一定压力，消费方面主要受收入影响，尤其是低收入人群消费表现持续</w:t>
      </w:r>
      <w:r w:rsidR="006E67E1">
        <w:rPr>
          <w:rFonts w:ascii="华文楷体" w:hAnsi="华文楷体" w:hint="eastAsia"/>
          <w:b w:val="0"/>
          <w:color w:val="auto"/>
          <w:sz w:val="24"/>
          <w:szCs w:val="24"/>
        </w:rPr>
        <w:t>一般</w:t>
      </w:r>
      <w:r w:rsidR="004D3B88">
        <w:rPr>
          <w:rFonts w:ascii="华文楷体" w:hAnsi="华文楷体" w:hint="eastAsia"/>
          <w:b w:val="0"/>
          <w:color w:val="auto"/>
          <w:sz w:val="24"/>
          <w:szCs w:val="24"/>
        </w:rPr>
        <w:t>。</w:t>
      </w:r>
    </w:p>
    <w:p w14:paraId="2481ADDF" w14:textId="724F571A" w:rsidR="006E67E1" w:rsidRPr="006E67E1" w:rsidRDefault="006E67E1" w:rsidP="00695DD9">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本周</w:t>
      </w:r>
      <w:proofErr w:type="gramStart"/>
      <w:r>
        <w:rPr>
          <w:rFonts w:ascii="华文楷体" w:hAnsi="华文楷体" w:hint="eastAsia"/>
          <w:b w:val="0"/>
          <w:color w:val="auto"/>
          <w:sz w:val="24"/>
          <w:szCs w:val="24"/>
        </w:rPr>
        <w:t>央行降准的</w:t>
      </w:r>
      <w:proofErr w:type="gramEnd"/>
      <w:r>
        <w:rPr>
          <w:rFonts w:ascii="华文楷体" w:hAnsi="华文楷体" w:hint="eastAsia"/>
          <w:b w:val="0"/>
          <w:color w:val="auto"/>
          <w:sz w:val="24"/>
          <w:szCs w:val="24"/>
        </w:rPr>
        <w:t>落地，对债市形成持续支撑，同时市场预期年内央行可能持续</w:t>
      </w:r>
      <w:proofErr w:type="gramStart"/>
      <w:r>
        <w:rPr>
          <w:rFonts w:ascii="华文楷体" w:hAnsi="华文楷体" w:hint="eastAsia"/>
          <w:b w:val="0"/>
          <w:color w:val="auto"/>
          <w:sz w:val="24"/>
          <w:szCs w:val="24"/>
        </w:rPr>
        <w:t>降准或</w:t>
      </w:r>
      <w:proofErr w:type="gramEnd"/>
      <w:r>
        <w:rPr>
          <w:rFonts w:ascii="华文楷体" w:hAnsi="华文楷体" w:hint="eastAsia"/>
          <w:b w:val="0"/>
          <w:color w:val="auto"/>
          <w:sz w:val="24"/>
          <w:szCs w:val="24"/>
        </w:rPr>
        <w:t>进行结构性降息操作，中短期内市场博弈情绪较强，后续重点关注隔夜成本是否持续居高，负债和资产端利差收</w:t>
      </w:r>
      <w:proofErr w:type="gramStart"/>
      <w:r>
        <w:rPr>
          <w:rFonts w:ascii="华文楷体" w:hAnsi="华文楷体" w:hint="eastAsia"/>
          <w:b w:val="0"/>
          <w:color w:val="auto"/>
          <w:sz w:val="24"/>
          <w:szCs w:val="24"/>
        </w:rPr>
        <w:t>窄情况</w:t>
      </w:r>
      <w:proofErr w:type="gramEnd"/>
      <w:r>
        <w:rPr>
          <w:rFonts w:ascii="华文楷体" w:hAnsi="华文楷体" w:hint="eastAsia"/>
          <w:b w:val="0"/>
          <w:color w:val="auto"/>
          <w:sz w:val="24"/>
          <w:szCs w:val="24"/>
        </w:rPr>
        <w:t>以及部分区域地方政府隐形债务风险暴露情况。</w:t>
      </w:r>
    </w:p>
    <w:p w14:paraId="308C8E3B" w14:textId="77777777" w:rsidR="006E67E1" w:rsidRDefault="006E67E1" w:rsidP="009A2BA0">
      <w:pPr>
        <w:pStyle w:val="Header1"/>
        <w:spacing w:before="240"/>
        <w:rPr>
          <w:rFonts w:ascii="华文楷体" w:hAnsi="华文楷体"/>
          <w:b w:val="0"/>
          <w:color w:val="auto"/>
          <w:sz w:val="24"/>
          <w:szCs w:val="24"/>
        </w:rPr>
      </w:pPr>
    </w:p>
    <w:p w14:paraId="7EEDEF05" w14:textId="067E2636"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25D42C5E"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6A1BF8" w:rsidRPr="006A1BF8">
        <w:rPr>
          <w:rFonts w:ascii="华文楷体" w:hAnsi="华文楷体" w:hint="eastAsia"/>
          <w:sz w:val="24"/>
          <w:szCs w:val="24"/>
          <w:lang w:eastAsia="zh-CN"/>
        </w:rPr>
        <w:t>本周央行公开市场有500亿元逆回购和4000亿MLF到期，进行了500亿逆回购和1000亿MLF操作，净回笼3000亿元。</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8448D5">
        <w:rPr>
          <w:rFonts w:ascii="华文楷体" w:hAnsi="华文楷体" w:hint="eastAsia"/>
          <w:sz w:val="24"/>
          <w:szCs w:val="24"/>
          <w:lang w:eastAsia="zh-CN"/>
        </w:rPr>
        <w:t>下</w:t>
      </w:r>
      <w:r w:rsidR="00115447">
        <w:rPr>
          <w:rFonts w:ascii="华文楷体" w:hAnsi="华文楷体" w:hint="eastAsia"/>
          <w:sz w:val="24"/>
          <w:szCs w:val="24"/>
          <w:lang w:eastAsia="zh-CN"/>
        </w:rPr>
        <w:t>行</w:t>
      </w:r>
      <w:r w:rsidR="008448D5">
        <w:rPr>
          <w:rFonts w:ascii="华文楷体" w:hAnsi="华文楷体" w:hint="eastAsia"/>
          <w:sz w:val="24"/>
          <w:szCs w:val="24"/>
          <w:lang w:eastAsia="zh-CN"/>
        </w:rPr>
        <w:t>1</w:t>
      </w:r>
      <w:r w:rsidR="006A1BF8">
        <w:rPr>
          <w:rFonts w:ascii="华文楷体" w:hAnsi="华文楷体"/>
          <w:sz w:val="24"/>
          <w:szCs w:val="24"/>
          <w:lang w:eastAsia="zh-CN"/>
        </w:rPr>
        <w:t>2</w:t>
      </w:r>
      <w:r w:rsidR="002D361C">
        <w:rPr>
          <w:rFonts w:ascii="华文楷体" w:hAnsi="华文楷体" w:hint="eastAsia"/>
          <w:sz w:val="24"/>
          <w:szCs w:val="24"/>
          <w:lang w:eastAsia="zh-CN"/>
        </w:rPr>
        <w:t>BP至</w:t>
      </w:r>
      <w:r w:rsidR="008448D5">
        <w:rPr>
          <w:rFonts w:ascii="华文楷体" w:hAnsi="华文楷体" w:hint="eastAsia"/>
          <w:sz w:val="24"/>
          <w:szCs w:val="24"/>
          <w:lang w:eastAsia="zh-CN"/>
        </w:rPr>
        <w:t>2.</w:t>
      </w:r>
      <w:r w:rsidR="006A1BF8">
        <w:rPr>
          <w:rFonts w:ascii="华文楷体" w:hAnsi="华文楷体"/>
          <w:sz w:val="24"/>
          <w:szCs w:val="24"/>
          <w:lang w:eastAsia="zh-CN"/>
        </w:rPr>
        <w:t>07</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115447">
        <w:rPr>
          <w:rFonts w:ascii="华文楷体" w:hAnsi="华文楷体" w:hint="eastAsia"/>
          <w:sz w:val="24"/>
          <w:szCs w:val="24"/>
          <w:lang w:eastAsia="zh-CN"/>
        </w:rPr>
        <w:t>下行</w:t>
      </w:r>
      <w:r w:rsidR="006A1BF8">
        <w:rPr>
          <w:rFonts w:ascii="华文楷体" w:hAnsi="华文楷体"/>
          <w:sz w:val="24"/>
          <w:szCs w:val="24"/>
          <w:lang w:eastAsia="zh-CN"/>
        </w:rPr>
        <w:t>3</w:t>
      </w:r>
      <w:r w:rsidR="00D9413F">
        <w:rPr>
          <w:rFonts w:ascii="华文楷体" w:hAnsi="华文楷体" w:hint="eastAsia"/>
          <w:sz w:val="24"/>
          <w:szCs w:val="24"/>
          <w:lang w:eastAsia="zh-CN"/>
        </w:rPr>
        <w:t>BP至</w:t>
      </w:r>
      <w:r w:rsidR="006A1BF8">
        <w:rPr>
          <w:rFonts w:ascii="华文楷体" w:hAnsi="华文楷体"/>
          <w:sz w:val="24"/>
          <w:szCs w:val="24"/>
          <w:lang w:eastAsia="zh-CN"/>
        </w:rPr>
        <w:t>2.21</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6A1BF8">
        <w:rPr>
          <w:rFonts w:ascii="华文楷体" w:hAnsi="华文楷体" w:hint="eastAsia"/>
          <w:sz w:val="24"/>
          <w:szCs w:val="24"/>
          <w:lang w:eastAsia="zh-CN"/>
        </w:rPr>
        <w:t>持续</w:t>
      </w:r>
      <w:r w:rsidR="008448D5">
        <w:rPr>
          <w:rFonts w:ascii="华文楷体" w:hAnsi="华文楷体" w:hint="eastAsia"/>
          <w:sz w:val="24"/>
          <w:szCs w:val="24"/>
          <w:lang w:eastAsia="zh-CN"/>
        </w:rPr>
        <w:t>走平</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6A1BF8">
        <w:tblPrEx>
          <w:tblCellMar>
            <w:left w:w="108" w:type="dxa"/>
            <w:right w:w="108" w:type="dxa"/>
          </w:tblCellMar>
        </w:tblPrEx>
        <w:trPr>
          <w:jc w:val="center"/>
        </w:trPr>
        <w:tc>
          <w:tcPr>
            <w:tcW w:w="4939" w:type="dxa"/>
            <w:vAlign w:val="center"/>
          </w:tcPr>
          <w:p w14:paraId="60AEAEDC" w14:textId="6612C281" w:rsidR="00E0626C" w:rsidRPr="003C6AC1" w:rsidRDefault="006A1BF8" w:rsidP="009A2BA0">
            <w:pPr>
              <w:jc w:val="center"/>
              <w:rPr>
                <w:noProof/>
                <w:sz w:val="20"/>
              </w:rPr>
            </w:pPr>
            <w:r>
              <w:rPr>
                <w:noProof/>
              </w:rPr>
              <w:drawing>
                <wp:inline distT="0" distB="0" distL="0" distR="0" wp14:anchorId="78BCB5F6" wp14:editId="52FD855D">
                  <wp:extent cx="2999105" cy="1771374"/>
                  <wp:effectExtent l="0" t="0" r="0" b="635"/>
                  <wp:docPr id="1" name="图表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11271A4A" w:rsidR="00E0626C" w:rsidRPr="002A111A" w:rsidRDefault="006A1BF8" w:rsidP="009A2BA0">
            <w:pPr>
              <w:jc w:val="center"/>
              <w:rPr>
                <w:noProof/>
                <w:sz w:val="14"/>
                <w:szCs w:val="14"/>
              </w:rPr>
            </w:pPr>
            <w:r>
              <w:rPr>
                <w:noProof/>
              </w:rPr>
              <w:drawing>
                <wp:inline distT="0" distB="0" distL="0" distR="0" wp14:anchorId="24283850" wp14:editId="62F21B5F">
                  <wp:extent cx="3116580" cy="1773141"/>
                  <wp:effectExtent l="0" t="0" r="7620" b="0"/>
                  <wp:docPr id="6" name="图表 6">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6D505978"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64451B">
        <w:rPr>
          <w:rFonts w:ascii="华文楷体" w:hAnsi="华文楷体" w:hint="eastAsia"/>
          <w:sz w:val="24"/>
          <w:szCs w:val="24"/>
          <w:lang w:eastAsia="zh-CN"/>
        </w:rPr>
        <w:t>方面，</w:t>
      </w:r>
      <w:r w:rsidR="004F3CD1">
        <w:rPr>
          <w:rFonts w:ascii="华文楷体" w:hAnsi="华文楷体" w:hint="eastAsia"/>
          <w:sz w:val="24"/>
          <w:szCs w:val="24"/>
          <w:lang w:eastAsia="zh-CN"/>
        </w:rPr>
        <w:t>市场仍</w:t>
      </w:r>
      <w:proofErr w:type="gramStart"/>
      <w:r w:rsidR="004F3CD1">
        <w:rPr>
          <w:rFonts w:ascii="华文楷体" w:hAnsi="华文楷体" w:hint="eastAsia"/>
          <w:sz w:val="24"/>
          <w:szCs w:val="24"/>
          <w:lang w:eastAsia="zh-CN"/>
        </w:rPr>
        <w:t>较多受央行降准</w:t>
      </w:r>
      <w:proofErr w:type="gramEnd"/>
      <w:r w:rsidR="004F3CD1">
        <w:rPr>
          <w:rFonts w:ascii="华文楷体" w:hAnsi="华文楷体" w:hint="eastAsia"/>
          <w:sz w:val="24"/>
          <w:szCs w:val="24"/>
          <w:lang w:eastAsia="zh-CN"/>
        </w:rPr>
        <w:t>影响，尽管M</w:t>
      </w:r>
      <w:r w:rsidR="004F3CD1">
        <w:rPr>
          <w:rFonts w:ascii="华文楷体" w:hAnsi="华文楷体"/>
          <w:sz w:val="24"/>
          <w:szCs w:val="24"/>
          <w:lang w:eastAsia="zh-CN"/>
        </w:rPr>
        <w:t>LF</w:t>
      </w:r>
      <w:r w:rsidR="004F3CD1">
        <w:rPr>
          <w:rFonts w:ascii="华文楷体" w:hAnsi="华文楷体" w:hint="eastAsia"/>
          <w:sz w:val="24"/>
          <w:szCs w:val="24"/>
          <w:lang w:eastAsia="zh-CN"/>
        </w:rPr>
        <w:t>利率下调和定向降息预期并未落地，但市场短期情绪仍维持相对高位</w:t>
      </w:r>
      <w:r w:rsidR="006629A0">
        <w:rPr>
          <w:rFonts w:ascii="华文楷体" w:hAnsi="华文楷体" w:hint="eastAsia"/>
          <w:sz w:val="24"/>
          <w:szCs w:val="24"/>
          <w:lang w:eastAsia="zh-CN"/>
        </w:rPr>
        <w:t>。</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E83AD6">
        <w:rPr>
          <w:rFonts w:ascii="华文楷体" w:hAnsi="华文楷体" w:hint="eastAsia"/>
          <w:sz w:val="24"/>
          <w:szCs w:val="24"/>
          <w:lang w:eastAsia="zh-CN"/>
        </w:rPr>
        <w:t>6</w:t>
      </w:r>
      <w:r w:rsidR="008655ED">
        <w:rPr>
          <w:rFonts w:ascii="华文楷体" w:hAnsi="华文楷体"/>
          <w:sz w:val="24"/>
          <w:szCs w:val="24"/>
          <w:lang w:eastAsia="zh-CN"/>
        </w:rPr>
        <w:t>7</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17B47">
        <w:rPr>
          <w:rFonts w:ascii="华文楷体" w:hAnsi="华文楷体" w:hint="eastAsia"/>
          <w:sz w:val="24"/>
          <w:szCs w:val="24"/>
          <w:lang w:eastAsia="zh-CN"/>
        </w:rPr>
        <w:t>9</w:t>
      </w:r>
      <w:r w:rsidR="008655ED">
        <w:rPr>
          <w:rFonts w:ascii="华文楷体" w:hAnsi="华文楷体"/>
          <w:sz w:val="24"/>
          <w:szCs w:val="24"/>
          <w:lang w:eastAsia="zh-CN"/>
        </w:rPr>
        <w:t>4</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90039B">
        <w:rPr>
          <w:rFonts w:ascii="华文楷体" w:hAnsi="华文楷体" w:hint="eastAsia"/>
          <w:sz w:val="24"/>
          <w:szCs w:val="24"/>
          <w:lang w:eastAsia="zh-CN"/>
        </w:rPr>
        <w:t>下行</w:t>
      </w:r>
      <w:r w:rsidR="008655ED">
        <w:rPr>
          <w:rFonts w:ascii="华文楷体" w:hAnsi="华文楷体"/>
          <w:sz w:val="24"/>
          <w:szCs w:val="24"/>
          <w:lang w:eastAsia="zh-CN"/>
        </w:rPr>
        <w:t>6.7</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E83AD6">
        <w:rPr>
          <w:rFonts w:ascii="华文楷体" w:hAnsi="华文楷体" w:hint="eastAsia"/>
          <w:sz w:val="24"/>
          <w:szCs w:val="24"/>
          <w:lang w:eastAsia="zh-CN"/>
        </w:rPr>
        <w:t>下行</w:t>
      </w:r>
      <w:proofErr w:type="gramEnd"/>
      <w:r w:rsidR="008655ED">
        <w:rPr>
          <w:rFonts w:ascii="华文楷体" w:hAnsi="华文楷体"/>
          <w:sz w:val="24"/>
          <w:szCs w:val="24"/>
          <w:lang w:eastAsia="zh-CN"/>
        </w:rPr>
        <w:t>7.2</w:t>
      </w:r>
      <w:r w:rsidR="00DD03B3">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8655ED">
        <w:rPr>
          <w:rFonts w:ascii="华文楷体" w:hAnsi="华文楷体"/>
          <w:sz w:val="24"/>
          <w:szCs w:val="24"/>
          <w:lang w:eastAsia="zh-CN"/>
        </w:rPr>
        <w:t>39</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lastRenderedPageBreak/>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4F3CD1">
        <w:tblPrEx>
          <w:tblCellMar>
            <w:left w:w="108" w:type="dxa"/>
            <w:right w:w="108" w:type="dxa"/>
          </w:tblCellMar>
        </w:tblPrEx>
        <w:trPr>
          <w:jc w:val="center"/>
        </w:trPr>
        <w:tc>
          <w:tcPr>
            <w:tcW w:w="4939" w:type="dxa"/>
            <w:vAlign w:val="center"/>
          </w:tcPr>
          <w:p w14:paraId="678C97B0" w14:textId="726C1FBE" w:rsidR="00E0626C" w:rsidRPr="007E0340" w:rsidRDefault="004F3CD1" w:rsidP="002104B2">
            <w:pPr>
              <w:rPr>
                <w:noProof/>
              </w:rPr>
            </w:pPr>
            <w:r>
              <w:rPr>
                <w:noProof/>
              </w:rPr>
              <w:drawing>
                <wp:inline distT="0" distB="0" distL="0" distR="0" wp14:anchorId="390AB914" wp14:editId="7D10FC80">
                  <wp:extent cx="2999105" cy="1770849"/>
                  <wp:effectExtent l="0" t="0" r="0" b="1270"/>
                  <wp:docPr id="12" name="图表 12">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20706D93" w:rsidR="00E0626C" w:rsidRPr="007E0340" w:rsidRDefault="004F3CD1" w:rsidP="009A2BA0">
            <w:pPr>
              <w:jc w:val="center"/>
              <w:rPr>
                <w:noProof/>
                <w:szCs w:val="18"/>
              </w:rPr>
            </w:pPr>
            <w:r>
              <w:rPr>
                <w:noProof/>
              </w:rPr>
              <w:drawing>
                <wp:inline distT="0" distB="0" distL="0" distR="0" wp14:anchorId="142871ED" wp14:editId="0FB3B769">
                  <wp:extent cx="2998470" cy="1756797"/>
                  <wp:effectExtent l="0" t="0" r="0" b="0"/>
                  <wp:docPr id="13" name="图表 1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113D8873"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522436">
        <w:rPr>
          <w:rFonts w:ascii="华文楷体" w:hAnsi="华文楷体" w:hint="eastAsia"/>
          <w:sz w:val="24"/>
          <w:szCs w:val="24"/>
          <w:lang w:eastAsia="zh-CN"/>
        </w:rPr>
        <w:t>5Y内期限品种</w:t>
      </w:r>
      <w:r w:rsidR="00D14130">
        <w:rPr>
          <w:rFonts w:ascii="华文楷体" w:hAnsi="华文楷体" w:hint="eastAsia"/>
          <w:sz w:val="24"/>
          <w:szCs w:val="24"/>
          <w:lang w:eastAsia="zh-CN"/>
        </w:rPr>
        <w:t>收益率</w:t>
      </w:r>
      <w:r w:rsidR="00522436">
        <w:rPr>
          <w:rFonts w:ascii="华文楷体" w:hAnsi="华文楷体" w:hint="eastAsia"/>
          <w:sz w:val="24"/>
          <w:szCs w:val="24"/>
          <w:lang w:eastAsia="zh-CN"/>
        </w:rPr>
        <w:t>继续保持</w:t>
      </w:r>
      <w:r w:rsidR="00C230F0">
        <w:rPr>
          <w:rFonts w:ascii="华文楷体" w:hAnsi="华文楷体" w:hint="eastAsia"/>
          <w:sz w:val="24"/>
          <w:szCs w:val="24"/>
          <w:lang w:eastAsia="zh-CN"/>
        </w:rPr>
        <w:t>快速</w:t>
      </w:r>
      <w:r w:rsidR="00EC722C">
        <w:rPr>
          <w:rFonts w:ascii="华文楷体" w:hAnsi="华文楷体" w:hint="eastAsia"/>
          <w:sz w:val="24"/>
          <w:szCs w:val="24"/>
          <w:lang w:eastAsia="zh-CN"/>
        </w:rPr>
        <w:t>下行</w:t>
      </w:r>
      <w:r w:rsidR="002E0C5D">
        <w:rPr>
          <w:rFonts w:ascii="华文楷体" w:hAnsi="华文楷体" w:hint="eastAsia"/>
          <w:sz w:val="24"/>
          <w:szCs w:val="24"/>
          <w:lang w:eastAsia="zh-CN"/>
        </w:rPr>
        <w:t>，部分敏感区域信用风险偏好有所好转</w:t>
      </w:r>
      <w:r w:rsidR="00522436">
        <w:rPr>
          <w:rFonts w:ascii="华文楷体" w:hAnsi="华文楷体" w:hint="eastAsia"/>
          <w:sz w:val="24"/>
          <w:szCs w:val="24"/>
          <w:lang w:eastAsia="zh-CN"/>
        </w:rPr>
        <w:t>，城</w:t>
      </w:r>
      <w:proofErr w:type="gramStart"/>
      <w:r w:rsidR="00522436">
        <w:rPr>
          <w:rFonts w:ascii="华文楷体" w:hAnsi="华文楷体" w:hint="eastAsia"/>
          <w:sz w:val="24"/>
          <w:szCs w:val="24"/>
          <w:lang w:eastAsia="zh-CN"/>
        </w:rPr>
        <w:t>投债风险</w:t>
      </w:r>
      <w:proofErr w:type="gramEnd"/>
      <w:r w:rsidR="00522436">
        <w:rPr>
          <w:rFonts w:ascii="华文楷体" w:hAnsi="华文楷体" w:hint="eastAsia"/>
          <w:sz w:val="24"/>
          <w:szCs w:val="24"/>
          <w:lang w:eastAsia="zh-CN"/>
        </w:rPr>
        <w:t>溢价有所提升</w:t>
      </w:r>
      <w:r w:rsidR="008011F8" w:rsidRPr="008011F8">
        <w:rPr>
          <w:rFonts w:ascii="华文楷体" w:hAnsi="华文楷体" w:hint="eastAsia"/>
          <w:sz w:val="24"/>
          <w:szCs w:val="24"/>
          <w:lang w:eastAsia="zh-CN"/>
        </w:rPr>
        <w:t>。1Y</w:t>
      </w:r>
      <w:proofErr w:type="gramStart"/>
      <w:r w:rsidR="00D14130">
        <w:rPr>
          <w:rFonts w:ascii="华文楷体" w:hAnsi="华文楷体" w:hint="eastAsia"/>
          <w:sz w:val="24"/>
          <w:szCs w:val="24"/>
          <w:lang w:eastAsia="zh-CN"/>
        </w:rPr>
        <w:t>期限短融下行</w:t>
      </w:r>
      <w:proofErr w:type="gramEnd"/>
      <w:r w:rsidR="00522436">
        <w:rPr>
          <w:rFonts w:ascii="华文楷体" w:hAnsi="华文楷体"/>
          <w:sz w:val="24"/>
          <w:szCs w:val="24"/>
          <w:lang w:eastAsia="zh-CN"/>
        </w:rPr>
        <w:t>9</w:t>
      </w:r>
      <w:r w:rsidR="00522436">
        <w:rPr>
          <w:rFonts w:ascii="华文楷体" w:hAnsi="华文楷体" w:hint="eastAsia"/>
          <w:sz w:val="24"/>
          <w:szCs w:val="24"/>
          <w:lang w:eastAsia="zh-CN"/>
        </w:rPr>
        <w:t>-</w:t>
      </w:r>
      <w:r w:rsidR="00522436">
        <w:rPr>
          <w:rFonts w:ascii="华文楷体" w:hAnsi="华文楷体"/>
          <w:sz w:val="24"/>
          <w:szCs w:val="24"/>
          <w:lang w:eastAsia="zh-CN"/>
        </w:rPr>
        <w:t>12</w:t>
      </w:r>
      <w:r w:rsidR="008011F8" w:rsidRPr="008011F8">
        <w:rPr>
          <w:rFonts w:ascii="华文楷体" w:hAnsi="华文楷体" w:hint="eastAsia"/>
          <w:sz w:val="24"/>
          <w:szCs w:val="24"/>
          <w:lang w:eastAsia="zh-CN"/>
        </w:rPr>
        <w:t>BP，3年AAA</w:t>
      </w:r>
      <w:r w:rsidR="00D14130">
        <w:rPr>
          <w:rFonts w:ascii="华文楷体" w:hAnsi="华文楷体" w:hint="eastAsia"/>
          <w:sz w:val="24"/>
          <w:szCs w:val="24"/>
          <w:lang w:eastAsia="zh-CN"/>
        </w:rPr>
        <w:t>企业债下行</w:t>
      </w:r>
      <w:r w:rsidR="00522436">
        <w:rPr>
          <w:rFonts w:ascii="华文楷体" w:hAnsi="华文楷体"/>
          <w:sz w:val="24"/>
          <w:szCs w:val="24"/>
          <w:lang w:eastAsia="zh-CN"/>
        </w:rPr>
        <w:t>6</w:t>
      </w:r>
      <w:r w:rsidR="00522436">
        <w:rPr>
          <w:rFonts w:ascii="华文楷体" w:hAnsi="华文楷体" w:hint="eastAsia"/>
          <w:sz w:val="24"/>
          <w:szCs w:val="24"/>
          <w:lang w:eastAsia="zh-CN"/>
        </w:rPr>
        <w:t>-</w:t>
      </w:r>
      <w:r w:rsidR="00522436">
        <w:rPr>
          <w:rFonts w:ascii="华文楷体" w:hAnsi="华文楷体"/>
          <w:sz w:val="24"/>
          <w:szCs w:val="24"/>
          <w:lang w:eastAsia="zh-CN"/>
        </w:rPr>
        <w:t>8</w:t>
      </w:r>
      <w:r w:rsidR="008011F8" w:rsidRPr="008011F8">
        <w:rPr>
          <w:rFonts w:ascii="华文楷体" w:hAnsi="华文楷体" w:hint="eastAsia"/>
          <w:sz w:val="24"/>
          <w:szCs w:val="24"/>
          <w:lang w:eastAsia="zh-CN"/>
        </w:rPr>
        <w:t>BP，5Y企业债</w:t>
      </w:r>
      <w:r w:rsidR="00657F44">
        <w:rPr>
          <w:rFonts w:ascii="华文楷体" w:hAnsi="华文楷体" w:hint="eastAsia"/>
          <w:sz w:val="24"/>
          <w:szCs w:val="24"/>
          <w:lang w:eastAsia="zh-CN"/>
        </w:rPr>
        <w:t>下行</w:t>
      </w:r>
      <w:r w:rsidR="00522436">
        <w:rPr>
          <w:rFonts w:ascii="华文楷体" w:hAnsi="华文楷体"/>
          <w:sz w:val="24"/>
          <w:szCs w:val="24"/>
          <w:lang w:eastAsia="zh-CN"/>
        </w:rPr>
        <w:t>9</w:t>
      </w:r>
      <w:r w:rsidR="00522436">
        <w:rPr>
          <w:rFonts w:ascii="华文楷体" w:hAnsi="华文楷体" w:hint="eastAsia"/>
          <w:sz w:val="24"/>
          <w:szCs w:val="24"/>
          <w:lang w:eastAsia="zh-CN"/>
        </w:rPr>
        <w:t>-</w:t>
      </w:r>
      <w:r w:rsidR="00522436">
        <w:rPr>
          <w:rFonts w:ascii="华文楷体" w:hAnsi="华文楷体"/>
          <w:sz w:val="24"/>
          <w:szCs w:val="24"/>
          <w:lang w:eastAsia="zh-CN"/>
        </w:rPr>
        <w:t>10</w:t>
      </w:r>
      <w:r w:rsidR="008011F8" w:rsidRPr="008011F8">
        <w:rPr>
          <w:rFonts w:ascii="华文楷体" w:hAnsi="华文楷体" w:hint="eastAsia"/>
          <w:sz w:val="24"/>
          <w:szCs w:val="24"/>
          <w:lang w:eastAsia="zh-CN"/>
        </w:rPr>
        <w:t>BP</w:t>
      </w:r>
      <w:r w:rsidR="00657F44">
        <w:rPr>
          <w:rFonts w:ascii="华文楷体" w:hAnsi="华文楷体" w:hint="eastAsia"/>
          <w:sz w:val="24"/>
          <w:szCs w:val="24"/>
          <w:lang w:eastAsia="zh-CN"/>
        </w:rPr>
        <w:t>左右</w:t>
      </w:r>
      <w:r w:rsidR="008011F8" w:rsidRPr="008011F8">
        <w:rPr>
          <w:rFonts w:ascii="华文楷体" w:hAnsi="华文楷体" w:hint="eastAsia"/>
          <w:sz w:val="24"/>
          <w:szCs w:val="24"/>
          <w:lang w:eastAsia="zh-CN"/>
        </w:rPr>
        <w:t>，</w:t>
      </w:r>
      <w:proofErr w:type="gramStart"/>
      <w:r w:rsidR="008011F8" w:rsidRPr="008011F8">
        <w:rPr>
          <w:rFonts w:ascii="华文楷体" w:hAnsi="华文楷体" w:hint="eastAsia"/>
          <w:sz w:val="24"/>
          <w:szCs w:val="24"/>
          <w:lang w:eastAsia="zh-CN"/>
        </w:rPr>
        <w:t>城投债</w:t>
      </w:r>
      <w:proofErr w:type="gramEnd"/>
      <w:r w:rsidR="008011F8" w:rsidRPr="008011F8">
        <w:rPr>
          <w:rFonts w:ascii="华文楷体" w:hAnsi="华文楷体" w:hint="eastAsia"/>
          <w:sz w:val="24"/>
          <w:szCs w:val="24"/>
          <w:lang w:eastAsia="zh-CN"/>
        </w:rPr>
        <w:t>3Y期限品种</w:t>
      </w:r>
      <w:r w:rsidR="00D14130">
        <w:rPr>
          <w:rFonts w:ascii="华文楷体" w:hAnsi="华文楷体" w:hint="eastAsia"/>
          <w:sz w:val="24"/>
          <w:szCs w:val="24"/>
          <w:lang w:eastAsia="zh-CN"/>
        </w:rPr>
        <w:t>下行</w:t>
      </w:r>
      <w:r w:rsidR="002E0C5D">
        <w:rPr>
          <w:rFonts w:ascii="华文楷体" w:hAnsi="华文楷体" w:hint="eastAsia"/>
          <w:sz w:val="24"/>
          <w:szCs w:val="24"/>
          <w:lang w:eastAsia="zh-CN"/>
        </w:rPr>
        <w:t>8</w:t>
      </w:r>
      <w:r w:rsidR="00EC722C">
        <w:rPr>
          <w:rFonts w:ascii="华文楷体" w:hAnsi="华文楷体" w:hint="eastAsia"/>
          <w:sz w:val="24"/>
          <w:szCs w:val="24"/>
          <w:lang w:eastAsia="zh-CN"/>
        </w:rPr>
        <w:t>-1</w:t>
      </w:r>
      <w:r w:rsidR="00522436">
        <w:rPr>
          <w:rFonts w:ascii="华文楷体" w:hAnsi="华文楷体"/>
          <w:sz w:val="24"/>
          <w:szCs w:val="24"/>
          <w:lang w:eastAsia="zh-CN"/>
        </w:rPr>
        <w:t>4</w:t>
      </w:r>
      <w:r w:rsidR="008011F8" w:rsidRPr="008011F8">
        <w:rPr>
          <w:rFonts w:ascii="华文楷体" w:hAnsi="华文楷体" w:hint="eastAsia"/>
          <w:sz w:val="24"/>
          <w:szCs w:val="24"/>
          <w:lang w:eastAsia="zh-CN"/>
        </w:rPr>
        <w:t>BP，5Y品种</w:t>
      </w:r>
      <w:r w:rsidR="00D14130">
        <w:rPr>
          <w:rFonts w:ascii="华文楷体" w:hAnsi="华文楷体" w:hint="eastAsia"/>
          <w:sz w:val="24"/>
          <w:szCs w:val="24"/>
          <w:lang w:eastAsia="zh-CN"/>
        </w:rPr>
        <w:t>下行</w:t>
      </w:r>
      <w:r w:rsidR="00522436">
        <w:rPr>
          <w:rFonts w:ascii="华文楷体" w:hAnsi="华文楷体"/>
          <w:sz w:val="24"/>
          <w:szCs w:val="24"/>
          <w:lang w:eastAsia="zh-CN"/>
        </w:rPr>
        <w:t>12</w:t>
      </w:r>
      <w:r w:rsidR="00522436">
        <w:rPr>
          <w:rFonts w:ascii="华文楷体" w:hAnsi="华文楷体" w:hint="eastAsia"/>
          <w:sz w:val="24"/>
          <w:szCs w:val="24"/>
          <w:lang w:eastAsia="zh-CN"/>
        </w:rPr>
        <w:t>-</w:t>
      </w:r>
      <w:r w:rsidR="00522436">
        <w:rPr>
          <w:rFonts w:ascii="华文楷体" w:hAnsi="华文楷体"/>
          <w:sz w:val="24"/>
          <w:szCs w:val="24"/>
          <w:lang w:eastAsia="zh-CN"/>
        </w:rPr>
        <w:t>14</w:t>
      </w:r>
      <w:r w:rsidR="008011F8" w:rsidRPr="008011F8">
        <w:rPr>
          <w:rFonts w:ascii="华文楷体" w:hAnsi="华文楷体" w:hint="eastAsia"/>
          <w:sz w:val="24"/>
          <w:szCs w:val="24"/>
          <w:lang w:eastAsia="zh-CN"/>
        </w:rPr>
        <w:t>BP，7Y品种</w:t>
      </w:r>
      <w:r w:rsidR="00D14130">
        <w:rPr>
          <w:rFonts w:ascii="华文楷体" w:hAnsi="华文楷体" w:hint="eastAsia"/>
          <w:sz w:val="24"/>
          <w:szCs w:val="24"/>
          <w:lang w:eastAsia="zh-CN"/>
        </w:rPr>
        <w:t>下行</w:t>
      </w:r>
      <w:r w:rsidR="00522436">
        <w:rPr>
          <w:rFonts w:ascii="华文楷体" w:hAnsi="华文楷体"/>
          <w:sz w:val="24"/>
          <w:szCs w:val="24"/>
          <w:lang w:eastAsia="zh-CN"/>
        </w:rPr>
        <w:t>7</w:t>
      </w:r>
      <w:r w:rsidR="00522436">
        <w:rPr>
          <w:rFonts w:ascii="华文楷体" w:hAnsi="华文楷体" w:hint="eastAsia"/>
          <w:sz w:val="24"/>
          <w:szCs w:val="24"/>
          <w:lang w:eastAsia="zh-CN"/>
        </w:rPr>
        <w:t>-</w:t>
      </w:r>
      <w:r w:rsidR="00522436">
        <w:rPr>
          <w:rFonts w:ascii="华文楷体" w:hAnsi="华文楷体"/>
          <w:sz w:val="24"/>
          <w:szCs w:val="24"/>
          <w:lang w:eastAsia="zh-CN"/>
        </w:rPr>
        <w:t>8</w:t>
      </w:r>
      <w:r w:rsidR="008011F8" w:rsidRPr="008011F8">
        <w:rPr>
          <w:rFonts w:ascii="华文楷体" w:hAnsi="华文楷体" w:hint="eastAsia"/>
          <w:sz w:val="24"/>
          <w:szCs w:val="24"/>
          <w:lang w:eastAsia="zh-CN"/>
        </w:rPr>
        <w:t>BP左右。</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522436">
        <w:rPr>
          <w:rFonts w:ascii="华文楷体" w:hAnsi="华文楷体"/>
          <w:sz w:val="24"/>
          <w:szCs w:val="24"/>
          <w:lang w:eastAsia="zh-CN"/>
        </w:rPr>
        <w:t>13</w:t>
      </w:r>
      <w:r w:rsidR="00522436">
        <w:rPr>
          <w:rFonts w:ascii="华文楷体" w:hAnsi="华文楷体" w:hint="eastAsia"/>
          <w:sz w:val="24"/>
          <w:szCs w:val="24"/>
          <w:lang w:eastAsia="zh-CN"/>
        </w:rPr>
        <w:t>-</w:t>
      </w:r>
      <w:r w:rsidR="00522436">
        <w:rPr>
          <w:rFonts w:ascii="华文楷体" w:hAnsi="华文楷体"/>
          <w:sz w:val="24"/>
          <w:szCs w:val="24"/>
          <w:lang w:eastAsia="zh-CN"/>
        </w:rPr>
        <w:t>16</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522436">
        <w:rPr>
          <w:rFonts w:ascii="华文楷体" w:hAnsi="华文楷体"/>
          <w:sz w:val="24"/>
          <w:szCs w:val="24"/>
          <w:lang w:eastAsia="zh-CN"/>
        </w:rPr>
        <w:t>7</w:t>
      </w:r>
      <w:r w:rsidR="00522436">
        <w:rPr>
          <w:rFonts w:ascii="华文楷体" w:hAnsi="华文楷体" w:hint="eastAsia"/>
          <w:sz w:val="24"/>
          <w:szCs w:val="24"/>
          <w:lang w:eastAsia="zh-CN"/>
        </w:rPr>
        <w:t>-</w:t>
      </w:r>
      <w:r w:rsidR="00522436">
        <w:rPr>
          <w:rFonts w:ascii="华文楷体" w:hAnsi="华文楷体"/>
          <w:sz w:val="24"/>
          <w:szCs w:val="24"/>
          <w:lang w:eastAsia="zh-CN"/>
        </w:rPr>
        <w:t>12</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522436">
        <w:rPr>
          <w:rFonts w:ascii="华文楷体" w:hAnsi="华文楷体"/>
          <w:sz w:val="24"/>
          <w:szCs w:val="24"/>
          <w:lang w:eastAsia="zh-CN"/>
        </w:rPr>
        <w:t>4</w:t>
      </w:r>
      <w:r w:rsidR="00522436">
        <w:rPr>
          <w:rFonts w:ascii="华文楷体" w:hAnsi="华文楷体" w:hint="eastAsia"/>
          <w:sz w:val="24"/>
          <w:szCs w:val="24"/>
          <w:lang w:eastAsia="zh-CN"/>
        </w:rPr>
        <w:t>-</w:t>
      </w:r>
      <w:r w:rsidR="00522436">
        <w:rPr>
          <w:rFonts w:ascii="华文楷体" w:hAnsi="华文楷体"/>
          <w:sz w:val="24"/>
          <w:szCs w:val="24"/>
          <w:lang w:eastAsia="zh-CN"/>
        </w:rPr>
        <w:t>8</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522436">
        <w:tblPrEx>
          <w:tblCellMar>
            <w:left w:w="108" w:type="dxa"/>
            <w:right w:w="108" w:type="dxa"/>
          </w:tblCellMar>
        </w:tblPrEx>
        <w:trPr>
          <w:trHeight w:val="3671"/>
          <w:jc w:val="center"/>
        </w:trPr>
        <w:tc>
          <w:tcPr>
            <w:tcW w:w="9713" w:type="dxa"/>
            <w:vAlign w:val="center"/>
          </w:tcPr>
          <w:tbl>
            <w:tblPr>
              <w:tblW w:w="9648" w:type="dxa"/>
              <w:tblLook w:val="04A0" w:firstRow="1" w:lastRow="0" w:firstColumn="1" w:lastColumn="0" w:noHBand="0" w:noVBand="1"/>
            </w:tblPr>
            <w:tblGrid>
              <w:gridCol w:w="1130"/>
              <w:gridCol w:w="919"/>
              <w:gridCol w:w="920"/>
              <w:gridCol w:w="920"/>
              <w:gridCol w:w="920"/>
              <w:gridCol w:w="1149"/>
              <w:gridCol w:w="920"/>
              <w:gridCol w:w="920"/>
              <w:gridCol w:w="920"/>
              <w:gridCol w:w="920"/>
            </w:tblGrid>
            <w:tr w:rsidR="00522436" w:rsidRPr="00522436" w14:paraId="15070232" w14:textId="77777777" w:rsidTr="00522436">
              <w:trPr>
                <w:trHeight w:val="310"/>
              </w:trPr>
              <w:tc>
                <w:tcPr>
                  <w:tcW w:w="1131" w:type="dxa"/>
                  <w:tcBorders>
                    <w:top w:val="nil"/>
                    <w:left w:val="nil"/>
                    <w:bottom w:val="single" w:sz="12" w:space="0" w:color="FFFFFF"/>
                    <w:right w:val="single" w:sz="8" w:space="0" w:color="FFFFFF"/>
                  </w:tcBorders>
                  <w:shd w:val="clear" w:color="000000" w:fill="F79646"/>
                  <w:noWrap/>
                  <w:vAlign w:val="center"/>
                  <w:hideMark/>
                </w:tcPr>
                <w:p w14:paraId="413AFE14"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0F3218AA"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FE8EB9B"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5A35579"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612FDB1"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1150" w:type="dxa"/>
                  <w:tcBorders>
                    <w:top w:val="nil"/>
                    <w:left w:val="nil"/>
                    <w:bottom w:val="single" w:sz="12" w:space="0" w:color="FFFFFF"/>
                    <w:right w:val="single" w:sz="8" w:space="0" w:color="FFFFFF"/>
                  </w:tcBorders>
                  <w:shd w:val="clear" w:color="000000" w:fill="F79646"/>
                  <w:noWrap/>
                  <w:vAlign w:val="center"/>
                  <w:hideMark/>
                </w:tcPr>
                <w:p w14:paraId="719B3728"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6A9FDAC9"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1994889"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0805862"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6CB6C50"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r>
            <w:tr w:rsidR="00522436" w:rsidRPr="00522436" w14:paraId="759A3C98" w14:textId="77777777" w:rsidTr="00522436">
              <w:trPr>
                <w:trHeight w:val="321"/>
              </w:trPr>
              <w:tc>
                <w:tcPr>
                  <w:tcW w:w="1131" w:type="dxa"/>
                  <w:tcBorders>
                    <w:top w:val="nil"/>
                    <w:left w:val="nil"/>
                    <w:bottom w:val="single" w:sz="8" w:space="0" w:color="FFFFFF"/>
                    <w:right w:val="single" w:sz="8" w:space="0" w:color="FFFFFF"/>
                  </w:tcBorders>
                  <w:shd w:val="clear" w:color="000000" w:fill="FCD5B4"/>
                  <w:noWrap/>
                  <w:vAlign w:val="center"/>
                  <w:hideMark/>
                </w:tcPr>
                <w:p w14:paraId="48EBF66E"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1F59B1A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2.76 </w:t>
                  </w:r>
                </w:p>
              </w:tc>
              <w:tc>
                <w:tcPr>
                  <w:tcW w:w="921" w:type="dxa"/>
                  <w:tcBorders>
                    <w:top w:val="nil"/>
                    <w:left w:val="nil"/>
                    <w:bottom w:val="single" w:sz="8" w:space="0" w:color="FFFFFF"/>
                    <w:right w:val="single" w:sz="8" w:space="0" w:color="FFFFFF"/>
                  </w:tcBorders>
                  <w:shd w:val="clear" w:color="000000" w:fill="FCD5B4"/>
                  <w:noWrap/>
                  <w:vAlign w:val="center"/>
                  <w:hideMark/>
                </w:tcPr>
                <w:p w14:paraId="4F0034E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2.89 </w:t>
                  </w:r>
                </w:p>
              </w:tc>
              <w:tc>
                <w:tcPr>
                  <w:tcW w:w="921" w:type="dxa"/>
                  <w:tcBorders>
                    <w:top w:val="nil"/>
                    <w:left w:val="nil"/>
                    <w:bottom w:val="single" w:sz="8" w:space="0" w:color="FFFFFF"/>
                    <w:right w:val="single" w:sz="8" w:space="0" w:color="FFFFFF"/>
                  </w:tcBorders>
                  <w:shd w:val="clear" w:color="000000" w:fill="FCD5B4"/>
                  <w:noWrap/>
                  <w:vAlign w:val="center"/>
                  <w:hideMark/>
                </w:tcPr>
                <w:p w14:paraId="55FA130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3.09 </w:t>
                  </w:r>
                </w:p>
              </w:tc>
              <w:tc>
                <w:tcPr>
                  <w:tcW w:w="921" w:type="dxa"/>
                  <w:tcBorders>
                    <w:top w:val="nil"/>
                    <w:left w:val="nil"/>
                    <w:bottom w:val="single" w:sz="8" w:space="0" w:color="FFFFFF"/>
                    <w:right w:val="single" w:sz="8" w:space="0" w:color="FFFFFF"/>
                  </w:tcBorders>
                  <w:shd w:val="clear" w:color="000000" w:fill="FCD5B4"/>
                  <w:noWrap/>
                  <w:vAlign w:val="center"/>
                  <w:hideMark/>
                </w:tcPr>
                <w:p w14:paraId="75B7D0B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5.28 </w:t>
                  </w:r>
                </w:p>
              </w:tc>
              <w:tc>
                <w:tcPr>
                  <w:tcW w:w="1150" w:type="dxa"/>
                  <w:tcBorders>
                    <w:top w:val="nil"/>
                    <w:left w:val="nil"/>
                    <w:bottom w:val="single" w:sz="8" w:space="0" w:color="FFFFFF"/>
                    <w:right w:val="single" w:sz="8" w:space="0" w:color="FFFFFF"/>
                  </w:tcBorders>
                  <w:shd w:val="clear" w:color="000000" w:fill="FCD5B4"/>
                  <w:noWrap/>
                  <w:vAlign w:val="center"/>
                  <w:hideMark/>
                </w:tcPr>
                <w:p w14:paraId="27CF2E5D"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523261A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0.49 </w:t>
                  </w:r>
                </w:p>
              </w:tc>
              <w:tc>
                <w:tcPr>
                  <w:tcW w:w="921" w:type="dxa"/>
                  <w:tcBorders>
                    <w:top w:val="nil"/>
                    <w:left w:val="nil"/>
                    <w:bottom w:val="single" w:sz="8" w:space="0" w:color="FFFFFF"/>
                    <w:right w:val="single" w:sz="8" w:space="0" w:color="FFFFFF"/>
                  </w:tcBorders>
                  <w:shd w:val="clear" w:color="000000" w:fill="FCD5B4"/>
                  <w:noWrap/>
                  <w:vAlign w:val="center"/>
                  <w:hideMark/>
                </w:tcPr>
                <w:p w14:paraId="71D9228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0.61 </w:t>
                  </w:r>
                </w:p>
              </w:tc>
              <w:tc>
                <w:tcPr>
                  <w:tcW w:w="921" w:type="dxa"/>
                  <w:tcBorders>
                    <w:top w:val="nil"/>
                    <w:left w:val="nil"/>
                    <w:bottom w:val="single" w:sz="8" w:space="0" w:color="FFFFFF"/>
                    <w:right w:val="single" w:sz="8" w:space="0" w:color="FFFFFF"/>
                  </w:tcBorders>
                  <w:shd w:val="clear" w:color="000000" w:fill="FCD5B4"/>
                  <w:noWrap/>
                  <w:vAlign w:val="center"/>
                  <w:hideMark/>
                </w:tcPr>
                <w:p w14:paraId="320E6D3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0.81 </w:t>
                  </w:r>
                </w:p>
              </w:tc>
              <w:tc>
                <w:tcPr>
                  <w:tcW w:w="921" w:type="dxa"/>
                  <w:tcBorders>
                    <w:top w:val="nil"/>
                    <w:left w:val="nil"/>
                    <w:bottom w:val="single" w:sz="8" w:space="0" w:color="FFFFFF"/>
                    <w:right w:val="single" w:sz="8" w:space="0" w:color="FFFFFF"/>
                  </w:tcBorders>
                  <w:shd w:val="clear" w:color="000000" w:fill="FCD5B4"/>
                  <w:noWrap/>
                  <w:vAlign w:val="center"/>
                  <w:hideMark/>
                </w:tcPr>
                <w:p w14:paraId="6E8168B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3.00 </w:t>
                  </w:r>
                </w:p>
              </w:tc>
            </w:tr>
            <w:tr w:rsidR="00522436" w:rsidRPr="00522436" w14:paraId="3A66D0A6"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39137B72"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B73915E"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3.19 </w:t>
                  </w:r>
                </w:p>
              </w:tc>
              <w:tc>
                <w:tcPr>
                  <w:tcW w:w="921" w:type="dxa"/>
                  <w:tcBorders>
                    <w:top w:val="nil"/>
                    <w:left w:val="nil"/>
                    <w:bottom w:val="single" w:sz="8" w:space="0" w:color="FFFFFF"/>
                    <w:right w:val="single" w:sz="8" w:space="0" w:color="FFFFFF"/>
                  </w:tcBorders>
                  <w:shd w:val="clear" w:color="000000" w:fill="FDE9D9"/>
                  <w:noWrap/>
                  <w:vAlign w:val="center"/>
                  <w:hideMark/>
                </w:tcPr>
                <w:p w14:paraId="5B9C8B8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3.32 </w:t>
                  </w:r>
                </w:p>
              </w:tc>
              <w:tc>
                <w:tcPr>
                  <w:tcW w:w="921" w:type="dxa"/>
                  <w:tcBorders>
                    <w:top w:val="nil"/>
                    <w:left w:val="nil"/>
                    <w:bottom w:val="single" w:sz="8" w:space="0" w:color="FFFFFF"/>
                    <w:right w:val="single" w:sz="8" w:space="0" w:color="FFFFFF"/>
                  </w:tcBorders>
                  <w:shd w:val="clear" w:color="000000" w:fill="FDE9D9"/>
                  <w:noWrap/>
                  <w:vAlign w:val="center"/>
                  <w:hideMark/>
                </w:tcPr>
                <w:p w14:paraId="1FA1A5B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3.81 </w:t>
                  </w:r>
                </w:p>
              </w:tc>
              <w:tc>
                <w:tcPr>
                  <w:tcW w:w="921" w:type="dxa"/>
                  <w:tcBorders>
                    <w:top w:val="nil"/>
                    <w:left w:val="nil"/>
                    <w:bottom w:val="single" w:sz="8" w:space="0" w:color="FFFFFF"/>
                    <w:right w:val="single" w:sz="8" w:space="0" w:color="FFFFFF"/>
                  </w:tcBorders>
                  <w:shd w:val="clear" w:color="000000" w:fill="FDE9D9"/>
                  <w:noWrap/>
                  <w:vAlign w:val="center"/>
                  <w:hideMark/>
                </w:tcPr>
                <w:p w14:paraId="175F37F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6.00 </w:t>
                  </w:r>
                </w:p>
              </w:tc>
              <w:tc>
                <w:tcPr>
                  <w:tcW w:w="1150" w:type="dxa"/>
                  <w:tcBorders>
                    <w:top w:val="nil"/>
                    <w:left w:val="nil"/>
                    <w:bottom w:val="single" w:sz="8" w:space="0" w:color="FFFFFF"/>
                    <w:right w:val="single" w:sz="8" w:space="0" w:color="FFFFFF"/>
                  </w:tcBorders>
                  <w:shd w:val="clear" w:color="000000" w:fill="FDE9D9"/>
                  <w:noWrap/>
                  <w:vAlign w:val="center"/>
                  <w:hideMark/>
                </w:tcPr>
                <w:p w14:paraId="3AF3F54C"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3C163F4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0.56 </w:t>
                  </w:r>
                </w:p>
              </w:tc>
              <w:tc>
                <w:tcPr>
                  <w:tcW w:w="921" w:type="dxa"/>
                  <w:tcBorders>
                    <w:top w:val="nil"/>
                    <w:left w:val="nil"/>
                    <w:bottom w:val="single" w:sz="8" w:space="0" w:color="FFFFFF"/>
                    <w:right w:val="single" w:sz="8" w:space="0" w:color="FFFFFF"/>
                  </w:tcBorders>
                  <w:shd w:val="clear" w:color="000000" w:fill="FDE9D9"/>
                  <w:noWrap/>
                  <w:vAlign w:val="center"/>
                  <w:hideMark/>
                </w:tcPr>
                <w:p w14:paraId="3C86320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0.69 </w:t>
                  </w:r>
                </w:p>
              </w:tc>
              <w:tc>
                <w:tcPr>
                  <w:tcW w:w="921" w:type="dxa"/>
                  <w:tcBorders>
                    <w:top w:val="nil"/>
                    <w:left w:val="nil"/>
                    <w:bottom w:val="single" w:sz="8" w:space="0" w:color="FFFFFF"/>
                    <w:right w:val="single" w:sz="8" w:space="0" w:color="FFFFFF"/>
                  </w:tcBorders>
                  <w:shd w:val="clear" w:color="000000" w:fill="FDE9D9"/>
                  <w:noWrap/>
                  <w:vAlign w:val="center"/>
                  <w:hideMark/>
                </w:tcPr>
                <w:p w14:paraId="033A08F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1.18 </w:t>
                  </w:r>
                </w:p>
              </w:tc>
              <w:tc>
                <w:tcPr>
                  <w:tcW w:w="921" w:type="dxa"/>
                  <w:tcBorders>
                    <w:top w:val="nil"/>
                    <w:left w:val="nil"/>
                    <w:bottom w:val="single" w:sz="8" w:space="0" w:color="FFFFFF"/>
                    <w:right w:val="single" w:sz="8" w:space="0" w:color="FFFFFF"/>
                  </w:tcBorders>
                  <w:shd w:val="clear" w:color="000000" w:fill="FDE9D9"/>
                  <w:noWrap/>
                  <w:vAlign w:val="center"/>
                  <w:hideMark/>
                </w:tcPr>
                <w:p w14:paraId="6476BE1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3.37 </w:t>
                  </w:r>
                </w:p>
              </w:tc>
            </w:tr>
            <w:tr w:rsidR="00522436" w:rsidRPr="00522436" w14:paraId="1D6AAB92" w14:textId="77777777" w:rsidTr="00522436">
              <w:trPr>
                <w:trHeight w:val="310"/>
              </w:trPr>
              <w:tc>
                <w:tcPr>
                  <w:tcW w:w="1131" w:type="dxa"/>
                  <w:tcBorders>
                    <w:top w:val="nil"/>
                    <w:left w:val="nil"/>
                    <w:bottom w:val="single" w:sz="8" w:space="0" w:color="FFFFFF"/>
                    <w:right w:val="single" w:sz="8" w:space="0" w:color="FFFFFF"/>
                  </w:tcBorders>
                  <w:shd w:val="clear" w:color="000000" w:fill="FCD5B4"/>
                  <w:noWrap/>
                  <w:vAlign w:val="center"/>
                  <w:hideMark/>
                </w:tcPr>
                <w:p w14:paraId="155F3072"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7FD24B7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3.43 </w:t>
                  </w:r>
                </w:p>
              </w:tc>
              <w:tc>
                <w:tcPr>
                  <w:tcW w:w="921" w:type="dxa"/>
                  <w:tcBorders>
                    <w:top w:val="nil"/>
                    <w:left w:val="nil"/>
                    <w:bottom w:val="single" w:sz="8" w:space="0" w:color="FFFFFF"/>
                    <w:right w:val="single" w:sz="8" w:space="0" w:color="FFFFFF"/>
                  </w:tcBorders>
                  <w:shd w:val="clear" w:color="000000" w:fill="FCD5B4"/>
                  <w:noWrap/>
                  <w:vAlign w:val="center"/>
                  <w:hideMark/>
                </w:tcPr>
                <w:p w14:paraId="41A6346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3.66 </w:t>
                  </w:r>
                </w:p>
              </w:tc>
              <w:tc>
                <w:tcPr>
                  <w:tcW w:w="921" w:type="dxa"/>
                  <w:tcBorders>
                    <w:top w:val="nil"/>
                    <w:left w:val="nil"/>
                    <w:bottom w:val="single" w:sz="8" w:space="0" w:color="FFFFFF"/>
                    <w:right w:val="single" w:sz="8" w:space="0" w:color="FFFFFF"/>
                  </w:tcBorders>
                  <w:shd w:val="clear" w:color="000000" w:fill="FCD5B4"/>
                  <w:noWrap/>
                  <w:vAlign w:val="center"/>
                  <w:hideMark/>
                </w:tcPr>
                <w:p w14:paraId="203620E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4.25 </w:t>
                  </w:r>
                </w:p>
              </w:tc>
              <w:tc>
                <w:tcPr>
                  <w:tcW w:w="921" w:type="dxa"/>
                  <w:tcBorders>
                    <w:top w:val="nil"/>
                    <w:left w:val="nil"/>
                    <w:bottom w:val="single" w:sz="8" w:space="0" w:color="FFFFFF"/>
                    <w:right w:val="single" w:sz="8" w:space="0" w:color="FFFFFF"/>
                  </w:tcBorders>
                  <w:shd w:val="clear" w:color="000000" w:fill="FCD5B4"/>
                  <w:noWrap/>
                  <w:vAlign w:val="center"/>
                  <w:hideMark/>
                </w:tcPr>
                <w:p w14:paraId="5799EA1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6.44 </w:t>
                  </w:r>
                </w:p>
              </w:tc>
              <w:tc>
                <w:tcPr>
                  <w:tcW w:w="1150" w:type="dxa"/>
                  <w:tcBorders>
                    <w:top w:val="nil"/>
                    <w:left w:val="nil"/>
                    <w:bottom w:val="single" w:sz="8" w:space="0" w:color="FFFFFF"/>
                    <w:right w:val="single" w:sz="8" w:space="0" w:color="FFFFFF"/>
                  </w:tcBorders>
                  <w:shd w:val="clear" w:color="000000" w:fill="FCD5B4"/>
                  <w:noWrap/>
                  <w:vAlign w:val="center"/>
                  <w:hideMark/>
                </w:tcPr>
                <w:p w14:paraId="46B5F421"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4D63814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0.64 </w:t>
                  </w:r>
                </w:p>
              </w:tc>
              <w:tc>
                <w:tcPr>
                  <w:tcW w:w="921" w:type="dxa"/>
                  <w:tcBorders>
                    <w:top w:val="nil"/>
                    <w:left w:val="nil"/>
                    <w:bottom w:val="single" w:sz="8" w:space="0" w:color="FFFFFF"/>
                    <w:right w:val="single" w:sz="8" w:space="0" w:color="FFFFFF"/>
                  </w:tcBorders>
                  <w:shd w:val="clear" w:color="000000" w:fill="FCD5B4"/>
                  <w:noWrap/>
                  <w:vAlign w:val="center"/>
                  <w:hideMark/>
                </w:tcPr>
                <w:p w14:paraId="7D63AB8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0.87 </w:t>
                  </w:r>
                </w:p>
              </w:tc>
              <w:tc>
                <w:tcPr>
                  <w:tcW w:w="921" w:type="dxa"/>
                  <w:tcBorders>
                    <w:top w:val="nil"/>
                    <w:left w:val="nil"/>
                    <w:bottom w:val="single" w:sz="8" w:space="0" w:color="FFFFFF"/>
                    <w:right w:val="single" w:sz="8" w:space="0" w:color="FFFFFF"/>
                  </w:tcBorders>
                  <w:shd w:val="clear" w:color="000000" w:fill="FCD5B4"/>
                  <w:noWrap/>
                  <w:vAlign w:val="center"/>
                  <w:hideMark/>
                </w:tcPr>
                <w:p w14:paraId="73B93ED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1.46 </w:t>
                  </w:r>
                </w:p>
              </w:tc>
              <w:tc>
                <w:tcPr>
                  <w:tcW w:w="921" w:type="dxa"/>
                  <w:tcBorders>
                    <w:top w:val="nil"/>
                    <w:left w:val="nil"/>
                    <w:bottom w:val="single" w:sz="8" w:space="0" w:color="FFFFFF"/>
                    <w:right w:val="single" w:sz="8" w:space="0" w:color="FFFFFF"/>
                  </w:tcBorders>
                  <w:shd w:val="clear" w:color="000000" w:fill="FCD5B4"/>
                  <w:noWrap/>
                  <w:vAlign w:val="center"/>
                  <w:hideMark/>
                </w:tcPr>
                <w:p w14:paraId="24AD0A2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3.65 </w:t>
                  </w:r>
                </w:p>
              </w:tc>
            </w:tr>
            <w:tr w:rsidR="00522436" w:rsidRPr="00522436" w14:paraId="3DB9FAE2"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2044C520"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094B223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3.16 </w:t>
                  </w:r>
                </w:p>
              </w:tc>
              <w:tc>
                <w:tcPr>
                  <w:tcW w:w="921" w:type="dxa"/>
                  <w:tcBorders>
                    <w:top w:val="nil"/>
                    <w:left w:val="nil"/>
                    <w:bottom w:val="single" w:sz="8" w:space="0" w:color="FFFFFF"/>
                    <w:right w:val="single" w:sz="8" w:space="0" w:color="FFFFFF"/>
                  </w:tcBorders>
                  <w:shd w:val="clear" w:color="000000" w:fill="FDE9D9"/>
                  <w:noWrap/>
                  <w:vAlign w:val="center"/>
                  <w:hideMark/>
                </w:tcPr>
                <w:p w14:paraId="226D27D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3.37 </w:t>
                  </w:r>
                </w:p>
              </w:tc>
              <w:tc>
                <w:tcPr>
                  <w:tcW w:w="921" w:type="dxa"/>
                  <w:tcBorders>
                    <w:top w:val="nil"/>
                    <w:left w:val="nil"/>
                    <w:bottom w:val="single" w:sz="8" w:space="0" w:color="FFFFFF"/>
                    <w:right w:val="single" w:sz="8" w:space="0" w:color="FFFFFF"/>
                  </w:tcBorders>
                  <w:shd w:val="clear" w:color="000000" w:fill="FDE9D9"/>
                  <w:noWrap/>
                  <w:vAlign w:val="center"/>
                  <w:hideMark/>
                </w:tcPr>
                <w:p w14:paraId="509D7CD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3.84 </w:t>
                  </w:r>
                </w:p>
              </w:tc>
              <w:tc>
                <w:tcPr>
                  <w:tcW w:w="921" w:type="dxa"/>
                  <w:tcBorders>
                    <w:top w:val="nil"/>
                    <w:left w:val="nil"/>
                    <w:bottom w:val="single" w:sz="8" w:space="0" w:color="FFFFFF"/>
                    <w:right w:val="single" w:sz="8" w:space="0" w:color="FFFFFF"/>
                  </w:tcBorders>
                  <w:shd w:val="clear" w:color="000000" w:fill="FDE9D9"/>
                  <w:noWrap/>
                  <w:vAlign w:val="center"/>
                  <w:hideMark/>
                </w:tcPr>
                <w:p w14:paraId="44CAAD2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6.04 </w:t>
                  </w:r>
                </w:p>
              </w:tc>
              <w:tc>
                <w:tcPr>
                  <w:tcW w:w="1150" w:type="dxa"/>
                  <w:tcBorders>
                    <w:top w:val="nil"/>
                    <w:left w:val="nil"/>
                    <w:bottom w:val="single" w:sz="8" w:space="0" w:color="FFFFFF"/>
                    <w:right w:val="single" w:sz="8" w:space="0" w:color="FFFFFF"/>
                  </w:tcBorders>
                  <w:shd w:val="clear" w:color="000000" w:fill="FDE9D9"/>
                  <w:noWrap/>
                  <w:vAlign w:val="center"/>
                  <w:hideMark/>
                </w:tcPr>
                <w:p w14:paraId="2E628139"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1404347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0.53 </w:t>
                  </w:r>
                </w:p>
              </w:tc>
              <w:tc>
                <w:tcPr>
                  <w:tcW w:w="921" w:type="dxa"/>
                  <w:tcBorders>
                    <w:top w:val="nil"/>
                    <w:left w:val="nil"/>
                    <w:bottom w:val="single" w:sz="8" w:space="0" w:color="FFFFFF"/>
                    <w:right w:val="single" w:sz="8" w:space="0" w:color="FFFFFF"/>
                  </w:tcBorders>
                  <w:shd w:val="clear" w:color="000000" w:fill="FDE9D9"/>
                  <w:noWrap/>
                  <w:vAlign w:val="center"/>
                  <w:hideMark/>
                </w:tcPr>
                <w:p w14:paraId="005C602B"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0.74 </w:t>
                  </w:r>
                </w:p>
              </w:tc>
              <w:tc>
                <w:tcPr>
                  <w:tcW w:w="921" w:type="dxa"/>
                  <w:tcBorders>
                    <w:top w:val="nil"/>
                    <w:left w:val="nil"/>
                    <w:bottom w:val="single" w:sz="8" w:space="0" w:color="FFFFFF"/>
                    <w:right w:val="single" w:sz="8" w:space="0" w:color="FFFFFF"/>
                  </w:tcBorders>
                  <w:shd w:val="clear" w:color="000000" w:fill="FDE9D9"/>
                  <w:noWrap/>
                  <w:vAlign w:val="center"/>
                  <w:hideMark/>
                </w:tcPr>
                <w:p w14:paraId="72E1FCE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1.21 </w:t>
                  </w:r>
                </w:p>
              </w:tc>
              <w:tc>
                <w:tcPr>
                  <w:tcW w:w="921" w:type="dxa"/>
                  <w:tcBorders>
                    <w:top w:val="nil"/>
                    <w:left w:val="nil"/>
                    <w:bottom w:val="single" w:sz="8" w:space="0" w:color="FFFFFF"/>
                    <w:right w:val="single" w:sz="8" w:space="0" w:color="FFFFFF"/>
                  </w:tcBorders>
                  <w:shd w:val="clear" w:color="000000" w:fill="FDE9D9"/>
                  <w:noWrap/>
                  <w:vAlign w:val="center"/>
                  <w:hideMark/>
                </w:tcPr>
                <w:p w14:paraId="62B10FD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3.41 </w:t>
                  </w:r>
                </w:p>
              </w:tc>
            </w:tr>
            <w:tr w:rsidR="00522436" w:rsidRPr="00522436" w14:paraId="6E6959B5" w14:textId="77777777" w:rsidTr="00522436">
              <w:trPr>
                <w:trHeight w:val="310"/>
              </w:trPr>
              <w:tc>
                <w:tcPr>
                  <w:tcW w:w="1131" w:type="dxa"/>
                  <w:tcBorders>
                    <w:top w:val="nil"/>
                    <w:left w:val="nil"/>
                    <w:bottom w:val="single" w:sz="8" w:space="0" w:color="FFFFFF"/>
                    <w:right w:val="single" w:sz="8" w:space="0" w:color="FFFFFF"/>
                  </w:tcBorders>
                  <w:shd w:val="clear" w:color="000000" w:fill="FCD5B4"/>
                  <w:noWrap/>
                  <w:vAlign w:val="center"/>
                  <w:hideMark/>
                </w:tcPr>
                <w:p w14:paraId="22DA7E07"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3321A8C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3.40 </w:t>
                  </w:r>
                </w:p>
              </w:tc>
              <w:tc>
                <w:tcPr>
                  <w:tcW w:w="921" w:type="dxa"/>
                  <w:tcBorders>
                    <w:top w:val="nil"/>
                    <w:left w:val="nil"/>
                    <w:bottom w:val="single" w:sz="8" w:space="0" w:color="FFFFFF"/>
                    <w:right w:val="single" w:sz="8" w:space="0" w:color="FFFFFF"/>
                  </w:tcBorders>
                  <w:shd w:val="clear" w:color="000000" w:fill="FCD5B4"/>
                  <w:noWrap/>
                  <w:vAlign w:val="center"/>
                  <w:hideMark/>
                </w:tcPr>
                <w:p w14:paraId="2D55037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3.65 </w:t>
                  </w:r>
                </w:p>
              </w:tc>
              <w:tc>
                <w:tcPr>
                  <w:tcW w:w="921" w:type="dxa"/>
                  <w:tcBorders>
                    <w:top w:val="nil"/>
                    <w:left w:val="nil"/>
                    <w:bottom w:val="single" w:sz="8" w:space="0" w:color="FFFFFF"/>
                    <w:right w:val="single" w:sz="8" w:space="0" w:color="FFFFFF"/>
                  </w:tcBorders>
                  <w:shd w:val="clear" w:color="000000" w:fill="FCD5B4"/>
                  <w:noWrap/>
                  <w:vAlign w:val="center"/>
                  <w:hideMark/>
                </w:tcPr>
                <w:p w14:paraId="3173651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4.30 </w:t>
                  </w:r>
                </w:p>
              </w:tc>
              <w:tc>
                <w:tcPr>
                  <w:tcW w:w="921" w:type="dxa"/>
                  <w:tcBorders>
                    <w:top w:val="nil"/>
                    <w:left w:val="nil"/>
                    <w:bottom w:val="single" w:sz="8" w:space="0" w:color="FFFFFF"/>
                    <w:right w:val="single" w:sz="8" w:space="0" w:color="FFFFFF"/>
                  </w:tcBorders>
                  <w:shd w:val="clear" w:color="000000" w:fill="FCD5B4"/>
                  <w:noWrap/>
                  <w:vAlign w:val="center"/>
                  <w:hideMark/>
                </w:tcPr>
                <w:p w14:paraId="32F91FC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6.50 </w:t>
                  </w:r>
                </w:p>
              </w:tc>
              <w:tc>
                <w:tcPr>
                  <w:tcW w:w="1150" w:type="dxa"/>
                  <w:tcBorders>
                    <w:top w:val="nil"/>
                    <w:left w:val="nil"/>
                    <w:bottom w:val="single" w:sz="8" w:space="0" w:color="FFFFFF"/>
                    <w:right w:val="single" w:sz="8" w:space="0" w:color="FFFFFF"/>
                  </w:tcBorders>
                  <w:shd w:val="clear" w:color="000000" w:fill="FCD5B4"/>
                  <w:noWrap/>
                  <w:vAlign w:val="center"/>
                  <w:hideMark/>
                </w:tcPr>
                <w:p w14:paraId="1A4516FF"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678FF83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0.61 </w:t>
                  </w:r>
                </w:p>
              </w:tc>
              <w:tc>
                <w:tcPr>
                  <w:tcW w:w="921" w:type="dxa"/>
                  <w:tcBorders>
                    <w:top w:val="nil"/>
                    <w:left w:val="nil"/>
                    <w:bottom w:val="single" w:sz="8" w:space="0" w:color="FFFFFF"/>
                    <w:right w:val="single" w:sz="8" w:space="0" w:color="FFFFFF"/>
                  </w:tcBorders>
                  <w:shd w:val="clear" w:color="000000" w:fill="FCD5B4"/>
                  <w:noWrap/>
                  <w:vAlign w:val="center"/>
                  <w:hideMark/>
                </w:tcPr>
                <w:p w14:paraId="1932766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0.86 </w:t>
                  </w:r>
                </w:p>
              </w:tc>
              <w:tc>
                <w:tcPr>
                  <w:tcW w:w="921" w:type="dxa"/>
                  <w:tcBorders>
                    <w:top w:val="nil"/>
                    <w:left w:val="nil"/>
                    <w:bottom w:val="single" w:sz="8" w:space="0" w:color="FFFFFF"/>
                    <w:right w:val="single" w:sz="8" w:space="0" w:color="FFFFFF"/>
                  </w:tcBorders>
                  <w:shd w:val="clear" w:color="000000" w:fill="FCD5B4"/>
                  <w:noWrap/>
                  <w:vAlign w:val="center"/>
                  <w:hideMark/>
                </w:tcPr>
                <w:p w14:paraId="3FF5232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1.51 </w:t>
                  </w:r>
                </w:p>
              </w:tc>
              <w:tc>
                <w:tcPr>
                  <w:tcW w:w="921" w:type="dxa"/>
                  <w:tcBorders>
                    <w:top w:val="nil"/>
                    <w:left w:val="nil"/>
                    <w:bottom w:val="single" w:sz="8" w:space="0" w:color="FFFFFF"/>
                    <w:right w:val="single" w:sz="8" w:space="0" w:color="FFFFFF"/>
                  </w:tcBorders>
                  <w:shd w:val="clear" w:color="000000" w:fill="FCD5B4"/>
                  <w:noWrap/>
                  <w:vAlign w:val="center"/>
                  <w:hideMark/>
                </w:tcPr>
                <w:p w14:paraId="3A51C7C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3.71 </w:t>
                  </w:r>
                </w:p>
              </w:tc>
            </w:tr>
            <w:tr w:rsidR="00522436" w:rsidRPr="00522436" w14:paraId="10282E85"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5AA354BC"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6F6A45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3.67 </w:t>
                  </w:r>
                </w:p>
              </w:tc>
              <w:tc>
                <w:tcPr>
                  <w:tcW w:w="921" w:type="dxa"/>
                  <w:tcBorders>
                    <w:top w:val="nil"/>
                    <w:left w:val="nil"/>
                    <w:bottom w:val="single" w:sz="8" w:space="0" w:color="FFFFFF"/>
                    <w:right w:val="single" w:sz="8" w:space="0" w:color="FFFFFF"/>
                  </w:tcBorders>
                  <w:shd w:val="clear" w:color="000000" w:fill="FDE9D9"/>
                  <w:noWrap/>
                  <w:vAlign w:val="center"/>
                  <w:hideMark/>
                </w:tcPr>
                <w:p w14:paraId="7F0C451E"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3.94 </w:t>
                  </w:r>
                </w:p>
              </w:tc>
              <w:tc>
                <w:tcPr>
                  <w:tcW w:w="921" w:type="dxa"/>
                  <w:tcBorders>
                    <w:top w:val="nil"/>
                    <w:left w:val="nil"/>
                    <w:bottom w:val="single" w:sz="8" w:space="0" w:color="FFFFFF"/>
                    <w:right w:val="single" w:sz="8" w:space="0" w:color="FFFFFF"/>
                  </w:tcBorders>
                  <w:shd w:val="clear" w:color="000000" w:fill="FDE9D9"/>
                  <w:noWrap/>
                  <w:vAlign w:val="center"/>
                  <w:hideMark/>
                </w:tcPr>
                <w:p w14:paraId="14C49F1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4.59 </w:t>
                  </w:r>
                </w:p>
              </w:tc>
              <w:tc>
                <w:tcPr>
                  <w:tcW w:w="921" w:type="dxa"/>
                  <w:tcBorders>
                    <w:top w:val="nil"/>
                    <w:left w:val="nil"/>
                    <w:bottom w:val="single" w:sz="8" w:space="0" w:color="FFFFFF"/>
                    <w:right w:val="single" w:sz="8" w:space="0" w:color="FFFFFF"/>
                  </w:tcBorders>
                  <w:shd w:val="clear" w:color="000000" w:fill="FDE9D9"/>
                  <w:noWrap/>
                  <w:vAlign w:val="center"/>
                  <w:hideMark/>
                </w:tcPr>
                <w:p w14:paraId="5617ED5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6.79 </w:t>
                  </w:r>
                </w:p>
              </w:tc>
              <w:tc>
                <w:tcPr>
                  <w:tcW w:w="1150" w:type="dxa"/>
                  <w:tcBorders>
                    <w:top w:val="nil"/>
                    <w:left w:val="nil"/>
                    <w:bottom w:val="single" w:sz="8" w:space="0" w:color="FFFFFF"/>
                    <w:right w:val="single" w:sz="8" w:space="0" w:color="FFFFFF"/>
                  </w:tcBorders>
                  <w:shd w:val="clear" w:color="000000" w:fill="FDE9D9"/>
                  <w:noWrap/>
                  <w:vAlign w:val="center"/>
                  <w:hideMark/>
                </w:tcPr>
                <w:p w14:paraId="6EF87D4A"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4DEB6E8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0.72 </w:t>
                  </w:r>
                </w:p>
              </w:tc>
              <w:tc>
                <w:tcPr>
                  <w:tcW w:w="921" w:type="dxa"/>
                  <w:tcBorders>
                    <w:top w:val="nil"/>
                    <w:left w:val="nil"/>
                    <w:bottom w:val="single" w:sz="8" w:space="0" w:color="FFFFFF"/>
                    <w:right w:val="single" w:sz="8" w:space="0" w:color="FFFFFF"/>
                  </w:tcBorders>
                  <w:shd w:val="clear" w:color="000000" w:fill="FDE9D9"/>
                  <w:noWrap/>
                  <w:vAlign w:val="center"/>
                  <w:hideMark/>
                </w:tcPr>
                <w:p w14:paraId="5BFCFC0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1.00 </w:t>
                  </w:r>
                </w:p>
              </w:tc>
              <w:tc>
                <w:tcPr>
                  <w:tcW w:w="921" w:type="dxa"/>
                  <w:tcBorders>
                    <w:top w:val="nil"/>
                    <w:left w:val="nil"/>
                    <w:bottom w:val="single" w:sz="8" w:space="0" w:color="FFFFFF"/>
                    <w:right w:val="single" w:sz="8" w:space="0" w:color="FFFFFF"/>
                  </w:tcBorders>
                  <w:shd w:val="clear" w:color="000000" w:fill="FDE9D9"/>
                  <w:noWrap/>
                  <w:vAlign w:val="center"/>
                  <w:hideMark/>
                </w:tcPr>
                <w:p w14:paraId="135C719B"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1.65 </w:t>
                  </w:r>
                </w:p>
              </w:tc>
              <w:tc>
                <w:tcPr>
                  <w:tcW w:w="921" w:type="dxa"/>
                  <w:tcBorders>
                    <w:top w:val="nil"/>
                    <w:left w:val="nil"/>
                    <w:bottom w:val="single" w:sz="8" w:space="0" w:color="FFFFFF"/>
                    <w:right w:val="single" w:sz="8" w:space="0" w:color="FFFFFF"/>
                  </w:tcBorders>
                  <w:shd w:val="clear" w:color="000000" w:fill="FDE9D9"/>
                  <w:noWrap/>
                  <w:vAlign w:val="center"/>
                  <w:hideMark/>
                </w:tcPr>
                <w:p w14:paraId="5C7F067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3.85 </w:t>
                  </w:r>
                </w:p>
              </w:tc>
            </w:tr>
            <w:tr w:rsidR="00522436" w:rsidRPr="00522436" w14:paraId="4B34B1BF" w14:textId="77777777" w:rsidTr="00522436">
              <w:trPr>
                <w:trHeight w:val="310"/>
              </w:trPr>
              <w:tc>
                <w:tcPr>
                  <w:tcW w:w="1131" w:type="dxa"/>
                  <w:tcBorders>
                    <w:top w:val="nil"/>
                    <w:left w:val="nil"/>
                    <w:bottom w:val="single" w:sz="8" w:space="0" w:color="FFFFFF"/>
                    <w:right w:val="single" w:sz="8" w:space="0" w:color="FFFFFF"/>
                  </w:tcBorders>
                  <w:shd w:val="clear" w:color="000000" w:fill="FCD5B4"/>
                  <w:noWrap/>
                  <w:vAlign w:val="center"/>
                  <w:hideMark/>
                </w:tcPr>
                <w:p w14:paraId="708D60A2"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7AC1092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3.19 </w:t>
                  </w:r>
                </w:p>
              </w:tc>
              <w:tc>
                <w:tcPr>
                  <w:tcW w:w="921" w:type="dxa"/>
                  <w:tcBorders>
                    <w:top w:val="nil"/>
                    <w:left w:val="nil"/>
                    <w:bottom w:val="single" w:sz="8" w:space="0" w:color="FFFFFF"/>
                    <w:right w:val="single" w:sz="8" w:space="0" w:color="FFFFFF"/>
                  </w:tcBorders>
                  <w:shd w:val="clear" w:color="000000" w:fill="FCD5B4"/>
                  <w:noWrap/>
                  <w:vAlign w:val="center"/>
                  <w:hideMark/>
                </w:tcPr>
                <w:p w14:paraId="5A89295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3.31 </w:t>
                  </w:r>
                </w:p>
              </w:tc>
              <w:tc>
                <w:tcPr>
                  <w:tcW w:w="921" w:type="dxa"/>
                  <w:tcBorders>
                    <w:top w:val="nil"/>
                    <w:left w:val="nil"/>
                    <w:bottom w:val="single" w:sz="8" w:space="0" w:color="FFFFFF"/>
                    <w:right w:val="single" w:sz="8" w:space="0" w:color="FFFFFF"/>
                  </w:tcBorders>
                  <w:shd w:val="clear" w:color="000000" w:fill="FCD5B4"/>
                  <w:noWrap/>
                  <w:vAlign w:val="center"/>
                  <w:hideMark/>
                </w:tcPr>
                <w:p w14:paraId="5B04829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3.50 </w:t>
                  </w:r>
                </w:p>
              </w:tc>
              <w:tc>
                <w:tcPr>
                  <w:tcW w:w="921" w:type="dxa"/>
                  <w:tcBorders>
                    <w:top w:val="nil"/>
                    <w:left w:val="nil"/>
                    <w:bottom w:val="single" w:sz="8" w:space="0" w:color="FFFFFF"/>
                    <w:right w:val="single" w:sz="8" w:space="0" w:color="FFFFFF"/>
                  </w:tcBorders>
                  <w:shd w:val="clear" w:color="000000" w:fill="FCD5B4"/>
                  <w:noWrap/>
                  <w:vAlign w:val="center"/>
                  <w:hideMark/>
                </w:tcPr>
                <w:p w14:paraId="5711CDD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6.18 </w:t>
                  </w:r>
                </w:p>
              </w:tc>
              <w:tc>
                <w:tcPr>
                  <w:tcW w:w="1150" w:type="dxa"/>
                  <w:tcBorders>
                    <w:top w:val="nil"/>
                    <w:left w:val="nil"/>
                    <w:bottom w:val="single" w:sz="8" w:space="0" w:color="FFFFFF"/>
                    <w:right w:val="single" w:sz="8" w:space="0" w:color="FFFFFF"/>
                  </w:tcBorders>
                  <w:shd w:val="clear" w:color="000000" w:fill="FCD5B4"/>
                  <w:noWrap/>
                  <w:vAlign w:val="center"/>
                  <w:hideMark/>
                </w:tcPr>
                <w:p w14:paraId="611290CA"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20496D8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0.56 </w:t>
                  </w:r>
                </w:p>
              </w:tc>
              <w:tc>
                <w:tcPr>
                  <w:tcW w:w="921" w:type="dxa"/>
                  <w:tcBorders>
                    <w:top w:val="nil"/>
                    <w:left w:val="nil"/>
                    <w:bottom w:val="single" w:sz="8" w:space="0" w:color="FFFFFF"/>
                    <w:right w:val="single" w:sz="8" w:space="0" w:color="FFFFFF"/>
                  </w:tcBorders>
                  <w:shd w:val="clear" w:color="000000" w:fill="FCD5B4"/>
                  <w:noWrap/>
                  <w:vAlign w:val="center"/>
                  <w:hideMark/>
                </w:tcPr>
                <w:p w14:paraId="3BFA925B"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0.68 </w:t>
                  </w:r>
                </w:p>
              </w:tc>
              <w:tc>
                <w:tcPr>
                  <w:tcW w:w="921" w:type="dxa"/>
                  <w:tcBorders>
                    <w:top w:val="nil"/>
                    <w:left w:val="nil"/>
                    <w:bottom w:val="single" w:sz="8" w:space="0" w:color="FFFFFF"/>
                    <w:right w:val="single" w:sz="8" w:space="0" w:color="FFFFFF"/>
                  </w:tcBorders>
                  <w:shd w:val="clear" w:color="000000" w:fill="FCD5B4"/>
                  <w:noWrap/>
                  <w:vAlign w:val="center"/>
                  <w:hideMark/>
                </w:tcPr>
                <w:p w14:paraId="16CD722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0.87 </w:t>
                  </w:r>
                </w:p>
              </w:tc>
              <w:tc>
                <w:tcPr>
                  <w:tcW w:w="921" w:type="dxa"/>
                  <w:tcBorders>
                    <w:top w:val="nil"/>
                    <w:left w:val="nil"/>
                    <w:bottom w:val="single" w:sz="8" w:space="0" w:color="FFFFFF"/>
                    <w:right w:val="single" w:sz="8" w:space="0" w:color="FFFFFF"/>
                  </w:tcBorders>
                  <w:shd w:val="clear" w:color="000000" w:fill="FCD5B4"/>
                  <w:noWrap/>
                  <w:vAlign w:val="center"/>
                  <w:hideMark/>
                </w:tcPr>
                <w:p w14:paraId="62A0BB0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3.55 </w:t>
                  </w:r>
                </w:p>
              </w:tc>
            </w:tr>
            <w:tr w:rsidR="00522436" w:rsidRPr="00522436" w14:paraId="410B429A"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3F93C5ED"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231CF14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3.45 </w:t>
                  </w:r>
                </w:p>
              </w:tc>
              <w:tc>
                <w:tcPr>
                  <w:tcW w:w="921" w:type="dxa"/>
                  <w:tcBorders>
                    <w:top w:val="nil"/>
                    <w:left w:val="nil"/>
                    <w:bottom w:val="single" w:sz="8" w:space="0" w:color="FFFFFF"/>
                    <w:right w:val="single" w:sz="8" w:space="0" w:color="FFFFFF"/>
                  </w:tcBorders>
                  <w:shd w:val="clear" w:color="000000" w:fill="FDE9D9"/>
                  <w:noWrap/>
                  <w:vAlign w:val="center"/>
                  <w:hideMark/>
                </w:tcPr>
                <w:p w14:paraId="28605AD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3.66 </w:t>
                  </w:r>
                </w:p>
              </w:tc>
              <w:tc>
                <w:tcPr>
                  <w:tcW w:w="921" w:type="dxa"/>
                  <w:tcBorders>
                    <w:top w:val="nil"/>
                    <w:left w:val="nil"/>
                    <w:bottom w:val="single" w:sz="8" w:space="0" w:color="FFFFFF"/>
                    <w:right w:val="single" w:sz="8" w:space="0" w:color="FFFFFF"/>
                  </w:tcBorders>
                  <w:shd w:val="clear" w:color="000000" w:fill="FDE9D9"/>
                  <w:noWrap/>
                  <w:vAlign w:val="center"/>
                  <w:hideMark/>
                </w:tcPr>
                <w:p w14:paraId="138A29E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4.05 </w:t>
                  </w:r>
                </w:p>
              </w:tc>
              <w:tc>
                <w:tcPr>
                  <w:tcW w:w="921" w:type="dxa"/>
                  <w:tcBorders>
                    <w:top w:val="nil"/>
                    <w:left w:val="nil"/>
                    <w:bottom w:val="single" w:sz="8" w:space="0" w:color="FFFFFF"/>
                    <w:right w:val="single" w:sz="8" w:space="0" w:color="FFFFFF"/>
                  </w:tcBorders>
                  <w:shd w:val="clear" w:color="000000" w:fill="FDE9D9"/>
                  <w:noWrap/>
                  <w:vAlign w:val="center"/>
                  <w:hideMark/>
                </w:tcPr>
                <w:p w14:paraId="36771C9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7.00 </w:t>
                  </w:r>
                </w:p>
              </w:tc>
              <w:tc>
                <w:tcPr>
                  <w:tcW w:w="1150" w:type="dxa"/>
                  <w:tcBorders>
                    <w:top w:val="nil"/>
                    <w:left w:val="nil"/>
                    <w:bottom w:val="single" w:sz="8" w:space="0" w:color="FFFFFF"/>
                    <w:right w:val="single" w:sz="8" w:space="0" w:color="FFFFFF"/>
                  </w:tcBorders>
                  <w:shd w:val="clear" w:color="000000" w:fill="FDE9D9"/>
                  <w:noWrap/>
                  <w:vAlign w:val="center"/>
                  <w:hideMark/>
                </w:tcPr>
                <w:p w14:paraId="12900514"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3A1F834B"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0.66 </w:t>
                  </w:r>
                </w:p>
              </w:tc>
              <w:tc>
                <w:tcPr>
                  <w:tcW w:w="921" w:type="dxa"/>
                  <w:tcBorders>
                    <w:top w:val="nil"/>
                    <w:left w:val="nil"/>
                    <w:bottom w:val="single" w:sz="8" w:space="0" w:color="FFFFFF"/>
                    <w:right w:val="single" w:sz="8" w:space="0" w:color="FFFFFF"/>
                  </w:tcBorders>
                  <w:shd w:val="clear" w:color="000000" w:fill="FDE9D9"/>
                  <w:noWrap/>
                  <w:vAlign w:val="center"/>
                  <w:hideMark/>
                </w:tcPr>
                <w:p w14:paraId="65FCA27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0.87 </w:t>
                  </w:r>
                </w:p>
              </w:tc>
              <w:tc>
                <w:tcPr>
                  <w:tcW w:w="921" w:type="dxa"/>
                  <w:tcBorders>
                    <w:top w:val="nil"/>
                    <w:left w:val="nil"/>
                    <w:bottom w:val="single" w:sz="8" w:space="0" w:color="FFFFFF"/>
                    <w:right w:val="single" w:sz="8" w:space="0" w:color="FFFFFF"/>
                  </w:tcBorders>
                  <w:shd w:val="clear" w:color="000000" w:fill="FDE9D9"/>
                  <w:noWrap/>
                  <w:vAlign w:val="center"/>
                  <w:hideMark/>
                </w:tcPr>
                <w:p w14:paraId="27F1C7B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1.26 </w:t>
                  </w:r>
                </w:p>
              </w:tc>
              <w:tc>
                <w:tcPr>
                  <w:tcW w:w="921" w:type="dxa"/>
                  <w:tcBorders>
                    <w:top w:val="nil"/>
                    <w:left w:val="nil"/>
                    <w:bottom w:val="single" w:sz="8" w:space="0" w:color="FFFFFF"/>
                    <w:right w:val="single" w:sz="8" w:space="0" w:color="FFFFFF"/>
                  </w:tcBorders>
                  <w:shd w:val="clear" w:color="000000" w:fill="FDE9D9"/>
                  <w:noWrap/>
                  <w:vAlign w:val="center"/>
                  <w:hideMark/>
                </w:tcPr>
                <w:p w14:paraId="01875D1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4.21 </w:t>
                  </w:r>
                </w:p>
              </w:tc>
            </w:tr>
            <w:tr w:rsidR="00522436" w:rsidRPr="00522436" w14:paraId="3E035994" w14:textId="77777777" w:rsidTr="00522436">
              <w:trPr>
                <w:trHeight w:val="310"/>
              </w:trPr>
              <w:tc>
                <w:tcPr>
                  <w:tcW w:w="1131" w:type="dxa"/>
                  <w:tcBorders>
                    <w:top w:val="nil"/>
                    <w:left w:val="nil"/>
                    <w:bottom w:val="nil"/>
                    <w:right w:val="nil"/>
                  </w:tcBorders>
                  <w:shd w:val="clear" w:color="000000" w:fill="FCD5B4"/>
                  <w:noWrap/>
                  <w:vAlign w:val="center"/>
                  <w:hideMark/>
                </w:tcPr>
                <w:p w14:paraId="6806E277"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B2AD05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3.80 </w:t>
                  </w:r>
                </w:p>
              </w:tc>
              <w:tc>
                <w:tcPr>
                  <w:tcW w:w="921" w:type="dxa"/>
                  <w:tcBorders>
                    <w:top w:val="nil"/>
                    <w:left w:val="nil"/>
                    <w:bottom w:val="single" w:sz="8" w:space="0" w:color="FFFFFF"/>
                    <w:right w:val="single" w:sz="8" w:space="0" w:color="FFFFFF"/>
                  </w:tcBorders>
                  <w:shd w:val="clear" w:color="000000" w:fill="FCD5B4"/>
                  <w:noWrap/>
                  <w:vAlign w:val="center"/>
                  <w:hideMark/>
                </w:tcPr>
                <w:p w14:paraId="64875CA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4.00 </w:t>
                  </w:r>
                </w:p>
              </w:tc>
              <w:tc>
                <w:tcPr>
                  <w:tcW w:w="921" w:type="dxa"/>
                  <w:tcBorders>
                    <w:top w:val="nil"/>
                    <w:left w:val="nil"/>
                    <w:bottom w:val="single" w:sz="8" w:space="0" w:color="FFFFFF"/>
                    <w:right w:val="single" w:sz="8" w:space="0" w:color="FFFFFF"/>
                  </w:tcBorders>
                  <w:shd w:val="clear" w:color="000000" w:fill="FCD5B4"/>
                  <w:noWrap/>
                  <w:vAlign w:val="center"/>
                  <w:hideMark/>
                </w:tcPr>
                <w:p w14:paraId="37FAD57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4.51 </w:t>
                  </w:r>
                </w:p>
              </w:tc>
              <w:tc>
                <w:tcPr>
                  <w:tcW w:w="921" w:type="dxa"/>
                  <w:tcBorders>
                    <w:top w:val="nil"/>
                    <w:left w:val="nil"/>
                    <w:bottom w:val="single" w:sz="8" w:space="0" w:color="FFFFFF"/>
                    <w:right w:val="single" w:sz="8" w:space="0" w:color="FFFFFF"/>
                  </w:tcBorders>
                  <w:shd w:val="clear" w:color="000000" w:fill="FCD5B4"/>
                  <w:noWrap/>
                  <w:vAlign w:val="center"/>
                  <w:hideMark/>
                </w:tcPr>
                <w:p w14:paraId="2CDC7C7E"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7.47 </w:t>
                  </w:r>
                </w:p>
              </w:tc>
              <w:tc>
                <w:tcPr>
                  <w:tcW w:w="1150" w:type="dxa"/>
                  <w:tcBorders>
                    <w:top w:val="nil"/>
                    <w:left w:val="nil"/>
                    <w:bottom w:val="nil"/>
                    <w:right w:val="nil"/>
                  </w:tcBorders>
                  <w:shd w:val="clear" w:color="000000" w:fill="FCD5B4"/>
                  <w:noWrap/>
                  <w:vAlign w:val="center"/>
                  <w:hideMark/>
                </w:tcPr>
                <w:p w14:paraId="21A0B914"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2DE8FCC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0.85 </w:t>
                  </w:r>
                </w:p>
              </w:tc>
              <w:tc>
                <w:tcPr>
                  <w:tcW w:w="921" w:type="dxa"/>
                  <w:tcBorders>
                    <w:top w:val="nil"/>
                    <w:left w:val="nil"/>
                    <w:bottom w:val="single" w:sz="8" w:space="0" w:color="FFFFFF"/>
                    <w:right w:val="single" w:sz="8" w:space="0" w:color="FFFFFF"/>
                  </w:tcBorders>
                  <w:shd w:val="clear" w:color="000000" w:fill="FCD5B4"/>
                  <w:noWrap/>
                  <w:vAlign w:val="center"/>
                  <w:hideMark/>
                </w:tcPr>
                <w:p w14:paraId="5E36F15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1.06 </w:t>
                  </w:r>
                </w:p>
              </w:tc>
              <w:tc>
                <w:tcPr>
                  <w:tcW w:w="921" w:type="dxa"/>
                  <w:tcBorders>
                    <w:top w:val="nil"/>
                    <w:left w:val="nil"/>
                    <w:bottom w:val="single" w:sz="8" w:space="0" w:color="FFFFFF"/>
                    <w:right w:val="single" w:sz="8" w:space="0" w:color="FFFFFF"/>
                  </w:tcBorders>
                  <w:shd w:val="clear" w:color="000000" w:fill="FCD5B4"/>
                  <w:noWrap/>
                  <w:vAlign w:val="center"/>
                  <w:hideMark/>
                </w:tcPr>
                <w:p w14:paraId="7CD6025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1.57 </w:t>
                  </w:r>
                </w:p>
              </w:tc>
              <w:tc>
                <w:tcPr>
                  <w:tcW w:w="921" w:type="dxa"/>
                  <w:tcBorders>
                    <w:top w:val="nil"/>
                    <w:left w:val="nil"/>
                    <w:bottom w:val="single" w:sz="8" w:space="0" w:color="FFFFFF"/>
                    <w:right w:val="single" w:sz="8" w:space="0" w:color="FFFFFF"/>
                  </w:tcBorders>
                  <w:shd w:val="clear" w:color="000000" w:fill="FCD5B4"/>
                  <w:noWrap/>
                  <w:vAlign w:val="center"/>
                  <w:hideMark/>
                </w:tcPr>
                <w:p w14:paraId="39243B4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4.53 </w:t>
                  </w:r>
                </w:p>
              </w:tc>
            </w:tr>
            <w:tr w:rsidR="00522436" w:rsidRPr="00522436" w14:paraId="7406B1F6" w14:textId="77777777" w:rsidTr="00522436">
              <w:trPr>
                <w:trHeight w:val="160"/>
              </w:trPr>
              <w:tc>
                <w:tcPr>
                  <w:tcW w:w="1131" w:type="dxa"/>
                  <w:tcBorders>
                    <w:top w:val="nil"/>
                    <w:left w:val="nil"/>
                    <w:bottom w:val="nil"/>
                    <w:right w:val="nil"/>
                  </w:tcBorders>
                  <w:shd w:val="clear" w:color="auto" w:fill="auto"/>
                  <w:noWrap/>
                  <w:vAlign w:val="center"/>
                  <w:hideMark/>
                </w:tcPr>
                <w:p w14:paraId="2190587C" w14:textId="77777777" w:rsidR="00522436" w:rsidRPr="00522436" w:rsidRDefault="00522436" w:rsidP="00522436">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399F5F18"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20FF196"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8B3E77A"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8C400F3" w14:textId="77777777" w:rsidR="00522436" w:rsidRPr="00522436" w:rsidRDefault="00522436" w:rsidP="00522436">
                  <w:pPr>
                    <w:widowControl/>
                    <w:jc w:val="center"/>
                    <w:rPr>
                      <w:rFonts w:ascii="Times New Roman" w:eastAsia="Times New Roman" w:hAnsi="Times New Roman"/>
                      <w:kern w:val="0"/>
                      <w:sz w:val="20"/>
                      <w:szCs w:val="20"/>
                    </w:rPr>
                  </w:pPr>
                </w:p>
              </w:tc>
              <w:tc>
                <w:tcPr>
                  <w:tcW w:w="1150" w:type="dxa"/>
                  <w:tcBorders>
                    <w:top w:val="nil"/>
                    <w:left w:val="nil"/>
                    <w:bottom w:val="nil"/>
                    <w:right w:val="nil"/>
                  </w:tcBorders>
                  <w:shd w:val="clear" w:color="auto" w:fill="auto"/>
                  <w:noWrap/>
                  <w:vAlign w:val="center"/>
                  <w:hideMark/>
                </w:tcPr>
                <w:p w14:paraId="326524A6"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D3BBAE2"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77D745A"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2E56B1A"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64A8616" w14:textId="77777777" w:rsidR="00522436" w:rsidRPr="00522436" w:rsidRDefault="00522436" w:rsidP="00522436">
                  <w:pPr>
                    <w:widowControl/>
                    <w:jc w:val="center"/>
                    <w:rPr>
                      <w:rFonts w:ascii="Times New Roman" w:eastAsia="Times New Roman" w:hAnsi="Times New Roman"/>
                      <w:kern w:val="0"/>
                      <w:sz w:val="20"/>
                      <w:szCs w:val="20"/>
                    </w:rPr>
                  </w:pPr>
                </w:p>
              </w:tc>
            </w:tr>
            <w:tr w:rsidR="00522436" w:rsidRPr="00522436" w14:paraId="67AF4F87" w14:textId="77777777" w:rsidTr="00522436">
              <w:trPr>
                <w:trHeight w:val="310"/>
              </w:trPr>
              <w:tc>
                <w:tcPr>
                  <w:tcW w:w="1131" w:type="dxa"/>
                  <w:tcBorders>
                    <w:top w:val="nil"/>
                    <w:left w:val="nil"/>
                    <w:bottom w:val="single" w:sz="12" w:space="0" w:color="FFFFFF"/>
                    <w:right w:val="single" w:sz="8" w:space="0" w:color="FFFFFF"/>
                  </w:tcBorders>
                  <w:shd w:val="clear" w:color="000000" w:fill="F79646"/>
                  <w:noWrap/>
                  <w:vAlign w:val="center"/>
                  <w:hideMark/>
                </w:tcPr>
                <w:p w14:paraId="3FE61E82" w14:textId="77777777" w:rsidR="00522436" w:rsidRPr="00522436" w:rsidRDefault="00522436" w:rsidP="00522436">
                  <w:pPr>
                    <w:widowControl/>
                    <w:jc w:val="center"/>
                    <w:rPr>
                      <w:rFonts w:ascii="楷体" w:eastAsia="楷体" w:hAnsi="楷体" w:cs="宋体"/>
                      <w:b/>
                      <w:bCs/>
                      <w:color w:val="FFFFFF"/>
                      <w:kern w:val="0"/>
                      <w:sz w:val="20"/>
                      <w:szCs w:val="20"/>
                    </w:rPr>
                  </w:pPr>
                  <w:proofErr w:type="gramStart"/>
                  <w:r w:rsidRPr="00522436">
                    <w:rPr>
                      <w:rFonts w:ascii="楷体" w:eastAsia="楷体" w:hAnsi="楷体" w:cs="宋体" w:hint="eastAsia"/>
                      <w:b/>
                      <w:bCs/>
                      <w:color w:val="FFFFFF"/>
                      <w:kern w:val="0"/>
                      <w:sz w:val="20"/>
                      <w:szCs w:val="20"/>
                    </w:rPr>
                    <w:t>周变化</w:t>
                  </w:r>
                  <w:proofErr w:type="gramEnd"/>
                  <w:r w:rsidRPr="00522436">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7A2D29AE"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1A4EADA"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ED283BD"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D14BBA3"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1150" w:type="dxa"/>
                  <w:tcBorders>
                    <w:top w:val="nil"/>
                    <w:left w:val="nil"/>
                    <w:bottom w:val="single" w:sz="12" w:space="0" w:color="FFFFFF"/>
                    <w:right w:val="single" w:sz="8" w:space="0" w:color="FFFFFF"/>
                  </w:tcBorders>
                  <w:shd w:val="clear" w:color="000000" w:fill="F79646"/>
                  <w:noWrap/>
                  <w:vAlign w:val="center"/>
                  <w:hideMark/>
                </w:tcPr>
                <w:p w14:paraId="6F6F04C0"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11161DDB"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88427D0"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0F81475"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8358154"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r>
            <w:tr w:rsidR="00522436" w:rsidRPr="00522436" w14:paraId="691FA2FB" w14:textId="77777777" w:rsidTr="00522436">
              <w:trPr>
                <w:trHeight w:val="321"/>
              </w:trPr>
              <w:tc>
                <w:tcPr>
                  <w:tcW w:w="1131" w:type="dxa"/>
                  <w:tcBorders>
                    <w:top w:val="nil"/>
                    <w:left w:val="nil"/>
                    <w:bottom w:val="single" w:sz="8" w:space="0" w:color="FFFFFF"/>
                    <w:right w:val="single" w:sz="8" w:space="0" w:color="FFFFFF"/>
                  </w:tcBorders>
                  <w:shd w:val="clear" w:color="000000" w:fill="FCD5B4"/>
                  <w:noWrap/>
                  <w:vAlign w:val="center"/>
                  <w:hideMark/>
                </w:tcPr>
                <w:p w14:paraId="4B8AC9FB"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673772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-11.8 </w:t>
                  </w:r>
                </w:p>
              </w:tc>
              <w:tc>
                <w:tcPr>
                  <w:tcW w:w="921" w:type="dxa"/>
                  <w:tcBorders>
                    <w:top w:val="nil"/>
                    <w:left w:val="nil"/>
                    <w:bottom w:val="single" w:sz="8" w:space="0" w:color="FFFFFF"/>
                    <w:right w:val="single" w:sz="8" w:space="0" w:color="FFFFFF"/>
                  </w:tcBorders>
                  <w:shd w:val="clear" w:color="000000" w:fill="FCD5B4"/>
                  <w:noWrap/>
                  <w:vAlign w:val="center"/>
                  <w:hideMark/>
                </w:tcPr>
                <w:p w14:paraId="36AEEC4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-9.8 </w:t>
                  </w:r>
                </w:p>
              </w:tc>
              <w:tc>
                <w:tcPr>
                  <w:tcW w:w="921" w:type="dxa"/>
                  <w:tcBorders>
                    <w:top w:val="nil"/>
                    <w:left w:val="nil"/>
                    <w:bottom w:val="single" w:sz="8" w:space="0" w:color="FFFFFF"/>
                    <w:right w:val="single" w:sz="8" w:space="0" w:color="FFFFFF"/>
                  </w:tcBorders>
                  <w:shd w:val="clear" w:color="000000" w:fill="FCD5B4"/>
                  <w:noWrap/>
                  <w:vAlign w:val="center"/>
                  <w:hideMark/>
                </w:tcPr>
                <w:p w14:paraId="6FAA78B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-11.8 </w:t>
                  </w:r>
                </w:p>
              </w:tc>
              <w:tc>
                <w:tcPr>
                  <w:tcW w:w="921" w:type="dxa"/>
                  <w:tcBorders>
                    <w:top w:val="nil"/>
                    <w:left w:val="nil"/>
                    <w:bottom w:val="single" w:sz="8" w:space="0" w:color="FFFFFF"/>
                    <w:right w:val="single" w:sz="8" w:space="0" w:color="FFFFFF"/>
                  </w:tcBorders>
                  <w:shd w:val="clear" w:color="000000" w:fill="FCD5B4"/>
                  <w:noWrap/>
                  <w:vAlign w:val="center"/>
                  <w:hideMark/>
                </w:tcPr>
                <w:p w14:paraId="79E4FA8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-11.8 </w:t>
                  </w:r>
                </w:p>
              </w:tc>
              <w:tc>
                <w:tcPr>
                  <w:tcW w:w="1150" w:type="dxa"/>
                  <w:tcBorders>
                    <w:top w:val="nil"/>
                    <w:left w:val="nil"/>
                    <w:bottom w:val="single" w:sz="8" w:space="0" w:color="FFFFFF"/>
                    <w:right w:val="single" w:sz="8" w:space="0" w:color="FFFFFF"/>
                  </w:tcBorders>
                  <w:shd w:val="clear" w:color="000000" w:fill="FCD5B4"/>
                  <w:noWrap/>
                  <w:vAlign w:val="center"/>
                  <w:hideMark/>
                </w:tcPr>
                <w:p w14:paraId="606C4AAF"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357A119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-4.3 </w:t>
                  </w:r>
                </w:p>
              </w:tc>
              <w:tc>
                <w:tcPr>
                  <w:tcW w:w="921" w:type="dxa"/>
                  <w:tcBorders>
                    <w:top w:val="nil"/>
                    <w:left w:val="nil"/>
                    <w:bottom w:val="single" w:sz="8" w:space="0" w:color="FFFFFF"/>
                    <w:right w:val="single" w:sz="8" w:space="0" w:color="FFFFFF"/>
                  </w:tcBorders>
                  <w:shd w:val="clear" w:color="000000" w:fill="FCD5B4"/>
                  <w:noWrap/>
                  <w:vAlign w:val="center"/>
                  <w:hideMark/>
                </w:tcPr>
                <w:p w14:paraId="2701848E"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-2.3 </w:t>
                  </w:r>
                </w:p>
              </w:tc>
              <w:tc>
                <w:tcPr>
                  <w:tcW w:w="921" w:type="dxa"/>
                  <w:tcBorders>
                    <w:top w:val="nil"/>
                    <w:left w:val="nil"/>
                    <w:bottom w:val="single" w:sz="8" w:space="0" w:color="FFFFFF"/>
                    <w:right w:val="single" w:sz="8" w:space="0" w:color="FFFFFF"/>
                  </w:tcBorders>
                  <w:shd w:val="clear" w:color="000000" w:fill="FCD5B4"/>
                  <w:noWrap/>
                  <w:vAlign w:val="center"/>
                  <w:hideMark/>
                </w:tcPr>
                <w:p w14:paraId="004705FE"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-4.3 </w:t>
                  </w:r>
                </w:p>
              </w:tc>
              <w:tc>
                <w:tcPr>
                  <w:tcW w:w="921" w:type="dxa"/>
                  <w:tcBorders>
                    <w:top w:val="nil"/>
                    <w:left w:val="nil"/>
                    <w:bottom w:val="single" w:sz="8" w:space="0" w:color="FFFFFF"/>
                    <w:right w:val="single" w:sz="8" w:space="0" w:color="FFFFFF"/>
                  </w:tcBorders>
                  <w:shd w:val="clear" w:color="000000" w:fill="FCD5B4"/>
                  <w:noWrap/>
                  <w:vAlign w:val="center"/>
                  <w:hideMark/>
                </w:tcPr>
                <w:p w14:paraId="3FBDA2E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-4.3 </w:t>
                  </w:r>
                </w:p>
              </w:tc>
            </w:tr>
            <w:tr w:rsidR="00522436" w:rsidRPr="00522436" w14:paraId="497D4922"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7DBC5358"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CD640D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-9.1 </w:t>
                  </w:r>
                </w:p>
              </w:tc>
              <w:tc>
                <w:tcPr>
                  <w:tcW w:w="921" w:type="dxa"/>
                  <w:tcBorders>
                    <w:top w:val="nil"/>
                    <w:left w:val="nil"/>
                    <w:bottom w:val="single" w:sz="8" w:space="0" w:color="FFFFFF"/>
                    <w:right w:val="single" w:sz="8" w:space="0" w:color="FFFFFF"/>
                  </w:tcBorders>
                  <w:shd w:val="clear" w:color="000000" w:fill="FDE9D9"/>
                  <w:noWrap/>
                  <w:vAlign w:val="center"/>
                  <w:hideMark/>
                </w:tcPr>
                <w:p w14:paraId="02826B4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-9.1 </w:t>
                  </w:r>
                </w:p>
              </w:tc>
              <w:tc>
                <w:tcPr>
                  <w:tcW w:w="921" w:type="dxa"/>
                  <w:tcBorders>
                    <w:top w:val="nil"/>
                    <w:left w:val="nil"/>
                    <w:bottom w:val="single" w:sz="8" w:space="0" w:color="FFFFFF"/>
                    <w:right w:val="single" w:sz="8" w:space="0" w:color="FFFFFF"/>
                  </w:tcBorders>
                  <w:shd w:val="clear" w:color="000000" w:fill="FDE9D9"/>
                  <w:noWrap/>
                  <w:vAlign w:val="center"/>
                  <w:hideMark/>
                </w:tcPr>
                <w:p w14:paraId="605A16D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-7.1 </w:t>
                  </w:r>
                </w:p>
              </w:tc>
              <w:tc>
                <w:tcPr>
                  <w:tcW w:w="921" w:type="dxa"/>
                  <w:tcBorders>
                    <w:top w:val="nil"/>
                    <w:left w:val="nil"/>
                    <w:bottom w:val="single" w:sz="8" w:space="0" w:color="FFFFFF"/>
                    <w:right w:val="single" w:sz="8" w:space="0" w:color="FFFFFF"/>
                  </w:tcBorders>
                  <w:shd w:val="clear" w:color="000000" w:fill="FDE9D9"/>
                  <w:noWrap/>
                  <w:vAlign w:val="center"/>
                  <w:hideMark/>
                </w:tcPr>
                <w:p w14:paraId="7B2C5CE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-7.2 </w:t>
                  </w:r>
                </w:p>
              </w:tc>
              <w:tc>
                <w:tcPr>
                  <w:tcW w:w="1150" w:type="dxa"/>
                  <w:tcBorders>
                    <w:top w:val="nil"/>
                    <w:left w:val="nil"/>
                    <w:bottom w:val="single" w:sz="8" w:space="0" w:color="FFFFFF"/>
                    <w:right w:val="single" w:sz="8" w:space="0" w:color="FFFFFF"/>
                  </w:tcBorders>
                  <w:shd w:val="clear" w:color="000000" w:fill="FDE9D9"/>
                  <w:noWrap/>
                  <w:vAlign w:val="center"/>
                  <w:hideMark/>
                </w:tcPr>
                <w:p w14:paraId="6FF5E0DD"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46C0665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1.6 </w:t>
                  </w:r>
                </w:p>
              </w:tc>
              <w:tc>
                <w:tcPr>
                  <w:tcW w:w="921" w:type="dxa"/>
                  <w:tcBorders>
                    <w:top w:val="nil"/>
                    <w:left w:val="nil"/>
                    <w:bottom w:val="single" w:sz="8" w:space="0" w:color="FFFFFF"/>
                    <w:right w:val="single" w:sz="8" w:space="0" w:color="FFFFFF"/>
                  </w:tcBorders>
                  <w:shd w:val="clear" w:color="000000" w:fill="FDE9D9"/>
                  <w:noWrap/>
                  <w:vAlign w:val="center"/>
                  <w:hideMark/>
                </w:tcPr>
                <w:p w14:paraId="5E23BCC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1.6 </w:t>
                  </w:r>
                </w:p>
              </w:tc>
              <w:tc>
                <w:tcPr>
                  <w:tcW w:w="921" w:type="dxa"/>
                  <w:tcBorders>
                    <w:top w:val="nil"/>
                    <w:left w:val="nil"/>
                    <w:bottom w:val="single" w:sz="8" w:space="0" w:color="FFFFFF"/>
                    <w:right w:val="single" w:sz="8" w:space="0" w:color="FFFFFF"/>
                  </w:tcBorders>
                  <w:shd w:val="clear" w:color="000000" w:fill="FDE9D9"/>
                  <w:noWrap/>
                  <w:vAlign w:val="center"/>
                  <w:hideMark/>
                </w:tcPr>
                <w:p w14:paraId="1C0ED51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3.6 </w:t>
                  </w:r>
                </w:p>
              </w:tc>
              <w:tc>
                <w:tcPr>
                  <w:tcW w:w="921" w:type="dxa"/>
                  <w:tcBorders>
                    <w:top w:val="nil"/>
                    <w:left w:val="nil"/>
                    <w:bottom w:val="single" w:sz="8" w:space="0" w:color="FFFFFF"/>
                    <w:right w:val="single" w:sz="8" w:space="0" w:color="FFFFFF"/>
                  </w:tcBorders>
                  <w:shd w:val="clear" w:color="000000" w:fill="FDE9D9"/>
                  <w:noWrap/>
                  <w:vAlign w:val="center"/>
                  <w:hideMark/>
                </w:tcPr>
                <w:p w14:paraId="0011E4A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3.6 </w:t>
                  </w:r>
                </w:p>
              </w:tc>
            </w:tr>
            <w:tr w:rsidR="00522436" w:rsidRPr="00522436" w14:paraId="0CE9EDD9" w14:textId="77777777" w:rsidTr="00522436">
              <w:trPr>
                <w:trHeight w:val="310"/>
              </w:trPr>
              <w:tc>
                <w:tcPr>
                  <w:tcW w:w="1131" w:type="dxa"/>
                  <w:tcBorders>
                    <w:top w:val="nil"/>
                    <w:left w:val="nil"/>
                    <w:bottom w:val="single" w:sz="8" w:space="0" w:color="FFFFFF"/>
                    <w:right w:val="single" w:sz="8" w:space="0" w:color="FFFFFF"/>
                  </w:tcBorders>
                  <w:shd w:val="clear" w:color="000000" w:fill="FCD5B4"/>
                  <w:noWrap/>
                  <w:vAlign w:val="center"/>
                  <w:hideMark/>
                </w:tcPr>
                <w:p w14:paraId="666B8A39"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6A2914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-12.1 </w:t>
                  </w:r>
                </w:p>
              </w:tc>
              <w:tc>
                <w:tcPr>
                  <w:tcW w:w="921" w:type="dxa"/>
                  <w:tcBorders>
                    <w:top w:val="nil"/>
                    <w:left w:val="nil"/>
                    <w:bottom w:val="single" w:sz="8" w:space="0" w:color="FFFFFF"/>
                    <w:right w:val="single" w:sz="8" w:space="0" w:color="FFFFFF"/>
                  </w:tcBorders>
                  <w:shd w:val="clear" w:color="000000" w:fill="FCD5B4"/>
                  <w:noWrap/>
                  <w:vAlign w:val="center"/>
                  <w:hideMark/>
                </w:tcPr>
                <w:p w14:paraId="65AB880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-13.1 </w:t>
                  </w:r>
                </w:p>
              </w:tc>
              <w:tc>
                <w:tcPr>
                  <w:tcW w:w="921" w:type="dxa"/>
                  <w:tcBorders>
                    <w:top w:val="nil"/>
                    <w:left w:val="nil"/>
                    <w:bottom w:val="single" w:sz="8" w:space="0" w:color="FFFFFF"/>
                    <w:right w:val="single" w:sz="8" w:space="0" w:color="FFFFFF"/>
                  </w:tcBorders>
                  <w:shd w:val="clear" w:color="000000" w:fill="FCD5B4"/>
                  <w:noWrap/>
                  <w:vAlign w:val="center"/>
                  <w:hideMark/>
                </w:tcPr>
                <w:p w14:paraId="008EB32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-11.1 </w:t>
                  </w:r>
                </w:p>
              </w:tc>
              <w:tc>
                <w:tcPr>
                  <w:tcW w:w="921" w:type="dxa"/>
                  <w:tcBorders>
                    <w:top w:val="nil"/>
                    <w:left w:val="nil"/>
                    <w:bottom w:val="single" w:sz="8" w:space="0" w:color="FFFFFF"/>
                    <w:right w:val="single" w:sz="8" w:space="0" w:color="FFFFFF"/>
                  </w:tcBorders>
                  <w:shd w:val="clear" w:color="000000" w:fill="FCD5B4"/>
                  <w:noWrap/>
                  <w:vAlign w:val="center"/>
                  <w:hideMark/>
                </w:tcPr>
                <w:p w14:paraId="7D7C095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-11.1 </w:t>
                  </w:r>
                </w:p>
              </w:tc>
              <w:tc>
                <w:tcPr>
                  <w:tcW w:w="1150" w:type="dxa"/>
                  <w:tcBorders>
                    <w:top w:val="nil"/>
                    <w:left w:val="nil"/>
                    <w:bottom w:val="single" w:sz="8" w:space="0" w:color="FFFFFF"/>
                    <w:right w:val="single" w:sz="8" w:space="0" w:color="FFFFFF"/>
                  </w:tcBorders>
                  <w:shd w:val="clear" w:color="000000" w:fill="FCD5B4"/>
                  <w:noWrap/>
                  <w:vAlign w:val="center"/>
                  <w:hideMark/>
                </w:tcPr>
                <w:p w14:paraId="1A7EC8C4"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0CE8BFC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-2.0 </w:t>
                  </w:r>
                </w:p>
              </w:tc>
              <w:tc>
                <w:tcPr>
                  <w:tcW w:w="921" w:type="dxa"/>
                  <w:tcBorders>
                    <w:top w:val="nil"/>
                    <w:left w:val="nil"/>
                    <w:bottom w:val="single" w:sz="8" w:space="0" w:color="FFFFFF"/>
                    <w:right w:val="single" w:sz="8" w:space="0" w:color="FFFFFF"/>
                  </w:tcBorders>
                  <w:shd w:val="clear" w:color="000000" w:fill="FCD5B4"/>
                  <w:noWrap/>
                  <w:vAlign w:val="center"/>
                  <w:hideMark/>
                </w:tcPr>
                <w:p w14:paraId="5811EE1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CD5B4"/>
                  <w:noWrap/>
                  <w:vAlign w:val="center"/>
                  <w:hideMark/>
                </w:tcPr>
                <w:p w14:paraId="42E7B60E"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-1.0 </w:t>
                  </w:r>
                </w:p>
              </w:tc>
              <w:tc>
                <w:tcPr>
                  <w:tcW w:w="921" w:type="dxa"/>
                  <w:tcBorders>
                    <w:top w:val="nil"/>
                    <w:left w:val="nil"/>
                    <w:bottom w:val="single" w:sz="8" w:space="0" w:color="FFFFFF"/>
                    <w:right w:val="single" w:sz="8" w:space="0" w:color="FFFFFF"/>
                  </w:tcBorders>
                  <w:shd w:val="clear" w:color="000000" w:fill="FCD5B4"/>
                  <w:noWrap/>
                  <w:vAlign w:val="center"/>
                  <w:hideMark/>
                </w:tcPr>
                <w:p w14:paraId="4E401EC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-1.0 </w:t>
                  </w:r>
                </w:p>
              </w:tc>
            </w:tr>
            <w:tr w:rsidR="00522436" w:rsidRPr="00522436" w14:paraId="4B96FC1F"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055655BC"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5C23ADB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-7.6 </w:t>
                  </w:r>
                </w:p>
              </w:tc>
              <w:tc>
                <w:tcPr>
                  <w:tcW w:w="921" w:type="dxa"/>
                  <w:tcBorders>
                    <w:top w:val="nil"/>
                    <w:left w:val="nil"/>
                    <w:bottom w:val="single" w:sz="8" w:space="0" w:color="FFFFFF"/>
                    <w:right w:val="single" w:sz="8" w:space="0" w:color="FFFFFF"/>
                  </w:tcBorders>
                  <w:shd w:val="clear" w:color="000000" w:fill="FDE9D9"/>
                  <w:noWrap/>
                  <w:vAlign w:val="center"/>
                  <w:hideMark/>
                </w:tcPr>
                <w:p w14:paraId="5FCD1E7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-6.6 </w:t>
                  </w:r>
                </w:p>
              </w:tc>
              <w:tc>
                <w:tcPr>
                  <w:tcW w:w="921" w:type="dxa"/>
                  <w:tcBorders>
                    <w:top w:val="nil"/>
                    <w:left w:val="nil"/>
                    <w:bottom w:val="single" w:sz="8" w:space="0" w:color="FFFFFF"/>
                    <w:right w:val="single" w:sz="8" w:space="0" w:color="FFFFFF"/>
                  </w:tcBorders>
                  <w:shd w:val="clear" w:color="000000" w:fill="FDE9D9"/>
                  <w:noWrap/>
                  <w:vAlign w:val="center"/>
                  <w:hideMark/>
                </w:tcPr>
                <w:p w14:paraId="5B16061B"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-7.6 </w:t>
                  </w:r>
                </w:p>
              </w:tc>
              <w:tc>
                <w:tcPr>
                  <w:tcW w:w="921" w:type="dxa"/>
                  <w:tcBorders>
                    <w:top w:val="nil"/>
                    <w:left w:val="nil"/>
                    <w:bottom w:val="single" w:sz="8" w:space="0" w:color="FFFFFF"/>
                    <w:right w:val="single" w:sz="8" w:space="0" w:color="FFFFFF"/>
                  </w:tcBorders>
                  <w:shd w:val="clear" w:color="000000" w:fill="FDE9D9"/>
                  <w:noWrap/>
                  <w:vAlign w:val="center"/>
                  <w:hideMark/>
                </w:tcPr>
                <w:p w14:paraId="76F51BF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-7.6 </w:t>
                  </w:r>
                </w:p>
              </w:tc>
              <w:tc>
                <w:tcPr>
                  <w:tcW w:w="1150" w:type="dxa"/>
                  <w:tcBorders>
                    <w:top w:val="nil"/>
                    <w:left w:val="nil"/>
                    <w:bottom w:val="single" w:sz="8" w:space="0" w:color="FFFFFF"/>
                    <w:right w:val="single" w:sz="8" w:space="0" w:color="FFFFFF"/>
                  </w:tcBorders>
                  <w:shd w:val="clear" w:color="000000" w:fill="FDE9D9"/>
                  <w:noWrap/>
                  <w:vAlign w:val="center"/>
                  <w:hideMark/>
                </w:tcPr>
                <w:p w14:paraId="343EAA9F"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6324722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3.2 </w:t>
                  </w:r>
                </w:p>
              </w:tc>
              <w:tc>
                <w:tcPr>
                  <w:tcW w:w="921" w:type="dxa"/>
                  <w:tcBorders>
                    <w:top w:val="nil"/>
                    <w:left w:val="nil"/>
                    <w:bottom w:val="single" w:sz="8" w:space="0" w:color="FFFFFF"/>
                    <w:right w:val="single" w:sz="8" w:space="0" w:color="FFFFFF"/>
                  </w:tcBorders>
                  <w:shd w:val="clear" w:color="000000" w:fill="FDE9D9"/>
                  <w:noWrap/>
                  <w:vAlign w:val="center"/>
                  <w:hideMark/>
                </w:tcPr>
                <w:p w14:paraId="083BF43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4.2 </w:t>
                  </w:r>
                </w:p>
              </w:tc>
              <w:tc>
                <w:tcPr>
                  <w:tcW w:w="921" w:type="dxa"/>
                  <w:tcBorders>
                    <w:top w:val="nil"/>
                    <w:left w:val="nil"/>
                    <w:bottom w:val="single" w:sz="8" w:space="0" w:color="FFFFFF"/>
                    <w:right w:val="single" w:sz="8" w:space="0" w:color="FFFFFF"/>
                  </w:tcBorders>
                  <w:shd w:val="clear" w:color="000000" w:fill="FDE9D9"/>
                  <w:noWrap/>
                  <w:vAlign w:val="center"/>
                  <w:hideMark/>
                </w:tcPr>
                <w:p w14:paraId="7F14EF1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3.2 </w:t>
                  </w:r>
                </w:p>
              </w:tc>
              <w:tc>
                <w:tcPr>
                  <w:tcW w:w="921" w:type="dxa"/>
                  <w:tcBorders>
                    <w:top w:val="nil"/>
                    <w:left w:val="nil"/>
                    <w:bottom w:val="single" w:sz="8" w:space="0" w:color="FFFFFF"/>
                    <w:right w:val="single" w:sz="8" w:space="0" w:color="FFFFFF"/>
                  </w:tcBorders>
                  <w:shd w:val="clear" w:color="000000" w:fill="FDE9D9"/>
                  <w:noWrap/>
                  <w:vAlign w:val="center"/>
                  <w:hideMark/>
                </w:tcPr>
                <w:p w14:paraId="6124608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3.2 </w:t>
                  </w:r>
                </w:p>
              </w:tc>
            </w:tr>
            <w:tr w:rsidR="00522436" w:rsidRPr="00522436" w14:paraId="445C2E7B" w14:textId="77777777" w:rsidTr="00522436">
              <w:trPr>
                <w:trHeight w:val="310"/>
              </w:trPr>
              <w:tc>
                <w:tcPr>
                  <w:tcW w:w="1131" w:type="dxa"/>
                  <w:tcBorders>
                    <w:top w:val="nil"/>
                    <w:left w:val="nil"/>
                    <w:bottom w:val="single" w:sz="8" w:space="0" w:color="FFFFFF"/>
                    <w:right w:val="single" w:sz="8" w:space="0" w:color="FFFFFF"/>
                  </w:tcBorders>
                  <w:shd w:val="clear" w:color="000000" w:fill="FCD5B4"/>
                  <w:noWrap/>
                  <w:vAlign w:val="center"/>
                  <w:hideMark/>
                </w:tcPr>
                <w:p w14:paraId="7A530122"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5D5F675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-9.8 </w:t>
                  </w:r>
                </w:p>
              </w:tc>
              <w:tc>
                <w:tcPr>
                  <w:tcW w:w="921" w:type="dxa"/>
                  <w:tcBorders>
                    <w:top w:val="nil"/>
                    <w:left w:val="nil"/>
                    <w:bottom w:val="single" w:sz="8" w:space="0" w:color="FFFFFF"/>
                    <w:right w:val="single" w:sz="8" w:space="0" w:color="FFFFFF"/>
                  </w:tcBorders>
                  <w:shd w:val="clear" w:color="000000" w:fill="FCD5B4"/>
                  <w:noWrap/>
                  <w:vAlign w:val="center"/>
                  <w:hideMark/>
                </w:tcPr>
                <w:p w14:paraId="300B72E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-9.8 </w:t>
                  </w:r>
                </w:p>
              </w:tc>
              <w:tc>
                <w:tcPr>
                  <w:tcW w:w="921" w:type="dxa"/>
                  <w:tcBorders>
                    <w:top w:val="nil"/>
                    <w:left w:val="nil"/>
                    <w:bottom w:val="single" w:sz="8" w:space="0" w:color="FFFFFF"/>
                    <w:right w:val="single" w:sz="8" w:space="0" w:color="FFFFFF"/>
                  </w:tcBorders>
                  <w:shd w:val="clear" w:color="000000" w:fill="FCD5B4"/>
                  <w:noWrap/>
                  <w:vAlign w:val="center"/>
                  <w:hideMark/>
                </w:tcPr>
                <w:p w14:paraId="4243F80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-5.8 </w:t>
                  </w:r>
                </w:p>
              </w:tc>
              <w:tc>
                <w:tcPr>
                  <w:tcW w:w="921" w:type="dxa"/>
                  <w:tcBorders>
                    <w:top w:val="nil"/>
                    <w:left w:val="nil"/>
                    <w:bottom w:val="single" w:sz="8" w:space="0" w:color="FFFFFF"/>
                    <w:right w:val="single" w:sz="8" w:space="0" w:color="FFFFFF"/>
                  </w:tcBorders>
                  <w:shd w:val="clear" w:color="000000" w:fill="FCD5B4"/>
                  <w:noWrap/>
                  <w:vAlign w:val="center"/>
                  <w:hideMark/>
                </w:tcPr>
                <w:p w14:paraId="448E5AB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-5.8 </w:t>
                  </w:r>
                </w:p>
              </w:tc>
              <w:tc>
                <w:tcPr>
                  <w:tcW w:w="1150" w:type="dxa"/>
                  <w:tcBorders>
                    <w:top w:val="nil"/>
                    <w:left w:val="nil"/>
                    <w:bottom w:val="single" w:sz="8" w:space="0" w:color="FFFFFF"/>
                    <w:right w:val="single" w:sz="8" w:space="0" w:color="FFFFFF"/>
                  </w:tcBorders>
                  <w:shd w:val="clear" w:color="000000" w:fill="FCD5B4"/>
                  <w:noWrap/>
                  <w:vAlign w:val="center"/>
                  <w:hideMark/>
                </w:tcPr>
                <w:p w14:paraId="243BE1B9"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284F409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0.3 </w:t>
                  </w:r>
                </w:p>
              </w:tc>
              <w:tc>
                <w:tcPr>
                  <w:tcW w:w="921" w:type="dxa"/>
                  <w:tcBorders>
                    <w:top w:val="nil"/>
                    <w:left w:val="nil"/>
                    <w:bottom w:val="single" w:sz="8" w:space="0" w:color="FFFFFF"/>
                    <w:right w:val="single" w:sz="8" w:space="0" w:color="FFFFFF"/>
                  </w:tcBorders>
                  <w:shd w:val="clear" w:color="000000" w:fill="FCD5B4"/>
                  <w:noWrap/>
                  <w:vAlign w:val="center"/>
                  <w:hideMark/>
                </w:tcPr>
                <w:p w14:paraId="036E88A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0.3 </w:t>
                  </w:r>
                </w:p>
              </w:tc>
              <w:tc>
                <w:tcPr>
                  <w:tcW w:w="921" w:type="dxa"/>
                  <w:tcBorders>
                    <w:top w:val="nil"/>
                    <w:left w:val="nil"/>
                    <w:bottom w:val="single" w:sz="8" w:space="0" w:color="FFFFFF"/>
                    <w:right w:val="single" w:sz="8" w:space="0" w:color="FFFFFF"/>
                  </w:tcBorders>
                  <w:shd w:val="clear" w:color="000000" w:fill="FCD5B4"/>
                  <w:noWrap/>
                  <w:vAlign w:val="center"/>
                  <w:hideMark/>
                </w:tcPr>
                <w:p w14:paraId="427E0CD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4.3 </w:t>
                  </w:r>
                </w:p>
              </w:tc>
              <w:tc>
                <w:tcPr>
                  <w:tcW w:w="921" w:type="dxa"/>
                  <w:tcBorders>
                    <w:top w:val="nil"/>
                    <w:left w:val="nil"/>
                    <w:bottom w:val="single" w:sz="8" w:space="0" w:color="FFFFFF"/>
                    <w:right w:val="single" w:sz="8" w:space="0" w:color="FFFFFF"/>
                  </w:tcBorders>
                  <w:shd w:val="clear" w:color="000000" w:fill="FCD5B4"/>
                  <w:noWrap/>
                  <w:vAlign w:val="center"/>
                  <w:hideMark/>
                </w:tcPr>
                <w:p w14:paraId="78BEA21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4.3 </w:t>
                  </w:r>
                </w:p>
              </w:tc>
            </w:tr>
            <w:tr w:rsidR="00522436" w:rsidRPr="00522436" w14:paraId="3191787A"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1F700977"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827D97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-9.4 </w:t>
                  </w:r>
                </w:p>
              </w:tc>
              <w:tc>
                <w:tcPr>
                  <w:tcW w:w="921" w:type="dxa"/>
                  <w:tcBorders>
                    <w:top w:val="nil"/>
                    <w:left w:val="nil"/>
                    <w:bottom w:val="single" w:sz="8" w:space="0" w:color="FFFFFF"/>
                    <w:right w:val="single" w:sz="8" w:space="0" w:color="FFFFFF"/>
                  </w:tcBorders>
                  <w:shd w:val="clear" w:color="000000" w:fill="FDE9D9"/>
                  <w:noWrap/>
                  <w:vAlign w:val="center"/>
                  <w:hideMark/>
                </w:tcPr>
                <w:p w14:paraId="1BCEB62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-7.4 </w:t>
                  </w:r>
                </w:p>
              </w:tc>
              <w:tc>
                <w:tcPr>
                  <w:tcW w:w="921" w:type="dxa"/>
                  <w:tcBorders>
                    <w:top w:val="nil"/>
                    <w:left w:val="nil"/>
                    <w:bottom w:val="single" w:sz="8" w:space="0" w:color="FFFFFF"/>
                    <w:right w:val="single" w:sz="8" w:space="0" w:color="FFFFFF"/>
                  </w:tcBorders>
                  <w:shd w:val="clear" w:color="000000" w:fill="FDE9D9"/>
                  <w:noWrap/>
                  <w:vAlign w:val="center"/>
                  <w:hideMark/>
                </w:tcPr>
                <w:p w14:paraId="642DA1D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-3.4 </w:t>
                  </w:r>
                </w:p>
              </w:tc>
              <w:tc>
                <w:tcPr>
                  <w:tcW w:w="921" w:type="dxa"/>
                  <w:tcBorders>
                    <w:top w:val="nil"/>
                    <w:left w:val="nil"/>
                    <w:bottom w:val="single" w:sz="8" w:space="0" w:color="FFFFFF"/>
                    <w:right w:val="single" w:sz="8" w:space="0" w:color="FFFFFF"/>
                  </w:tcBorders>
                  <w:shd w:val="clear" w:color="000000" w:fill="FDE9D9"/>
                  <w:noWrap/>
                  <w:vAlign w:val="center"/>
                  <w:hideMark/>
                </w:tcPr>
                <w:p w14:paraId="45A5D7F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-3.4 </w:t>
                  </w:r>
                </w:p>
              </w:tc>
              <w:tc>
                <w:tcPr>
                  <w:tcW w:w="1150" w:type="dxa"/>
                  <w:tcBorders>
                    <w:top w:val="nil"/>
                    <w:left w:val="nil"/>
                    <w:bottom w:val="single" w:sz="8" w:space="0" w:color="FFFFFF"/>
                    <w:right w:val="single" w:sz="8" w:space="0" w:color="FFFFFF"/>
                  </w:tcBorders>
                  <w:shd w:val="clear" w:color="000000" w:fill="FDE9D9"/>
                  <w:noWrap/>
                  <w:vAlign w:val="center"/>
                  <w:hideMark/>
                </w:tcPr>
                <w:p w14:paraId="065B2767"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720359E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-2.2 </w:t>
                  </w:r>
                </w:p>
              </w:tc>
              <w:tc>
                <w:tcPr>
                  <w:tcW w:w="921" w:type="dxa"/>
                  <w:tcBorders>
                    <w:top w:val="nil"/>
                    <w:left w:val="nil"/>
                    <w:bottom w:val="single" w:sz="8" w:space="0" w:color="FFFFFF"/>
                    <w:right w:val="single" w:sz="8" w:space="0" w:color="FFFFFF"/>
                  </w:tcBorders>
                  <w:shd w:val="clear" w:color="000000" w:fill="FDE9D9"/>
                  <w:noWrap/>
                  <w:vAlign w:val="center"/>
                  <w:hideMark/>
                </w:tcPr>
                <w:p w14:paraId="059C072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-0.2 </w:t>
                  </w:r>
                </w:p>
              </w:tc>
              <w:tc>
                <w:tcPr>
                  <w:tcW w:w="921" w:type="dxa"/>
                  <w:tcBorders>
                    <w:top w:val="nil"/>
                    <w:left w:val="nil"/>
                    <w:bottom w:val="single" w:sz="8" w:space="0" w:color="FFFFFF"/>
                    <w:right w:val="single" w:sz="8" w:space="0" w:color="FFFFFF"/>
                  </w:tcBorders>
                  <w:shd w:val="clear" w:color="000000" w:fill="FDE9D9"/>
                  <w:noWrap/>
                  <w:vAlign w:val="center"/>
                  <w:hideMark/>
                </w:tcPr>
                <w:p w14:paraId="4DCBF55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3.8 </w:t>
                  </w:r>
                </w:p>
              </w:tc>
              <w:tc>
                <w:tcPr>
                  <w:tcW w:w="921" w:type="dxa"/>
                  <w:tcBorders>
                    <w:top w:val="nil"/>
                    <w:left w:val="nil"/>
                    <w:bottom w:val="single" w:sz="8" w:space="0" w:color="FFFFFF"/>
                    <w:right w:val="single" w:sz="8" w:space="0" w:color="FFFFFF"/>
                  </w:tcBorders>
                  <w:shd w:val="clear" w:color="000000" w:fill="FDE9D9"/>
                  <w:noWrap/>
                  <w:vAlign w:val="center"/>
                  <w:hideMark/>
                </w:tcPr>
                <w:p w14:paraId="248F894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3.8 </w:t>
                  </w:r>
                </w:p>
              </w:tc>
            </w:tr>
            <w:tr w:rsidR="00522436" w:rsidRPr="00522436" w14:paraId="30D8B86F" w14:textId="77777777" w:rsidTr="00522436">
              <w:trPr>
                <w:trHeight w:val="310"/>
              </w:trPr>
              <w:tc>
                <w:tcPr>
                  <w:tcW w:w="1131" w:type="dxa"/>
                  <w:tcBorders>
                    <w:top w:val="nil"/>
                    <w:left w:val="nil"/>
                    <w:bottom w:val="single" w:sz="8" w:space="0" w:color="FFFFFF"/>
                    <w:right w:val="single" w:sz="8" w:space="0" w:color="FFFFFF"/>
                  </w:tcBorders>
                  <w:shd w:val="clear" w:color="000000" w:fill="FCD5B4"/>
                  <w:noWrap/>
                  <w:vAlign w:val="center"/>
                  <w:hideMark/>
                </w:tcPr>
                <w:p w14:paraId="34C7AF72"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6BA27B0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-8.3 </w:t>
                  </w:r>
                </w:p>
              </w:tc>
              <w:tc>
                <w:tcPr>
                  <w:tcW w:w="921" w:type="dxa"/>
                  <w:tcBorders>
                    <w:top w:val="nil"/>
                    <w:left w:val="nil"/>
                    <w:bottom w:val="single" w:sz="8" w:space="0" w:color="FFFFFF"/>
                    <w:right w:val="single" w:sz="8" w:space="0" w:color="FFFFFF"/>
                  </w:tcBorders>
                  <w:shd w:val="clear" w:color="000000" w:fill="FCD5B4"/>
                  <w:noWrap/>
                  <w:vAlign w:val="center"/>
                  <w:hideMark/>
                </w:tcPr>
                <w:p w14:paraId="5357D5B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-13.3 </w:t>
                  </w:r>
                </w:p>
              </w:tc>
              <w:tc>
                <w:tcPr>
                  <w:tcW w:w="921" w:type="dxa"/>
                  <w:tcBorders>
                    <w:top w:val="nil"/>
                    <w:left w:val="nil"/>
                    <w:bottom w:val="single" w:sz="8" w:space="0" w:color="FFFFFF"/>
                    <w:right w:val="single" w:sz="8" w:space="0" w:color="FFFFFF"/>
                  </w:tcBorders>
                  <w:shd w:val="clear" w:color="000000" w:fill="FCD5B4"/>
                  <w:noWrap/>
                  <w:vAlign w:val="center"/>
                  <w:hideMark/>
                </w:tcPr>
                <w:p w14:paraId="6BAE198E"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-16.3 </w:t>
                  </w:r>
                </w:p>
              </w:tc>
              <w:tc>
                <w:tcPr>
                  <w:tcW w:w="921" w:type="dxa"/>
                  <w:tcBorders>
                    <w:top w:val="nil"/>
                    <w:left w:val="nil"/>
                    <w:bottom w:val="single" w:sz="8" w:space="0" w:color="FFFFFF"/>
                    <w:right w:val="single" w:sz="8" w:space="0" w:color="FFFFFF"/>
                  </w:tcBorders>
                  <w:shd w:val="clear" w:color="000000" w:fill="FCD5B4"/>
                  <w:noWrap/>
                  <w:vAlign w:val="center"/>
                  <w:hideMark/>
                </w:tcPr>
                <w:p w14:paraId="11173B2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-13.3 </w:t>
                  </w:r>
                </w:p>
              </w:tc>
              <w:tc>
                <w:tcPr>
                  <w:tcW w:w="1150" w:type="dxa"/>
                  <w:tcBorders>
                    <w:top w:val="nil"/>
                    <w:left w:val="nil"/>
                    <w:bottom w:val="single" w:sz="8" w:space="0" w:color="FFFFFF"/>
                    <w:right w:val="single" w:sz="8" w:space="0" w:color="FFFFFF"/>
                  </w:tcBorders>
                  <w:shd w:val="clear" w:color="000000" w:fill="FCD5B4"/>
                  <w:noWrap/>
                  <w:vAlign w:val="center"/>
                  <w:hideMark/>
                </w:tcPr>
                <w:p w14:paraId="4344DD46"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3E9904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2.5 </w:t>
                  </w:r>
                </w:p>
              </w:tc>
              <w:tc>
                <w:tcPr>
                  <w:tcW w:w="921" w:type="dxa"/>
                  <w:tcBorders>
                    <w:top w:val="nil"/>
                    <w:left w:val="nil"/>
                    <w:bottom w:val="single" w:sz="8" w:space="0" w:color="FFFFFF"/>
                    <w:right w:val="single" w:sz="8" w:space="0" w:color="FFFFFF"/>
                  </w:tcBorders>
                  <w:shd w:val="clear" w:color="000000" w:fill="FCD5B4"/>
                  <w:noWrap/>
                  <w:vAlign w:val="center"/>
                  <w:hideMark/>
                </w:tcPr>
                <w:p w14:paraId="7252044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-2.5 </w:t>
                  </w:r>
                </w:p>
              </w:tc>
              <w:tc>
                <w:tcPr>
                  <w:tcW w:w="921" w:type="dxa"/>
                  <w:tcBorders>
                    <w:top w:val="nil"/>
                    <w:left w:val="nil"/>
                    <w:bottom w:val="single" w:sz="8" w:space="0" w:color="FFFFFF"/>
                    <w:right w:val="single" w:sz="8" w:space="0" w:color="FFFFFF"/>
                  </w:tcBorders>
                  <w:shd w:val="clear" w:color="000000" w:fill="FCD5B4"/>
                  <w:noWrap/>
                  <w:vAlign w:val="center"/>
                  <w:hideMark/>
                </w:tcPr>
                <w:p w14:paraId="4F7B395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-5.5 </w:t>
                  </w:r>
                </w:p>
              </w:tc>
              <w:tc>
                <w:tcPr>
                  <w:tcW w:w="921" w:type="dxa"/>
                  <w:tcBorders>
                    <w:top w:val="nil"/>
                    <w:left w:val="nil"/>
                    <w:bottom w:val="single" w:sz="8" w:space="0" w:color="FFFFFF"/>
                    <w:right w:val="single" w:sz="8" w:space="0" w:color="FFFFFF"/>
                  </w:tcBorders>
                  <w:shd w:val="clear" w:color="000000" w:fill="FCD5B4"/>
                  <w:noWrap/>
                  <w:vAlign w:val="center"/>
                  <w:hideMark/>
                </w:tcPr>
                <w:p w14:paraId="455389C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-2.5 </w:t>
                  </w:r>
                </w:p>
              </w:tc>
            </w:tr>
            <w:tr w:rsidR="00522436" w:rsidRPr="00522436" w14:paraId="6A7B0CBC"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052855D1"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7770DE1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-13.9 </w:t>
                  </w:r>
                </w:p>
              </w:tc>
              <w:tc>
                <w:tcPr>
                  <w:tcW w:w="921" w:type="dxa"/>
                  <w:tcBorders>
                    <w:top w:val="nil"/>
                    <w:left w:val="nil"/>
                    <w:bottom w:val="single" w:sz="8" w:space="0" w:color="FFFFFF"/>
                    <w:right w:val="single" w:sz="8" w:space="0" w:color="FFFFFF"/>
                  </w:tcBorders>
                  <w:shd w:val="clear" w:color="000000" w:fill="FDE9D9"/>
                  <w:noWrap/>
                  <w:vAlign w:val="center"/>
                  <w:hideMark/>
                </w:tcPr>
                <w:p w14:paraId="4004BD7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-12.9 </w:t>
                  </w:r>
                </w:p>
              </w:tc>
              <w:tc>
                <w:tcPr>
                  <w:tcW w:w="921" w:type="dxa"/>
                  <w:tcBorders>
                    <w:top w:val="nil"/>
                    <w:left w:val="nil"/>
                    <w:bottom w:val="single" w:sz="8" w:space="0" w:color="FFFFFF"/>
                    <w:right w:val="single" w:sz="8" w:space="0" w:color="FFFFFF"/>
                  </w:tcBorders>
                  <w:shd w:val="clear" w:color="000000" w:fill="FDE9D9"/>
                  <w:noWrap/>
                  <w:vAlign w:val="center"/>
                  <w:hideMark/>
                </w:tcPr>
                <w:p w14:paraId="10E494F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-10.9 </w:t>
                  </w:r>
                </w:p>
              </w:tc>
              <w:tc>
                <w:tcPr>
                  <w:tcW w:w="921" w:type="dxa"/>
                  <w:tcBorders>
                    <w:top w:val="nil"/>
                    <w:left w:val="nil"/>
                    <w:bottom w:val="single" w:sz="8" w:space="0" w:color="FFFFFF"/>
                    <w:right w:val="single" w:sz="8" w:space="0" w:color="FFFFFF"/>
                  </w:tcBorders>
                  <w:shd w:val="clear" w:color="000000" w:fill="FDE9D9"/>
                  <w:noWrap/>
                  <w:vAlign w:val="center"/>
                  <w:hideMark/>
                </w:tcPr>
                <w:p w14:paraId="2C334CF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-9.9 </w:t>
                  </w:r>
                </w:p>
              </w:tc>
              <w:tc>
                <w:tcPr>
                  <w:tcW w:w="1150" w:type="dxa"/>
                  <w:tcBorders>
                    <w:top w:val="nil"/>
                    <w:left w:val="nil"/>
                    <w:bottom w:val="single" w:sz="8" w:space="0" w:color="FFFFFF"/>
                    <w:right w:val="single" w:sz="8" w:space="0" w:color="FFFFFF"/>
                  </w:tcBorders>
                  <w:shd w:val="clear" w:color="000000" w:fill="FDE9D9"/>
                  <w:noWrap/>
                  <w:vAlign w:val="center"/>
                  <w:hideMark/>
                </w:tcPr>
                <w:p w14:paraId="471CE1B8"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3A0C33F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-3.8 </w:t>
                  </w:r>
                </w:p>
              </w:tc>
              <w:tc>
                <w:tcPr>
                  <w:tcW w:w="921" w:type="dxa"/>
                  <w:tcBorders>
                    <w:top w:val="nil"/>
                    <w:left w:val="nil"/>
                    <w:bottom w:val="single" w:sz="8" w:space="0" w:color="FFFFFF"/>
                    <w:right w:val="single" w:sz="8" w:space="0" w:color="FFFFFF"/>
                  </w:tcBorders>
                  <w:shd w:val="clear" w:color="000000" w:fill="FDE9D9"/>
                  <w:noWrap/>
                  <w:vAlign w:val="center"/>
                  <w:hideMark/>
                </w:tcPr>
                <w:p w14:paraId="0131BE8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-2.8 </w:t>
                  </w:r>
                </w:p>
              </w:tc>
              <w:tc>
                <w:tcPr>
                  <w:tcW w:w="921" w:type="dxa"/>
                  <w:tcBorders>
                    <w:top w:val="nil"/>
                    <w:left w:val="nil"/>
                    <w:bottom w:val="single" w:sz="8" w:space="0" w:color="FFFFFF"/>
                    <w:right w:val="single" w:sz="8" w:space="0" w:color="FFFFFF"/>
                  </w:tcBorders>
                  <w:shd w:val="clear" w:color="000000" w:fill="FDE9D9"/>
                  <w:noWrap/>
                  <w:vAlign w:val="center"/>
                  <w:hideMark/>
                </w:tcPr>
                <w:p w14:paraId="6C67254B"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-0.8 </w:t>
                  </w:r>
                </w:p>
              </w:tc>
              <w:tc>
                <w:tcPr>
                  <w:tcW w:w="921" w:type="dxa"/>
                  <w:tcBorders>
                    <w:top w:val="nil"/>
                    <w:left w:val="nil"/>
                    <w:bottom w:val="single" w:sz="8" w:space="0" w:color="FFFFFF"/>
                    <w:right w:val="single" w:sz="8" w:space="0" w:color="FFFFFF"/>
                  </w:tcBorders>
                  <w:shd w:val="clear" w:color="000000" w:fill="FDE9D9"/>
                  <w:noWrap/>
                  <w:vAlign w:val="center"/>
                  <w:hideMark/>
                </w:tcPr>
                <w:p w14:paraId="4C0EAFC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0.2 </w:t>
                  </w:r>
                </w:p>
              </w:tc>
            </w:tr>
            <w:tr w:rsidR="00522436" w:rsidRPr="00522436" w14:paraId="3B417DAA" w14:textId="77777777" w:rsidTr="00522436">
              <w:trPr>
                <w:trHeight w:val="310"/>
              </w:trPr>
              <w:tc>
                <w:tcPr>
                  <w:tcW w:w="1131" w:type="dxa"/>
                  <w:tcBorders>
                    <w:top w:val="nil"/>
                    <w:left w:val="nil"/>
                    <w:bottom w:val="nil"/>
                    <w:right w:val="nil"/>
                  </w:tcBorders>
                  <w:shd w:val="clear" w:color="000000" w:fill="FCD5B4"/>
                  <w:noWrap/>
                  <w:vAlign w:val="center"/>
                  <w:hideMark/>
                </w:tcPr>
                <w:p w14:paraId="0DA46A28"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77893C8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-8.3 </w:t>
                  </w:r>
                </w:p>
              </w:tc>
              <w:tc>
                <w:tcPr>
                  <w:tcW w:w="921" w:type="dxa"/>
                  <w:tcBorders>
                    <w:top w:val="nil"/>
                    <w:left w:val="nil"/>
                    <w:bottom w:val="single" w:sz="8" w:space="0" w:color="FFFFFF"/>
                    <w:right w:val="single" w:sz="8" w:space="0" w:color="FFFFFF"/>
                  </w:tcBorders>
                  <w:shd w:val="clear" w:color="000000" w:fill="FCD5B4"/>
                  <w:noWrap/>
                  <w:vAlign w:val="center"/>
                  <w:hideMark/>
                </w:tcPr>
                <w:p w14:paraId="66E4B3A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-7.4 </w:t>
                  </w:r>
                </w:p>
              </w:tc>
              <w:tc>
                <w:tcPr>
                  <w:tcW w:w="921" w:type="dxa"/>
                  <w:tcBorders>
                    <w:top w:val="nil"/>
                    <w:left w:val="nil"/>
                    <w:bottom w:val="single" w:sz="8" w:space="0" w:color="FFFFFF"/>
                    <w:right w:val="single" w:sz="8" w:space="0" w:color="FFFFFF"/>
                  </w:tcBorders>
                  <w:shd w:val="clear" w:color="000000" w:fill="FCD5B4"/>
                  <w:noWrap/>
                  <w:vAlign w:val="center"/>
                  <w:hideMark/>
                </w:tcPr>
                <w:p w14:paraId="6ECD03F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-6.3 </w:t>
                  </w:r>
                </w:p>
              </w:tc>
              <w:tc>
                <w:tcPr>
                  <w:tcW w:w="921" w:type="dxa"/>
                  <w:tcBorders>
                    <w:top w:val="nil"/>
                    <w:left w:val="nil"/>
                    <w:bottom w:val="single" w:sz="8" w:space="0" w:color="FFFFFF"/>
                    <w:right w:val="single" w:sz="8" w:space="0" w:color="FFFFFF"/>
                  </w:tcBorders>
                  <w:shd w:val="clear" w:color="000000" w:fill="FCD5B4"/>
                  <w:noWrap/>
                  <w:vAlign w:val="center"/>
                  <w:hideMark/>
                </w:tcPr>
                <w:p w14:paraId="4A1E86C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-4.3 </w:t>
                  </w:r>
                </w:p>
              </w:tc>
              <w:tc>
                <w:tcPr>
                  <w:tcW w:w="1150" w:type="dxa"/>
                  <w:tcBorders>
                    <w:top w:val="nil"/>
                    <w:left w:val="nil"/>
                    <w:bottom w:val="nil"/>
                    <w:right w:val="nil"/>
                  </w:tcBorders>
                  <w:shd w:val="clear" w:color="000000" w:fill="FCD5B4"/>
                  <w:noWrap/>
                  <w:vAlign w:val="center"/>
                  <w:hideMark/>
                </w:tcPr>
                <w:p w14:paraId="10247A8D"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627E1DEE"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-1.1 </w:t>
                  </w:r>
                </w:p>
              </w:tc>
              <w:tc>
                <w:tcPr>
                  <w:tcW w:w="921" w:type="dxa"/>
                  <w:tcBorders>
                    <w:top w:val="nil"/>
                    <w:left w:val="nil"/>
                    <w:bottom w:val="single" w:sz="8" w:space="0" w:color="FFFFFF"/>
                    <w:right w:val="single" w:sz="8" w:space="0" w:color="FFFFFF"/>
                  </w:tcBorders>
                  <w:shd w:val="clear" w:color="000000" w:fill="FCD5B4"/>
                  <w:noWrap/>
                  <w:vAlign w:val="center"/>
                  <w:hideMark/>
                </w:tcPr>
                <w:p w14:paraId="1B4F21D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FF0000"/>
                      <w:kern w:val="0"/>
                      <w:szCs w:val="21"/>
                    </w:rPr>
                    <w:t xml:space="preserve">-0.1 </w:t>
                  </w:r>
                </w:p>
              </w:tc>
              <w:tc>
                <w:tcPr>
                  <w:tcW w:w="921" w:type="dxa"/>
                  <w:tcBorders>
                    <w:top w:val="nil"/>
                    <w:left w:val="nil"/>
                    <w:bottom w:val="single" w:sz="8" w:space="0" w:color="FFFFFF"/>
                    <w:right w:val="single" w:sz="8" w:space="0" w:color="FFFFFF"/>
                  </w:tcBorders>
                  <w:shd w:val="clear" w:color="000000" w:fill="FCD5B4"/>
                  <w:noWrap/>
                  <w:vAlign w:val="center"/>
                  <w:hideMark/>
                </w:tcPr>
                <w:p w14:paraId="45D1B13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0.9 </w:t>
                  </w:r>
                </w:p>
              </w:tc>
              <w:tc>
                <w:tcPr>
                  <w:tcW w:w="921" w:type="dxa"/>
                  <w:tcBorders>
                    <w:top w:val="nil"/>
                    <w:left w:val="nil"/>
                    <w:bottom w:val="single" w:sz="8" w:space="0" w:color="FFFFFF"/>
                    <w:right w:val="single" w:sz="8" w:space="0" w:color="FFFFFF"/>
                  </w:tcBorders>
                  <w:shd w:val="clear" w:color="000000" w:fill="FCD5B4"/>
                  <w:noWrap/>
                  <w:vAlign w:val="center"/>
                  <w:hideMark/>
                </w:tcPr>
                <w:p w14:paraId="18882D6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 xml:space="preserve">2.9 </w:t>
                  </w:r>
                </w:p>
              </w:tc>
            </w:tr>
            <w:tr w:rsidR="00522436" w:rsidRPr="00522436" w14:paraId="42AE38BD" w14:textId="77777777" w:rsidTr="00522436">
              <w:trPr>
                <w:trHeight w:val="160"/>
              </w:trPr>
              <w:tc>
                <w:tcPr>
                  <w:tcW w:w="1131" w:type="dxa"/>
                  <w:tcBorders>
                    <w:top w:val="nil"/>
                    <w:left w:val="nil"/>
                    <w:bottom w:val="nil"/>
                    <w:right w:val="nil"/>
                  </w:tcBorders>
                  <w:shd w:val="clear" w:color="auto" w:fill="auto"/>
                  <w:noWrap/>
                  <w:vAlign w:val="center"/>
                  <w:hideMark/>
                </w:tcPr>
                <w:p w14:paraId="5A7EA8AA" w14:textId="77777777" w:rsidR="00522436" w:rsidRPr="00522436" w:rsidRDefault="00522436" w:rsidP="00522436">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48196DA8"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2908F17"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ECE1CA7"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42E0E74" w14:textId="77777777" w:rsidR="00522436" w:rsidRPr="00522436" w:rsidRDefault="00522436" w:rsidP="00522436">
                  <w:pPr>
                    <w:widowControl/>
                    <w:jc w:val="center"/>
                    <w:rPr>
                      <w:rFonts w:ascii="Times New Roman" w:eastAsia="Times New Roman" w:hAnsi="Times New Roman"/>
                      <w:kern w:val="0"/>
                      <w:sz w:val="20"/>
                      <w:szCs w:val="20"/>
                    </w:rPr>
                  </w:pPr>
                </w:p>
              </w:tc>
              <w:tc>
                <w:tcPr>
                  <w:tcW w:w="1150" w:type="dxa"/>
                  <w:tcBorders>
                    <w:top w:val="nil"/>
                    <w:left w:val="nil"/>
                    <w:bottom w:val="nil"/>
                    <w:right w:val="nil"/>
                  </w:tcBorders>
                  <w:shd w:val="clear" w:color="auto" w:fill="auto"/>
                  <w:noWrap/>
                  <w:vAlign w:val="center"/>
                  <w:hideMark/>
                </w:tcPr>
                <w:p w14:paraId="05ED658A"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F5D1A19"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1BF2F6A"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E8AB294" w14:textId="77777777" w:rsidR="00522436" w:rsidRPr="00522436" w:rsidRDefault="00522436" w:rsidP="00522436">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9F18CA9" w14:textId="77777777" w:rsidR="00522436" w:rsidRPr="00522436" w:rsidRDefault="00522436" w:rsidP="00522436">
                  <w:pPr>
                    <w:widowControl/>
                    <w:jc w:val="center"/>
                    <w:rPr>
                      <w:rFonts w:ascii="Times New Roman" w:eastAsia="Times New Roman" w:hAnsi="Times New Roman"/>
                      <w:kern w:val="0"/>
                      <w:sz w:val="20"/>
                      <w:szCs w:val="20"/>
                    </w:rPr>
                  </w:pPr>
                </w:p>
              </w:tc>
            </w:tr>
            <w:tr w:rsidR="00522436" w:rsidRPr="00522436" w14:paraId="2463192E" w14:textId="77777777" w:rsidTr="00522436">
              <w:trPr>
                <w:trHeight w:val="310"/>
              </w:trPr>
              <w:tc>
                <w:tcPr>
                  <w:tcW w:w="1131" w:type="dxa"/>
                  <w:tcBorders>
                    <w:top w:val="nil"/>
                    <w:left w:val="nil"/>
                    <w:bottom w:val="single" w:sz="12" w:space="0" w:color="FFFFFF"/>
                    <w:right w:val="single" w:sz="8" w:space="0" w:color="FFFFFF"/>
                  </w:tcBorders>
                  <w:shd w:val="clear" w:color="000000" w:fill="F79646"/>
                  <w:noWrap/>
                  <w:vAlign w:val="center"/>
                  <w:hideMark/>
                </w:tcPr>
                <w:p w14:paraId="30C3828D"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收益率分</w:t>
                  </w:r>
                  <w:r w:rsidRPr="00522436">
                    <w:rPr>
                      <w:rFonts w:ascii="楷体" w:eastAsia="楷体" w:hAnsi="楷体" w:cs="宋体" w:hint="eastAsia"/>
                      <w:b/>
                      <w:bCs/>
                      <w:color w:val="FFFFFF"/>
                      <w:kern w:val="0"/>
                      <w:sz w:val="20"/>
                      <w:szCs w:val="20"/>
                    </w:rPr>
                    <w:lastRenderedPageBreak/>
                    <w:t>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57743789"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lastRenderedPageBreak/>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0835438"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942ACD3"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DED1B9B"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1150" w:type="dxa"/>
                  <w:tcBorders>
                    <w:top w:val="nil"/>
                    <w:left w:val="nil"/>
                    <w:bottom w:val="single" w:sz="12" w:space="0" w:color="FFFFFF"/>
                    <w:right w:val="single" w:sz="8" w:space="0" w:color="FFFFFF"/>
                  </w:tcBorders>
                  <w:shd w:val="clear" w:color="000000" w:fill="F79646"/>
                  <w:noWrap/>
                  <w:vAlign w:val="center"/>
                  <w:hideMark/>
                </w:tcPr>
                <w:p w14:paraId="4C48D3F0"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20F774BB"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045FBE8"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7DDC22F"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16F42D2" w14:textId="77777777" w:rsidR="00522436" w:rsidRPr="00522436" w:rsidRDefault="00522436" w:rsidP="00522436">
                  <w:pPr>
                    <w:widowControl/>
                    <w:jc w:val="center"/>
                    <w:rPr>
                      <w:rFonts w:ascii="楷体" w:eastAsia="楷体" w:hAnsi="楷体" w:cs="宋体"/>
                      <w:b/>
                      <w:bCs/>
                      <w:color w:val="FFFFFF"/>
                      <w:kern w:val="0"/>
                      <w:sz w:val="20"/>
                      <w:szCs w:val="20"/>
                    </w:rPr>
                  </w:pPr>
                  <w:r w:rsidRPr="00522436">
                    <w:rPr>
                      <w:rFonts w:ascii="楷体" w:eastAsia="楷体" w:hAnsi="楷体" w:cs="宋体" w:hint="eastAsia"/>
                      <w:b/>
                      <w:bCs/>
                      <w:color w:val="FFFFFF"/>
                      <w:kern w:val="0"/>
                      <w:sz w:val="20"/>
                      <w:szCs w:val="20"/>
                    </w:rPr>
                    <w:t>AA-</w:t>
                  </w:r>
                </w:p>
              </w:tc>
            </w:tr>
            <w:tr w:rsidR="00522436" w:rsidRPr="00522436" w14:paraId="6BCEED0C" w14:textId="77777777" w:rsidTr="00522436">
              <w:trPr>
                <w:trHeight w:val="321"/>
              </w:trPr>
              <w:tc>
                <w:tcPr>
                  <w:tcW w:w="1131" w:type="dxa"/>
                  <w:tcBorders>
                    <w:top w:val="nil"/>
                    <w:left w:val="nil"/>
                    <w:bottom w:val="single" w:sz="8" w:space="0" w:color="FFFFFF"/>
                    <w:right w:val="single" w:sz="8" w:space="0" w:color="FFFFFF"/>
                  </w:tcBorders>
                  <w:shd w:val="clear" w:color="000000" w:fill="FCD5B4"/>
                  <w:noWrap/>
                  <w:vAlign w:val="center"/>
                  <w:hideMark/>
                </w:tcPr>
                <w:p w14:paraId="08C9B79B"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lastRenderedPageBreak/>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3D9575A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CD5B4"/>
                  <w:noWrap/>
                  <w:vAlign w:val="center"/>
                  <w:hideMark/>
                </w:tcPr>
                <w:p w14:paraId="29CEB28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79A327E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033E9A5E"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42%</w:t>
                  </w:r>
                </w:p>
              </w:tc>
              <w:tc>
                <w:tcPr>
                  <w:tcW w:w="1150" w:type="dxa"/>
                  <w:tcBorders>
                    <w:top w:val="nil"/>
                    <w:left w:val="nil"/>
                    <w:bottom w:val="single" w:sz="8" w:space="0" w:color="FFFFFF"/>
                    <w:right w:val="single" w:sz="8" w:space="0" w:color="FFFFFF"/>
                  </w:tcBorders>
                  <w:shd w:val="clear" w:color="000000" w:fill="FCD5B4"/>
                  <w:noWrap/>
                  <w:vAlign w:val="center"/>
                  <w:hideMark/>
                </w:tcPr>
                <w:p w14:paraId="13B4CCB6"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1A1E1D5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1057639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0393CC4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CD5B4"/>
                  <w:noWrap/>
                  <w:vAlign w:val="center"/>
                  <w:hideMark/>
                </w:tcPr>
                <w:p w14:paraId="580FA8E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58%</w:t>
                  </w:r>
                </w:p>
              </w:tc>
            </w:tr>
            <w:tr w:rsidR="00522436" w:rsidRPr="00522436" w14:paraId="3DF945E2"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7C68C45D"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5A42304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3842DD7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78364D7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564662A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43%</w:t>
                  </w:r>
                </w:p>
              </w:tc>
              <w:tc>
                <w:tcPr>
                  <w:tcW w:w="1150" w:type="dxa"/>
                  <w:tcBorders>
                    <w:top w:val="nil"/>
                    <w:left w:val="nil"/>
                    <w:bottom w:val="single" w:sz="8" w:space="0" w:color="FFFFFF"/>
                    <w:right w:val="single" w:sz="8" w:space="0" w:color="FFFFFF"/>
                  </w:tcBorders>
                  <w:shd w:val="clear" w:color="000000" w:fill="FDE9D9"/>
                  <w:noWrap/>
                  <w:vAlign w:val="center"/>
                  <w:hideMark/>
                </w:tcPr>
                <w:p w14:paraId="6544C40A"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1A21A62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17EEE21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DE9D9"/>
                  <w:noWrap/>
                  <w:vAlign w:val="center"/>
                  <w:hideMark/>
                </w:tcPr>
                <w:p w14:paraId="42640BE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132999A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59%</w:t>
                  </w:r>
                </w:p>
              </w:tc>
            </w:tr>
            <w:tr w:rsidR="00522436" w:rsidRPr="00522436" w14:paraId="311BF477" w14:textId="77777777" w:rsidTr="00522436">
              <w:trPr>
                <w:trHeight w:val="310"/>
              </w:trPr>
              <w:tc>
                <w:tcPr>
                  <w:tcW w:w="1131" w:type="dxa"/>
                  <w:tcBorders>
                    <w:top w:val="nil"/>
                    <w:left w:val="nil"/>
                    <w:bottom w:val="single" w:sz="8" w:space="0" w:color="FFFFFF"/>
                    <w:right w:val="single" w:sz="8" w:space="0" w:color="FFFFFF"/>
                  </w:tcBorders>
                  <w:shd w:val="clear" w:color="000000" w:fill="FCD5B4"/>
                  <w:noWrap/>
                  <w:vAlign w:val="center"/>
                  <w:hideMark/>
                </w:tcPr>
                <w:p w14:paraId="1EFAC63F"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5941BE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6DFE5B0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51F7290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11ED092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40%</w:t>
                  </w:r>
                </w:p>
              </w:tc>
              <w:tc>
                <w:tcPr>
                  <w:tcW w:w="1150" w:type="dxa"/>
                  <w:tcBorders>
                    <w:top w:val="nil"/>
                    <w:left w:val="nil"/>
                    <w:bottom w:val="single" w:sz="8" w:space="0" w:color="FFFFFF"/>
                    <w:right w:val="single" w:sz="8" w:space="0" w:color="FFFFFF"/>
                  </w:tcBorders>
                  <w:shd w:val="clear" w:color="000000" w:fill="FCD5B4"/>
                  <w:noWrap/>
                  <w:vAlign w:val="center"/>
                  <w:hideMark/>
                </w:tcPr>
                <w:p w14:paraId="4D858F7C"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17DE723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CD5B4"/>
                  <w:noWrap/>
                  <w:vAlign w:val="center"/>
                  <w:hideMark/>
                </w:tcPr>
                <w:p w14:paraId="4BD0B6F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21072B4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2B13C93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56%</w:t>
                  </w:r>
                </w:p>
              </w:tc>
            </w:tr>
            <w:tr w:rsidR="00522436" w:rsidRPr="00522436" w14:paraId="61191F62"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187E41C4"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3EADA91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273C834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57848C1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1300082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41%</w:t>
                  </w:r>
                </w:p>
              </w:tc>
              <w:tc>
                <w:tcPr>
                  <w:tcW w:w="1150" w:type="dxa"/>
                  <w:tcBorders>
                    <w:top w:val="nil"/>
                    <w:left w:val="nil"/>
                    <w:bottom w:val="single" w:sz="8" w:space="0" w:color="FFFFFF"/>
                    <w:right w:val="single" w:sz="8" w:space="0" w:color="FFFFFF"/>
                  </w:tcBorders>
                  <w:shd w:val="clear" w:color="000000" w:fill="FDE9D9"/>
                  <w:noWrap/>
                  <w:vAlign w:val="center"/>
                  <w:hideMark/>
                </w:tcPr>
                <w:p w14:paraId="0345B549"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2448615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DE9D9"/>
                  <w:noWrap/>
                  <w:vAlign w:val="center"/>
                  <w:hideMark/>
                </w:tcPr>
                <w:p w14:paraId="07CA82A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DE9D9"/>
                  <w:noWrap/>
                  <w:vAlign w:val="center"/>
                  <w:hideMark/>
                </w:tcPr>
                <w:p w14:paraId="7F02EE7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2E828AF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63%</w:t>
                  </w:r>
                </w:p>
              </w:tc>
            </w:tr>
            <w:tr w:rsidR="00522436" w:rsidRPr="00522436" w14:paraId="60838313" w14:textId="77777777" w:rsidTr="00522436">
              <w:trPr>
                <w:trHeight w:val="310"/>
              </w:trPr>
              <w:tc>
                <w:tcPr>
                  <w:tcW w:w="1131" w:type="dxa"/>
                  <w:tcBorders>
                    <w:top w:val="nil"/>
                    <w:left w:val="nil"/>
                    <w:bottom w:val="single" w:sz="8" w:space="0" w:color="FFFFFF"/>
                    <w:right w:val="single" w:sz="8" w:space="0" w:color="FFFFFF"/>
                  </w:tcBorders>
                  <w:shd w:val="clear" w:color="000000" w:fill="FCD5B4"/>
                  <w:noWrap/>
                  <w:vAlign w:val="center"/>
                  <w:hideMark/>
                </w:tcPr>
                <w:p w14:paraId="1BD5D8A8"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75E567A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7CC5EAC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4FCC92D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762ACF2C"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40%</w:t>
                  </w:r>
                </w:p>
              </w:tc>
              <w:tc>
                <w:tcPr>
                  <w:tcW w:w="1150" w:type="dxa"/>
                  <w:tcBorders>
                    <w:top w:val="nil"/>
                    <w:left w:val="nil"/>
                    <w:bottom w:val="single" w:sz="8" w:space="0" w:color="FFFFFF"/>
                    <w:right w:val="single" w:sz="8" w:space="0" w:color="FFFFFF"/>
                  </w:tcBorders>
                  <w:shd w:val="clear" w:color="000000" w:fill="FCD5B4"/>
                  <w:noWrap/>
                  <w:vAlign w:val="center"/>
                  <w:hideMark/>
                </w:tcPr>
                <w:p w14:paraId="635AAF3D"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2901928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CD5B4"/>
                  <w:noWrap/>
                  <w:vAlign w:val="center"/>
                  <w:hideMark/>
                </w:tcPr>
                <w:p w14:paraId="3C5DFC1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7C9CABA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217354A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61%</w:t>
                  </w:r>
                </w:p>
              </w:tc>
            </w:tr>
            <w:tr w:rsidR="00522436" w:rsidRPr="00522436" w14:paraId="2C298517"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30486C22"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6569345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100994D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5AA0E96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DE9D9"/>
                  <w:noWrap/>
                  <w:vAlign w:val="center"/>
                  <w:hideMark/>
                </w:tcPr>
                <w:p w14:paraId="6A261B2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34%</w:t>
                  </w:r>
                </w:p>
              </w:tc>
              <w:tc>
                <w:tcPr>
                  <w:tcW w:w="1150" w:type="dxa"/>
                  <w:tcBorders>
                    <w:top w:val="nil"/>
                    <w:left w:val="nil"/>
                    <w:bottom w:val="single" w:sz="8" w:space="0" w:color="FFFFFF"/>
                    <w:right w:val="single" w:sz="8" w:space="0" w:color="FFFFFF"/>
                  </w:tcBorders>
                  <w:shd w:val="clear" w:color="000000" w:fill="FDE9D9"/>
                  <w:noWrap/>
                  <w:vAlign w:val="center"/>
                  <w:hideMark/>
                </w:tcPr>
                <w:p w14:paraId="52EDB7F5" w14:textId="77777777" w:rsidR="00522436" w:rsidRPr="00522436" w:rsidRDefault="00522436" w:rsidP="00522436">
                  <w:pPr>
                    <w:widowControl/>
                    <w:jc w:val="center"/>
                    <w:rPr>
                      <w:rFonts w:ascii="楷体" w:eastAsia="楷体" w:hAnsi="楷体" w:cs="宋体"/>
                      <w:color w:val="000000"/>
                      <w:kern w:val="0"/>
                      <w:sz w:val="20"/>
                      <w:szCs w:val="20"/>
                    </w:rPr>
                  </w:pPr>
                  <w:r w:rsidRPr="00522436">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04B722B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DE9D9"/>
                  <w:noWrap/>
                  <w:vAlign w:val="center"/>
                  <w:hideMark/>
                </w:tcPr>
                <w:p w14:paraId="00BAE7B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1D577A1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3FF4C4A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59%</w:t>
                  </w:r>
                </w:p>
              </w:tc>
            </w:tr>
            <w:tr w:rsidR="00522436" w:rsidRPr="00522436" w14:paraId="21DC06D6" w14:textId="77777777" w:rsidTr="00522436">
              <w:trPr>
                <w:trHeight w:val="310"/>
              </w:trPr>
              <w:tc>
                <w:tcPr>
                  <w:tcW w:w="1131" w:type="dxa"/>
                  <w:tcBorders>
                    <w:top w:val="nil"/>
                    <w:left w:val="nil"/>
                    <w:bottom w:val="single" w:sz="8" w:space="0" w:color="FFFFFF"/>
                    <w:right w:val="single" w:sz="8" w:space="0" w:color="FFFFFF"/>
                  </w:tcBorders>
                  <w:shd w:val="clear" w:color="000000" w:fill="FCD5B4"/>
                  <w:noWrap/>
                  <w:vAlign w:val="center"/>
                  <w:hideMark/>
                </w:tcPr>
                <w:p w14:paraId="4FE37E8C"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657AADB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2E67B5D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5BB83AA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45AEAC9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55%</w:t>
                  </w:r>
                </w:p>
              </w:tc>
              <w:tc>
                <w:tcPr>
                  <w:tcW w:w="1150" w:type="dxa"/>
                  <w:tcBorders>
                    <w:top w:val="nil"/>
                    <w:left w:val="nil"/>
                    <w:bottom w:val="single" w:sz="8" w:space="0" w:color="FFFFFF"/>
                    <w:right w:val="single" w:sz="8" w:space="0" w:color="FFFFFF"/>
                  </w:tcBorders>
                  <w:shd w:val="clear" w:color="000000" w:fill="FCD5B4"/>
                  <w:noWrap/>
                  <w:vAlign w:val="center"/>
                  <w:hideMark/>
                </w:tcPr>
                <w:p w14:paraId="59204F8F"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79902F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CD5B4"/>
                  <w:noWrap/>
                  <w:vAlign w:val="center"/>
                  <w:hideMark/>
                </w:tcPr>
                <w:p w14:paraId="54133AF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00C9AD90"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541417A5"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77%</w:t>
                  </w:r>
                </w:p>
              </w:tc>
            </w:tr>
            <w:tr w:rsidR="00522436" w:rsidRPr="00522436" w14:paraId="0EA4170B" w14:textId="77777777" w:rsidTr="00522436">
              <w:trPr>
                <w:trHeight w:val="310"/>
              </w:trPr>
              <w:tc>
                <w:tcPr>
                  <w:tcW w:w="1131" w:type="dxa"/>
                  <w:tcBorders>
                    <w:top w:val="nil"/>
                    <w:left w:val="nil"/>
                    <w:bottom w:val="single" w:sz="8" w:space="0" w:color="FFFFFF"/>
                    <w:right w:val="single" w:sz="8" w:space="0" w:color="FFFFFF"/>
                  </w:tcBorders>
                  <w:shd w:val="clear" w:color="000000" w:fill="FDE9D9"/>
                  <w:noWrap/>
                  <w:vAlign w:val="center"/>
                  <w:hideMark/>
                </w:tcPr>
                <w:p w14:paraId="10FF0248"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22074306"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0BA2FFDF"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073EB474"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0B9D809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69%</w:t>
                  </w:r>
                </w:p>
              </w:tc>
              <w:tc>
                <w:tcPr>
                  <w:tcW w:w="1150" w:type="dxa"/>
                  <w:tcBorders>
                    <w:top w:val="nil"/>
                    <w:left w:val="nil"/>
                    <w:bottom w:val="single" w:sz="8" w:space="0" w:color="FFFFFF"/>
                    <w:right w:val="single" w:sz="8" w:space="0" w:color="FFFFFF"/>
                  </w:tcBorders>
                  <w:shd w:val="clear" w:color="000000" w:fill="FDE9D9"/>
                  <w:noWrap/>
                  <w:vAlign w:val="center"/>
                  <w:hideMark/>
                </w:tcPr>
                <w:p w14:paraId="345AC80B"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19B927C3"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DE9D9"/>
                  <w:noWrap/>
                  <w:vAlign w:val="center"/>
                  <w:hideMark/>
                </w:tcPr>
                <w:p w14:paraId="6F372E8A"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3301680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FC7CE"/>
                  <w:noWrap/>
                  <w:vAlign w:val="center"/>
                  <w:hideMark/>
                </w:tcPr>
                <w:p w14:paraId="57FFE293" w14:textId="77777777" w:rsidR="00522436" w:rsidRPr="00522436" w:rsidRDefault="00522436" w:rsidP="00522436">
                  <w:pPr>
                    <w:widowControl/>
                    <w:jc w:val="center"/>
                    <w:rPr>
                      <w:rFonts w:eastAsia="等线" w:cs="Calibri"/>
                      <w:color w:val="9C0006"/>
                      <w:kern w:val="0"/>
                      <w:szCs w:val="21"/>
                    </w:rPr>
                  </w:pPr>
                  <w:r w:rsidRPr="00522436">
                    <w:rPr>
                      <w:rFonts w:eastAsia="等线" w:cs="Calibri"/>
                      <w:color w:val="9C0006"/>
                      <w:kern w:val="0"/>
                      <w:szCs w:val="21"/>
                    </w:rPr>
                    <w:t>87%</w:t>
                  </w:r>
                </w:p>
              </w:tc>
            </w:tr>
            <w:tr w:rsidR="00522436" w:rsidRPr="00522436" w14:paraId="72207D52" w14:textId="77777777" w:rsidTr="00522436">
              <w:trPr>
                <w:trHeight w:val="310"/>
              </w:trPr>
              <w:tc>
                <w:tcPr>
                  <w:tcW w:w="1131" w:type="dxa"/>
                  <w:tcBorders>
                    <w:top w:val="nil"/>
                    <w:left w:val="nil"/>
                    <w:bottom w:val="nil"/>
                    <w:right w:val="nil"/>
                  </w:tcBorders>
                  <w:shd w:val="clear" w:color="000000" w:fill="FCD5B4"/>
                  <w:noWrap/>
                  <w:vAlign w:val="center"/>
                  <w:hideMark/>
                </w:tcPr>
                <w:p w14:paraId="4814BB37"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5E5F0BF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7F5BCF09"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00227C37"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46040BD8"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69%</w:t>
                  </w:r>
                </w:p>
              </w:tc>
              <w:tc>
                <w:tcPr>
                  <w:tcW w:w="1150" w:type="dxa"/>
                  <w:tcBorders>
                    <w:top w:val="nil"/>
                    <w:left w:val="nil"/>
                    <w:bottom w:val="nil"/>
                    <w:right w:val="nil"/>
                  </w:tcBorders>
                  <w:shd w:val="clear" w:color="000000" w:fill="FCD5B4"/>
                  <w:noWrap/>
                  <w:vAlign w:val="center"/>
                  <w:hideMark/>
                </w:tcPr>
                <w:p w14:paraId="24472A59" w14:textId="77777777" w:rsidR="00522436" w:rsidRPr="00522436" w:rsidRDefault="00522436" w:rsidP="00522436">
                  <w:pPr>
                    <w:widowControl/>
                    <w:jc w:val="center"/>
                    <w:rPr>
                      <w:rFonts w:ascii="楷体" w:eastAsia="楷体" w:hAnsi="楷体" w:cs="宋体"/>
                      <w:color w:val="000000"/>
                      <w:kern w:val="0"/>
                      <w:sz w:val="20"/>
                      <w:szCs w:val="20"/>
                    </w:rPr>
                  </w:pPr>
                  <w:proofErr w:type="gramStart"/>
                  <w:r w:rsidRPr="00522436">
                    <w:rPr>
                      <w:rFonts w:ascii="楷体" w:eastAsia="楷体" w:hAnsi="楷体" w:cs="宋体" w:hint="eastAsia"/>
                      <w:color w:val="000000"/>
                      <w:kern w:val="0"/>
                      <w:sz w:val="20"/>
                      <w:szCs w:val="20"/>
                    </w:rPr>
                    <w:t>城投债</w:t>
                  </w:r>
                  <w:proofErr w:type="gramEnd"/>
                  <w:r w:rsidRPr="00522436">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59306821"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3117A4FD"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73214012" w14:textId="77777777" w:rsidR="00522436" w:rsidRPr="00522436" w:rsidRDefault="00522436" w:rsidP="00522436">
                  <w:pPr>
                    <w:widowControl/>
                    <w:jc w:val="center"/>
                    <w:rPr>
                      <w:rFonts w:eastAsia="等线" w:cs="Calibri"/>
                      <w:color w:val="000000"/>
                      <w:kern w:val="0"/>
                      <w:szCs w:val="21"/>
                    </w:rPr>
                  </w:pPr>
                  <w:r w:rsidRPr="00522436">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FC7CE"/>
                  <w:noWrap/>
                  <w:vAlign w:val="center"/>
                  <w:hideMark/>
                </w:tcPr>
                <w:p w14:paraId="5DA3DB4A" w14:textId="77777777" w:rsidR="00522436" w:rsidRPr="00522436" w:rsidRDefault="00522436" w:rsidP="00522436">
                  <w:pPr>
                    <w:widowControl/>
                    <w:jc w:val="center"/>
                    <w:rPr>
                      <w:rFonts w:eastAsia="等线" w:cs="Calibri"/>
                      <w:color w:val="9C0006"/>
                      <w:kern w:val="0"/>
                      <w:szCs w:val="21"/>
                    </w:rPr>
                  </w:pPr>
                  <w:r w:rsidRPr="00522436">
                    <w:rPr>
                      <w:rFonts w:eastAsia="等线" w:cs="Calibri"/>
                      <w:color w:val="9C0006"/>
                      <w:kern w:val="0"/>
                      <w:szCs w:val="21"/>
                    </w:rPr>
                    <w:t>89%</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349847DA"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980B5C" w:rsidRPr="00980B5C">
        <w:rPr>
          <w:rFonts w:ascii="华文楷体" w:hAnsi="华文楷体" w:hint="eastAsia"/>
          <w:sz w:val="24"/>
          <w:szCs w:val="24"/>
          <w:lang w:eastAsia="zh-CN"/>
        </w:rPr>
        <w:t>各主要板块指数</w:t>
      </w:r>
      <w:r w:rsidR="001945D2">
        <w:rPr>
          <w:rFonts w:ascii="华文楷体" w:hAnsi="华文楷体" w:hint="eastAsia"/>
          <w:sz w:val="24"/>
          <w:szCs w:val="24"/>
          <w:lang w:eastAsia="zh-CN"/>
        </w:rPr>
        <w:t>适度</w:t>
      </w:r>
      <w:r w:rsidR="00EA1B8C">
        <w:rPr>
          <w:rFonts w:ascii="华文楷体" w:hAnsi="华文楷体" w:hint="eastAsia"/>
          <w:sz w:val="24"/>
          <w:szCs w:val="24"/>
          <w:lang w:eastAsia="zh-CN"/>
        </w:rPr>
        <w:t>上</w:t>
      </w:r>
      <w:r w:rsidR="001945D2">
        <w:rPr>
          <w:rFonts w:ascii="华文楷体" w:hAnsi="华文楷体" w:hint="eastAsia"/>
          <w:sz w:val="24"/>
          <w:szCs w:val="24"/>
          <w:lang w:eastAsia="zh-CN"/>
        </w:rPr>
        <w:t>行</w:t>
      </w:r>
      <w:r w:rsidR="00657F44">
        <w:rPr>
          <w:rFonts w:ascii="华文楷体" w:hAnsi="华文楷体" w:hint="eastAsia"/>
          <w:sz w:val="24"/>
          <w:szCs w:val="24"/>
          <w:lang w:eastAsia="zh-CN"/>
        </w:rPr>
        <w:t>，多数成交量小幅</w:t>
      </w:r>
      <w:r w:rsidR="00EA1B8C">
        <w:rPr>
          <w:rFonts w:ascii="华文楷体" w:hAnsi="华文楷体" w:hint="eastAsia"/>
          <w:sz w:val="24"/>
          <w:szCs w:val="24"/>
          <w:lang w:eastAsia="zh-CN"/>
        </w:rPr>
        <w:t>扩张</w:t>
      </w:r>
      <w:r w:rsidR="00980B5C" w:rsidRPr="00980B5C">
        <w:rPr>
          <w:rFonts w:ascii="华文楷体" w:hAnsi="华文楷体" w:hint="eastAsia"/>
          <w:sz w:val="24"/>
          <w:szCs w:val="24"/>
          <w:lang w:eastAsia="zh-CN"/>
        </w:rPr>
        <w:t>。</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B45132">
        <w:rPr>
          <w:rFonts w:ascii="华文楷体" w:hAnsi="华文楷体"/>
          <w:sz w:val="24"/>
          <w:szCs w:val="24"/>
          <w:lang w:eastAsia="zh-CN"/>
        </w:rPr>
        <w:t>+0.4</w:t>
      </w:r>
      <w:r w:rsidR="00AC28BB">
        <w:rPr>
          <w:rFonts w:ascii="华文楷体" w:hAnsi="华文楷体"/>
          <w:sz w:val="24"/>
          <w:szCs w:val="24"/>
          <w:lang w:eastAsia="zh-CN"/>
        </w:rPr>
        <w:t>%、</w:t>
      </w:r>
      <w:r w:rsidR="00B45132">
        <w:rPr>
          <w:rFonts w:ascii="华文楷体" w:hAnsi="华文楷体"/>
          <w:sz w:val="24"/>
          <w:szCs w:val="24"/>
          <w:lang w:eastAsia="zh-CN"/>
        </w:rPr>
        <w:t>+0.7</w:t>
      </w:r>
      <w:r w:rsidR="00AC28BB">
        <w:rPr>
          <w:rFonts w:ascii="华文楷体" w:hAnsi="华文楷体"/>
          <w:sz w:val="24"/>
          <w:szCs w:val="24"/>
          <w:lang w:eastAsia="zh-CN"/>
        </w:rPr>
        <w:t>%、</w:t>
      </w:r>
      <w:r w:rsidR="00AD377D">
        <w:rPr>
          <w:rFonts w:ascii="华文楷体" w:hAnsi="华文楷体"/>
          <w:sz w:val="24"/>
          <w:szCs w:val="24"/>
          <w:lang w:eastAsia="zh-CN"/>
        </w:rPr>
        <w:t>+0.2</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AD377D">
        <w:rPr>
          <w:rFonts w:ascii="华文楷体" w:hAnsi="华文楷体"/>
          <w:sz w:val="24"/>
          <w:szCs w:val="24"/>
          <w:lang w:eastAsia="zh-CN"/>
        </w:rPr>
        <w:t>+0.5</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07DB0">
        <w:rPr>
          <w:rFonts w:ascii="华文楷体" w:hAnsi="华文楷体" w:hint="eastAsia"/>
          <w:sz w:val="24"/>
          <w:szCs w:val="24"/>
          <w:lang w:eastAsia="zh-CN"/>
        </w:rPr>
        <w:t>本周</w:t>
      </w:r>
      <w:r w:rsidR="00EA1B8C">
        <w:rPr>
          <w:rFonts w:ascii="华文楷体" w:hAnsi="华文楷体" w:hint="eastAsia"/>
          <w:sz w:val="24"/>
          <w:szCs w:val="24"/>
          <w:lang w:eastAsia="zh-CN"/>
        </w:rPr>
        <w:t>表现略好于权益</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EA1B8C">
        <w:rPr>
          <w:rFonts w:ascii="华文楷体" w:hAnsi="华文楷体" w:hint="eastAsia"/>
          <w:sz w:val="24"/>
          <w:szCs w:val="24"/>
          <w:lang w:eastAsia="zh-CN"/>
        </w:rPr>
        <w:t>上涨1.</w:t>
      </w:r>
      <w:r w:rsidR="00AD377D">
        <w:rPr>
          <w:rFonts w:ascii="华文楷体" w:hAnsi="华文楷体"/>
          <w:sz w:val="24"/>
          <w:szCs w:val="24"/>
          <w:lang w:eastAsia="zh-CN"/>
        </w:rPr>
        <w:t>4</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r w:rsidR="00EA1B8C">
        <w:rPr>
          <w:rFonts w:ascii="华文楷体" w:hAnsi="华文楷体" w:hint="eastAsia"/>
          <w:sz w:val="24"/>
          <w:szCs w:val="24"/>
          <w:lang w:eastAsia="zh-CN"/>
        </w:rPr>
        <w:t>策略</w:t>
      </w:r>
      <w:r w:rsidR="00A045C5">
        <w:rPr>
          <w:rFonts w:ascii="华文楷体" w:hAnsi="华文楷体" w:hint="eastAsia"/>
          <w:sz w:val="24"/>
          <w:szCs w:val="24"/>
          <w:lang w:eastAsia="zh-CN"/>
        </w:rPr>
        <w:t>上，</w:t>
      </w:r>
      <w:r w:rsidR="00EA1B8C" w:rsidRPr="00EA1B8C">
        <w:rPr>
          <w:rFonts w:ascii="华文楷体" w:hAnsi="华文楷体" w:hint="eastAsia"/>
          <w:sz w:val="24"/>
          <w:szCs w:val="24"/>
          <w:lang w:eastAsia="zh-CN"/>
        </w:rPr>
        <w:t>优选中报高景气与</w:t>
      </w:r>
      <w:proofErr w:type="gramStart"/>
      <w:r w:rsidR="00EA1B8C" w:rsidRPr="00EA1B8C">
        <w:rPr>
          <w:rFonts w:ascii="华文楷体" w:hAnsi="华文楷体" w:hint="eastAsia"/>
          <w:sz w:val="24"/>
          <w:szCs w:val="24"/>
          <w:lang w:eastAsia="zh-CN"/>
        </w:rPr>
        <w:t>转债性价</w:t>
      </w:r>
      <w:proofErr w:type="gramEnd"/>
      <w:r w:rsidR="00EA1B8C" w:rsidRPr="00EA1B8C">
        <w:rPr>
          <w:rFonts w:ascii="华文楷体" w:hAnsi="华文楷体" w:hint="eastAsia"/>
          <w:sz w:val="24"/>
          <w:szCs w:val="24"/>
          <w:lang w:eastAsia="zh-CN"/>
        </w:rPr>
        <w:t>比兼具的存量品种。</w:t>
      </w:r>
      <w:r w:rsidR="00AD377D" w:rsidRPr="00AD377D">
        <w:rPr>
          <w:rFonts w:ascii="华文楷体" w:hAnsi="华文楷体" w:hint="eastAsia"/>
          <w:sz w:val="24"/>
          <w:szCs w:val="24"/>
          <w:lang w:eastAsia="zh-CN"/>
        </w:rPr>
        <w:t>转债市场整体估值已达近年高点水平，部分优质</w:t>
      </w:r>
      <w:proofErr w:type="gramStart"/>
      <w:r w:rsidR="00AD377D" w:rsidRPr="00AD377D">
        <w:rPr>
          <w:rFonts w:ascii="华文楷体" w:hAnsi="华文楷体" w:hint="eastAsia"/>
          <w:sz w:val="24"/>
          <w:szCs w:val="24"/>
          <w:lang w:eastAsia="zh-CN"/>
        </w:rPr>
        <w:t>个券</w:t>
      </w:r>
      <w:proofErr w:type="gramEnd"/>
      <w:r w:rsidR="00AD377D" w:rsidRPr="00AD377D">
        <w:rPr>
          <w:rFonts w:ascii="华文楷体" w:hAnsi="华文楷体" w:hint="eastAsia"/>
          <w:sz w:val="24"/>
          <w:szCs w:val="24"/>
          <w:lang w:eastAsia="zh-CN"/>
        </w:rPr>
        <w:t>已适度透支正股未来涨幅，关注整体市场面临调整</w:t>
      </w:r>
      <w:proofErr w:type="gramStart"/>
      <w:r w:rsidR="00AD377D" w:rsidRPr="00AD377D">
        <w:rPr>
          <w:rFonts w:ascii="华文楷体" w:hAnsi="华文楷体" w:hint="eastAsia"/>
          <w:sz w:val="24"/>
          <w:szCs w:val="24"/>
          <w:lang w:eastAsia="zh-CN"/>
        </w:rPr>
        <w:t>时板块</w:t>
      </w:r>
      <w:proofErr w:type="gramEnd"/>
      <w:r w:rsidR="00AD377D" w:rsidRPr="00AD377D">
        <w:rPr>
          <w:rFonts w:ascii="华文楷体" w:hAnsi="华文楷体" w:hint="eastAsia"/>
          <w:sz w:val="24"/>
          <w:szCs w:val="24"/>
          <w:lang w:eastAsia="zh-CN"/>
        </w:rPr>
        <w:t>可能受到的波动风险。</w:t>
      </w:r>
      <w:r w:rsidR="00EA1B8C" w:rsidRPr="00EA1B8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0D5A58">
        <w:tblPrEx>
          <w:tblCellMar>
            <w:left w:w="108" w:type="dxa"/>
            <w:right w:w="108" w:type="dxa"/>
          </w:tblCellMar>
        </w:tblPrEx>
        <w:trPr>
          <w:trHeight w:val="2921"/>
          <w:jc w:val="center"/>
        </w:trPr>
        <w:tc>
          <w:tcPr>
            <w:tcW w:w="4939" w:type="dxa"/>
            <w:vAlign w:val="center"/>
          </w:tcPr>
          <w:p w14:paraId="5C83721A" w14:textId="7AE1146F" w:rsidR="00E0626C" w:rsidRPr="00345C30" w:rsidRDefault="000D5A58" w:rsidP="00345C30">
            <w:pPr>
              <w:widowControl/>
              <w:jc w:val="left"/>
              <w:rPr>
                <w:rFonts w:ascii="宋体" w:hAnsi="宋体" w:cs="宋体"/>
                <w:kern w:val="0"/>
                <w:sz w:val="24"/>
                <w:szCs w:val="24"/>
              </w:rPr>
            </w:pPr>
            <w:r w:rsidRPr="000D5A58">
              <w:rPr>
                <w:rFonts w:ascii="宋体" w:hAnsi="宋体" w:cs="宋体"/>
                <w:noProof/>
                <w:kern w:val="0"/>
                <w:sz w:val="24"/>
                <w:szCs w:val="24"/>
              </w:rPr>
              <w:drawing>
                <wp:inline distT="0" distB="0" distL="0" distR="0" wp14:anchorId="3B61FF58" wp14:editId="1D3093AA">
                  <wp:extent cx="3204376" cy="19240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24300" cy="1936013"/>
                          </a:xfrm>
                          <a:prstGeom prst="rect">
                            <a:avLst/>
                          </a:prstGeom>
                          <a:noFill/>
                          <a:ln>
                            <a:noFill/>
                          </a:ln>
                        </pic:spPr>
                      </pic:pic>
                    </a:graphicData>
                  </a:graphic>
                </wp:inline>
              </w:drawing>
            </w:r>
          </w:p>
        </w:tc>
        <w:tc>
          <w:tcPr>
            <w:tcW w:w="4938" w:type="dxa"/>
            <w:vAlign w:val="center"/>
          </w:tcPr>
          <w:p w14:paraId="39BD4383" w14:textId="16C46D45" w:rsidR="00E0626C" w:rsidRPr="007E0340" w:rsidRDefault="000D5A58" w:rsidP="009A2BA0">
            <w:pPr>
              <w:jc w:val="center"/>
              <w:rPr>
                <w:noProof/>
                <w:szCs w:val="18"/>
              </w:rPr>
            </w:pPr>
            <w:r>
              <w:rPr>
                <w:noProof/>
              </w:rPr>
              <w:drawing>
                <wp:inline distT="0" distB="0" distL="0" distR="0" wp14:anchorId="08A09B01" wp14:editId="42E87A22">
                  <wp:extent cx="2998470" cy="1938241"/>
                  <wp:effectExtent l="0" t="0" r="0" b="5080"/>
                  <wp:docPr id="15" name="图表 15">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1EC1B020"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1D0B68" w:rsidRPr="001D0B68">
        <w:rPr>
          <w:rFonts w:ascii="华文楷体" w:hAnsi="华文楷体" w:hint="eastAsia"/>
          <w:sz w:val="24"/>
          <w:szCs w:val="24"/>
          <w:lang w:eastAsia="zh-CN"/>
        </w:rPr>
        <w:t>本周PTA产业链负荷率下降1.3个百分点至79.2%。本周南华玻璃指数3978.9，环比上升5.4%。本周</w:t>
      </w:r>
      <w:proofErr w:type="spellStart"/>
      <w:r w:rsidR="001D0B68" w:rsidRPr="001D0B68">
        <w:rPr>
          <w:rFonts w:ascii="华文楷体" w:hAnsi="华文楷体" w:hint="eastAsia"/>
          <w:sz w:val="24"/>
          <w:szCs w:val="24"/>
          <w:lang w:eastAsia="zh-CN"/>
        </w:rPr>
        <w:t>Myspic</w:t>
      </w:r>
      <w:proofErr w:type="spellEnd"/>
      <w:r w:rsidR="001D0B68" w:rsidRPr="001D0B68">
        <w:rPr>
          <w:rFonts w:ascii="华文楷体" w:hAnsi="华文楷体" w:hint="eastAsia"/>
          <w:sz w:val="24"/>
          <w:szCs w:val="24"/>
          <w:lang w:eastAsia="zh-CN"/>
        </w:rPr>
        <w:t>综合全国钢铁价格指数上行3.7%，主要钢材品种价格环比上涨3-4%。按品种看，螺纹钢、热卷、高线价格分别上涨4.3%、3.7%、3.4%；库存方面，主要钢材继续累库，库存环比上行1%，螺纹钢、热卷、线材库存分别上升1.8%、1.5%、0.6%。</w:t>
      </w:r>
    </w:p>
    <w:p w14:paraId="21425444" w14:textId="7DA4F682"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1D0B68">
        <w:rPr>
          <w:rFonts w:ascii="华文楷体" w:hAnsi="华文楷体"/>
          <w:sz w:val="24"/>
          <w:szCs w:val="24"/>
          <w:lang w:eastAsia="zh-CN"/>
        </w:rPr>
        <w:t>30</w:t>
      </w:r>
      <w:r w:rsidR="001D0B68" w:rsidRPr="001D0B68">
        <w:rPr>
          <w:rFonts w:ascii="华文楷体" w:hAnsi="华文楷体" w:hint="eastAsia"/>
          <w:sz w:val="24"/>
          <w:szCs w:val="24"/>
          <w:lang w:eastAsia="zh-CN"/>
        </w:rPr>
        <w:t>大中城市商品房平均成交</w:t>
      </w:r>
      <w:proofErr w:type="gramStart"/>
      <w:r w:rsidR="001D0B68" w:rsidRPr="001D0B68">
        <w:rPr>
          <w:rFonts w:ascii="华文楷体" w:hAnsi="华文楷体" w:hint="eastAsia"/>
          <w:sz w:val="24"/>
          <w:szCs w:val="24"/>
          <w:lang w:eastAsia="zh-CN"/>
        </w:rPr>
        <w:t>面积环</w:t>
      </w:r>
      <w:proofErr w:type="gramEnd"/>
      <w:r w:rsidR="001D0B68" w:rsidRPr="001D0B68">
        <w:rPr>
          <w:rFonts w:ascii="华文楷体" w:hAnsi="华文楷体" w:hint="eastAsia"/>
          <w:sz w:val="24"/>
          <w:szCs w:val="24"/>
          <w:lang w:eastAsia="zh-CN"/>
        </w:rPr>
        <w:t>比下降11%，一、二、三线城市分别变化-7%、-12%、-14%。拿地方面，上周100大中城市土地成交</w:t>
      </w:r>
      <w:proofErr w:type="gramStart"/>
      <w:r w:rsidR="001D0B68" w:rsidRPr="001D0B68">
        <w:rPr>
          <w:rFonts w:ascii="华文楷体" w:hAnsi="华文楷体" w:hint="eastAsia"/>
          <w:sz w:val="24"/>
          <w:szCs w:val="24"/>
          <w:lang w:eastAsia="zh-CN"/>
        </w:rPr>
        <w:t>面积环</w:t>
      </w:r>
      <w:proofErr w:type="gramEnd"/>
      <w:r w:rsidR="001D0B68" w:rsidRPr="001D0B68">
        <w:rPr>
          <w:rFonts w:ascii="华文楷体" w:hAnsi="华文楷体" w:hint="eastAsia"/>
          <w:sz w:val="24"/>
          <w:szCs w:val="24"/>
          <w:lang w:eastAsia="zh-CN"/>
        </w:rPr>
        <w:t>比下降81%</w:t>
      </w:r>
      <w:r w:rsidR="00A81E83">
        <w:rPr>
          <w:rFonts w:ascii="华文楷体" w:hAnsi="华文楷体" w:hint="eastAsia"/>
          <w:sz w:val="24"/>
          <w:szCs w:val="24"/>
          <w:lang w:eastAsia="zh-CN"/>
        </w:rPr>
        <w:t>。</w:t>
      </w:r>
    </w:p>
    <w:p w14:paraId="77CCCEDF" w14:textId="14D649EB"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lastRenderedPageBreak/>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1D0B68" w:rsidRPr="001D0B68">
        <w:rPr>
          <w:rFonts w:ascii="华文楷体" w:hAnsi="华文楷体" w:hint="eastAsia"/>
          <w:bCs/>
          <w:sz w:val="24"/>
          <w:szCs w:val="24"/>
          <w:lang w:eastAsia="zh-CN"/>
        </w:rPr>
        <w:t>上海出口集装箱指数（SCFI）本周环比回升3.1%，中国出口集装箱运价指数（CCFI）上行2.69%</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1D0B68" w:rsidRPr="001D0B68">
        <w:rPr>
          <w:rFonts w:ascii="华文楷体" w:hAnsi="华文楷体" w:hint="eastAsia"/>
          <w:bCs/>
          <w:sz w:val="24"/>
          <w:szCs w:val="24"/>
          <w:lang w:eastAsia="zh-CN"/>
        </w:rPr>
        <w:t>波罗的海干散货</w:t>
      </w:r>
      <w:proofErr w:type="gramStart"/>
      <w:r w:rsidR="001D0B68" w:rsidRPr="001D0B68">
        <w:rPr>
          <w:rFonts w:ascii="华文楷体" w:hAnsi="华文楷体" w:hint="eastAsia"/>
          <w:bCs/>
          <w:sz w:val="24"/>
          <w:szCs w:val="24"/>
          <w:lang w:eastAsia="zh-CN"/>
        </w:rPr>
        <w:t>指数环</w:t>
      </w:r>
      <w:proofErr w:type="gramEnd"/>
      <w:r w:rsidR="001D0B68" w:rsidRPr="001D0B68">
        <w:rPr>
          <w:rFonts w:ascii="华文楷体" w:hAnsi="华文楷体" w:hint="eastAsia"/>
          <w:bCs/>
          <w:sz w:val="24"/>
          <w:szCs w:val="24"/>
          <w:lang w:eastAsia="zh-CN"/>
        </w:rPr>
        <w:t>比下行2.75%，中国进口干散货运价</w:t>
      </w:r>
      <w:proofErr w:type="gramStart"/>
      <w:r w:rsidR="001D0B68" w:rsidRPr="001D0B68">
        <w:rPr>
          <w:rFonts w:ascii="华文楷体" w:hAnsi="华文楷体" w:hint="eastAsia"/>
          <w:bCs/>
          <w:sz w:val="24"/>
          <w:szCs w:val="24"/>
          <w:lang w:eastAsia="zh-CN"/>
        </w:rPr>
        <w:t>指数环</w:t>
      </w:r>
      <w:proofErr w:type="gramEnd"/>
      <w:r w:rsidR="001D0B68" w:rsidRPr="001D0B68">
        <w:rPr>
          <w:rFonts w:ascii="华文楷体" w:hAnsi="华文楷体" w:hint="eastAsia"/>
          <w:bCs/>
          <w:sz w:val="24"/>
          <w:szCs w:val="24"/>
          <w:lang w:eastAsia="zh-CN"/>
        </w:rPr>
        <w:t>比回落1.83%</w:t>
      </w:r>
      <w:r w:rsidR="002B1530" w:rsidRPr="002B1530">
        <w:rPr>
          <w:rFonts w:ascii="华文楷体" w:hAnsi="华文楷体" w:hint="eastAsia"/>
          <w:bCs/>
          <w:sz w:val="24"/>
          <w:szCs w:val="24"/>
          <w:lang w:eastAsia="zh-CN"/>
        </w:rPr>
        <w:t>。</w:t>
      </w:r>
    </w:p>
    <w:p w14:paraId="50CC8233" w14:textId="136E5129" w:rsidR="00065754"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2B1530">
        <w:rPr>
          <w:rFonts w:ascii="华文楷体" w:hAnsi="华文楷体" w:hint="eastAsia"/>
          <w:bCs/>
          <w:sz w:val="24"/>
          <w:szCs w:val="24"/>
          <w:lang w:eastAsia="zh-CN"/>
        </w:rPr>
        <w:t>猪肉</w:t>
      </w:r>
      <w:r w:rsidR="002B1530" w:rsidRPr="002B1530">
        <w:rPr>
          <w:rFonts w:ascii="华文楷体" w:hAnsi="华文楷体" w:hint="eastAsia"/>
          <w:bCs/>
          <w:sz w:val="24"/>
          <w:szCs w:val="24"/>
          <w:lang w:eastAsia="zh-CN"/>
        </w:rPr>
        <w:t>全国平均批发价回升至</w:t>
      </w:r>
      <w:r w:rsidR="001D0B68" w:rsidRPr="001D0B68">
        <w:rPr>
          <w:rFonts w:ascii="华文楷体" w:hAnsi="华文楷体" w:hint="eastAsia"/>
          <w:bCs/>
          <w:sz w:val="24"/>
          <w:szCs w:val="24"/>
          <w:lang w:eastAsia="zh-CN"/>
        </w:rPr>
        <w:t>22.32元/公斤，环比下跌0.5%</w:t>
      </w:r>
      <w:r w:rsidR="002B1530">
        <w:rPr>
          <w:rFonts w:ascii="华文楷体" w:hAnsi="华文楷体" w:hint="eastAsia"/>
          <w:bCs/>
          <w:sz w:val="24"/>
          <w:szCs w:val="24"/>
          <w:lang w:eastAsia="zh-CN"/>
        </w:rPr>
        <w:t>，周内</w:t>
      </w:r>
      <w:r w:rsidR="002B1530" w:rsidRPr="002B1530">
        <w:rPr>
          <w:rFonts w:ascii="华文楷体" w:hAnsi="华文楷体" w:hint="eastAsia"/>
          <w:bCs/>
          <w:sz w:val="24"/>
          <w:szCs w:val="24"/>
          <w:lang w:eastAsia="zh-CN"/>
        </w:rPr>
        <w:t>窄幅震荡。</w:t>
      </w:r>
      <w:r w:rsidR="001D0B68" w:rsidRPr="001D0B68">
        <w:rPr>
          <w:rFonts w:ascii="华文楷体" w:hAnsi="华文楷体" w:hint="eastAsia"/>
          <w:bCs/>
          <w:sz w:val="24"/>
          <w:szCs w:val="24"/>
          <w:lang w:eastAsia="zh-CN"/>
        </w:rPr>
        <w:t>农产品和菜篮子批发价格200</w:t>
      </w:r>
      <w:proofErr w:type="gramStart"/>
      <w:r w:rsidR="001D0B68" w:rsidRPr="001D0B68">
        <w:rPr>
          <w:rFonts w:ascii="华文楷体" w:hAnsi="华文楷体" w:hint="eastAsia"/>
          <w:bCs/>
          <w:sz w:val="24"/>
          <w:szCs w:val="24"/>
          <w:lang w:eastAsia="zh-CN"/>
        </w:rPr>
        <w:t>指数环</w:t>
      </w:r>
      <w:proofErr w:type="gramEnd"/>
      <w:r w:rsidR="001D0B68" w:rsidRPr="001D0B68">
        <w:rPr>
          <w:rFonts w:ascii="华文楷体" w:hAnsi="华文楷体" w:hint="eastAsia"/>
          <w:bCs/>
          <w:sz w:val="24"/>
          <w:szCs w:val="24"/>
          <w:lang w:eastAsia="zh-CN"/>
        </w:rPr>
        <w:t>比分别上行0.36%、0.41%</w:t>
      </w:r>
      <w:r w:rsidR="00D3254A" w:rsidRPr="00D3254A">
        <w:rPr>
          <w:rFonts w:ascii="华文楷体" w:hAnsi="华文楷体" w:hint="eastAsia"/>
          <w:bCs/>
          <w:sz w:val="24"/>
          <w:szCs w:val="24"/>
          <w:lang w:eastAsia="zh-CN"/>
        </w:rPr>
        <w:t>。</w:t>
      </w:r>
      <w:r w:rsidR="003B19EF" w:rsidRPr="003B19EF">
        <w:rPr>
          <w:rFonts w:ascii="华文楷体" w:hAnsi="华文楷体" w:hint="eastAsia"/>
          <w:bCs/>
          <w:sz w:val="24"/>
          <w:szCs w:val="24"/>
          <w:lang w:eastAsia="zh-CN"/>
        </w:rPr>
        <w:t>工业品价格方面，</w:t>
      </w:r>
      <w:r w:rsidR="001D0B68" w:rsidRPr="001D0B68">
        <w:rPr>
          <w:rFonts w:ascii="华文楷体" w:hAnsi="华文楷体" w:hint="eastAsia"/>
          <w:bCs/>
          <w:sz w:val="24"/>
          <w:szCs w:val="24"/>
          <w:lang w:eastAsia="zh-CN"/>
        </w:rPr>
        <w:t>国内长江有色市场铜价上涨0.5%，铝、铅、锌价分别变化+1.4%、0.0%、-0.3%；海外方面，LME铜、铝、铅、</w:t>
      </w:r>
      <w:proofErr w:type="gramStart"/>
      <w:r w:rsidR="001D0B68" w:rsidRPr="001D0B68">
        <w:rPr>
          <w:rFonts w:ascii="华文楷体" w:hAnsi="华文楷体" w:hint="eastAsia"/>
          <w:bCs/>
          <w:sz w:val="24"/>
          <w:szCs w:val="24"/>
          <w:lang w:eastAsia="zh-CN"/>
        </w:rPr>
        <w:t>锌环比</w:t>
      </w:r>
      <w:proofErr w:type="gramEnd"/>
      <w:r w:rsidR="001D0B68" w:rsidRPr="001D0B68">
        <w:rPr>
          <w:rFonts w:ascii="华文楷体" w:hAnsi="华文楷体" w:hint="eastAsia"/>
          <w:bCs/>
          <w:sz w:val="24"/>
          <w:szCs w:val="24"/>
          <w:lang w:eastAsia="zh-CN"/>
        </w:rPr>
        <w:t>分别-0.8%、-0.5%、+0.01%、-0.3%。</w:t>
      </w:r>
    </w:p>
    <w:p w14:paraId="3425BC76" w14:textId="31BDC580"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AE5690" w:rsidRPr="00AE5690">
        <w:rPr>
          <w:rFonts w:ascii="华文楷体" w:hAnsi="华文楷体" w:hint="eastAsia"/>
          <w:bCs/>
          <w:sz w:val="24"/>
          <w:szCs w:val="24"/>
          <w:lang w:eastAsia="zh-CN"/>
        </w:rPr>
        <w:t>乘联会最新数据显示，</w:t>
      </w:r>
      <w:r w:rsidR="001D0B68" w:rsidRPr="001D0B68">
        <w:rPr>
          <w:rFonts w:ascii="华文楷体" w:hAnsi="华文楷体" w:hint="eastAsia"/>
          <w:bCs/>
          <w:sz w:val="24"/>
          <w:szCs w:val="24"/>
          <w:lang w:eastAsia="zh-CN"/>
        </w:rPr>
        <w:t>日均零售在3.1万辆左右，同比持平，</w:t>
      </w:r>
      <w:proofErr w:type="gramStart"/>
      <w:r w:rsidR="001D0B68" w:rsidRPr="001D0B68">
        <w:rPr>
          <w:rFonts w:ascii="华文楷体" w:hAnsi="华文楷体" w:hint="eastAsia"/>
          <w:bCs/>
          <w:sz w:val="24"/>
          <w:szCs w:val="24"/>
          <w:lang w:eastAsia="zh-CN"/>
        </w:rPr>
        <w:t>但环比</w:t>
      </w:r>
      <w:proofErr w:type="gramEnd"/>
      <w:r w:rsidR="001D0B68" w:rsidRPr="001D0B68">
        <w:rPr>
          <w:rFonts w:ascii="华文楷体" w:hAnsi="华文楷体" w:hint="eastAsia"/>
          <w:bCs/>
          <w:sz w:val="24"/>
          <w:szCs w:val="24"/>
          <w:lang w:eastAsia="zh-CN"/>
        </w:rPr>
        <w:t>6月第一周下降7%</w:t>
      </w:r>
      <w:r w:rsidR="005E049B">
        <w:rPr>
          <w:rFonts w:ascii="华文楷体" w:hAnsi="华文楷体" w:hint="eastAsia"/>
          <w:bCs/>
          <w:sz w:val="24"/>
          <w:szCs w:val="24"/>
          <w:lang w:eastAsia="zh-CN"/>
        </w:rPr>
        <w:t>。</w:t>
      </w:r>
      <w:r w:rsidR="001D0B68" w:rsidRPr="001D0B68">
        <w:rPr>
          <w:rFonts w:ascii="华文楷体" w:hAnsi="华文楷体" w:hint="eastAsia"/>
          <w:bCs/>
          <w:sz w:val="24"/>
          <w:szCs w:val="24"/>
          <w:lang w:eastAsia="zh-CN"/>
        </w:rPr>
        <w:t>批发方面，主要厂商批发销量为日均2.9万辆，环比增长1%</w:t>
      </w:r>
      <w:r w:rsidR="001D0B68">
        <w:rPr>
          <w:rFonts w:ascii="华文楷体" w:hAnsi="华文楷体" w:hint="eastAsia"/>
          <w:bCs/>
          <w:sz w:val="24"/>
          <w:szCs w:val="24"/>
          <w:lang w:eastAsia="zh-CN"/>
        </w:rPr>
        <w:t>。</w:t>
      </w:r>
    </w:p>
    <w:p w14:paraId="6C0621FD" w14:textId="5DB4286E"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1D0B68" w:rsidRPr="001D0B68">
        <w:rPr>
          <w:rFonts w:ascii="华文楷体" w:hAnsi="华文楷体" w:hint="eastAsia"/>
          <w:bCs/>
          <w:sz w:val="24"/>
          <w:szCs w:val="24"/>
          <w:lang w:eastAsia="zh-CN"/>
        </w:rPr>
        <w:t>布伦</w:t>
      </w:r>
      <w:proofErr w:type="gramStart"/>
      <w:r w:rsidR="001D0B68" w:rsidRPr="001D0B68">
        <w:rPr>
          <w:rFonts w:ascii="华文楷体" w:hAnsi="华文楷体" w:hint="eastAsia"/>
          <w:bCs/>
          <w:sz w:val="24"/>
          <w:szCs w:val="24"/>
          <w:lang w:eastAsia="zh-CN"/>
        </w:rPr>
        <w:t>特</w:t>
      </w:r>
      <w:proofErr w:type="gramEnd"/>
      <w:r w:rsidR="001D0B68" w:rsidRPr="001D0B68">
        <w:rPr>
          <w:rFonts w:ascii="华文楷体" w:hAnsi="华文楷体" w:hint="eastAsia"/>
          <w:bCs/>
          <w:sz w:val="24"/>
          <w:szCs w:val="24"/>
          <w:lang w:eastAsia="zh-CN"/>
        </w:rPr>
        <w:t>原油环比上周五跌2.6%至73.59美元/桶；WTI原油价格回落3.7%至71.81美元/桶</w:t>
      </w:r>
      <w:r w:rsidR="005E049B" w:rsidRPr="005E049B">
        <w:rPr>
          <w:rFonts w:ascii="华文楷体" w:hAnsi="华文楷体" w:hint="eastAsia"/>
          <w:bCs/>
          <w:sz w:val="24"/>
          <w:szCs w:val="24"/>
          <w:lang w:eastAsia="zh-CN"/>
        </w:rPr>
        <w:t>。</w:t>
      </w:r>
    </w:p>
    <w:p w14:paraId="35D3E229" w14:textId="192207DB"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1D0B68" w:rsidRPr="001D0B68">
        <w:rPr>
          <w:rFonts w:ascii="华文楷体" w:hAnsi="华文楷体" w:hint="eastAsia"/>
          <w:sz w:val="24"/>
          <w:szCs w:val="24"/>
          <w:lang w:eastAsia="zh-CN"/>
        </w:rPr>
        <w:t>6月全社会用电量，6月银行结售汇情况。</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54FCE013"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proofErr w:type="gramStart"/>
      <w:r w:rsidR="004721F4" w:rsidRPr="004721F4">
        <w:rPr>
          <w:rFonts w:ascii="华文楷体" w:hAnsi="华文楷体" w:hint="eastAsia"/>
          <w:sz w:val="24"/>
          <w:szCs w:val="24"/>
          <w:lang w:eastAsia="zh-CN"/>
        </w:rPr>
        <w:t>央行降准落地</w:t>
      </w:r>
      <w:proofErr w:type="gramEnd"/>
      <w:r w:rsidR="004721F4" w:rsidRPr="004721F4">
        <w:rPr>
          <w:rFonts w:ascii="华文楷体" w:hAnsi="华文楷体" w:hint="eastAsia"/>
          <w:sz w:val="24"/>
          <w:szCs w:val="24"/>
          <w:lang w:eastAsia="zh-CN"/>
        </w:rPr>
        <w:t>后，短期政策进入“市场观察期”，如果经济基本面切实在3季度末和4季度承压，并不完全排除年内</w:t>
      </w:r>
      <w:proofErr w:type="gramStart"/>
      <w:r w:rsidR="004721F4" w:rsidRPr="004721F4">
        <w:rPr>
          <w:rFonts w:ascii="华文楷体" w:hAnsi="华文楷体" w:hint="eastAsia"/>
          <w:sz w:val="24"/>
          <w:szCs w:val="24"/>
          <w:lang w:eastAsia="zh-CN"/>
        </w:rPr>
        <w:t>二次降准可能</w:t>
      </w:r>
      <w:proofErr w:type="gramEnd"/>
      <w:r w:rsidR="004721F4" w:rsidRPr="004721F4">
        <w:rPr>
          <w:rFonts w:ascii="华文楷体" w:hAnsi="华文楷体" w:hint="eastAsia"/>
          <w:sz w:val="24"/>
          <w:szCs w:val="24"/>
          <w:lang w:eastAsia="zh-CN"/>
        </w:rPr>
        <w:t>。但目前OMO、MLF、 LPR等政策利率暂未产生变动，3季度关注市场传言较多的针对碳中和、</w:t>
      </w:r>
      <w:proofErr w:type="gramStart"/>
      <w:r w:rsidR="004721F4" w:rsidRPr="004721F4">
        <w:rPr>
          <w:rFonts w:ascii="华文楷体" w:hAnsi="华文楷体" w:hint="eastAsia"/>
          <w:sz w:val="24"/>
          <w:szCs w:val="24"/>
          <w:lang w:eastAsia="zh-CN"/>
        </w:rPr>
        <w:t>碳减排</w:t>
      </w:r>
      <w:proofErr w:type="gramEnd"/>
      <w:r w:rsidR="004721F4" w:rsidRPr="004721F4">
        <w:rPr>
          <w:rFonts w:ascii="华文楷体" w:hAnsi="华文楷体" w:hint="eastAsia"/>
          <w:sz w:val="24"/>
          <w:szCs w:val="24"/>
          <w:lang w:eastAsia="zh-CN"/>
        </w:rPr>
        <w:t>等方面是否有进一步结构性宽松政策落地。除此外，下半年需关注地方政府债务相关政策进一步收紧可能，地方政府隐性债务约束进一步加强是大概率事件。其可能从社融、银行信贷和保险非标等多方面对债市形成一定冲击，区域和个券上关注弱资质主体发债等导致城投尾部风险。债市策略方面，利率债短期可能进入震荡行情，上周市场预期较高的MLF降息和GMLF推出并未落地，但</w:t>
      </w:r>
      <w:proofErr w:type="gramStart"/>
      <w:r w:rsidR="004721F4" w:rsidRPr="004721F4">
        <w:rPr>
          <w:rFonts w:ascii="华文楷体" w:hAnsi="华文楷体" w:hint="eastAsia"/>
          <w:sz w:val="24"/>
          <w:szCs w:val="24"/>
          <w:lang w:eastAsia="zh-CN"/>
        </w:rPr>
        <w:t>央行降准释放</w:t>
      </w:r>
      <w:proofErr w:type="gramEnd"/>
      <w:r w:rsidR="004721F4" w:rsidRPr="004721F4">
        <w:rPr>
          <w:rFonts w:ascii="华文楷体" w:hAnsi="华文楷体" w:hint="eastAsia"/>
          <w:sz w:val="24"/>
          <w:szCs w:val="24"/>
          <w:lang w:eastAsia="zh-CN"/>
        </w:rPr>
        <w:t>中长期资金仍对市场产生极大冲击，并引发市场再调整对下半年货币政策适度宽松预期，且基本面数据存在一定反复，尤其环比结构上仍有一定不稳定性，对债市边际利好，情绪相对略偏多。</w:t>
      </w:r>
    </w:p>
    <w:p w14:paraId="484E2711" w14:textId="42284CC0" w:rsidR="00FD739E" w:rsidRDefault="00C505BD" w:rsidP="00FD739E">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2A7950" w:rsidRPr="002A7950">
        <w:rPr>
          <w:rFonts w:ascii="华文楷体" w:hAnsi="华文楷体" w:hint="eastAsia"/>
          <w:sz w:val="24"/>
          <w:szCs w:val="24"/>
          <w:lang w:eastAsia="zh-CN"/>
        </w:rPr>
        <w:t>信用</w:t>
      </w:r>
      <w:proofErr w:type="gramStart"/>
      <w:r w:rsidR="002A7950" w:rsidRPr="002A7950">
        <w:rPr>
          <w:rFonts w:ascii="华文楷体" w:hAnsi="华文楷体" w:hint="eastAsia"/>
          <w:sz w:val="24"/>
          <w:szCs w:val="24"/>
          <w:lang w:eastAsia="zh-CN"/>
        </w:rPr>
        <w:t>债关注</w:t>
      </w:r>
      <w:proofErr w:type="gramEnd"/>
      <w:r w:rsidR="004721F4">
        <w:rPr>
          <w:rFonts w:ascii="华文楷体" w:hAnsi="华文楷体" w:hint="eastAsia"/>
          <w:sz w:val="24"/>
          <w:szCs w:val="24"/>
          <w:lang w:eastAsia="zh-CN"/>
        </w:rPr>
        <w:t>地方</w:t>
      </w:r>
      <w:r w:rsidR="002A7950" w:rsidRPr="002A7950">
        <w:rPr>
          <w:rFonts w:ascii="华文楷体" w:hAnsi="华文楷体" w:hint="eastAsia"/>
          <w:sz w:val="24"/>
          <w:szCs w:val="24"/>
          <w:lang w:eastAsia="zh-CN"/>
        </w:rPr>
        <w:t>隐性债务</w:t>
      </w:r>
      <w:r w:rsidR="004721F4">
        <w:rPr>
          <w:rFonts w:ascii="华文楷体" w:hAnsi="华文楷体" w:hint="eastAsia"/>
          <w:sz w:val="24"/>
          <w:szCs w:val="24"/>
          <w:lang w:eastAsia="zh-CN"/>
        </w:rPr>
        <w:t>监管情况，部分区域</w:t>
      </w:r>
      <w:proofErr w:type="gramStart"/>
      <w:r w:rsidR="004721F4">
        <w:rPr>
          <w:rFonts w:ascii="华文楷体" w:hAnsi="华文楷体" w:hint="eastAsia"/>
          <w:sz w:val="24"/>
          <w:szCs w:val="24"/>
          <w:lang w:eastAsia="zh-CN"/>
        </w:rPr>
        <w:t>城投债信用</w:t>
      </w:r>
      <w:proofErr w:type="gramEnd"/>
      <w:r w:rsidR="004721F4">
        <w:rPr>
          <w:rFonts w:ascii="华文楷体" w:hAnsi="华文楷体" w:hint="eastAsia"/>
          <w:sz w:val="24"/>
          <w:szCs w:val="24"/>
          <w:lang w:eastAsia="zh-CN"/>
        </w:rPr>
        <w:t>溢价有所拉升</w:t>
      </w:r>
      <w:r w:rsidR="002A7950" w:rsidRPr="002A7950">
        <w:rPr>
          <w:rFonts w:ascii="华文楷体" w:hAnsi="华文楷体" w:hint="eastAsia"/>
          <w:sz w:val="24"/>
          <w:szCs w:val="24"/>
          <w:lang w:eastAsia="zh-CN"/>
        </w:rPr>
        <w:t>。</w:t>
      </w:r>
    </w:p>
    <w:p w14:paraId="4C893BAE" w14:textId="2D7BC6BF" w:rsidR="00983C71" w:rsidRPr="004721F4" w:rsidRDefault="00C505BD" w:rsidP="00FD739E">
      <w:pPr>
        <w:pStyle w:val="Body-text"/>
        <w:spacing w:after="240"/>
        <w:ind w:firstLineChars="200" w:firstLine="480"/>
        <w:rPr>
          <w:rFonts w:ascii="华文楷体" w:eastAsia="PMingLiU" w:hAnsi="华文楷体"/>
          <w:sz w:val="24"/>
          <w:szCs w:val="24"/>
          <w:lang w:eastAsia="zh-CN"/>
        </w:rPr>
      </w:pPr>
      <w:r>
        <w:rPr>
          <w:rFonts w:ascii="华文楷体" w:hAnsi="华文楷体" w:hint="eastAsia"/>
          <w:sz w:val="24"/>
          <w:szCs w:val="24"/>
          <w:lang w:eastAsia="zh-CN"/>
        </w:rPr>
        <w:t>可转债：</w:t>
      </w:r>
      <w:r w:rsidR="004721F4" w:rsidRPr="004721F4">
        <w:rPr>
          <w:rFonts w:ascii="华文楷体" w:hAnsi="华文楷体" w:hint="eastAsia"/>
          <w:sz w:val="24"/>
          <w:szCs w:val="24"/>
        </w:rPr>
        <w:t>权益市场整体小幅上涨，创业板指涨幅收窄，转债表现持续相对略好于权益。一方面仍聚焦中报，根据微观产业变化寻找业绩上的预期差，甄选个券；另一方面，在主题上适度关注成长股，对价值股在估值、增长和基本面之间寻找平衡。转债市场整体估值已达近年高点水平，部分优质个券已适度透支正股未来涨幅，关注整体市场面临调整时板块可能受到的波动风险。</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4EF4FD6" w:rsidR="001D35B3" w:rsidRPr="006A5F34" w:rsidRDefault="001D35B3" w:rsidP="001858A9">
            <w:pPr>
              <w:pStyle w:val="ChartHeading"/>
              <w:jc w:val="both"/>
            </w:pPr>
            <w:r w:rsidRPr="006A5F34">
              <w:rPr>
                <w:rFonts w:hint="eastAsia"/>
              </w:rPr>
              <w:lastRenderedPageBreak/>
              <w:t>图表</w:t>
            </w:r>
            <w:r w:rsidRPr="006A5F34">
              <w:t>.</w:t>
            </w:r>
            <w:r w:rsidR="00FF26B0">
              <w:rPr>
                <w:rFonts w:hint="eastAsia"/>
              </w:rPr>
              <w:t xml:space="preserve"> </w:t>
            </w:r>
            <w:r w:rsidR="00FF26B0">
              <w:rPr>
                <w:rFonts w:hint="eastAsia"/>
              </w:rPr>
              <w:t>南华工业品指数</w:t>
            </w:r>
            <w:r w:rsidR="00752E9D">
              <w:rPr>
                <w:rFonts w:hint="eastAsia"/>
              </w:rPr>
              <w:t>震荡</w:t>
            </w:r>
            <w:r w:rsidR="00876F3C">
              <w:rPr>
                <w:rFonts w:hint="eastAsia"/>
              </w:rPr>
              <w:t>走势</w:t>
            </w:r>
            <w:r w:rsidR="00752E9D">
              <w:rPr>
                <w:rFonts w:hint="eastAsia"/>
              </w:rPr>
              <w:t>为主</w:t>
            </w:r>
            <w:r w:rsidR="00876F3C">
              <w:rPr>
                <w:rFonts w:hint="eastAsia"/>
              </w:rPr>
              <w:t>，小幅上行</w:t>
            </w:r>
          </w:p>
        </w:tc>
        <w:tc>
          <w:tcPr>
            <w:tcW w:w="4938" w:type="dxa"/>
            <w:vAlign w:val="center"/>
          </w:tcPr>
          <w:p w14:paraId="02A10F26" w14:textId="6D2F1475"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03843">
              <w:rPr>
                <w:rFonts w:hint="eastAsia"/>
              </w:rPr>
              <w:t>持续</w:t>
            </w:r>
            <w:r w:rsidR="00AE643A">
              <w:rPr>
                <w:rFonts w:hint="eastAsia"/>
              </w:rPr>
              <w:t>回调</w:t>
            </w:r>
          </w:p>
        </w:tc>
      </w:tr>
      <w:tr w:rsidR="001D35B3" w:rsidRPr="006A5F34" w14:paraId="205667F1" w14:textId="77777777" w:rsidTr="00876F3C">
        <w:tblPrEx>
          <w:tblCellMar>
            <w:left w:w="108" w:type="dxa"/>
            <w:right w:w="108" w:type="dxa"/>
          </w:tblCellMar>
        </w:tblPrEx>
        <w:trPr>
          <w:jc w:val="center"/>
        </w:trPr>
        <w:tc>
          <w:tcPr>
            <w:tcW w:w="4939" w:type="dxa"/>
            <w:vAlign w:val="center"/>
          </w:tcPr>
          <w:p w14:paraId="56C782C2" w14:textId="64D46FB2" w:rsidR="001D35B3" w:rsidRPr="007E0340" w:rsidRDefault="00314403" w:rsidP="009A2BA0">
            <w:pPr>
              <w:jc w:val="center"/>
              <w:rPr>
                <w:noProof/>
              </w:rPr>
            </w:pPr>
            <w:r>
              <w:rPr>
                <w:noProof/>
              </w:rPr>
              <w:drawing>
                <wp:inline distT="0" distB="0" distL="0" distR="0" wp14:anchorId="44CDE0C5" wp14:editId="58ABD454">
                  <wp:extent cx="2999105" cy="1964165"/>
                  <wp:effectExtent l="0" t="0" r="0" b="0"/>
                  <wp:docPr id="16" name="图表 16">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2F5AB0D6" w:rsidR="001D35B3" w:rsidRPr="007E0340" w:rsidRDefault="00876F3C" w:rsidP="009A2BA0">
            <w:pPr>
              <w:jc w:val="center"/>
              <w:rPr>
                <w:noProof/>
                <w:szCs w:val="18"/>
              </w:rPr>
            </w:pPr>
            <w:r>
              <w:rPr>
                <w:noProof/>
              </w:rPr>
              <w:drawing>
                <wp:inline distT="0" distB="0" distL="0" distR="0" wp14:anchorId="453EE0D4" wp14:editId="7C8FE2D3">
                  <wp:extent cx="2998470" cy="1956876"/>
                  <wp:effectExtent l="0" t="0" r="0" b="5715"/>
                  <wp:docPr id="17" name="图表 17">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3D8CDC64"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60714E">
              <w:rPr>
                <w:rFonts w:hint="eastAsia"/>
              </w:rPr>
              <w:t>持续小幅贬值</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876F3C">
        <w:tblPrEx>
          <w:tblCellMar>
            <w:left w:w="108" w:type="dxa"/>
            <w:right w:w="108" w:type="dxa"/>
          </w:tblCellMar>
        </w:tblPrEx>
        <w:trPr>
          <w:trHeight w:val="2987"/>
          <w:jc w:val="center"/>
        </w:trPr>
        <w:tc>
          <w:tcPr>
            <w:tcW w:w="4939" w:type="dxa"/>
            <w:vAlign w:val="center"/>
          </w:tcPr>
          <w:p w14:paraId="0BAC1731" w14:textId="3A4A295D" w:rsidR="001D35B3" w:rsidRPr="007E0340" w:rsidRDefault="00876F3C" w:rsidP="009A2BA0">
            <w:pPr>
              <w:jc w:val="center"/>
              <w:rPr>
                <w:noProof/>
              </w:rPr>
            </w:pPr>
            <w:r>
              <w:rPr>
                <w:noProof/>
              </w:rPr>
              <w:drawing>
                <wp:inline distT="0" distB="0" distL="0" distR="0" wp14:anchorId="4A219812" wp14:editId="5E8988A2">
                  <wp:extent cx="2999105" cy="1964717"/>
                  <wp:effectExtent l="0" t="0" r="10795" b="0"/>
                  <wp:docPr id="18" name="图表 18">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4C751CD4" w:rsidR="001D35B3" w:rsidRPr="007E0340" w:rsidRDefault="00876F3C" w:rsidP="009A2BA0">
            <w:pPr>
              <w:jc w:val="center"/>
              <w:rPr>
                <w:noProof/>
                <w:szCs w:val="18"/>
              </w:rPr>
            </w:pPr>
            <w:r>
              <w:rPr>
                <w:noProof/>
              </w:rPr>
              <w:drawing>
                <wp:inline distT="0" distB="0" distL="0" distR="0" wp14:anchorId="43DFD3EC" wp14:editId="1AEE3B92">
                  <wp:extent cx="2998470" cy="1936032"/>
                  <wp:effectExtent l="0" t="0" r="0" b="7620"/>
                  <wp:docPr id="19" name="图表 19">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36DE518D" w14:textId="7DD11865" w:rsidR="001170AF" w:rsidRPr="001A1299" w:rsidRDefault="00453F67" w:rsidP="00453F67">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bookmarkStart w:id="2" w:name="_GoBack"/>
      <w:bookmarkEnd w:id="2"/>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80C0E3" w14:textId="77777777" w:rsidR="00BD7058" w:rsidRDefault="00BD7058">
      <w:r>
        <w:separator/>
      </w:r>
    </w:p>
  </w:endnote>
  <w:endnote w:type="continuationSeparator" w:id="0">
    <w:p w14:paraId="4BAAAADA" w14:textId="77777777" w:rsidR="00BD7058" w:rsidRDefault="00BD7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453F67" w:rsidRPr="00453F67">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059989" w14:textId="77777777" w:rsidR="00BD7058" w:rsidRDefault="00BD7058">
      <w:r>
        <w:separator/>
      </w:r>
    </w:p>
  </w:footnote>
  <w:footnote w:type="continuationSeparator" w:id="0">
    <w:p w14:paraId="0D5DD7D9" w14:textId="77777777" w:rsidR="00BD7058" w:rsidRDefault="00BD70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897"/>
    <w:rsid w:val="001D19D7"/>
    <w:rsid w:val="001D1D32"/>
    <w:rsid w:val="001D2283"/>
    <w:rsid w:val="001D2D9C"/>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BC1"/>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3F67"/>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058"/>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44239</c:v>
                </c:pt>
                <c:pt idx="1">
                  <c:v>44246</c:v>
                </c:pt>
                <c:pt idx="2">
                  <c:v>44253</c:v>
                </c:pt>
                <c:pt idx="3">
                  <c:v>44260</c:v>
                </c:pt>
                <c:pt idx="4">
                  <c:v>44267</c:v>
                </c:pt>
                <c:pt idx="5">
                  <c:v>44274</c:v>
                </c:pt>
                <c:pt idx="6">
                  <c:v>44281</c:v>
                </c:pt>
                <c:pt idx="7">
                  <c:v>44288</c:v>
                </c:pt>
                <c:pt idx="8">
                  <c:v>44295</c:v>
                </c:pt>
                <c:pt idx="9">
                  <c:v>44302</c:v>
                </c:pt>
                <c:pt idx="10">
                  <c:v>44309</c:v>
                </c:pt>
                <c:pt idx="11">
                  <c:v>44316</c:v>
                </c:pt>
                <c:pt idx="12">
                  <c:v>44323</c:v>
                </c:pt>
                <c:pt idx="13">
                  <c:v>44330</c:v>
                </c:pt>
                <c:pt idx="14">
                  <c:v>44337</c:v>
                </c:pt>
                <c:pt idx="15">
                  <c:v>44344</c:v>
                </c:pt>
                <c:pt idx="16">
                  <c:v>44351</c:v>
                </c:pt>
                <c:pt idx="17">
                  <c:v>44358</c:v>
                </c:pt>
                <c:pt idx="18">
                  <c:v>44365</c:v>
                </c:pt>
                <c:pt idx="19">
                  <c:v>44372</c:v>
                </c:pt>
                <c:pt idx="20">
                  <c:v>44379</c:v>
                </c:pt>
                <c:pt idx="21">
                  <c:v>44386</c:v>
                </c:pt>
                <c:pt idx="22">
                  <c:v>44393</c:v>
                </c:pt>
              </c:numCache>
            </c:numRef>
          </c:cat>
          <c:val>
            <c:numRef>
              <c:f>央行!$B$5:$B$27</c:f>
              <c:numCache>
                <c:formatCode>###,###,###,###,##0.00</c:formatCode>
                <c:ptCount val="23"/>
                <c:pt idx="0">
                  <c:v>2300</c:v>
                </c:pt>
                <c:pt idx="1">
                  <c:v>400</c:v>
                </c:pt>
                <c:pt idx="2">
                  <c:v>800</c:v>
                </c:pt>
                <c:pt idx="3">
                  <c:v>550</c:v>
                </c:pt>
                <c:pt idx="4">
                  <c:v>500</c:v>
                </c:pt>
                <c:pt idx="5">
                  <c:v>500</c:v>
                </c:pt>
                <c:pt idx="6">
                  <c:v>550</c:v>
                </c:pt>
                <c:pt idx="7">
                  <c:v>500</c:v>
                </c:pt>
                <c:pt idx="8">
                  <c:v>400</c:v>
                </c:pt>
                <c:pt idx="9">
                  <c:v>500</c:v>
                </c:pt>
                <c:pt idx="10">
                  <c:v>500</c:v>
                </c:pt>
                <c:pt idx="11">
                  <c:v>650</c:v>
                </c:pt>
                <c:pt idx="12">
                  <c:v>200</c:v>
                </c:pt>
                <c:pt idx="13">
                  <c:v>600</c:v>
                </c:pt>
                <c:pt idx="14">
                  <c:v>500</c:v>
                </c:pt>
                <c:pt idx="15">
                  <c:v>550</c:v>
                </c:pt>
                <c:pt idx="16">
                  <c:v>500</c:v>
                </c:pt>
                <c:pt idx="17">
                  <c:v>500</c:v>
                </c:pt>
                <c:pt idx="18">
                  <c:v>400</c:v>
                </c:pt>
                <c:pt idx="19">
                  <c:v>900</c:v>
                </c:pt>
                <c:pt idx="20">
                  <c:v>1150</c:v>
                </c:pt>
                <c:pt idx="21">
                  <c:v>500</c:v>
                </c:pt>
                <c:pt idx="22">
                  <c:v>500</c:v>
                </c:pt>
              </c:numCache>
            </c:numRef>
          </c:val>
          <c:extLst xmlns:c16r2="http://schemas.microsoft.com/office/drawing/2015/06/chart">
            <c:ext xmlns:c16="http://schemas.microsoft.com/office/drawing/2014/chart" uri="{C3380CC4-5D6E-409C-BE32-E72D297353CC}">
              <c16:uniqueId val="{00000000-4866-484E-BC85-1856047400A9}"/>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44239</c:v>
                </c:pt>
                <c:pt idx="1">
                  <c:v>44246</c:v>
                </c:pt>
                <c:pt idx="2">
                  <c:v>44253</c:v>
                </c:pt>
                <c:pt idx="3">
                  <c:v>44260</c:v>
                </c:pt>
                <c:pt idx="4">
                  <c:v>44267</c:v>
                </c:pt>
                <c:pt idx="5">
                  <c:v>44274</c:v>
                </c:pt>
                <c:pt idx="6">
                  <c:v>44281</c:v>
                </c:pt>
                <c:pt idx="7">
                  <c:v>44288</c:v>
                </c:pt>
                <c:pt idx="8">
                  <c:v>44295</c:v>
                </c:pt>
                <c:pt idx="9">
                  <c:v>44302</c:v>
                </c:pt>
                <c:pt idx="10">
                  <c:v>44309</c:v>
                </c:pt>
                <c:pt idx="11">
                  <c:v>44316</c:v>
                </c:pt>
                <c:pt idx="12">
                  <c:v>44323</c:v>
                </c:pt>
                <c:pt idx="13">
                  <c:v>44330</c:v>
                </c:pt>
                <c:pt idx="14">
                  <c:v>44337</c:v>
                </c:pt>
                <c:pt idx="15">
                  <c:v>44344</c:v>
                </c:pt>
                <c:pt idx="16">
                  <c:v>44351</c:v>
                </c:pt>
                <c:pt idx="17">
                  <c:v>44358</c:v>
                </c:pt>
                <c:pt idx="18">
                  <c:v>44365</c:v>
                </c:pt>
                <c:pt idx="19">
                  <c:v>44372</c:v>
                </c:pt>
                <c:pt idx="20">
                  <c:v>44379</c:v>
                </c:pt>
                <c:pt idx="21">
                  <c:v>44386</c:v>
                </c:pt>
                <c:pt idx="22">
                  <c:v>44393</c:v>
                </c:pt>
              </c:numCache>
            </c:numRef>
          </c:cat>
          <c:val>
            <c:numRef>
              <c:f>央行!$C$5:$C$27</c:f>
              <c:numCache>
                <c:formatCode>###,###,###,###,##0.00</c:formatCode>
                <c:ptCount val="23"/>
                <c:pt idx="0">
                  <c:v>-2800</c:v>
                </c:pt>
                <c:pt idx="1">
                  <c:v>-3800</c:v>
                </c:pt>
                <c:pt idx="2">
                  <c:v>-950</c:v>
                </c:pt>
                <c:pt idx="3">
                  <c:v>-800</c:v>
                </c:pt>
                <c:pt idx="4">
                  <c:v>-500</c:v>
                </c:pt>
                <c:pt idx="5">
                  <c:v>-500</c:v>
                </c:pt>
                <c:pt idx="6">
                  <c:v>-550</c:v>
                </c:pt>
                <c:pt idx="7">
                  <c:v>-500</c:v>
                </c:pt>
                <c:pt idx="8">
                  <c:v>-500</c:v>
                </c:pt>
                <c:pt idx="9">
                  <c:v>-400</c:v>
                </c:pt>
                <c:pt idx="10">
                  <c:v>-500</c:v>
                </c:pt>
                <c:pt idx="11">
                  <c:v>-550</c:v>
                </c:pt>
                <c:pt idx="12">
                  <c:v>-600</c:v>
                </c:pt>
                <c:pt idx="13">
                  <c:v>-200</c:v>
                </c:pt>
                <c:pt idx="14">
                  <c:v>-600</c:v>
                </c:pt>
                <c:pt idx="15">
                  <c:v>-550</c:v>
                </c:pt>
                <c:pt idx="16">
                  <c:v>-500</c:v>
                </c:pt>
                <c:pt idx="17">
                  <c:v>-500</c:v>
                </c:pt>
                <c:pt idx="18">
                  <c:v>-500</c:v>
                </c:pt>
                <c:pt idx="19">
                  <c:v>-450</c:v>
                </c:pt>
                <c:pt idx="20">
                  <c:v>-900</c:v>
                </c:pt>
                <c:pt idx="21">
                  <c:v>-1100</c:v>
                </c:pt>
                <c:pt idx="22">
                  <c:v>-500</c:v>
                </c:pt>
              </c:numCache>
            </c:numRef>
          </c:val>
          <c:extLst xmlns:c16r2="http://schemas.microsoft.com/office/drawing/2015/06/chart">
            <c:ext xmlns:c16="http://schemas.microsoft.com/office/drawing/2014/chart" uri="{C3380CC4-5D6E-409C-BE32-E72D297353CC}">
              <c16:uniqueId val="{00000001-4866-484E-BC85-1856047400A9}"/>
            </c:ext>
          </c:extLst>
        </c:ser>
        <c:dLbls>
          <c:showLegendKey val="0"/>
          <c:showVal val="0"/>
          <c:showCatName val="0"/>
          <c:showSerName val="0"/>
          <c:showPercent val="0"/>
          <c:showBubbleSize val="0"/>
        </c:dLbls>
        <c:gapWidth val="150"/>
        <c:overlap val="100"/>
        <c:axId val="441828480"/>
        <c:axId val="44183040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44239</c:v>
                </c:pt>
                <c:pt idx="1">
                  <c:v>44246</c:v>
                </c:pt>
                <c:pt idx="2">
                  <c:v>44253</c:v>
                </c:pt>
                <c:pt idx="3">
                  <c:v>44260</c:v>
                </c:pt>
                <c:pt idx="4">
                  <c:v>44267</c:v>
                </c:pt>
                <c:pt idx="5">
                  <c:v>44274</c:v>
                </c:pt>
                <c:pt idx="6">
                  <c:v>44281</c:v>
                </c:pt>
                <c:pt idx="7">
                  <c:v>44288</c:v>
                </c:pt>
                <c:pt idx="8">
                  <c:v>44295</c:v>
                </c:pt>
                <c:pt idx="9">
                  <c:v>44302</c:v>
                </c:pt>
                <c:pt idx="10">
                  <c:v>44309</c:v>
                </c:pt>
                <c:pt idx="11">
                  <c:v>44316</c:v>
                </c:pt>
                <c:pt idx="12">
                  <c:v>44323</c:v>
                </c:pt>
                <c:pt idx="13">
                  <c:v>44330</c:v>
                </c:pt>
                <c:pt idx="14">
                  <c:v>44337</c:v>
                </c:pt>
                <c:pt idx="15">
                  <c:v>44344</c:v>
                </c:pt>
                <c:pt idx="16">
                  <c:v>44351</c:v>
                </c:pt>
                <c:pt idx="17">
                  <c:v>44358</c:v>
                </c:pt>
                <c:pt idx="18">
                  <c:v>44365</c:v>
                </c:pt>
                <c:pt idx="19">
                  <c:v>44372</c:v>
                </c:pt>
                <c:pt idx="20">
                  <c:v>44379</c:v>
                </c:pt>
                <c:pt idx="21">
                  <c:v>44386</c:v>
                </c:pt>
                <c:pt idx="22">
                  <c:v>44393</c:v>
                </c:pt>
              </c:numCache>
            </c:numRef>
          </c:cat>
          <c:val>
            <c:numRef>
              <c:f>央行!$D$5:$D$27</c:f>
              <c:numCache>
                <c:formatCode>###,###,###,###,##0.00</c:formatCode>
                <c:ptCount val="23"/>
                <c:pt idx="0">
                  <c:v>-500</c:v>
                </c:pt>
                <c:pt idx="1">
                  <c:v>-3400</c:v>
                </c:pt>
                <c:pt idx="2">
                  <c:v>-150</c:v>
                </c:pt>
                <c:pt idx="3">
                  <c:v>-250</c:v>
                </c:pt>
                <c:pt idx="4">
                  <c:v>0</c:v>
                </c:pt>
                <c:pt idx="5">
                  <c:v>0</c:v>
                </c:pt>
                <c:pt idx="6">
                  <c:v>0</c:v>
                </c:pt>
                <c:pt idx="7">
                  <c:v>0</c:v>
                </c:pt>
                <c:pt idx="8">
                  <c:v>-100</c:v>
                </c:pt>
                <c:pt idx="9">
                  <c:v>100</c:v>
                </c:pt>
                <c:pt idx="10">
                  <c:v>0</c:v>
                </c:pt>
                <c:pt idx="11">
                  <c:v>100</c:v>
                </c:pt>
                <c:pt idx="12">
                  <c:v>-400</c:v>
                </c:pt>
                <c:pt idx="13">
                  <c:v>400</c:v>
                </c:pt>
                <c:pt idx="14">
                  <c:v>-100</c:v>
                </c:pt>
                <c:pt idx="15">
                  <c:v>0</c:v>
                </c:pt>
                <c:pt idx="16">
                  <c:v>0</c:v>
                </c:pt>
                <c:pt idx="17">
                  <c:v>0</c:v>
                </c:pt>
                <c:pt idx="18">
                  <c:v>-100</c:v>
                </c:pt>
                <c:pt idx="19">
                  <c:v>450</c:v>
                </c:pt>
                <c:pt idx="20">
                  <c:v>250</c:v>
                </c:pt>
                <c:pt idx="21">
                  <c:v>-600</c:v>
                </c:pt>
                <c:pt idx="22">
                  <c:v>0</c:v>
                </c:pt>
              </c:numCache>
            </c:numRef>
          </c:val>
          <c:smooth val="0"/>
          <c:extLst xmlns:c16r2="http://schemas.microsoft.com/office/drawing/2015/06/chart">
            <c:ext xmlns:c16="http://schemas.microsoft.com/office/drawing/2014/chart" uri="{C3380CC4-5D6E-409C-BE32-E72D297353CC}">
              <c16:uniqueId val="{00000002-4866-484E-BC85-1856047400A9}"/>
            </c:ext>
          </c:extLst>
        </c:ser>
        <c:dLbls>
          <c:showLegendKey val="0"/>
          <c:showVal val="0"/>
          <c:showCatName val="0"/>
          <c:showSerName val="0"/>
          <c:showPercent val="0"/>
          <c:showBubbleSize val="0"/>
        </c:dLbls>
        <c:marker val="1"/>
        <c:smooth val="0"/>
        <c:axId val="441828480"/>
        <c:axId val="441830400"/>
      </c:lineChart>
      <c:catAx>
        <c:axId val="44182848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1830400"/>
        <c:crosses val="autoZero"/>
        <c:auto val="0"/>
        <c:lblAlgn val="ctr"/>
        <c:lblOffset val="0"/>
        <c:tickMarkSkip val="2"/>
        <c:noMultiLvlLbl val="0"/>
      </c:catAx>
      <c:valAx>
        <c:axId val="44183040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182848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0464806059506009"/>
          <c:w val="0.8718922665229194"/>
          <c:h val="0.80262063839166098"/>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44393</c:v>
                </c:pt>
                <c:pt idx="1">
                  <c:v>44392</c:v>
                </c:pt>
                <c:pt idx="2">
                  <c:v>44391</c:v>
                </c:pt>
                <c:pt idx="3">
                  <c:v>44390</c:v>
                </c:pt>
                <c:pt idx="4">
                  <c:v>44389</c:v>
                </c:pt>
                <c:pt idx="5">
                  <c:v>44386</c:v>
                </c:pt>
                <c:pt idx="6">
                  <c:v>44385</c:v>
                </c:pt>
                <c:pt idx="7">
                  <c:v>44384</c:v>
                </c:pt>
                <c:pt idx="8">
                  <c:v>44383</c:v>
                </c:pt>
                <c:pt idx="9">
                  <c:v>44382</c:v>
                </c:pt>
                <c:pt idx="10">
                  <c:v>44379</c:v>
                </c:pt>
                <c:pt idx="11">
                  <c:v>44378</c:v>
                </c:pt>
                <c:pt idx="12">
                  <c:v>44377</c:v>
                </c:pt>
                <c:pt idx="13">
                  <c:v>44376</c:v>
                </c:pt>
                <c:pt idx="14">
                  <c:v>44375</c:v>
                </c:pt>
                <c:pt idx="15">
                  <c:v>44372</c:v>
                </c:pt>
                <c:pt idx="16">
                  <c:v>44371</c:v>
                </c:pt>
                <c:pt idx="17">
                  <c:v>44370</c:v>
                </c:pt>
                <c:pt idx="18">
                  <c:v>44369</c:v>
                </c:pt>
                <c:pt idx="19">
                  <c:v>44368</c:v>
                </c:pt>
                <c:pt idx="20">
                  <c:v>44365</c:v>
                </c:pt>
                <c:pt idx="21">
                  <c:v>44364</c:v>
                </c:pt>
                <c:pt idx="22">
                  <c:v>44363</c:v>
                </c:pt>
                <c:pt idx="23">
                  <c:v>44362</c:v>
                </c:pt>
                <c:pt idx="24">
                  <c:v>44358</c:v>
                </c:pt>
                <c:pt idx="25">
                  <c:v>44357</c:v>
                </c:pt>
                <c:pt idx="26">
                  <c:v>44356</c:v>
                </c:pt>
                <c:pt idx="27">
                  <c:v>44355</c:v>
                </c:pt>
                <c:pt idx="28">
                  <c:v>44354</c:v>
                </c:pt>
                <c:pt idx="29">
                  <c:v>44351</c:v>
                </c:pt>
                <c:pt idx="30">
                  <c:v>44350</c:v>
                </c:pt>
                <c:pt idx="31">
                  <c:v>44349</c:v>
                </c:pt>
                <c:pt idx="32">
                  <c:v>44348</c:v>
                </c:pt>
                <c:pt idx="33">
                  <c:v>44347</c:v>
                </c:pt>
                <c:pt idx="34">
                  <c:v>44344</c:v>
                </c:pt>
                <c:pt idx="35">
                  <c:v>44343</c:v>
                </c:pt>
                <c:pt idx="36">
                  <c:v>44342</c:v>
                </c:pt>
                <c:pt idx="37">
                  <c:v>44341</c:v>
                </c:pt>
                <c:pt idx="38">
                  <c:v>44340</c:v>
                </c:pt>
                <c:pt idx="39">
                  <c:v>44337</c:v>
                </c:pt>
                <c:pt idx="40">
                  <c:v>44336</c:v>
                </c:pt>
                <c:pt idx="41">
                  <c:v>44335</c:v>
                </c:pt>
                <c:pt idx="42">
                  <c:v>44334</c:v>
                </c:pt>
                <c:pt idx="43">
                  <c:v>44333</c:v>
                </c:pt>
                <c:pt idx="44">
                  <c:v>44330</c:v>
                </c:pt>
                <c:pt idx="45">
                  <c:v>44329</c:v>
                </c:pt>
                <c:pt idx="46">
                  <c:v>44328</c:v>
                </c:pt>
                <c:pt idx="47">
                  <c:v>44327</c:v>
                </c:pt>
                <c:pt idx="48">
                  <c:v>44326</c:v>
                </c:pt>
                <c:pt idx="49">
                  <c:v>44324</c:v>
                </c:pt>
                <c:pt idx="50">
                  <c:v>44323</c:v>
                </c:pt>
                <c:pt idx="51">
                  <c:v>44322</c:v>
                </c:pt>
                <c:pt idx="52">
                  <c:v>44316</c:v>
                </c:pt>
                <c:pt idx="53">
                  <c:v>44315</c:v>
                </c:pt>
                <c:pt idx="54">
                  <c:v>44314</c:v>
                </c:pt>
                <c:pt idx="55">
                  <c:v>44313</c:v>
                </c:pt>
                <c:pt idx="56">
                  <c:v>44312</c:v>
                </c:pt>
                <c:pt idx="57">
                  <c:v>44311</c:v>
                </c:pt>
                <c:pt idx="58">
                  <c:v>44309</c:v>
                </c:pt>
              </c:numCache>
            </c:numRef>
          </c:cat>
          <c:val>
            <c:numRef>
              <c:f>资金!$B$3:$B$61</c:f>
              <c:numCache>
                <c:formatCode>###,###,###,###,##0.0000</c:formatCode>
                <c:ptCount val="59"/>
                <c:pt idx="0">
                  <c:v>2.1206999999999998</c:v>
                </c:pt>
                <c:pt idx="1">
                  <c:v>2.1284000000000001</c:v>
                </c:pt>
                <c:pt idx="2">
                  <c:v>2.0181</c:v>
                </c:pt>
                <c:pt idx="3">
                  <c:v>2.0840999999999998</c:v>
                </c:pt>
                <c:pt idx="4">
                  <c:v>1.984</c:v>
                </c:pt>
                <c:pt idx="5">
                  <c:v>2.2357999999999998</c:v>
                </c:pt>
                <c:pt idx="6">
                  <c:v>1.8419000000000001</c:v>
                </c:pt>
                <c:pt idx="7">
                  <c:v>2.0931000000000002</c:v>
                </c:pt>
                <c:pt idx="8">
                  <c:v>1.9484999999999999</c:v>
                </c:pt>
                <c:pt idx="9">
                  <c:v>1.7087000000000001</c:v>
                </c:pt>
                <c:pt idx="10">
                  <c:v>1.6527000000000001</c:v>
                </c:pt>
                <c:pt idx="11">
                  <c:v>1.7985</c:v>
                </c:pt>
                <c:pt idx="12">
                  <c:v>3.6480999999999999</c:v>
                </c:pt>
                <c:pt idx="13">
                  <c:v>1.8728</c:v>
                </c:pt>
                <c:pt idx="14">
                  <c:v>1.6152</c:v>
                </c:pt>
                <c:pt idx="15">
                  <c:v>1.5741000000000001</c:v>
                </c:pt>
                <c:pt idx="16">
                  <c:v>1.8687</c:v>
                </c:pt>
                <c:pt idx="17">
                  <c:v>2.2334999999999998</c:v>
                </c:pt>
                <c:pt idx="18">
                  <c:v>2.3925999999999998</c:v>
                </c:pt>
                <c:pt idx="19">
                  <c:v>2.2985000000000002</c:v>
                </c:pt>
                <c:pt idx="20">
                  <c:v>2.0535000000000001</c:v>
                </c:pt>
                <c:pt idx="21">
                  <c:v>1.9017999999999999</c:v>
                </c:pt>
                <c:pt idx="22">
                  <c:v>2.0264000000000002</c:v>
                </c:pt>
                <c:pt idx="23">
                  <c:v>2.1314000000000002</c:v>
                </c:pt>
                <c:pt idx="24">
                  <c:v>2.0297000000000001</c:v>
                </c:pt>
                <c:pt idx="25">
                  <c:v>1.9117</c:v>
                </c:pt>
                <c:pt idx="26">
                  <c:v>2.194</c:v>
                </c:pt>
                <c:pt idx="27">
                  <c:v>2.2252000000000001</c:v>
                </c:pt>
                <c:pt idx="28">
                  <c:v>2.3681000000000001</c:v>
                </c:pt>
                <c:pt idx="29">
                  <c:v>2.2187999999999999</c:v>
                </c:pt>
                <c:pt idx="30">
                  <c:v>1.8841000000000001</c:v>
                </c:pt>
                <c:pt idx="31">
                  <c:v>2.0444</c:v>
                </c:pt>
                <c:pt idx="32">
                  <c:v>2.2265999999999999</c:v>
                </c:pt>
                <c:pt idx="33">
                  <c:v>2.5068999999999999</c:v>
                </c:pt>
                <c:pt idx="34">
                  <c:v>2.2092000000000001</c:v>
                </c:pt>
                <c:pt idx="35">
                  <c:v>2.1524000000000001</c:v>
                </c:pt>
                <c:pt idx="36">
                  <c:v>2.0261</c:v>
                </c:pt>
                <c:pt idx="37">
                  <c:v>2.2078000000000002</c:v>
                </c:pt>
                <c:pt idx="38">
                  <c:v>2.2084999999999999</c:v>
                </c:pt>
                <c:pt idx="39">
                  <c:v>2.0007000000000001</c:v>
                </c:pt>
                <c:pt idx="40">
                  <c:v>2.1055999999999999</c:v>
                </c:pt>
                <c:pt idx="41">
                  <c:v>2.0579999999999998</c:v>
                </c:pt>
                <c:pt idx="42">
                  <c:v>2.1303999999999998</c:v>
                </c:pt>
                <c:pt idx="43">
                  <c:v>2.1846000000000001</c:v>
                </c:pt>
                <c:pt idx="44">
                  <c:v>1.8376999999999999</c:v>
                </c:pt>
                <c:pt idx="45">
                  <c:v>1.9856</c:v>
                </c:pt>
                <c:pt idx="46">
                  <c:v>1.9772000000000001</c:v>
                </c:pt>
                <c:pt idx="47">
                  <c:v>1.9589000000000001</c:v>
                </c:pt>
                <c:pt idx="48">
                  <c:v>1.6997</c:v>
                </c:pt>
                <c:pt idx="49">
                  <c:v>1.4749000000000001</c:v>
                </c:pt>
                <c:pt idx="50">
                  <c:v>1.7567999999999999</c:v>
                </c:pt>
                <c:pt idx="51">
                  <c:v>2.1004999999999998</c:v>
                </c:pt>
                <c:pt idx="52">
                  <c:v>2.3130000000000002</c:v>
                </c:pt>
                <c:pt idx="53">
                  <c:v>1.8532</c:v>
                </c:pt>
                <c:pt idx="54">
                  <c:v>1.8116000000000001</c:v>
                </c:pt>
                <c:pt idx="55">
                  <c:v>1.8314999999999999</c:v>
                </c:pt>
                <c:pt idx="56">
                  <c:v>2.0872999999999999</c:v>
                </c:pt>
                <c:pt idx="57">
                  <c:v>2.0192000000000001</c:v>
                </c:pt>
                <c:pt idx="58">
                  <c:v>1.9596</c:v>
                </c:pt>
              </c:numCache>
            </c:numRef>
          </c:val>
          <c:smooth val="1"/>
          <c:extLst xmlns:c16r2="http://schemas.microsoft.com/office/drawing/2015/06/chart">
            <c:ext xmlns:c16="http://schemas.microsoft.com/office/drawing/2014/chart" uri="{C3380CC4-5D6E-409C-BE32-E72D297353CC}">
              <c16:uniqueId val="{00000000-016C-4752-8B8A-7C46E14CF702}"/>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44393</c:v>
                </c:pt>
                <c:pt idx="1">
                  <c:v>44392</c:v>
                </c:pt>
                <c:pt idx="2">
                  <c:v>44391</c:v>
                </c:pt>
                <c:pt idx="3">
                  <c:v>44390</c:v>
                </c:pt>
                <c:pt idx="4">
                  <c:v>44389</c:v>
                </c:pt>
                <c:pt idx="5">
                  <c:v>44386</c:v>
                </c:pt>
                <c:pt idx="6">
                  <c:v>44385</c:v>
                </c:pt>
                <c:pt idx="7">
                  <c:v>44384</c:v>
                </c:pt>
                <c:pt idx="8">
                  <c:v>44383</c:v>
                </c:pt>
                <c:pt idx="9">
                  <c:v>44382</c:v>
                </c:pt>
                <c:pt idx="10">
                  <c:v>44379</c:v>
                </c:pt>
                <c:pt idx="11">
                  <c:v>44378</c:v>
                </c:pt>
                <c:pt idx="12">
                  <c:v>44377</c:v>
                </c:pt>
                <c:pt idx="13">
                  <c:v>44376</c:v>
                </c:pt>
                <c:pt idx="14">
                  <c:v>44375</c:v>
                </c:pt>
                <c:pt idx="15">
                  <c:v>44372</c:v>
                </c:pt>
                <c:pt idx="16">
                  <c:v>44371</c:v>
                </c:pt>
                <c:pt idx="17">
                  <c:v>44370</c:v>
                </c:pt>
                <c:pt idx="18">
                  <c:v>44369</c:v>
                </c:pt>
                <c:pt idx="19">
                  <c:v>44368</c:v>
                </c:pt>
                <c:pt idx="20">
                  <c:v>44365</c:v>
                </c:pt>
                <c:pt idx="21">
                  <c:v>44364</c:v>
                </c:pt>
                <c:pt idx="22">
                  <c:v>44363</c:v>
                </c:pt>
                <c:pt idx="23">
                  <c:v>44362</c:v>
                </c:pt>
                <c:pt idx="24">
                  <c:v>44358</c:v>
                </c:pt>
                <c:pt idx="25">
                  <c:v>44357</c:v>
                </c:pt>
                <c:pt idx="26">
                  <c:v>44356</c:v>
                </c:pt>
                <c:pt idx="27">
                  <c:v>44355</c:v>
                </c:pt>
                <c:pt idx="28">
                  <c:v>44354</c:v>
                </c:pt>
                <c:pt idx="29">
                  <c:v>44351</c:v>
                </c:pt>
                <c:pt idx="30">
                  <c:v>44350</c:v>
                </c:pt>
                <c:pt idx="31">
                  <c:v>44349</c:v>
                </c:pt>
                <c:pt idx="32">
                  <c:v>44348</c:v>
                </c:pt>
                <c:pt idx="33">
                  <c:v>44347</c:v>
                </c:pt>
                <c:pt idx="34">
                  <c:v>44344</c:v>
                </c:pt>
                <c:pt idx="35">
                  <c:v>44343</c:v>
                </c:pt>
                <c:pt idx="36">
                  <c:v>44342</c:v>
                </c:pt>
                <c:pt idx="37">
                  <c:v>44341</c:v>
                </c:pt>
                <c:pt idx="38">
                  <c:v>44340</c:v>
                </c:pt>
                <c:pt idx="39">
                  <c:v>44337</c:v>
                </c:pt>
                <c:pt idx="40">
                  <c:v>44336</c:v>
                </c:pt>
                <c:pt idx="41">
                  <c:v>44335</c:v>
                </c:pt>
                <c:pt idx="42">
                  <c:v>44334</c:v>
                </c:pt>
                <c:pt idx="43">
                  <c:v>44333</c:v>
                </c:pt>
                <c:pt idx="44">
                  <c:v>44330</c:v>
                </c:pt>
                <c:pt idx="45">
                  <c:v>44329</c:v>
                </c:pt>
                <c:pt idx="46">
                  <c:v>44328</c:v>
                </c:pt>
                <c:pt idx="47">
                  <c:v>44327</c:v>
                </c:pt>
                <c:pt idx="48">
                  <c:v>44326</c:v>
                </c:pt>
                <c:pt idx="49">
                  <c:v>44324</c:v>
                </c:pt>
                <c:pt idx="50">
                  <c:v>44323</c:v>
                </c:pt>
                <c:pt idx="51">
                  <c:v>44322</c:v>
                </c:pt>
                <c:pt idx="52">
                  <c:v>44316</c:v>
                </c:pt>
                <c:pt idx="53">
                  <c:v>44315</c:v>
                </c:pt>
                <c:pt idx="54">
                  <c:v>44314</c:v>
                </c:pt>
                <c:pt idx="55">
                  <c:v>44313</c:v>
                </c:pt>
                <c:pt idx="56">
                  <c:v>44312</c:v>
                </c:pt>
                <c:pt idx="57">
                  <c:v>44311</c:v>
                </c:pt>
                <c:pt idx="58">
                  <c:v>44309</c:v>
                </c:pt>
              </c:numCache>
            </c:numRef>
          </c:cat>
          <c:val>
            <c:numRef>
              <c:f>资金!$C$3:$C$61</c:f>
              <c:numCache>
                <c:formatCode>###,###,###,###,##0.0000</c:formatCode>
                <c:ptCount val="59"/>
                <c:pt idx="0">
                  <c:v>2.2141000000000002</c:v>
                </c:pt>
                <c:pt idx="1">
                  <c:v>2.2366999999999999</c:v>
                </c:pt>
                <c:pt idx="2">
                  <c:v>2.2166000000000001</c:v>
                </c:pt>
                <c:pt idx="3">
                  <c:v>2.2111999999999998</c:v>
                </c:pt>
                <c:pt idx="4">
                  <c:v>2.2132999999999998</c:v>
                </c:pt>
                <c:pt idx="5">
                  <c:v>2.2448999999999999</c:v>
                </c:pt>
                <c:pt idx="6">
                  <c:v>2.1055000000000001</c:v>
                </c:pt>
                <c:pt idx="7">
                  <c:v>2.1293000000000002</c:v>
                </c:pt>
                <c:pt idx="8">
                  <c:v>2.0691000000000002</c:v>
                </c:pt>
                <c:pt idx="9">
                  <c:v>2.0535999999999999</c:v>
                </c:pt>
                <c:pt idx="10">
                  <c:v>2.0105</c:v>
                </c:pt>
                <c:pt idx="11">
                  <c:v>2.1985000000000001</c:v>
                </c:pt>
                <c:pt idx="12">
                  <c:v>3.242</c:v>
                </c:pt>
                <c:pt idx="13">
                  <c:v>3.3837999999999999</c:v>
                </c:pt>
                <c:pt idx="14">
                  <c:v>2.8334000000000001</c:v>
                </c:pt>
                <c:pt idx="15">
                  <c:v>2.7275999999999998</c:v>
                </c:pt>
                <c:pt idx="16">
                  <c:v>2.7907000000000002</c:v>
                </c:pt>
                <c:pt idx="17">
                  <c:v>2.3719000000000001</c:v>
                </c:pt>
                <c:pt idx="18">
                  <c:v>2.4222000000000001</c:v>
                </c:pt>
                <c:pt idx="19">
                  <c:v>2.3371</c:v>
                </c:pt>
                <c:pt idx="20">
                  <c:v>2.2141999999999999</c:v>
                </c:pt>
                <c:pt idx="21">
                  <c:v>2.2254999999999998</c:v>
                </c:pt>
                <c:pt idx="22">
                  <c:v>2.2517999999999998</c:v>
                </c:pt>
                <c:pt idx="23">
                  <c:v>2.2555999999999998</c:v>
                </c:pt>
                <c:pt idx="24">
                  <c:v>2.1131000000000002</c:v>
                </c:pt>
                <c:pt idx="25">
                  <c:v>2.1677</c:v>
                </c:pt>
                <c:pt idx="26">
                  <c:v>2.2887</c:v>
                </c:pt>
                <c:pt idx="27">
                  <c:v>2.3472</c:v>
                </c:pt>
                <c:pt idx="28">
                  <c:v>2.3174000000000001</c:v>
                </c:pt>
                <c:pt idx="29">
                  <c:v>2.1429</c:v>
                </c:pt>
                <c:pt idx="30">
                  <c:v>2.1086999999999998</c:v>
                </c:pt>
                <c:pt idx="31">
                  <c:v>2.2256</c:v>
                </c:pt>
                <c:pt idx="32">
                  <c:v>2.29</c:v>
                </c:pt>
                <c:pt idx="33">
                  <c:v>2.7025999999999999</c:v>
                </c:pt>
                <c:pt idx="34">
                  <c:v>2.4354</c:v>
                </c:pt>
                <c:pt idx="35">
                  <c:v>2.3687999999999998</c:v>
                </c:pt>
                <c:pt idx="36">
                  <c:v>2.3936999999999999</c:v>
                </c:pt>
                <c:pt idx="37">
                  <c:v>2.4274</c:v>
                </c:pt>
                <c:pt idx="38">
                  <c:v>2.1537999999999999</c:v>
                </c:pt>
                <c:pt idx="39">
                  <c:v>2.1427</c:v>
                </c:pt>
                <c:pt idx="40">
                  <c:v>2.2088000000000001</c:v>
                </c:pt>
                <c:pt idx="41">
                  <c:v>2.1913</c:v>
                </c:pt>
                <c:pt idx="42">
                  <c:v>2.2437</c:v>
                </c:pt>
                <c:pt idx="43">
                  <c:v>2.1873999999999998</c:v>
                </c:pt>
                <c:pt idx="44">
                  <c:v>2.0255000000000001</c:v>
                </c:pt>
                <c:pt idx="45">
                  <c:v>2.0687000000000002</c:v>
                </c:pt>
                <c:pt idx="46">
                  <c:v>1.9994000000000001</c:v>
                </c:pt>
                <c:pt idx="47">
                  <c:v>1.9733000000000001</c:v>
                </c:pt>
                <c:pt idx="48">
                  <c:v>1.9528000000000001</c:v>
                </c:pt>
                <c:pt idx="49">
                  <c:v>1.821</c:v>
                </c:pt>
                <c:pt idx="50">
                  <c:v>1.9728000000000001</c:v>
                </c:pt>
                <c:pt idx="51">
                  <c:v>2.1395</c:v>
                </c:pt>
                <c:pt idx="52">
                  <c:v>2.3769</c:v>
                </c:pt>
                <c:pt idx="53">
                  <c:v>2.3264999999999998</c:v>
                </c:pt>
                <c:pt idx="54">
                  <c:v>2.2690000000000001</c:v>
                </c:pt>
                <c:pt idx="55">
                  <c:v>2.2949999999999999</c:v>
                </c:pt>
                <c:pt idx="56">
                  <c:v>2.3549000000000002</c:v>
                </c:pt>
                <c:pt idx="57">
                  <c:v>2.2372000000000001</c:v>
                </c:pt>
                <c:pt idx="58">
                  <c:v>2.1141000000000001</c:v>
                </c:pt>
              </c:numCache>
            </c:numRef>
          </c:val>
          <c:smooth val="1"/>
          <c:extLst xmlns:c16r2="http://schemas.microsoft.com/office/drawing/2015/06/chart">
            <c:ext xmlns:c16="http://schemas.microsoft.com/office/drawing/2014/chart" uri="{C3380CC4-5D6E-409C-BE32-E72D297353CC}">
              <c16:uniqueId val="{00000001-016C-4752-8B8A-7C46E14CF702}"/>
            </c:ext>
          </c:extLst>
        </c:ser>
        <c:dLbls>
          <c:showLegendKey val="0"/>
          <c:showVal val="0"/>
          <c:showCatName val="0"/>
          <c:showSerName val="0"/>
          <c:showPercent val="0"/>
          <c:showBubbleSize val="0"/>
        </c:dLbls>
        <c:marker val="1"/>
        <c:smooth val="0"/>
        <c:axId val="444225792"/>
        <c:axId val="444227584"/>
      </c:lineChart>
      <c:dateAx>
        <c:axId val="44422579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4227584"/>
        <c:crosses val="autoZero"/>
        <c:auto val="0"/>
        <c:lblOffset val="0"/>
        <c:baseTimeUnit val="days"/>
        <c:majorUnit val="14"/>
        <c:majorTimeUnit val="days"/>
        <c:minorUnit val="7"/>
        <c:minorTimeUnit val="days"/>
      </c:dateAx>
      <c:valAx>
        <c:axId val="44422758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4225792"/>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1.110000000000011</c:v>
                </c:pt>
                <c:pt idx="1">
                  <c:v>2.5800000000000045</c:v>
                </c:pt>
                <c:pt idx="2">
                  <c:v>-7.5499999999999901</c:v>
                </c:pt>
                <c:pt idx="3">
                  <c:v>-10.75999999999997</c:v>
                </c:pt>
                <c:pt idx="4">
                  <c:v>-10.089999999999977</c:v>
                </c:pt>
                <c:pt idx="5">
                  <c:v>-7.2100000000000275</c:v>
                </c:pt>
                <c:pt idx="6">
                  <c:v>-6.7299999999999915</c:v>
                </c:pt>
              </c:numCache>
            </c:numRef>
          </c:val>
          <c:extLst xmlns:c16r2="http://schemas.microsoft.com/office/drawing/2015/06/chart">
            <c:ext xmlns:c16="http://schemas.microsoft.com/office/drawing/2014/chart" uri="{C3380CC4-5D6E-409C-BE32-E72D297353CC}">
              <c16:uniqueId val="{00000000-57C6-44A3-AADF-37506EDC4BA8}"/>
            </c:ext>
          </c:extLst>
        </c:ser>
        <c:dLbls>
          <c:showLegendKey val="0"/>
          <c:showVal val="0"/>
          <c:showCatName val="0"/>
          <c:showSerName val="0"/>
          <c:showPercent val="0"/>
          <c:showBubbleSize val="0"/>
        </c:dLbls>
        <c:gapWidth val="150"/>
        <c:axId val="444402688"/>
        <c:axId val="444417152"/>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7C6-44A3-AADF-37506EDC4BA8}"/>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57C6-44A3-AADF-37506EDC4BA8}"/>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57C6-44A3-AADF-37506EDC4BA8}"/>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57C6-44A3-AADF-37506EDC4BA8}"/>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57C6-44A3-AADF-37506EDC4BA8}"/>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57C6-44A3-AADF-37506EDC4BA8}"/>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1.7599</c:v>
                </c:pt>
                <c:pt idx="1">
                  <c:v>1.8429</c:v>
                </c:pt>
                <c:pt idx="2">
                  <c:v>2.2719</c:v>
                </c:pt>
                <c:pt idx="3">
                  <c:v>2.6301000000000001</c:v>
                </c:pt>
                <c:pt idx="4">
                  <c:v>2.7879</c:v>
                </c:pt>
                <c:pt idx="5">
                  <c:v>2.9403999999999999</c:v>
                </c:pt>
                <c:pt idx="6">
                  <c:v>2.9432</c:v>
                </c:pt>
              </c:numCache>
            </c:numRef>
          </c:val>
          <c:smooth val="0"/>
          <c:extLst xmlns:c16r2="http://schemas.microsoft.com/office/drawing/2015/06/chart">
            <c:ext xmlns:c16="http://schemas.microsoft.com/office/drawing/2014/chart" uri="{C3380CC4-5D6E-409C-BE32-E72D297353CC}">
              <c16:uniqueId val="{00000007-57C6-44A3-AADF-37506EDC4BA8}"/>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1.7487999999999999</c:v>
                </c:pt>
                <c:pt idx="1">
                  <c:v>1.8170999999999999</c:v>
                </c:pt>
                <c:pt idx="2">
                  <c:v>2.3473999999999999</c:v>
                </c:pt>
                <c:pt idx="3">
                  <c:v>2.7376999999999998</c:v>
                </c:pt>
                <c:pt idx="4">
                  <c:v>2.8887999999999998</c:v>
                </c:pt>
                <c:pt idx="5">
                  <c:v>3.0125000000000002</c:v>
                </c:pt>
                <c:pt idx="6">
                  <c:v>3.0105</c:v>
                </c:pt>
              </c:numCache>
            </c:numRef>
          </c:val>
          <c:smooth val="0"/>
          <c:extLst xmlns:c16r2="http://schemas.microsoft.com/office/drawing/2015/06/chart">
            <c:ext xmlns:c16="http://schemas.microsoft.com/office/drawing/2014/chart" uri="{C3380CC4-5D6E-409C-BE32-E72D297353CC}">
              <c16:uniqueId val="{00000008-57C6-44A3-AADF-37506EDC4BA8}"/>
            </c:ext>
          </c:extLst>
        </c:ser>
        <c:dLbls>
          <c:showLegendKey val="0"/>
          <c:showVal val="0"/>
          <c:showCatName val="0"/>
          <c:showSerName val="0"/>
          <c:showPercent val="0"/>
          <c:showBubbleSize val="0"/>
        </c:dLbls>
        <c:marker val="1"/>
        <c:smooth val="0"/>
        <c:axId val="444436864"/>
        <c:axId val="444418688"/>
      </c:lineChart>
      <c:dateAx>
        <c:axId val="44440268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4417152"/>
        <c:crosses val="autoZero"/>
        <c:auto val="0"/>
        <c:lblOffset val="0"/>
        <c:baseTimeUnit val="days"/>
      </c:dateAx>
      <c:valAx>
        <c:axId val="44441715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4402688"/>
        <c:crosses val="autoZero"/>
        <c:crossBetween val="between"/>
      </c:valAx>
      <c:valAx>
        <c:axId val="444418688"/>
        <c:scaling>
          <c:orientation val="minMax"/>
        </c:scaling>
        <c:delete val="0"/>
        <c:axPos val="r"/>
        <c:numFmt formatCode="#,##0.0_);[Red]\(#,##0.0\)" sourceLinked="0"/>
        <c:majorTickMark val="out"/>
        <c:minorTickMark val="none"/>
        <c:tickLblPos val="nextTo"/>
        <c:spPr>
          <a:ln w="3175">
            <a:solidFill>
              <a:sysClr val="windowText" lastClr="000000"/>
            </a:solidFill>
          </a:ln>
        </c:spPr>
        <c:crossAx val="444436864"/>
        <c:crosses val="max"/>
        <c:crossBetween val="between"/>
      </c:valAx>
      <c:dateAx>
        <c:axId val="444436864"/>
        <c:scaling>
          <c:orientation val="minMax"/>
        </c:scaling>
        <c:delete val="1"/>
        <c:axPos val="b"/>
        <c:numFmt formatCode="General" sourceLinked="1"/>
        <c:majorTickMark val="out"/>
        <c:minorTickMark val="none"/>
        <c:tickLblPos val="nextTo"/>
        <c:crossAx val="444418688"/>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-1.1399999999999855</c:v>
                </c:pt>
                <c:pt idx="1">
                  <c:v>2.7199999999999891</c:v>
                </c:pt>
                <c:pt idx="2">
                  <c:v>-5.5800000000000072</c:v>
                </c:pt>
                <c:pt idx="3">
                  <c:v>-6.009999999999982</c:v>
                </c:pt>
                <c:pt idx="4">
                  <c:v>-11.549999999999994</c:v>
                </c:pt>
                <c:pt idx="5">
                  <c:v>-6.8299999999999805</c:v>
                </c:pt>
                <c:pt idx="6">
                  <c:v>-7.240000000000002</c:v>
                </c:pt>
              </c:numCache>
            </c:numRef>
          </c:val>
          <c:extLst xmlns:c16r2="http://schemas.microsoft.com/office/drawing/2015/06/chart">
            <c:ext xmlns:c16="http://schemas.microsoft.com/office/drawing/2014/chart" uri="{C3380CC4-5D6E-409C-BE32-E72D297353CC}">
              <c16:uniqueId val="{00000000-D2FE-45C7-AEE2-A30A47BA7022}"/>
            </c:ext>
          </c:extLst>
        </c:ser>
        <c:dLbls>
          <c:showLegendKey val="0"/>
          <c:showVal val="0"/>
          <c:showCatName val="0"/>
          <c:showSerName val="0"/>
          <c:showPercent val="0"/>
          <c:showBubbleSize val="0"/>
        </c:dLbls>
        <c:gapWidth val="150"/>
        <c:axId val="444939648"/>
        <c:axId val="444945920"/>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2FE-45C7-AEE2-A30A47BA7022}"/>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D2FE-45C7-AEE2-A30A47BA7022}"/>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D2FE-45C7-AEE2-A30A47BA7022}"/>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D2FE-45C7-AEE2-A30A47BA7022}"/>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2FE-45C7-AEE2-A30A47BA7022}"/>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D2FE-45C7-AEE2-A30A47BA7022}"/>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1.7638</c:v>
                </c:pt>
                <c:pt idx="1">
                  <c:v>1.8552</c:v>
                </c:pt>
                <c:pt idx="2">
                  <c:v>2.3942000000000001</c:v>
                </c:pt>
                <c:pt idx="3">
                  <c:v>2.8626</c:v>
                </c:pt>
                <c:pt idx="4">
                  <c:v>3.0813000000000001</c:v>
                </c:pt>
                <c:pt idx="5">
                  <c:v>3.3199000000000001</c:v>
                </c:pt>
                <c:pt idx="6">
                  <c:v>3.3378000000000001</c:v>
                </c:pt>
              </c:numCache>
            </c:numRef>
          </c:val>
          <c:smooth val="0"/>
          <c:extLst xmlns:c16r2="http://schemas.microsoft.com/office/drawing/2015/06/chart">
            <c:ext xmlns:c16="http://schemas.microsoft.com/office/drawing/2014/chart" uri="{C3380CC4-5D6E-409C-BE32-E72D297353CC}">
              <c16:uniqueId val="{00000007-D2FE-45C7-AEE2-A30A47BA7022}"/>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1.7751999999999999</c:v>
                </c:pt>
                <c:pt idx="1">
                  <c:v>1.8280000000000001</c:v>
                </c:pt>
                <c:pt idx="2">
                  <c:v>2.4500000000000002</c:v>
                </c:pt>
                <c:pt idx="3">
                  <c:v>2.9226999999999999</c:v>
                </c:pt>
                <c:pt idx="4">
                  <c:v>3.1968000000000001</c:v>
                </c:pt>
                <c:pt idx="5">
                  <c:v>3.3881999999999999</c:v>
                </c:pt>
                <c:pt idx="6">
                  <c:v>3.4102000000000001</c:v>
                </c:pt>
              </c:numCache>
            </c:numRef>
          </c:val>
          <c:smooth val="0"/>
          <c:extLst xmlns:c16r2="http://schemas.microsoft.com/office/drawing/2015/06/chart">
            <c:ext xmlns:c16="http://schemas.microsoft.com/office/drawing/2014/chart" uri="{C3380CC4-5D6E-409C-BE32-E72D297353CC}">
              <c16:uniqueId val="{00000008-D2FE-45C7-AEE2-A30A47BA7022}"/>
            </c:ext>
          </c:extLst>
        </c:ser>
        <c:dLbls>
          <c:showLegendKey val="0"/>
          <c:showVal val="0"/>
          <c:showCatName val="0"/>
          <c:showSerName val="0"/>
          <c:showPercent val="0"/>
          <c:showBubbleSize val="0"/>
        </c:dLbls>
        <c:marker val="1"/>
        <c:smooth val="0"/>
        <c:axId val="444957440"/>
        <c:axId val="444947456"/>
      </c:lineChart>
      <c:dateAx>
        <c:axId val="44493964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4945920"/>
        <c:crosses val="autoZero"/>
        <c:auto val="0"/>
        <c:lblOffset val="0"/>
        <c:baseTimeUnit val="days"/>
      </c:dateAx>
      <c:valAx>
        <c:axId val="44494592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4939648"/>
        <c:crosses val="autoZero"/>
        <c:crossBetween val="between"/>
      </c:valAx>
      <c:valAx>
        <c:axId val="444947456"/>
        <c:scaling>
          <c:orientation val="minMax"/>
        </c:scaling>
        <c:delete val="0"/>
        <c:axPos val="r"/>
        <c:numFmt formatCode="#,##0.0_);[Red]\(#,##0.0\)" sourceLinked="0"/>
        <c:majorTickMark val="out"/>
        <c:minorTickMark val="none"/>
        <c:tickLblPos val="nextTo"/>
        <c:spPr>
          <a:ln w="3175">
            <a:solidFill>
              <a:sysClr val="windowText" lastClr="000000"/>
            </a:solidFill>
          </a:ln>
        </c:spPr>
        <c:crossAx val="444957440"/>
        <c:crosses val="max"/>
        <c:crossBetween val="between"/>
      </c:valAx>
      <c:dateAx>
        <c:axId val="444957440"/>
        <c:scaling>
          <c:orientation val="minMax"/>
        </c:scaling>
        <c:delete val="1"/>
        <c:axPos val="b"/>
        <c:numFmt formatCode="General" sourceLinked="1"/>
        <c:majorTickMark val="out"/>
        <c:minorTickMark val="none"/>
        <c:tickLblPos val="nextTo"/>
        <c:crossAx val="44494745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44393</c:v>
                </c:pt>
                <c:pt idx="1">
                  <c:v>44386</c:v>
                </c:pt>
                <c:pt idx="2">
                  <c:v>44379</c:v>
                </c:pt>
                <c:pt idx="3">
                  <c:v>44372</c:v>
                </c:pt>
                <c:pt idx="4">
                  <c:v>44365</c:v>
                </c:pt>
                <c:pt idx="5">
                  <c:v>44358</c:v>
                </c:pt>
                <c:pt idx="6">
                  <c:v>44351</c:v>
                </c:pt>
                <c:pt idx="7">
                  <c:v>44344</c:v>
                </c:pt>
                <c:pt idx="8">
                  <c:v>44337</c:v>
                </c:pt>
                <c:pt idx="9">
                  <c:v>44330</c:v>
                </c:pt>
                <c:pt idx="10">
                  <c:v>44323</c:v>
                </c:pt>
                <c:pt idx="11">
                  <c:v>44316</c:v>
                </c:pt>
                <c:pt idx="12">
                  <c:v>44309</c:v>
                </c:pt>
                <c:pt idx="13">
                  <c:v>44302</c:v>
                </c:pt>
                <c:pt idx="14">
                  <c:v>44295</c:v>
                </c:pt>
                <c:pt idx="15">
                  <c:v>44288</c:v>
                </c:pt>
                <c:pt idx="16">
                  <c:v>44281</c:v>
                </c:pt>
                <c:pt idx="17">
                  <c:v>44274</c:v>
                </c:pt>
                <c:pt idx="18">
                  <c:v>44267</c:v>
                </c:pt>
                <c:pt idx="19">
                  <c:v>44260</c:v>
                </c:pt>
                <c:pt idx="20">
                  <c:v>44253</c:v>
                </c:pt>
                <c:pt idx="21">
                  <c:v>44246</c:v>
                </c:pt>
                <c:pt idx="22">
                  <c:v>44237</c:v>
                </c:pt>
                <c:pt idx="23">
                  <c:v>44232</c:v>
                </c:pt>
              </c:numCache>
            </c:numRef>
          </c:cat>
          <c:val>
            <c:numRef>
              <c:f>转债!$H$5:$H$28</c:f>
              <c:numCache>
                <c:formatCode>General</c:formatCode>
                <c:ptCount val="24"/>
                <c:pt idx="0">
                  <c:v>10.624131803503456</c:v>
                </c:pt>
                <c:pt idx="1">
                  <c:v>9.147352113438334</c:v>
                </c:pt>
                <c:pt idx="2">
                  <c:v>7.1210716927351259</c:v>
                </c:pt>
                <c:pt idx="3">
                  <c:v>8.1623719128285579</c:v>
                </c:pt>
                <c:pt idx="4">
                  <c:v>6.0435778264869899</c:v>
                </c:pt>
                <c:pt idx="5">
                  <c:v>7.8161080893362822</c:v>
                </c:pt>
                <c:pt idx="6">
                  <c:v>7.9940038065342556</c:v>
                </c:pt>
                <c:pt idx="7">
                  <c:v>7.9095519655066671</c:v>
                </c:pt>
                <c:pt idx="8">
                  <c:v>6.1575990871534092</c:v>
                </c:pt>
                <c:pt idx="9">
                  <c:v>5.9214383648139135</c:v>
                </c:pt>
                <c:pt idx="10">
                  <c:v>4.9939620880012914</c:v>
                </c:pt>
                <c:pt idx="11">
                  <c:v>4.6976195630603845</c:v>
                </c:pt>
                <c:pt idx="12">
                  <c:v>4.6995927369161805</c:v>
                </c:pt>
                <c:pt idx="13">
                  <c:v>3.9498430481138769</c:v>
                </c:pt>
                <c:pt idx="14">
                  <c:v>4.2449734805433792</c:v>
                </c:pt>
                <c:pt idx="15">
                  <c:v>3.8565119247352619</c:v>
                </c:pt>
                <c:pt idx="16">
                  <c:v>3.2514804441557965</c:v>
                </c:pt>
                <c:pt idx="17">
                  <c:v>3.8441091176417475</c:v>
                </c:pt>
                <c:pt idx="18">
                  <c:v>3.8281545976078357</c:v>
                </c:pt>
                <c:pt idx="19">
                  <c:v>3.4985218109000238</c:v>
                </c:pt>
                <c:pt idx="20">
                  <c:v>3.0117961970738349</c:v>
                </c:pt>
                <c:pt idx="21">
                  <c:v>4.5782707329833583</c:v>
                </c:pt>
                <c:pt idx="22">
                  <c:v>2.8619759250239074</c:v>
                </c:pt>
                <c:pt idx="23">
                  <c:v>0</c:v>
                </c:pt>
              </c:numCache>
            </c:numRef>
          </c:val>
          <c:smooth val="1"/>
          <c:extLst xmlns:c16r2="http://schemas.microsoft.com/office/drawing/2015/06/chart">
            <c:ext xmlns:c16="http://schemas.microsoft.com/office/drawing/2014/chart" uri="{C3380CC4-5D6E-409C-BE32-E72D297353CC}">
              <c16:uniqueId val="{00000000-56E0-4008-AB2B-ACDDF87947F1}"/>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44393</c:v>
                </c:pt>
                <c:pt idx="1">
                  <c:v>44386</c:v>
                </c:pt>
                <c:pt idx="2">
                  <c:v>44379</c:v>
                </c:pt>
                <c:pt idx="3">
                  <c:v>44372</c:v>
                </c:pt>
                <c:pt idx="4">
                  <c:v>44365</c:v>
                </c:pt>
                <c:pt idx="5">
                  <c:v>44358</c:v>
                </c:pt>
                <c:pt idx="6">
                  <c:v>44351</c:v>
                </c:pt>
                <c:pt idx="7">
                  <c:v>44344</c:v>
                </c:pt>
                <c:pt idx="8">
                  <c:v>44337</c:v>
                </c:pt>
                <c:pt idx="9">
                  <c:v>44330</c:v>
                </c:pt>
                <c:pt idx="10">
                  <c:v>44323</c:v>
                </c:pt>
                <c:pt idx="11">
                  <c:v>44316</c:v>
                </c:pt>
                <c:pt idx="12">
                  <c:v>44309</c:v>
                </c:pt>
                <c:pt idx="13">
                  <c:v>44302</c:v>
                </c:pt>
                <c:pt idx="14">
                  <c:v>44295</c:v>
                </c:pt>
                <c:pt idx="15">
                  <c:v>44288</c:v>
                </c:pt>
                <c:pt idx="16">
                  <c:v>44281</c:v>
                </c:pt>
                <c:pt idx="17">
                  <c:v>44274</c:v>
                </c:pt>
                <c:pt idx="18">
                  <c:v>44267</c:v>
                </c:pt>
                <c:pt idx="19">
                  <c:v>44260</c:v>
                </c:pt>
                <c:pt idx="20">
                  <c:v>44253</c:v>
                </c:pt>
                <c:pt idx="21">
                  <c:v>44246</c:v>
                </c:pt>
                <c:pt idx="22">
                  <c:v>44237</c:v>
                </c:pt>
                <c:pt idx="23">
                  <c:v>44232</c:v>
                </c:pt>
              </c:numCache>
            </c:numRef>
          </c:cat>
          <c:val>
            <c:numRef>
              <c:f>转债!$I$5:$I$28</c:f>
              <c:numCache>
                <c:formatCode>General</c:formatCode>
                <c:ptCount val="24"/>
                <c:pt idx="0">
                  <c:v>1.623938767955857</c:v>
                </c:pt>
                <c:pt idx="1">
                  <c:v>1.2930100694438451</c:v>
                </c:pt>
                <c:pt idx="2">
                  <c:v>0.87687576015516022</c:v>
                </c:pt>
                <c:pt idx="3">
                  <c:v>0.84787685358451714</c:v>
                </c:pt>
                <c:pt idx="4">
                  <c:v>0.64061996250610598</c:v>
                </c:pt>
                <c:pt idx="5">
                  <c:v>0.71849055573844911</c:v>
                </c:pt>
                <c:pt idx="6">
                  <c:v>0.9347029914930749</c:v>
                </c:pt>
                <c:pt idx="7">
                  <c:v>1.032446364816475</c:v>
                </c:pt>
                <c:pt idx="8">
                  <c:v>1.0968409955836478</c:v>
                </c:pt>
                <c:pt idx="9">
                  <c:v>0.82698058267332009</c:v>
                </c:pt>
                <c:pt idx="10">
                  <c:v>0.73682809959929596</c:v>
                </c:pt>
                <c:pt idx="11">
                  <c:v>0.6792567409664052</c:v>
                </c:pt>
                <c:pt idx="12">
                  <c:v>0.71891701024684451</c:v>
                </c:pt>
                <c:pt idx="13">
                  <c:v>0.59098065772931196</c:v>
                </c:pt>
                <c:pt idx="14">
                  <c:v>0.29578884702052832</c:v>
                </c:pt>
                <c:pt idx="15">
                  <c:v>0.32384955367270596</c:v>
                </c:pt>
                <c:pt idx="16">
                  <c:v>0.29681233784066841</c:v>
                </c:pt>
                <c:pt idx="17">
                  <c:v>0.12793635251753255</c:v>
                </c:pt>
                <c:pt idx="18">
                  <c:v>4.1877832724068753E-2</c:v>
                </c:pt>
                <c:pt idx="19">
                  <c:v>3.1728215424342565E-2</c:v>
                </c:pt>
                <c:pt idx="20">
                  <c:v>-0.11761615341445708</c:v>
                </c:pt>
                <c:pt idx="21">
                  <c:v>-9.0749519385779909E-2</c:v>
                </c:pt>
                <c:pt idx="22">
                  <c:v>-1.5864107712182385E-2</c:v>
                </c:pt>
                <c:pt idx="23">
                  <c:v>0</c:v>
                </c:pt>
              </c:numCache>
            </c:numRef>
          </c:val>
          <c:smooth val="1"/>
          <c:extLst xmlns:c16r2="http://schemas.microsoft.com/office/drawing/2015/06/chart">
            <c:ext xmlns:c16="http://schemas.microsoft.com/office/drawing/2014/chart" uri="{C3380CC4-5D6E-409C-BE32-E72D297353CC}">
              <c16:uniqueId val="{00000001-56E0-4008-AB2B-ACDDF87947F1}"/>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44393</c:v>
                </c:pt>
                <c:pt idx="1">
                  <c:v>44386</c:v>
                </c:pt>
                <c:pt idx="2">
                  <c:v>44379</c:v>
                </c:pt>
                <c:pt idx="3">
                  <c:v>44372</c:v>
                </c:pt>
                <c:pt idx="4">
                  <c:v>44365</c:v>
                </c:pt>
                <c:pt idx="5">
                  <c:v>44358</c:v>
                </c:pt>
                <c:pt idx="6">
                  <c:v>44351</c:v>
                </c:pt>
                <c:pt idx="7">
                  <c:v>44344</c:v>
                </c:pt>
                <c:pt idx="8">
                  <c:v>44337</c:v>
                </c:pt>
                <c:pt idx="9">
                  <c:v>44330</c:v>
                </c:pt>
                <c:pt idx="10">
                  <c:v>44323</c:v>
                </c:pt>
                <c:pt idx="11">
                  <c:v>44316</c:v>
                </c:pt>
                <c:pt idx="12">
                  <c:v>44309</c:v>
                </c:pt>
                <c:pt idx="13">
                  <c:v>44302</c:v>
                </c:pt>
                <c:pt idx="14">
                  <c:v>44295</c:v>
                </c:pt>
                <c:pt idx="15">
                  <c:v>44288</c:v>
                </c:pt>
                <c:pt idx="16">
                  <c:v>44281</c:v>
                </c:pt>
                <c:pt idx="17">
                  <c:v>44274</c:v>
                </c:pt>
                <c:pt idx="18">
                  <c:v>44267</c:v>
                </c:pt>
                <c:pt idx="19">
                  <c:v>44260</c:v>
                </c:pt>
                <c:pt idx="20">
                  <c:v>44253</c:v>
                </c:pt>
                <c:pt idx="21">
                  <c:v>44246</c:v>
                </c:pt>
                <c:pt idx="22">
                  <c:v>44237</c:v>
                </c:pt>
                <c:pt idx="23">
                  <c:v>44232</c:v>
                </c:pt>
              </c:numCache>
            </c:numRef>
          </c:cat>
          <c:val>
            <c:numRef>
              <c:f>转债!$J$5:$J$28</c:f>
              <c:numCache>
                <c:formatCode>General</c:formatCode>
                <c:ptCount val="24"/>
                <c:pt idx="0">
                  <c:v>-7.0875790155549012</c:v>
                </c:pt>
                <c:pt idx="1">
                  <c:v>-7.5496378715887547</c:v>
                </c:pt>
                <c:pt idx="2">
                  <c:v>-7.3366118261360524</c:v>
                </c:pt>
                <c:pt idx="3">
                  <c:v>-4.4396720729093175</c:v>
                </c:pt>
                <c:pt idx="4">
                  <c:v>-6.9472832071406643</c:v>
                </c:pt>
                <c:pt idx="5">
                  <c:v>-4.7180643299958636</c:v>
                </c:pt>
                <c:pt idx="6">
                  <c:v>-3.6680943660281629</c:v>
                </c:pt>
                <c:pt idx="7">
                  <c:v>-2.960298091663327</c:v>
                </c:pt>
                <c:pt idx="8">
                  <c:v>-6.369493530855042</c:v>
                </c:pt>
                <c:pt idx="9">
                  <c:v>-6.7991200372614529</c:v>
                </c:pt>
                <c:pt idx="10">
                  <c:v>-8.8879172719769084</c:v>
                </c:pt>
                <c:pt idx="11">
                  <c:v>-6.5638851999867303</c:v>
                </c:pt>
                <c:pt idx="12">
                  <c:v>-6.3456926651899614</c:v>
                </c:pt>
                <c:pt idx="13">
                  <c:v>-9.4326800785058396</c:v>
                </c:pt>
                <c:pt idx="14">
                  <c:v>-8.1714895136496999</c:v>
                </c:pt>
                <c:pt idx="15">
                  <c:v>-5.869647996667771</c:v>
                </c:pt>
                <c:pt idx="16">
                  <c:v>-8.1231163650966387</c:v>
                </c:pt>
                <c:pt idx="17">
                  <c:v>-8.6866193214665159</c:v>
                </c:pt>
                <c:pt idx="18">
                  <c:v>-6.1464518272740243</c:v>
                </c:pt>
                <c:pt idx="19">
                  <c:v>-4.0233730300137776</c:v>
                </c:pt>
                <c:pt idx="20">
                  <c:v>-2.674485275049443</c:v>
                </c:pt>
                <c:pt idx="21">
                  <c:v>5.3876654215786024</c:v>
                </c:pt>
                <c:pt idx="22">
                  <c:v>5.9142917168027109</c:v>
                </c:pt>
                <c:pt idx="23">
                  <c:v>0</c:v>
                </c:pt>
              </c:numCache>
            </c:numRef>
          </c:val>
          <c:smooth val="1"/>
          <c:extLst xmlns:c16r2="http://schemas.microsoft.com/office/drawing/2015/06/chart">
            <c:ext xmlns:c16="http://schemas.microsoft.com/office/drawing/2014/chart" uri="{C3380CC4-5D6E-409C-BE32-E72D297353CC}">
              <c16:uniqueId val="{00000002-56E0-4008-AB2B-ACDDF87947F1}"/>
            </c:ext>
          </c:extLst>
        </c:ser>
        <c:dLbls>
          <c:showLegendKey val="0"/>
          <c:showVal val="0"/>
          <c:showCatName val="0"/>
          <c:showSerName val="0"/>
          <c:showPercent val="0"/>
          <c:showBubbleSize val="0"/>
        </c:dLbls>
        <c:marker val="1"/>
        <c:smooth val="0"/>
        <c:axId val="445200640"/>
        <c:axId val="445210624"/>
      </c:lineChart>
      <c:dateAx>
        <c:axId val="44520064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445210624"/>
        <c:crosses val="autoZero"/>
        <c:auto val="0"/>
        <c:lblOffset val="0"/>
        <c:baseTimeUnit val="days"/>
        <c:majorUnit val="14"/>
        <c:majorTimeUnit val="days"/>
      </c:dateAx>
      <c:valAx>
        <c:axId val="44521062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5200640"/>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0E8F-469B-83D6-FFEA9307275E}"/>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0E8F-469B-83D6-FFEA9307275E}"/>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2972.27</c:v>
                </c:pt>
                <c:pt idx="149">
                  <c:v>#N/A</c:v>
                </c:pt>
                <c:pt idx="150">
                  <c:v>#N/A</c:v>
                </c:pt>
                <c:pt idx="151">
                  <c:v>#N/A</c:v>
                </c:pt>
                <c:pt idx="152">
                  <c:v>#N/A</c:v>
                </c:pt>
                <c:pt idx="153">
                  <c:v>#N/A</c:v>
                </c:pt>
                <c:pt idx="154">
                  <c:v>#N/A</c:v>
                </c:pt>
                <c:pt idx="155">
                  <c:v>3038.36</c:v>
                </c:pt>
                <c:pt idx="156">
                  <c:v>#N/A</c:v>
                </c:pt>
                <c:pt idx="157">
                  <c:v>#N/A</c:v>
                </c:pt>
                <c:pt idx="158">
                  <c:v>#N/A</c:v>
                </c:pt>
                <c:pt idx="159">
                  <c:v>#N/A</c:v>
                </c:pt>
                <c:pt idx="160">
                  <c:v>#N/A</c:v>
                </c:pt>
                <c:pt idx="161">
                  <c:v>#N/A</c:v>
                </c:pt>
                <c:pt idx="162">
                  <c:v>3115.05</c:v>
                </c:pt>
                <c:pt idx="163">
                  <c:v>#N/A</c:v>
                </c:pt>
                <c:pt idx="164">
                  <c:v>#N/A</c:v>
                </c:pt>
                <c:pt idx="165">
                  <c:v>#N/A</c:v>
                </c:pt>
                <c:pt idx="166">
                  <c:v>#N/A</c:v>
                </c:pt>
                <c:pt idx="167">
                  <c:v>#N/A</c:v>
                </c:pt>
                <c:pt idx="168">
                  <c:v>#N/A</c:v>
                </c:pt>
                <c:pt idx="169">
                  <c:v>3043.07</c:v>
                </c:pt>
                <c:pt idx="170">
                  <c:v>#N/A</c:v>
                </c:pt>
                <c:pt idx="171">
                  <c:v>#N/A</c:v>
                </c:pt>
                <c:pt idx="172">
                  <c:v>#N/A</c:v>
                </c:pt>
                <c:pt idx="173">
                  <c:v>#N/A</c:v>
                </c:pt>
                <c:pt idx="174">
                  <c:v>#N/A</c:v>
                </c:pt>
                <c:pt idx="175">
                  <c:v>#N/A</c:v>
                </c:pt>
                <c:pt idx="176">
                  <c:v>3139.09</c:v>
                </c:pt>
                <c:pt idx="177">
                  <c:v>#N/A</c:v>
                </c:pt>
                <c:pt idx="178">
                  <c:v>#N/A</c:v>
                </c:pt>
                <c:pt idx="179">
                  <c:v>#N/A</c:v>
                </c:pt>
                <c:pt idx="180">
                  <c:v>#N/A</c:v>
                </c:pt>
                <c:pt idx="181">
                  <c:v>#N/A</c:v>
                </c:pt>
                <c:pt idx="182">
                  <c:v>#N/A</c:v>
                </c:pt>
                <c:pt idx="183">
                  <c:v>3101.82</c:v>
                </c:pt>
                <c:pt idx="184">
                  <c:v>#N/A</c:v>
                </c:pt>
                <c:pt idx="185">
                  <c:v>#N/A</c:v>
                </c:pt>
                <c:pt idx="186">
                  <c:v>#N/A</c:v>
                </c:pt>
                <c:pt idx="187">
                  <c:v>#N/A</c:v>
                </c:pt>
                <c:pt idx="188">
                  <c:v>#N/A</c:v>
                </c:pt>
                <c:pt idx="189">
                  <c:v>#N/A</c:v>
                </c:pt>
                <c:pt idx="190">
                  <c:v>3115.01</c:v>
                </c:pt>
                <c:pt idx="191">
                  <c:v>#N/A</c:v>
                </c:pt>
                <c:pt idx="192">
                  <c:v>#N/A</c:v>
                </c:pt>
                <c:pt idx="193">
                  <c:v>#N/A</c:v>
                </c:pt>
                <c:pt idx="194">
                  <c:v>#N/A</c:v>
                </c:pt>
                <c:pt idx="195">
                  <c:v>#N/A</c:v>
                </c:pt>
                <c:pt idx="196">
                  <c:v>#N/A</c:v>
                </c:pt>
                <c:pt idx="197">
                  <c:v>3186.35</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0E8F-469B-83D6-FFEA9307275E}"/>
            </c:ext>
          </c:extLst>
        </c:ser>
        <c:dLbls>
          <c:showLegendKey val="0"/>
          <c:showVal val="0"/>
          <c:showCatName val="0"/>
          <c:showSerName val="0"/>
          <c:showPercent val="0"/>
          <c:showBubbleSize val="0"/>
        </c:dLbls>
        <c:marker val="1"/>
        <c:smooth val="0"/>
        <c:axId val="444977536"/>
        <c:axId val="444979072"/>
      </c:lineChart>
      <c:dateAx>
        <c:axId val="44497753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1000">
                <a:latin typeface="Arial Narrow" panose="020B0606020202030204" pitchFamily="34" charset="0"/>
              </a:defRPr>
            </a:pPr>
            <a:endParaRPr lang="zh-CN"/>
          </a:p>
        </c:txPr>
        <c:crossAx val="444979072"/>
        <c:crosses val="autoZero"/>
        <c:auto val="0"/>
        <c:lblOffset val="0"/>
        <c:baseTimeUnit val="days"/>
        <c:majorUnit val="1"/>
        <c:majorTimeUnit val="months"/>
      </c:dateAx>
      <c:valAx>
        <c:axId val="444979072"/>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1000">
                <a:solidFill>
                  <a:schemeClr val="tx1"/>
                </a:solidFill>
                <a:latin typeface="Arial Narrow" panose="020B0606020202030204" pitchFamily="34" charset="0"/>
              </a:defRPr>
            </a:pPr>
            <a:endParaRPr lang="zh-CN"/>
          </a:p>
        </c:txPr>
        <c:crossAx val="44497753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12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BDED-4920-9383-5098E03E381D}"/>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BDED-4920-9383-5098E03E381D}"/>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159.02000000000001</c:v>
                </c:pt>
                <c:pt idx="144">
                  <c:v>158.94999999999999</c:v>
                </c:pt>
                <c:pt idx="145">
                  <c:v>158.96</c:v>
                </c:pt>
                <c:pt idx="146">
                  <c:v>158.75</c:v>
                </c:pt>
                <c:pt idx="147">
                  <c:v>158.43</c:v>
                </c:pt>
                <c:pt idx="148">
                  <c:v>#N/A</c:v>
                </c:pt>
                <c:pt idx="149">
                  <c:v>#N/A</c:v>
                </c:pt>
                <c:pt idx="150">
                  <c:v>157.58000000000001</c:v>
                </c:pt>
                <c:pt idx="151">
                  <c:v>156.63</c:v>
                </c:pt>
                <c:pt idx="152">
                  <c:v>156.71</c:v>
                </c:pt>
                <c:pt idx="153">
                  <c:v>156.83000000000001</c:v>
                </c:pt>
                <c:pt idx="154">
                  <c:v>155.80000000000001</c:v>
                </c:pt>
                <c:pt idx="155">
                  <c:v>#N/A</c:v>
                </c:pt>
                <c:pt idx="156">
                  <c:v>#N/A</c:v>
                </c:pt>
                <c:pt idx="157">
                  <c:v>155.07</c:v>
                </c:pt>
                <c:pt idx="158">
                  <c:v>154.6</c:v>
                </c:pt>
                <c:pt idx="159">
                  <c:v>154.07</c:v>
                </c:pt>
                <c:pt idx="160">
                  <c:v>153.33000000000001</c:v>
                </c:pt>
                <c:pt idx="161">
                  <c:v>153.19999999999999</c:v>
                </c:pt>
                <c:pt idx="162">
                  <c:v>#N/A</c:v>
                </c:pt>
                <c:pt idx="163">
                  <c:v>#N/A</c:v>
                </c:pt>
                <c:pt idx="164">
                  <c:v>#N/A</c:v>
                </c:pt>
                <c:pt idx="165">
                  <c:v>153.16999999999999</c:v>
                </c:pt>
                <c:pt idx="166">
                  <c:v>152.41999999999999</c:v>
                </c:pt>
                <c:pt idx="167">
                  <c:v>152.01</c:v>
                </c:pt>
                <c:pt idx="168">
                  <c:v>150.75</c:v>
                </c:pt>
                <c:pt idx="169">
                  <c:v>#N/A</c:v>
                </c:pt>
                <c:pt idx="170">
                  <c:v>#N/A</c:v>
                </c:pt>
                <c:pt idx="171">
                  <c:v>148.87</c:v>
                </c:pt>
                <c:pt idx="172">
                  <c:v>148.43</c:v>
                </c:pt>
                <c:pt idx="173">
                  <c:v>148.09</c:v>
                </c:pt>
                <c:pt idx="174">
                  <c:v>147.71</c:v>
                </c:pt>
                <c:pt idx="175">
                  <c:v>147.4</c:v>
                </c:pt>
                <c:pt idx="176">
                  <c:v>#N/A</c:v>
                </c:pt>
                <c:pt idx="177">
                  <c:v>#N/A</c:v>
                </c:pt>
                <c:pt idx="178">
                  <c:v>147.24</c:v>
                </c:pt>
                <c:pt idx="179">
                  <c:v>147.13999999999999</c:v>
                </c:pt>
                <c:pt idx="180">
                  <c:v>146.91</c:v>
                </c:pt>
                <c:pt idx="181">
                  <c:v>146.66999999999999</c:v>
                </c:pt>
                <c:pt idx="182">
                  <c:v>145.88999999999999</c:v>
                </c:pt>
                <c:pt idx="183">
                  <c:v>#N/A</c:v>
                </c:pt>
                <c:pt idx="184">
                  <c:v>#N/A</c:v>
                </c:pt>
                <c:pt idx="185">
                  <c:v>145.09</c:v>
                </c:pt>
                <c:pt idx="186">
                  <c:v>143.96</c:v>
                </c:pt>
                <c:pt idx="187">
                  <c:v>143.51</c:v>
                </c:pt>
                <c:pt idx="188">
                  <c:v>143.03</c:v>
                </c:pt>
                <c:pt idx="189">
                  <c:v>142.46</c:v>
                </c:pt>
                <c:pt idx="190">
                  <c:v>#N/A</c:v>
                </c:pt>
                <c:pt idx="191">
                  <c:v>#N/A</c:v>
                </c:pt>
                <c:pt idx="192">
                  <c:v>141.66999999999999</c:v>
                </c:pt>
                <c:pt idx="193">
                  <c:v>141.13</c:v>
                </c:pt>
                <c:pt idx="194">
                  <c:v>140.6</c:v>
                </c:pt>
                <c:pt idx="195">
                  <c:v>140.29</c:v>
                </c:pt>
                <c:pt idx="196">
                  <c:v>139.72</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BDED-4920-9383-5098E03E381D}"/>
            </c:ext>
          </c:extLst>
        </c:ser>
        <c:dLbls>
          <c:showLegendKey val="0"/>
          <c:showVal val="0"/>
          <c:showCatName val="0"/>
          <c:showSerName val="0"/>
          <c:showPercent val="0"/>
          <c:showBubbleSize val="0"/>
        </c:dLbls>
        <c:marker val="1"/>
        <c:smooth val="0"/>
        <c:axId val="445526400"/>
        <c:axId val="445527936"/>
      </c:lineChart>
      <c:dateAx>
        <c:axId val="44552640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1000">
                <a:latin typeface="Arial Narrow" panose="020B0606020202030204" pitchFamily="34" charset="0"/>
              </a:defRPr>
            </a:pPr>
            <a:endParaRPr lang="zh-CN"/>
          </a:p>
        </c:txPr>
        <c:crossAx val="445527936"/>
        <c:crosses val="autoZero"/>
        <c:auto val="0"/>
        <c:lblOffset val="0"/>
        <c:baseTimeUnit val="days"/>
        <c:majorUnit val="1"/>
        <c:majorTimeUnit val="months"/>
      </c:dateAx>
      <c:valAx>
        <c:axId val="44552793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1000">
                <a:solidFill>
                  <a:schemeClr val="tx1"/>
                </a:solidFill>
                <a:latin typeface="Arial Narrow" panose="020B0606020202030204" pitchFamily="34" charset="0"/>
              </a:defRPr>
            </a:pPr>
            <a:endParaRPr lang="zh-CN"/>
          </a:p>
        </c:txPr>
        <c:crossAx val="44552640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12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44394</c:v>
                </c:pt>
                <c:pt idx="1">
                  <c:v>44387</c:v>
                </c:pt>
                <c:pt idx="2">
                  <c:v>44380</c:v>
                </c:pt>
                <c:pt idx="3">
                  <c:v>44373</c:v>
                </c:pt>
                <c:pt idx="4">
                  <c:v>44366</c:v>
                </c:pt>
                <c:pt idx="5">
                  <c:v>44359</c:v>
                </c:pt>
                <c:pt idx="6">
                  <c:v>44352</c:v>
                </c:pt>
                <c:pt idx="7">
                  <c:v>44345</c:v>
                </c:pt>
                <c:pt idx="8">
                  <c:v>44338</c:v>
                </c:pt>
                <c:pt idx="9">
                  <c:v>44331</c:v>
                </c:pt>
                <c:pt idx="10">
                  <c:v>44324</c:v>
                </c:pt>
                <c:pt idx="11">
                  <c:v>44317</c:v>
                </c:pt>
                <c:pt idx="12">
                  <c:v>44310</c:v>
                </c:pt>
                <c:pt idx="13">
                  <c:v>44303</c:v>
                </c:pt>
                <c:pt idx="14">
                  <c:v>44296</c:v>
                </c:pt>
                <c:pt idx="15">
                  <c:v>44289</c:v>
                </c:pt>
                <c:pt idx="16">
                  <c:v>44282</c:v>
                </c:pt>
                <c:pt idx="17">
                  <c:v>44275</c:v>
                </c:pt>
                <c:pt idx="18">
                  <c:v>44268</c:v>
                </c:pt>
                <c:pt idx="19">
                  <c:v>44261</c:v>
                </c:pt>
                <c:pt idx="20">
                  <c:v>44254</c:v>
                </c:pt>
                <c:pt idx="21">
                  <c:v>44247</c:v>
                </c:pt>
                <c:pt idx="22">
                  <c:v>44240</c:v>
                </c:pt>
                <c:pt idx="23">
                  <c:v>44233</c:v>
                </c:pt>
                <c:pt idx="24">
                  <c:v>44226</c:v>
                </c:pt>
                <c:pt idx="25">
                  <c:v>44219</c:v>
                </c:pt>
              </c:numCache>
            </c:numRef>
          </c:cat>
          <c:val>
            <c:numRef>
              <c:f>汇率!$B$3:$B$28</c:f>
              <c:numCache>
                <c:formatCode>###,###,###,###,##0.00</c:formatCode>
                <c:ptCount val="26"/>
                <c:pt idx="0">
                  <c:v>6.4678000000000004</c:v>
                </c:pt>
                <c:pt idx="1">
                  <c:v>6.4847000000000001</c:v>
                </c:pt>
                <c:pt idx="2">
                  <c:v>6.4824999999999999</c:v>
                </c:pt>
                <c:pt idx="3">
                  <c:v>6.4553000000000003</c:v>
                </c:pt>
                <c:pt idx="4">
                  <c:v>6.4408000000000003</c:v>
                </c:pt>
                <c:pt idx="5">
                  <c:v>6.3914</c:v>
                </c:pt>
                <c:pt idx="6">
                  <c:v>6.4092000000000002</c:v>
                </c:pt>
                <c:pt idx="7">
                  <c:v>6.3654000000000002</c:v>
                </c:pt>
                <c:pt idx="8">
                  <c:v>6.4337</c:v>
                </c:pt>
                <c:pt idx="9">
                  <c:v>6.4347000000000003</c:v>
                </c:pt>
                <c:pt idx="10">
                  <c:v>6.4588999999999999</c:v>
                </c:pt>
                <c:pt idx="11">
                  <c:v>6.4715999999999996</c:v>
                </c:pt>
                <c:pt idx="12">
                  <c:v>6.4935999999999998</c:v>
                </c:pt>
                <c:pt idx="13">
                  <c:v>6.5228000000000002</c:v>
                </c:pt>
                <c:pt idx="14">
                  <c:v>6.5589000000000004</c:v>
                </c:pt>
                <c:pt idx="15">
                  <c:v>6.5612000000000004</c:v>
                </c:pt>
                <c:pt idx="16">
                  <c:v>6.5407000000000002</c:v>
                </c:pt>
                <c:pt idx="17">
                  <c:v>6.5045000000000002</c:v>
                </c:pt>
                <c:pt idx="18">
                  <c:v>6.5035999999999996</c:v>
                </c:pt>
                <c:pt idx="19">
                  <c:v>6.4767999999999999</c:v>
                </c:pt>
                <c:pt idx="20">
                  <c:v>6.4589999999999996</c:v>
                </c:pt>
                <c:pt idx="21">
                  <c:v>6.4574999999999996</c:v>
                </c:pt>
                <c:pt idx="22">
                  <c:v>6.4379999999999997</c:v>
                </c:pt>
                <c:pt idx="23">
                  <c:v>6.4809999999999999</c:v>
                </c:pt>
                <c:pt idx="24">
                  <c:v>6.4611999999999998</c:v>
                </c:pt>
                <c:pt idx="25">
                  <c:v>6.4776999999999996</c:v>
                </c:pt>
              </c:numCache>
            </c:numRef>
          </c:val>
          <c:smooth val="1"/>
          <c:extLst xmlns:c16r2="http://schemas.microsoft.com/office/drawing/2015/06/chart">
            <c:ext xmlns:c16="http://schemas.microsoft.com/office/drawing/2014/chart" uri="{C3380CC4-5D6E-409C-BE32-E72D297353CC}">
              <c16:uniqueId val="{00000000-1FF8-4181-BA54-AEF6F6D81C7C}"/>
            </c:ext>
          </c:extLst>
        </c:ser>
        <c:dLbls>
          <c:showLegendKey val="0"/>
          <c:showVal val="0"/>
          <c:showCatName val="0"/>
          <c:showSerName val="0"/>
          <c:showPercent val="0"/>
          <c:showBubbleSize val="0"/>
        </c:dLbls>
        <c:marker val="1"/>
        <c:smooth val="0"/>
        <c:axId val="445350272"/>
        <c:axId val="445351808"/>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44394</c:v>
                </c:pt>
                <c:pt idx="1">
                  <c:v>44387</c:v>
                </c:pt>
                <c:pt idx="2">
                  <c:v>44380</c:v>
                </c:pt>
                <c:pt idx="3">
                  <c:v>44373</c:v>
                </c:pt>
                <c:pt idx="4">
                  <c:v>44366</c:v>
                </c:pt>
                <c:pt idx="5">
                  <c:v>44359</c:v>
                </c:pt>
                <c:pt idx="6">
                  <c:v>44352</c:v>
                </c:pt>
                <c:pt idx="7">
                  <c:v>44345</c:v>
                </c:pt>
                <c:pt idx="8">
                  <c:v>44338</c:v>
                </c:pt>
                <c:pt idx="9">
                  <c:v>44331</c:v>
                </c:pt>
                <c:pt idx="10">
                  <c:v>44324</c:v>
                </c:pt>
                <c:pt idx="11">
                  <c:v>44317</c:v>
                </c:pt>
                <c:pt idx="12">
                  <c:v>44310</c:v>
                </c:pt>
                <c:pt idx="13">
                  <c:v>44303</c:v>
                </c:pt>
                <c:pt idx="14">
                  <c:v>44296</c:v>
                </c:pt>
                <c:pt idx="15">
                  <c:v>44289</c:v>
                </c:pt>
                <c:pt idx="16">
                  <c:v>44282</c:v>
                </c:pt>
                <c:pt idx="17">
                  <c:v>44275</c:v>
                </c:pt>
                <c:pt idx="18">
                  <c:v>44268</c:v>
                </c:pt>
                <c:pt idx="19">
                  <c:v>44261</c:v>
                </c:pt>
                <c:pt idx="20">
                  <c:v>44254</c:v>
                </c:pt>
                <c:pt idx="21">
                  <c:v>44247</c:v>
                </c:pt>
                <c:pt idx="22">
                  <c:v>44240</c:v>
                </c:pt>
                <c:pt idx="23">
                  <c:v>44233</c:v>
                </c:pt>
                <c:pt idx="24">
                  <c:v>44226</c:v>
                </c:pt>
                <c:pt idx="25">
                  <c:v>44219</c:v>
                </c:pt>
              </c:numCache>
            </c:numRef>
          </c:cat>
          <c:val>
            <c:numRef>
              <c:f>汇率!$C$3:$C$28</c:f>
              <c:numCache>
                <c:formatCode>###,###,###,###,##0.00</c:formatCode>
                <c:ptCount val="26"/>
                <c:pt idx="0">
                  <c:v>163.32</c:v>
                </c:pt>
                <c:pt idx="1">
                  <c:v>164.04999999999998</c:v>
                </c:pt>
                <c:pt idx="2">
                  <c:v>164.02999999999997</c:v>
                </c:pt>
                <c:pt idx="3">
                  <c:v>154.26999999999998</c:v>
                </c:pt>
                <c:pt idx="4">
                  <c:v>167.02</c:v>
                </c:pt>
                <c:pt idx="5">
                  <c:v>165.76000000000002</c:v>
                </c:pt>
                <c:pt idx="6">
                  <c:v>153.24999999999997</c:v>
                </c:pt>
                <c:pt idx="7">
                  <c:v>150.25</c:v>
                </c:pt>
                <c:pt idx="8">
                  <c:v>145.76000000000002</c:v>
                </c:pt>
                <c:pt idx="9">
                  <c:v>151.22</c:v>
                </c:pt>
                <c:pt idx="10">
                  <c:v>155.88999999999999</c:v>
                </c:pt>
                <c:pt idx="11">
                  <c:v>151.40000000000003</c:v>
                </c:pt>
                <c:pt idx="12">
                  <c:v>159.19</c:v>
                </c:pt>
                <c:pt idx="13">
                  <c:v>157.31</c:v>
                </c:pt>
                <c:pt idx="14">
                  <c:v>154.21</c:v>
                </c:pt>
                <c:pt idx="15">
                  <c:v>148.13</c:v>
                </c:pt>
                <c:pt idx="16">
                  <c:v>152.85000000000002</c:v>
                </c:pt>
                <c:pt idx="17">
                  <c:v>149.64000000000001</c:v>
                </c:pt>
                <c:pt idx="18">
                  <c:v>162.13</c:v>
                </c:pt>
                <c:pt idx="19">
                  <c:v>168.56999999999996</c:v>
                </c:pt>
                <c:pt idx="20">
                  <c:v>183.98</c:v>
                </c:pt>
                <c:pt idx="21">
                  <c:v>191.78</c:v>
                </c:pt>
                <c:pt idx="22">
                  <c:v>209.49</c:v>
                </c:pt>
                <c:pt idx="23">
                  <c:v>202.64000000000001</c:v>
                </c:pt>
                <c:pt idx="24">
                  <c:v>206.86</c:v>
                </c:pt>
                <c:pt idx="25">
                  <c:v>201.85</c:v>
                </c:pt>
              </c:numCache>
            </c:numRef>
          </c:val>
          <c:smooth val="1"/>
          <c:extLst xmlns:c16r2="http://schemas.microsoft.com/office/drawing/2015/06/chart">
            <c:ext xmlns:c16="http://schemas.microsoft.com/office/drawing/2014/chart" uri="{C3380CC4-5D6E-409C-BE32-E72D297353CC}">
              <c16:uniqueId val="{00000001-1FF8-4181-BA54-AEF6F6D81C7C}"/>
            </c:ext>
          </c:extLst>
        </c:ser>
        <c:dLbls>
          <c:showLegendKey val="0"/>
          <c:showVal val="0"/>
          <c:showCatName val="0"/>
          <c:showSerName val="0"/>
          <c:showPercent val="0"/>
          <c:showBubbleSize val="0"/>
        </c:dLbls>
        <c:marker val="1"/>
        <c:smooth val="0"/>
        <c:axId val="445359232"/>
        <c:axId val="445353344"/>
      </c:lineChart>
      <c:dateAx>
        <c:axId val="44535027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5351808"/>
        <c:crosses val="autoZero"/>
        <c:auto val="0"/>
        <c:lblOffset val="0"/>
        <c:baseTimeUnit val="days"/>
      </c:dateAx>
      <c:valAx>
        <c:axId val="445351808"/>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5350272"/>
        <c:crosses val="autoZero"/>
        <c:crossBetween val="between"/>
      </c:valAx>
      <c:valAx>
        <c:axId val="445353344"/>
        <c:scaling>
          <c:orientation val="minMax"/>
        </c:scaling>
        <c:delete val="0"/>
        <c:axPos val="r"/>
        <c:numFmt formatCode="#,##0_);[Red]\(#,##0\)" sourceLinked="0"/>
        <c:majorTickMark val="out"/>
        <c:minorTickMark val="none"/>
        <c:tickLblPos val="nextTo"/>
        <c:spPr>
          <a:ln w="3175">
            <a:solidFill>
              <a:sysClr val="windowText" lastClr="000000"/>
            </a:solidFill>
          </a:ln>
        </c:spPr>
        <c:crossAx val="445359232"/>
        <c:crosses val="max"/>
        <c:crossBetween val="between"/>
      </c:valAx>
      <c:dateAx>
        <c:axId val="445359232"/>
        <c:scaling>
          <c:orientation val="minMax"/>
        </c:scaling>
        <c:delete val="1"/>
        <c:axPos val="b"/>
        <c:numFmt formatCode="yyyy\-mm\-dd;@" sourceLinked="1"/>
        <c:majorTickMark val="out"/>
        <c:minorTickMark val="none"/>
        <c:tickLblPos val="nextTo"/>
        <c:crossAx val="445353344"/>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2DA-4AE7-8023-EFB46DA0FD0A}"/>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2DA-4AE7-8023-EFB46DA0FD0A}"/>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26.08</c:v>
                </c:pt>
                <c:pt idx="149">
                  <c:v>#N/A</c:v>
                </c:pt>
                <c:pt idx="150">
                  <c:v>#N/A</c:v>
                </c:pt>
                <c:pt idx="151">
                  <c:v>#N/A</c:v>
                </c:pt>
                <c:pt idx="152">
                  <c:v>#N/A</c:v>
                </c:pt>
                <c:pt idx="153">
                  <c:v>#N/A</c:v>
                </c:pt>
                <c:pt idx="154">
                  <c:v>#N/A</c:v>
                </c:pt>
                <c:pt idx="155">
                  <c:v>24.68</c:v>
                </c:pt>
                <c:pt idx="156">
                  <c:v>#N/A</c:v>
                </c:pt>
                <c:pt idx="157">
                  <c:v>#N/A</c:v>
                </c:pt>
                <c:pt idx="158">
                  <c:v>#N/A</c:v>
                </c:pt>
                <c:pt idx="159">
                  <c:v>#N/A</c:v>
                </c:pt>
                <c:pt idx="160">
                  <c:v>#N/A</c:v>
                </c:pt>
                <c:pt idx="161">
                  <c:v>#N/A</c:v>
                </c:pt>
                <c:pt idx="162">
                  <c:v>23.89</c:v>
                </c:pt>
                <c:pt idx="163">
                  <c:v>#N/A</c:v>
                </c:pt>
                <c:pt idx="164">
                  <c:v>#N/A</c:v>
                </c:pt>
                <c:pt idx="165">
                  <c:v>#N/A</c:v>
                </c:pt>
                <c:pt idx="166">
                  <c:v>#N/A</c:v>
                </c:pt>
                <c:pt idx="167">
                  <c:v>#N/A</c:v>
                </c:pt>
                <c:pt idx="168">
                  <c:v>#N/A</c:v>
                </c:pt>
                <c:pt idx="169">
                  <c:v>22.77</c:v>
                </c:pt>
                <c:pt idx="170">
                  <c:v>#N/A</c:v>
                </c:pt>
                <c:pt idx="171">
                  <c:v>#N/A</c:v>
                </c:pt>
                <c:pt idx="172">
                  <c:v>#N/A</c:v>
                </c:pt>
                <c:pt idx="173">
                  <c:v>#N/A</c:v>
                </c:pt>
                <c:pt idx="174">
                  <c:v>#N/A</c:v>
                </c:pt>
                <c:pt idx="175">
                  <c:v>#N/A</c:v>
                </c:pt>
                <c:pt idx="176">
                  <c:v>21.68</c:v>
                </c:pt>
                <c:pt idx="177">
                  <c:v>#N/A</c:v>
                </c:pt>
                <c:pt idx="178">
                  <c:v>#N/A</c:v>
                </c:pt>
                <c:pt idx="179">
                  <c:v>#N/A</c:v>
                </c:pt>
                <c:pt idx="180">
                  <c:v>#N/A</c:v>
                </c:pt>
                <c:pt idx="181">
                  <c:v>#N/A</c:v>
                </c:pt>
                <c:pt idx="182">
                  <c:v>#N/A</c:v>
                </c:pt>
                <c:pt idx="183">
                  <c:v>22.89</c:v>
                </c:pt>
                <c:pt idx="184">
                  <c:v>#N/A</c:v>
                </c:pt>
                <c:pt idx="185">
                  <c:v>#N/A</c:v>
                </c:pt>
                <c:pt idx="186">
                  <c:v>#N/A</c:v>
                </c:pt>
                <c:pt idx="187">
                  <c:v>#N/A</c:v>
                </c:pt>
                <c:pt idx="188">
                  <c:v>#N/A</c:v>
                </c:pt>
                <c:pt idx="189">
                  <c:v>#N/A</c:v>
                </c:pt>
                <c:pt idx="190">
                  <c:v>22.42</c:v>
                </c:pt>
                <c:pt idx="191">
                  <c:v>#N/A</c:v>
                </c:pt>
                <c:pt idx="192">
                  <c:v>#N/A</c:v>
                </c:pt>
                <c:pt idx="193">
                  <c:v>#N/A</c:v>
                </c:pt>
                <c:pt idx="194">
                  <c:v>#N/A</c:v>
                </c:pt>
                <c:pt idx="195">
                  <c:v>#N/A</c:v>
                </c:pt>
                <c:pt idx="196">
                  <c:v>#N/A</c:v>
                </c:pt>
                <c:pt idx="197">
                  <c:v>22.07</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22DA-4AE7-8023-EFB46DA0FD0A}"/>
            </c:ext>
          </c:extLst>
        </c:ser>
        <c:dLbls>
          <c:showLegendKey val="0"/>
          <c:showVal val="0"/>
          <c:showCatName val="0"/>
          <c:showSerName val="0"/>
          <c:showPercent val="0"/>
          <c:showBubbleSize val="0"/>
        </c:dLbls>
        <c:marker val="1"/>
        <c:smooth val="0"/>
        <c:axId val="445546880"/>
        <c:axId val="445548416"/>
      </c:lineChart>
      <c:dateAx>
        <c:axId val="445546880"/>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45548416"/>
        <c:crosses val="autoZero"/>
        <c:auto val="0"/>
        <c:lblOffset val="0"/>
        <c:baseTimeUnit val="days"/>
        <c:majorUnit val="1"/>
        <c:majorTimeUnit val="months"/>
      </c:dateAx>
      <c:valAx>
        <c:axId val="445548416"/>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45546880"/>
        <c:crosses val="autoZero"/>
        <c:crossBetween val="between"/>
      </c:valAx>
      <c:spPr>
        <a:solidFill>
          <a:schemeClr val="bg1"/>
        </a:solidFill>
        <a:ln>
          <a:noFill/>
        </a:ln>
        <a:effectLst/>
      </c:spPr>
    </c:plotArea>
    <c:legend>
      <c:legendPos val="r"/>
      <c:layout>
        <c:manualLayout>
          <c:xMode val="edge"/>
          <c:yMode val="edge"/>
          <c:x val="0.15225"/>
          <c:y val="2.3337707786526686E-3"/>
          <c:w val="0.73840416966633515"/>
          <c:h val="0.10697946938124375"/>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5.16668E-7</cdr:y>
    </cdr:from>
    <cdr:to>
      <cdr:x>0.13259</cdr:x>
      <cdr:y>0.09038</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97565" cy="17492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141D82-9BCA-4980-ADB7-5B193C9F8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7</Pages>
  <Words>852</Words>
  <Characters>4860</Characters>
  <Application>Microsoft Office Word</Application>
  <DocSecurity>0</DocSecurity>
  <Lines>40</Lines>
  <Paragraphs>11</Paragraphs>
  <ScaleCrop>false</ScaleCrop>
  <Company>Microsoft</Company>
  <LinksUpToDate>false</LinksUpToDate>
  <CharactersWithSpaces>5701</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18</cp:revision>
  <cp:lastPrinted>2019-06-26T06:05:00Z</cp:lastPrinted>
  <dcterms:created xsi:type="dcterms:W3CDTF">2021-07-19T01:51:00Z</dcterms:created>
  <dcterms:modified xsi:type="dcterms:W3CDTF">2021-07-19T09:08:00Z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