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F513A6">
        <w:rPr>
          <w:rFonts w:hint="eastAsia"/>
          <w:b/>
        </w:rPr>
        <w:t>：</w:t>
      </w:r>
      <w:r w:rsidR="00E765AD">
        <w:rPr>
          <w:rFonts w:hint="eastAsia"/>
          <w:b/>
        </w:rPr>
        <w:t>风格偏向中小盘</w:t>
      </w:r>
    </w:p>
    <w:p w:rsidR="00EB73E9" w:rsidRDefault="00EB73E9">
      <w:pPr>
        <w:ind w:firstLineChars="200" w:firstLine="480"/>
      </w:pPr>
    </w:p>
    <w:p w:rsidR="000F78C3" w:rsidRDefault="00F513A6" w:rsidP="00C95D8B">
      <w:pPr>
        <w:ind w:firstLineChars="200" w:firstLine="480"/>
        <w:rPr>
          <w:rFonts w:hint="eastAsia"/>
        </w:rPr>
      </w:pPr>
      <w:r>
        <w:rPr>
          <w:rFonts w:hint="eastAsia"/>
        </w:rPr>
        <w:t>上</w:t>
      </w:r>
      <w:r w:rsidR="005801FF">
        <w:rPr>
          <w:rFonts w:hint="eastAsia"/>
          <w:lang w:eastAsia="zh-Hans"/>
        </w:rPr>
        <w:t>周</w:t>
      </w:r>
      <w:r w:rsidR="00C95D8B">
        <w:rPr>
          <w:rFonts w:hint="eastAsia"/>
        </w:rPr>
        <w:t>市场</w:t>
      </w:r>
      <w:r w:rsidR="00F456DD">
        <w:rPr>
          <w:rFonts w:hint="eastAsia"/>
        </w:rPr>
        <w:t>维持震荡上行，从</w:t>
      </w:r>
      <w:proofErr w:type="gramStart"/>
      <w:r w:rsidR="00F456DD">
        <w:rPr>
          <w:rFonts w:hint="eastAsia"/>
        </w:rPr>
        <w:t>各宽基指数</w:t>
      </w:r>
      <w:proofErr w:type="gramEnd"/>
      <w:r w:rsidR="00F456DD">
        <w:rPr>
          <w:rFonts w:hint="eastAsia"/>
        </w:rPr>
        <w:t>表现来看，中小</w:t>
      </w:r>
      <w:proofErr w:type="gramStart"/>
      <w:r w:rsidR="00F456DD">
        <w:rPr>
          <w:rFonts w:hint="eastAsia"/>
        </w:rPr>
        <w:t>盘风格</w:t>
      </w:r>
      <w:proofErr w:type="gramEnd"/>
      <w:r w:rsidR="00F456DD">
        <w:rPr>
          <w:rFonts w:hint="eastAsia"/>
        </w:rPr>
        <w:t>明显跑赢市场，各指数表现如下</w:t>
      </w:r>
      <w:r w:rsidR="001F293D">
        <w:rPr>
          <w:rFonts w:hint="eastAsia"/>
        </w:rPr>
        <w:t>（图1）</w:t>
      </w:r>
      <w:r w:rsidR="00F456DD">
        <w:rPr>
          <w:rFonts w:hint="eastAsia"/>
        </w:rPr>
        <w:t>：</w:t>
      </w:r>
      <w:r w:rsidR="00C95D8B">
        <w:rPr>
          <w:rFonts w:hint="eastAsia"/>
        </w:rPr>
        <w:t>上证指数收涨0.</w:t>
      </w:r>
      <w:r w:rsidR="00F456DD">
        <w:rPr>
          <w:rFonts w:hint="eastAsia"/>
        </w:rPr>
        <w:t>43</w:t>
      </w:r>
      <w:r w:rsidR="00C95D8B">
        <w:rPr>
          <w:rFonts w:hint="eastAsia"/>
        </w:rPr>
        <w:t>%、沪深300指数</w:t>
      </w:r>
      <w:r w:rsidR="00F456DD">
        <w:rPr>
          <w:rFonts w:hint="eastAsia"/>
        </w:rPr>
        <w:t>收涨0.50</w:t>
      </w:r>
      <w:r w:rsidR="00C95D8B">
        <w:rPr>
          <w:rFonts w:hint="eastAsia"/>
        </w:rPr>
        <w:t>%、上证50</w:t>
      </w:r>
      <w:r w:rsidR="00F456DD">
        <w:rPr>
          <w:rFonts w:hint="eastAsia"/>
        </w:rPr>
        <w:t>收涨0.25</w:t>
      </w:r>
      <w:r w:rsidR="00C95D8B">
        <w:rPr>
          <w:rFonts w:hint="eastAsia"/>
        </w:rPr>
        <w:t>%、深证成指收涨</w:t>
      </w:r>
      <w:r w:rsidR="00F456DD">
        <w:rPr>
          <w:rFonts w:hint="eastAsia"/>
        </w:rPr>
        <w:t>0.86</w:t>
      </w:r>
      <w:r w:rsidR="00C95D8B">
        <w:rPr>
          <w:rFonts w:hint="eastAsia"/>
        </w:rPr>
        <w:t>%、创业板指收涨</w:t>
      </w:r>
      <w:r w:rsidR="00F456DD">
        <w:rPr>
          <w:rFonts w:hint="eastAsia"/>
        </w:rPr>
        <w:t>0.68</w:t>
      </w:r>
      <w:r w:rsidR="00C95D8B">
        <w:rPr>
          <w:rFonts w:hint="eastAsia"/>
        </w:rPr>
        <w:t>%、中证500和中证1000分别收涨</w:t>
      </w:r>
      <w:r w:rsidR="00F456DD">
        <w:rPr>
          <w:rFonts w:hint="eastAsia"/>
        </w:rPr>
        <w:t>1.77</w:t>
      </w:r>
      <w:r w:rsidR="00C95D8B">
        <w:rPr>
          <w:rFonts w:hint="eastAsia"/>
        </w:rPr>
        <w:t>%、</w:t>
      </w:r>
      <w:r w:rsidR="00F456DD">
        <w:rPr>
          <w:rFonts w:hint="eastAsia"/>
        </w:rPr>
        <w:t>1.20</w:t>
      </w:r>
      <w:r w:rsidR="00C95D8B">
        <w:rPr>
          <w:rFonts w:hint="eastAsia"/>
        </w:rPr>
        <w:t>%</w:t>
      </w:r>
      <w:r w:rsidR="00F456DD">
        <w:rPr>
          <w:rFonts w:hint="eastAsia"/>
        </w:rPr>
        <w:t>，</w:t>
      </w:r>
      <w:proofErr w:type="gramStart"/>
      <w:r>
        <w:rPr>
          <w:rFonts w:hint="eastAsia"/>
        </w:rPr>
        <w:t>科创板</w:t>
      </w:r>
      <w:proofErr w:type="gramEnd"/>
      <w:r>
        <w:rPr>
          <w:rFonts w:hint="eastAsia"/>
        </w:rPr>
        <w:t>回调明显，</w:t>
      </w:r>
      <w:proofErr w:type="gramStart"/>
      <w:r>
        <w:rPr>
          <w:rFonts w:hint="eastAsia"/>
        </w:rPr>
        <w:t>科创</w:t>
      </w:r>
      <w:proofErr w:type="gramEnd"/>
      <w:r>
        <w:rPr>
          <w:rFonts w:hint="eastAsia"/>
        </w:rPr>
        <w:t>50</w:t>
      </w:r>
      <w:proofErr w:type="gramStart"/>
      <w:r>
        <w:rPr>
          <w:rFonts w:hint="eastAsia"/>
        </w:rPr>
        <w:t>指数</w:t>
      </w:r>
      <w:r w:rsidR="00C25817">
        <w:rPr>
          <w:rFonts w:hint="eastAsia"/>
        </w:rPr>
        <w:t>收跌</w:t>
      </w:r>
      <w:proofErr w:type="gramEnd"/>
      <w:r w:rsidR="00C25817">
        <w:rPr>
          <w:rFonts w:hint="eastAsia"/>
        </w:rPr>
        <w:t>3.69%。延续上一周，</w:t>
      </w:r>
      <w:r w:rsidR="00C95D8B">
        <w:rPr>
          <w:rFonts w:hint="eastAsia"/>
        </w:rPr>
        <w:t>上证50与沪深300</w:t>
      </w:r>
      <w:r w:rsidR="00C25817">
        <w:rPr>
          <w:rFonts w:hint="eastAsia"/>
        </w:rPr>
        <w:t>依然</w:t>
      </w:r>
      <w:r w:rsidR="00C95D8B">
        <w:rPr>
          <w:rFonts w:hint="eastAsia"/>
        </w:rPr>
        <w:t>偏弱，市场延续“大”弱“小”强</w:t>
      </w:r>
      <w:r w:rsidR="00C25817">
        <w:rPr>
          <w:rFonts w:hint="eastAsia"/>
        </w:rPr>
        <w:t>的格局</w:t>
      </w:r>
      <w:r w:rsidR="00C95D8B">
        <w:rPr>
          <w:rFonts w:hint="eastAsia"/>
        </w:rPr>
        <w:t>。从行业指数表现来看，收益率前5的行业为：</w:t>
      </w:r>
      <w:r w:rsidR="00C25817">
        <w:rPr>
          <w:rFonts w:hint="eastAsia"/>
        </w:rPr>
        <w:t>钢铁</w:t>
      </w:r>
      <w:r w:rsidR="00C95D8B">
        <w:rPr>
          <w:rFonts w:hint="eastAsia"/>
        </w:rPr>
        <w:t>（</w:t>
      </w:r>
      <w:r w:rsidR="00C25817">
        <w:rPr>
          <w:rFonts w:hint="eastAsia"/>
        </w:rPr>
        <w:t>6.22</w:t>
      </w:r>
      <w:r w:rsidR="00C95D8B">
        <w:rPr>
          <w:rFonts w:hint="eastAsia"/>
        </w:rPr>
        <w:t>%）、</w:t>
      </w:r>
      <w:r w:rsidR="00C25817">
        <w:rPr>
          <w:rFonts w:hint="eastAsia"/>
        </w:rPr>
        <w:t>通信</w:t>
      </w:r>
      <w:r w:rsidR="00C95D8B">
        <w:rPr>
          <w:rFonts w:hint="eastAsia"/>
        </w:rPr>
        <w:t>（</w:t>
      </w:r>
      <w:r w:rsidR="00C25817">
        <w:rPr>
          <w:rFonts w:hint="eastAsia"/>
        </w:rPr>
        <w:t>4.21</w:t>
      </w:r>
      <w:r w:rsidR="00C95D8B">
        <w:rPr>
          <w:rFonts w:hint="eastAsia"/>
        </w:rPr>
        <w:t>%）、</w:t>
      </w:r>
      <w:r w:rsidR="00C25817">
        <w:rPr>
          <w:rFonts w:hint="eastAsia"/>
        </w:rPr>
        <w:t>采掘</w:t>
      </w:r>
      <w:r w:rsidR="00C95D8B">
        <w:rPr>
          <w:rFonts w:hint="eastAsia"/>
        </w:rPr>
        <w:t>（</w:t>
      </w:r>
      <w:r w:rsidR="00C25817">
        <w:rPr>
          <w:rFonts w:hint="eastAsia"/>
        </w:rPr>
        <w:t>3.92</w:t>
      </w:r>
      <w:r w:rsidR="00C95D8B">
        <w:rPr>
          <w:rFonts w:hint="eastAsia"/>
        </w:rPr>
        <w:t>%）、</w:t>
      </w:r>
      <w:r w:rsidR="00C25817">
        <w:rPr>
          <w:rFonts w:hint="eastAsia"/>
        </w:rPr>
        <w:t>化工</w:t>
      </w:r>
      <w:r w:rsidR="00C95D8B">
        <w:rPr>
          <w:rFonts w:hint="eastAsia"/>
        </w:rPr>
        <w:t>（</w:t>
      </w:r>
      <w:r w:rsidR="00C25817">
        <w:rPr>
          <w:rFonts w:hint="eastAsia"/>
        </w:rPr>
        <w:t>3.22</w:t>
      </w:r>
      <w:r w:rsidR="00C95D8B">
        <w:rPr>
          <w:rFonts w:hint="eastAsia"/>
        </w:rPr>
        <w:t>%）以及</w:t>
      </w:r>
      <w:r w:rsidR="00C25817">
        <w:rPr>
          <w:rFonts w:hint="eastAsia"/>
        </w:rPr>
        <w:t>食品饮料</w:t>
      </w:r>
      <w:r w:rsidR="00C95D8B">
        <w:rPr>
          <w:rFonts w:hint="eastAsia"/>
        </w:rPr>
        <w:t>（</w:t>
      </w:r>
      <w:r w:rsidR="00C25817">
        <w:rPr>
          <w:rFonts w:hint="eastAsia"/>
        </w:rPr>
        <w:t>3.07</w:t>
      </w:r>
      <w:r w:rsidR="00C95D8B">
        <w:rPr>
          <w:rFonts w:hint="eastAsia"/>
        </w:rPr>
        <w:t>%），跌幅最大的行业为</w:t>
      </w:r>
      <w:r w:rsidR="00C25817">
        <w:rPr>
          <w:rFonts w:hint="eastAsia"/>
        </w:rPr>
        <w:t>汽车</w:t>
      </w:r>
      <w:r w:rsidR="00C95D8B">
        <w:rPr>
          <w:rFonts w:hint="eastAsia"/>
        </w:rPr>
        <w:t>（-</w:t>
      </w:r>
      <w:r w:rsidR="00C25817">
        <w:rPr>
          <w:rFonts w:hint="eastAsia"/>
        </w:rPr>
        <w:t>3.62</w:t>
      </w:r>
      <w:r w:rsidR="00C95D8B">
        <w:rPr>
          <w:rFonts w:hint="eastAsia"/>
        </w:rPr>
        <w:t>%）、</w:t>
      </w:r>
      <w:r w:rsidR="00C25817">
        <w:rPr>
          <w:rFonts w:hint="eastAsia"/>
        </w:rPr>
        <w:t>农林牧渔</w:t>
      </w:r>
      <w:r w:rsidR="00C95D8B">
        <w:rPr>
          <w:rFonts w:hint="eastAsia"/>
        </w:rPr>
        <w:t>（-</w:t>
      </w:r>
      <w:r w:rsidR="00C25817">
        <w:rPr>
          <w:rFonts w:hint="eastAsia"/>
        </w:rPr>
        <w:t>2.58</w:t>
      </w:r>
      <w:r w:rsidR="00C95D8B">
        <w:rPr>
          <w:rFonts w:hint="eastAsia"/>
        </w:rPr>
        <w:t>%）、</w:t>
      </w:r>
      <w:r w:rsidR="00C25817">
        <w:rPr>
          <w:rFonts w:hint="eastAsia"/>
        </w:rPr>
        <w:t>电子</w:t>
      </w:r>
      <w:r w:rsidR="00C95D8B">
        <w:rPr>
          <w:rFonts w:hint="eastAsia"/>
        </w:rPr>
        <w:t>（-</w:t>
      </w:r>
      <w:r w:rsidR="00C25817">
        <w:rPr>
          <w:rFonts w:hint="eastAsia"/>
        </w:rPr>
        <w:t>2.07</w:t>
      </w:r>
      <w:r w:rsidR="00C95D8B">
        <w:rPr>
          <w:rFonts w:hint="eastAsia"/>
        </w:rPr>
        <w:t>%）、</w:t>
      </w:r>
      <w:r w:rsidR="00C25817">
        <w:rPr>
          <w:rFonts w:hint="eastAsia"/>
        </w:rPr>
        <w:t>房地产</w:t>
      </w:r>
      <w:r w:rsidR="00C95D8B">
        <w:rPr>
          <w:rFonts w:hint="eastAsia"/>
        </w:rPr>
        <w:t>（-</w:t>
      </w:r>
      <w:r w:rsidR="00C25817">
        <w:rPr>
          <w:rFonts w:hint="eastAsia"/>
        </w:rPr>
        <w:t>1.65</w:t>
      </w:r>
      <w:r w:rsidR="00C95D8B">
        <w:rPr>
          <w:rFonts w:hint="eastAsia"/>
        </w:rPr>
        <w:t>%）以及</w:t>
      </w:r>
      <w:r w:rsidR="00C25817">
        <w:rPr>
          <w:rFonts w:hint="eastAsia"/>
        </w:rPr>
        <w:t>交通运输</w:t>
      </w:r>
      <w:r w:rsidR="00C95D8B">
        <w:rPr>
          <w:rFonts w:hint="eastAsia"/>
        </w:rPr>
        <w:t>（</w:t>
      </w:r>
      <w:r w:rsidR="00601B58">
        <w:rPr>
          <w:rFonts w:hint="eastAsia"/>
        </w:rPr>
        <w:t>-</w:t>
      </w:r>
      <w:r w:rsidR="00C25817">
        <w:rPr>
          <w:rFonts w:hint="eastAsia"/>
        </w:rPr>
        <w:t>1.21%</w:t>
      </w:r>
      <w:r w:rsidR="00C95D8B">
        <w:rPr>
          <w:rFonts w:hint="eastAsia"/>
        </w:rPr>
        <w:t>）。</w:t>
      </w:r>
      <w:r w:rsidR="00C25817">
        <w:rPr>
          <w:rFonts w:hint="eastAsia"/>
        </w:rPr>
        <w:t>结合</w:t>
      </w:r>
      <w:r>
        <w:rPr>
          <w:rFonts w:hint="eastAsia"/>
        </w:rPr>
        <w:t>上周</w:t>
      </w:r>
      <w:bookmarkStart w:id="0" w:name="_GoBack"/>
      <w:bookmarkEnd w:id="0"/>
      <w:r w:rsidR="00C25817">
        <w:rPr>
          <w:rFonts w:hint="eastAsia"/>
        </w:rPr>
        <w:t>市场表现来看，风格指向中小盘，当前中证500和中证1000等中小盘宽基指数的估值依然处于历史低位，具有较强的配置价值。</w:t>
      </w:r>
    </w:p>
    <w:p w:rsidR="00F513A6" w:rsidRPr="000F78C3" w:rsidRDefault="00F513A6" w:rsidP="00C95D8B">
      <w:pPr>
        <w:ind w:firstLineChars="200" w:firstLine="480"/>
      </w:pPr>
    </w:p>
    <w:p w:rsidR="00F513A6" w:rsidRDefault="00F513A6" w:rsidP="00F513A6">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EB73E9" w:rsidRPr="00F513A6" w:rsidRDefault="00EB73E9">
      <w:pPr>
        <w:ind w:firstLineChars="200" w:firstLine="480"/>
      </w:pPr>
    </w:p>
    <w:p w:rsidR="00EB73E9" w:rsidRDefault="00C25817" w:rsidP="005801FF">
      <w:r>
        <w:rPr>
          <w:noProof/>
        </w:rPr>
        <w:drawing>
          <wp:inline distT="0" distB="0" distL="0" distR="0" wp14:anchorId="3AD46675" wp14:editId="016B5765">
            <wp:extent cx="5274310" cy="3955733"/>
            <wp:effectExtent l="0" t="0" r="2540" b="6985"/>
            <wp:docPr id="1" name="图片 1" descr="C:\Users\qiuzh\AppData\Roaming\Foxmail7\Temp-12280-20210719081317\fox(07-19-08-54-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2280-20210719081317\fox(07-19-08-54-14).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lastRenderedPageBreak/>
        <w:t>数据来源：</w:t>
      </w:r>
      <w:proofErr w:type="gramStart"/>
      <w:r>
        <w:rPr>
          <w:rFonts w:hint="eastAsia"/>
        </w:rPr>
        <w:t>wind</w:t>
      </w:r>
      <w:proofErr w:type="gramEnd"/>
    </w:p>
    <w:p w:rsidR="00EB73E9" w:rsidRDefault="00EB73E9">
      <w:pPr>
        <w:ind w:firstLineChars="200" w:firstLine="480"/>
        <w:rPr>
          <w:lang w:eastAsia="zh-Hans"/>
        </w:rPr>
      </w:pPr>
    </w:p>
    <w:p w:rsidR="00EB73E9" w:rsidRDefault="005801FF">
      <w:pPr>
        <w:ind w:firstLineChars="200" w:firstLine="480"/>
        <w:rPr>
          <w:rFonts w:hint="eastAsia"/>
        </w:rPr>
      </w:pPr>
      <w:r>
        <w:rPr>
          <w:rFonts w:hint="eastAsia"/>
        </w:rPr>
        <w:t>从资金流动来看（图2），</w:t>
      </w:r>
      <w:r w:rsidR="00F513A6">
        <w:rPr>
          <w:rFonts w:hint="eastAsia"/>
        </w:rPr>
        <w:t>上</w:t>
      </w:r>
      <w:r>
        <w:rPr>
          <w:rFonts w:hint="eastAsia"/>
        </w:rPr>
        <w:t>周</w:t>
      </w:r>
      <w:r w:rsidR="00EA4688">
        <w:rPr>
          <w:rFonts w:hint="eastAsia"/>
          <w:lang w:eastAsia="zh-Hans"/>
        </w:rPr>
        <w:t>北向资金本周</w:t>
      </w:r>
      <w:r w:rsidR="000F78C3">
        <w:rPr>
          <w:rFonts w:hint="eastAsia"/>
        </w:rPr>
        <w:t>继续维持</w:t>
      </w:r>
      <w:r w:rsidR="000D4EC5">
        <w:rPr>
          <w:rFonts w:hint="eastAsia"/>
        </w:rPr>
        <w:t>净</w:t>
      </w:r>
      <w:r w:rsidR="000F78C3">
        <w:rPr>
          <w:rFonts w:hint="eastAsia"/>
        </w:rPr>
        <w:t>流入状态</w:t>
      </w:r>
      <w:r>
        <w:rPr>
          <w:lang w:eastAsia="zh-Hans"/>
        </w:rPr>
        <w:t>，</w:t>
      </w:r>
      <w:r>
        <w:rPr>
          <w:rFonts w:hint="eastAsia"/>
          <w:lang w:eastAsia="zh-Hans"/>
        </w:rPr>
        <w:t>全周合计流入</w:t>
      </w:r>
      <w:r w:rsidR="0054419C">
        <w:rPr>
          <w:rFonts w:hint="eastAsia"/>
          <w:lang w:eastAsia="zh-Hans"/>
        </w:rPr>
        <w:t>16.69</w:t>
      </w:r>
      <w:r>
        <w:rPr>
          <w:rFonts w:hint="eastAsia"/>
          <w:lang w:eastAsia="zh-Hans"/>
        </w:rPr>
        <w:t>亿</w:t>
      </w:r>
      <w:r>
        <w:rPr>
          <w:lang w:eastAsia="zh-Hans"/>
        </w:rPr>
        <w:t>，</w:t>
      </w:r>
      <w:r>
        <w:rPr>
          <w:rFonts w:hint="eastAsia"/>
          <w:lang w:eastAsia="zh-Hans"/>
        </w:rPr>
        <w:t>其中沪股通流入</w:t>
      </w:r>
      <w:r w:rsidR="0054419C">
        <w:rPr>
          <w:rFonts w:hint="eastAsia"/>
          <w:lang w:eastAsia="zh-Hans"/>
        </w:rPr>
        <w:t>-2.44</w:t>
      </w:r>
      <w:r>
        <w:rPr>
          <w:rFonts w:hint="eastAsia"/>
          <w:lang w:eastAsia="zh-Hans"/>
        </w:rPr>
        <w:t>亿</w:t>
      </w:r>
      <w:r>
        <w:rPr>
          <w:lang w:eastAsia="zh-Hans"/>
        </w:rPr>
        <w:t>，</w:t>
      </w:r>
      <w:r>
        <w:rPr>
          <w:rFonts w:hint="eastAsia"/>
          <w:lang w:eastAsia="zh-Hans"/>
        </w:rPr>
        <w:t>深股通流入</w:t>
      </w:r>
      <w:r w:rsidR="0054419C">
        <w:rPr>
          <w:rFonts w:hint="eastAsia"/>
        </w:rPr>
        <w:t>19.13</w:t>
      </w:r>
      <w:r>
        <w:rPr>
          <w:rFonts w:hint="eastAsia"/>
          <w:lang w:eastAsia="zh-Hans"/>
        </w:rPr>
        <w:t>亿</w:t>
      </w:r>
      <w:r w:rsidR="000F78C3">
        <w:rPr>
          <w:rFonts w:hint="eastAsia"/>
        </w:rPr>
        <w:t>。</w:t>
      </w:r>
      <w:r w:rsidR="00E86135">
        <w:rPr>
          <w:rFonts w:hint="eastAsia"/>
        </w:rPr>
        <w:t>在市场震荡的过程中，新增融资余额明显下降很多，投资者情绪表现为谨慎。</w:t>
      </w:r>
    </w:p>
    <w:p w:rsidR="00F513A6" w:rsidRDefault="00F513A6">
      <w:pPr>
        <w:ind w:firstLineChars="200" w:firstLine="480"/>
        <w:rPr>
          <w:rFonts w:hint="eastAsia"/>
        </w:rPr>
      </w:pPr>
    </w:p>
    <w:p w:rsidR="00F513A6" w:rsidRDefault="00F513A6" w:rsidP="00F513A6">
      <w:pPr>
        <w:ind w:firstLineChars="200" w:firstLine="480"/>
        <w:jc w:val="center"/>
        <w:rPr>
          <w:lang w:eastAsia="zh-Hans"/>
        </w:rPr>
      </w:pPr>
      <w:r>
        <w:rPr>
          <w:rFonts w:hint="eastAsia"/>
        </w:rPr>
        <w:t xml:space="preserve">图 2 </w:t>
      </w:r>
      <w:r>
        <w:rPr>
          <w:rFonts w:hint="eastAsia"/>
        </w:rPr>
        <w:t>：</w:t>
      </w:r>
      <w:r>
        <w:rPr>
          <w:rFonts w:hint="eastAsia"/>
        </w:rPr>
        <w:t>北向资金与新增融资余额</w:t>
      </w:r>
    </w:p>
    <w:p w:rsidR="00EB73E9" w:rsidRDefault="00E86135" w:rsidP="005801FF">
      <w:r>
        <w:rPr>
          <w:noProof/>
        </w:rPr>
        <w:drawing>
          <wp:inline distT="0" distB="0" distL="0" distR="0" wp14:anchorId="3945BCBC" wp14:editId="43665D86">
            <wp:extent cx="5274310" cy="1681797"/>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681797"/>
                    </a:xfrm>
                    <a:prstGeom prst="rect">
                      <a:avLst/>
                    </a:prstGeom>
                  </pic:spPr>
                </pic:pic>
              </a:graphicData>
            </a:graphic>
          </wp:inline>
        </w:drawing>
      </w:r>
    </w:p>
    <w:p w:rsidR="00E86135" w:rsidRDefault="00E86135" w:rsidP="005801FF">
      <w:r>
        <w:rPr>
          <w:noProof/>
        </w:rPr>
        <w:drawing>
          <wp:inline distT="0" distB="0" distL="0" distR="0" wp14:anchorId="491EC6BB" wp14:editId="3CBAC0BC">
            <wp:extent cx="5274310" cy="1702552"/>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702552"/>
                    </a:xfrm>
                    <a:prstGeom prst="rect">
                      <a:avLst/>
                    </a:prstGeom>
                  </pic:spPr>
                </pic:pic>
              </a:graphicData>
            </a:graphic>
          </wp:inline>
        </w:drawing>
      </w:r>
    </w:p>
    <w:p w:rsidR="00F4730F" w:rsidRDefault="00F4730F" w:rsidP="005801FF">
      <w:r>
        <w:rPr>
          <w:rFonts w:hint="eastAsia"/>
        </w:rPr>
        <w:t>数据来源：Wind</w:t>
      </w:r>
    </w:p>
    <w:p w:rsidR="00EB73E9" w:rsidRDefault="00EB73E9" w:rsidP="005801FF">
      <w:pPr>
        <w:jc w:val="center"/>
      </w:pPr>
    </w:p>
    <w:p w:rsidR="000D4EC5" w:rsidRDefault="005801FF" w:rsidP="00FE6E65">
      <w:pPr>
        <w:ind w:firstLineChars="200" w:firstLine="480"/>
        <w:rPr>
          <w:rFonts w:hint="eastAsia"/>
        </w:rPr>
      </w:pPr>
      <w:r>
        <w:rPr>
          <w:rFonts w:hint="eastAsia"/>
        </w:rPr>
        <w:t>从市场波动率来看，</w:t>
      </w:r>
      <w:r w:rsidR="00F513A6">
        <w:rPr>
          <w:rFonts w:hint="eastAsia"/>
        </w:rPr>
        <w:t>上</w:t>
      </w:r>
      <w:r w:rsidR="00E86135">
        <w:rPr>
          <w:rFonts w:hint="eastAsia"/>
        </w:rPr>
        <w:t>周标的周内有较大的上涨和下跌，但是在大幅震荡的交易日内，期权隐含</w:t>
      </w:r>
      <w:r>
        <w:rPr>
          <w:rFonts w:hint="eastAsia"/>
          <w:lang w:eastAsia="zh-Hans"/>
        </w:rPr>
        <w:t>波动率</w:t>
      </w:r>
      <w:r w:rsidR="00E86135">
        <w:rPr>
          <w:rFonts w:hint="eastAsia"/>
        </w:rPr>
        <w:t>都不为所动，</w:t>
      </w:r>
      <w:r w:rsidR="000D4EC5">
        <w:rPr>
          <w:rFonts w:hint="eastAsia"/>
        </w:rPr>
        <w:t>维持在</w:t>
      </w:r>
      <w:r w:rsidR="000F78C3">
        <w:rPr>
          <w:rFonts w:hint="eastAsia"/>
        </w:rPr>
        <w:t>历史低分位</w:t>
      </w:r>
      <w:r w:rsidR="000D4EC5">
        <w:rPr>
          <w:rFonts w:hint="eastAsia"/>
        </w:rPr>
        <w:t>处震荡</w:t>
      </w:r>
      <w:r>
        <w:rPr>
          <w:rFonts w:hint="eastAsia"/>
        </w:rPr>
        <w:t>（图3）</w:t>
      </w:r>
      <w:r w:rsidR="00FE6E65">
        <w:rPr>
          <w:rFonts w:hint="eastAsia"/>
        </w:rPr>
        <w:t>。标的连续几周最终收获窄幅震荡，波动率维持低位也属正常，但是随着市场情绪进一步压缩，要谨防因为行情变化，或外部事件冲击引起波动</w:t>
      </w:r>
      <w:proofErr w:type="gramStart"/>
      <w:r w:rsidR="00FE6E65">
        <w:rPr>
          <w:rFonts w:hint="eastAsia"/>
        </w:rPr>
        <w:t>率回归</w:t>
      </w:r>
      <w:proofErr w:type="gramEnd"/>
      <w:r w:rsidR="00FE6E65">
        <w:rPr>
          <w:rFonts w:hint="eastAsia"/>
        </w:rPr>
        <w:t>风险。</w:t>
      </w:r>
    </w:p>
    <w:p w:rsidR="00F513A6" w:rsidRDefault="00F513A6" w:rsidP="00FE6E65">
      <w:pPr>
        <w:ind w:firstLineChars="200" w:firstLine="480"/>
        <w:rPr>
          <w:rFonts w:hint="eastAsia"/>
        </w:rPr>
      </w:pPr>
    </w:p>
    <w:p w:rsidR="00F513A6" w:rsidRDefault="00F513A6" w:rsidP="00F513A6">
      <w:pPr>
        <w:jc w:val="center"/>
      </w:pPr>
      <w:r>
        <w:rPr>
          <w:rFonts w:hint="eastAsia"/>
        </w:rPr>
        <w:t>图 3</w:t>
      </w:r>
      <w:r>
        <w:rPr>
          <w:rFonts w:hint="eastAsia"/>
        </w:rPr>
        <w:t>：</w:t>
      </w:r>
      <w:r>
        <w:rPr>
          <w:rFonts w:hint="eastAsia"/>
        </w:rPr>
        <w:t xml:space="preserve"> 期权市场隐含波动率</w:t>
      </w:r>
    </w:p>
    <w:p w:rsidR="00E86135" w:rsidRDefault="00E86135">
      <w:r>
        <w:rPr>
          <w:noProof/>
        </w:rPr>
        <w:lastRenderedPageBreak/>
        <w:drawing>
          <wp:inline distT="0" distB="0" distL="0" distR="0" wp14:anchorId="327C6397" wp14:editId="690565B4">
            <wp:extent cx="5274310" cy="3917788"/>
            <wp:effectExtent l="0" t="0" r="254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3917788"/>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Pr>
        <w:rPr>
          <w:rFonts w:hint="eastAsia"/>
        </w:rPr>
      </w:pPr>
    </w:p>
    <w:p w:rsidR="00F513A6" w:rsidRDefault="00F513A6">
      <w:pPr>
        <w:rPr>
          <w:rFonts w:hint="eastAsia"/>
        </w:rPr>
      </w:pPr>
    </w:p>
    <w:p w:rsidR="00F513A6" w:rsidRPr="00F513A6" w:rsidRDefault="00F513A6">
      <w:pPr>
        <w:rPr>
          <w:sz w:val="18"/>
          <w:szCs w:val="18"/>
        </w:rPr>
      </w:pPr>
      <w:r w:rsidRPr="00F513A6">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F513A6">
        <w:rPr>
          <w:rFonts w:ascii="微软雅黑" w:eastAsia="微软雅黑" w:hAnsi="微软雅黑" w:hint="eastAsia"/>
          <w:color w:val="474747"/>
          <w:sz w:val="18"/>
          <w:szCs w:val="18"/>
          <w:shd w:val="clear" w:color="auto" w:fill="FFFFFF"/>
        </w:rPr>
        <w:t>作出</w:t>
      </w:r>
      <w:proofErr w:type="gramEnd"/>
      <w:r w:rsidRPr="00F513A6">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53B5" w:rsidRDefault="008553B5" w:rsidP="00F513A6">
      <w:pPr>
        <w:spacing w:line="240" w:lineRule="auto"/>
      </w:pPr>
      <w:r>
        <w:separator/>
      </w:r>
    </w:p>
  </w:endnote>
  <w:endnote w:type="continuationSeparator" w:id="0">
    <w:p w:rsidR="008553B5" w:rsidRDefault="008553B5" w:rsidP="00F513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53B5" w:rsidRDefault="008553B5" w:rsidP="00F513A6">
      <w:pPr>
        <w:spacing w:line="240" w:lineRule="auto"/>
      </w:pPr>
      <w:r>
        <w:separator/>
      </w:r>
    </w:p>
  </w:footnote>
  <w:footnote w:type="continuationSeparator" w:id="0">
    <w:p w:rsidR="008553B5" w:rsidRDefault="008553B5" w:rsidP="00F513A6">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35595"/>
    <w:rsid w:val="00070AA2"/>
    <w:rsid w:val="00074AEA"/>
    <w:rsid w:val="000D4EC5"/>
    <w:rsid w:val="000F78C3"/>
    <w:rsid w:val="00161CBB"/>
    <w:rsid w:val="0018534E"/>
    <w:rsid w:val="001867FC"/>
    <w:rsid w:val="001D19B6"/>
    <w:rsid w:val="001D6061"/>
    <w:rsid w:val="001F293D"/>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A5394"/>
    <w:rsid w:val="004E3614"/>
    <w:rsid w:val="004E52FE"/>
    <w:rsid w:val="00525A53"/>
    <w:rsid w:val="00531B02"/>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D5907"/>
    <w:rsid w:val="007D7875"/>
    <w:rsid w:val="007F6A29"/>
    <w:rsid w:val="00810078"/>
    <w:rsid w:val="00830122"/>
    <w:rsid w:val="00830C71"/>
    <w:rsid w:val="008540B7"/>
    <w:rsid w:val="008553B5"/>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A07990"/>
    <w:rsid w:val="00A47AFD"/>
    <w:rsid w:val="00A51293"/>
    <w:rsid w:val="00A61347"/>
    <w:rsid w:val="00A842A3"/>
    <w:rsid w:val="00A90927"/>
    <w:rsid w:val="00AC6D36"/>
    <w:rsid w:val="00AD037A"/>
    <w:rsid w:val="00B14C31"/>
    <w:rsid w:val="00B5310C"/>
    <w:rsid w:val="00B82632"/>
    <w:rsid w:val="00B87681"/>
    <w:rsid w:val="00B91093"/>
    <w:rsid w:val="00BA3587"/>
    <w:rsid w:val="00BA72C2"/>
    <w:rsid w:val="00BC61FC"/>
    <w:rsid w:val="00BD6BA1"/>
    <w:rsid w:val="00BE0398"/>
    <w:rsid w:val="00C24E54"/>
    <w:rsid w:val="00C25817"/>
    <w:rsid w:val="00C53CF8"/>
    <w:rsid w:val="00C95D8B"/>
    <w:rsid w:val="00CA38CF"/>
    <w:rsid w:val="00CD5494"/>
    <w:rsid w:val="00CD673E"/>
    <w:rsid w:val="00D055BF"/>
    <w:rsid w:val="00D058C0"/>
    <w:rsid w:val="00D46833"/>
    <w:rsid w:val="00DB5833"/>
    <w:rsid w:val="00DD21CB"/>
    <w:rsid w:val="00DD26E5"/>
    <w:rsid w:val="00DD2E6A"/>
    <w:rsid w:val="00DD6213"/>
    <w:rsid w:val="00DE7F1F"/>
    <w:rsid w:val="00DF6F9A"/>
    <w:rsid w:val="00E23413"/>
    <w:rsid w:val="00E40DCE"/>
    <w:rsid w:val="00E619FD"/>
    <w:rsid w:val="00E765AD"/>
    <w:rsid w:val="00E86135"/>
    <w:rsid w:val="00E86C8A"/>
    <w:rsid w:val="00E87750"/>
    <w:rsid w:val="00E94CFB"/>
    <w:rsid w:val="00EA4688"/>
    <w:rsid w:val="00EA7100"/>
    <w:rsid w:val="00EB73E9"/>
    <w:rsid w:val="00EB7D3C"/>
    <w:rsid w:val="00EF2A7A"/>
    <w:rsid w:val="00EF75F8"/>
    <w:rsid w:val="00F1138A"/>
    <w:rsid w:val="00F13186"/>
    <w:rsid w:val="00F456DD"/>
    <w:rsid w:val="00F4730F"/>
    <w:rsid w:val="00F513A6"/>
    <w:rsid w:val="00F64709"/>
    <w:rsid w:val="00FA2748"/>
    <w:rsid w:val="00FB18F7"/>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36</cp:revision>
  <dcterms:created xsi:type="dcterms:W3CDTF">2020-07-07T11:36:00Z</dcterms:created>
  <dcterms:modified xsi:type="dcterms:W3CDTF">2021-07-19T09:03:00Z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