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4F4BFDC2" w:rsidR="00832986" w:rsidRPr="00500BB1" w:rsidRDefault="00832986" w:rsidP="00E543BE">
      <w:pPr>
        <w:widowControl/>
        <w:jc w:val="center"/>
        <w:rPr>
          <w:rFonts w:ascii="楷体" w:eastAsia="楷体" w:hAnsi="楷体"/>
          <w:sz w:val="28"/>
          <w:szCs w:val="28"/>
          <w:highlight w:val="yellow"/>
        </w:rPr>
      </w:pPr>
      <w:r w:rsidRPr="009600F4">
        <w:rPr>
          <w:rFonts w:ascii="楷体" w:eastAsia="楷体" w:hAnsi="楷体" w:hint="eastAsia"/>
          <w:sz w:val="28"/>
          <w:szCs w:val="28"/>
        </w:rPr>
        <w:t>——</w:t>
      </w:r>
      <w:r w:rsidR="009600F4" w:rsidRPr="009600F4">
        <w:rPr>
          <w:rFonts w:ascii="楷体" w:eastAsia="楷体" w:hAnsi="楷体" w:hint="eastAsia"/>
          <w:sz w:val="28"/>
          <w:szCs w:val="28"/>
        </w:rPr>
        <w:t>政策跨周期调节</w:t>
      </w:r>
      <w:r w:rsidR="00CD02EA" w:rsidRPr="009600F4">
        <w:rPr>
          <w:rFonts w:ascii="楷体" w:eastAsia="楷体" w:hAnsi="楷体" w:hint="eastAsia"/>
          <w:sz w:val="28"/>
          <w:szCs w:val="28"/>
        </w:rPr>
        <w:t>，</w:t>
      </w:r>
      <w:r w:rsidR="009600F4">
        <w:rPr>
          <w:rFonts w:ascii="楷体" w:eastAsia="楷体" w:hAnsi="楷体" w:hint="eastAsia"/>
          <w:sz w:val="28"/>
          <w:szCs w:val="28"/>
        </w:rPr>
        <w:t>P</w:t>
      </w:r>
      <w:r w:rsidR="009600F4">
        <w:rPr>
          <w:rFonts w:ascii="楷体" w:eastAsia="楷体" w:hAnsi="楷体"/>
          <w:sz w:val="28"/>
          <w:szCs w:val="28"/>
        </w:rPr>
        <w:t>MI</w:t>
      </w:r>
      <w:r w:rsidR="00CD2B4D">
        <w:rPr>
          <w:rFonts w:ascii="楷体" w:eastAsia="楷体" w:hAnsi="楷体" w:hint="eastAsia"/>
          <w:sz w:val="28"/>
          <w:szCs w:val="28"/>
        </w:rPr>
        <w:t>超</w:t>
      </w:r>
      <w:proofErr w:type="gramStart"/>
      <w:r w:rsidR="00CD2B4D">
        <w:rPr>
          <w:rFonts w:ascii="楷体" w:eastAsia="楷体" w:hAnsi="楷体" w:hint="eastAsia"/>
          <w:sz w:val="28"/>
          <w:szCs w:val="28"/>
        </w:rPr>
        <w:t>预期</w:t>
      </w:r>
      <w:r w:rsidR="009600F4">
        <w:rPr>
          <w:rFonts w:ascii="楷体" w:eastAsia="楷体" w:hAnsi="楷体" w:hint="eastAsia"/>
          <w:sz w:val="28"/>
          <w:szCs w:val="28"/>
        </w:rPr>
        <w:t>走</w:t>
      </w:r>
      <w:proofErr w:type="gramEnd"/>
      <w:r w:rsidR="009600F4">
        <w:rPr>
          <w:rFonts w:ascii="楷体" w:eastAsia="楷体" w:hAnsi="楷体" w:hint="eastAsia"/>
          <w:sz w:val="28"/>
          <w:szCs w:val="28"/>
        </w:rPr>
        <w:t>弱</w:t>
      </w:r>
    </w:p>
    <w:p w14:paraId="1B2C4A22" w14:textId="0BA85F85" w:rsidR="005E5CB1" w:rsidRPr="003B6164" w:rsidRDefault="005E5CB1" w:rsidP="005E5CB1">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8F4A92" w:rsidRPr="003B6164">
        <w:rPr>
          <w:rFonts w:hint="eastAsia"/>
          <w:color w:val="C45911" w:themeColor="accent2" w:themeShade="BF"/>
        </w:rPr>
        <w:t>本周关注：</w:t>
      </w:r>
      <w:r w:rsidR="004242D8" w:rsidRPr="003B6164">
        <w:rPr>
          <w:color w:val="C45911" w:themeColor="accent2" w:themeShade="BF"/>
        </w:rPr>
        <w:t xml:space="preserve"> </w:t>
      </w:r>
    </w:p>
    <w:p w14:paraId="74800574" w14:textId="24B663EB" w:rsidR="003B6164" w:rsidRDefault="003B6164" w:rsidP="003B6164">
      <w:pPr>
        <w:pStyle w:val="Header1"/>
        <w:spacing w:before="240"/>
        <w:ind w:firstLine="480"/>
        <w:rPr>
          <w:rFonts w:ascii="华文楷体" w:hAnsi="华文楷体"/>
          <w:b w:val="0"/>
          <w:color w:val="auto"/>
          <w:sz w:val="24"/>
          <w:szCs w:val="24"/>
        </w:rPr>
      </w:pPr>
      <w:r w:rsidRPr="003B6164">
        <w:rPr>
          <w:rFonts w:ascii="华文楷体" w:hAnsi="华文楷体" w:hint="eastAsia"/>
          <w:b w:val="0"/>
          <w:color w:val="auto"/>
          <w:sz w:val="24"/>
          <w:szCs w:val="24"/>
        </w:rPr>
        <w:t>中央政治局会议强调，国内经济恢复仍然不稳固、不均衡。要做好宏观政策跨周期调节，保持宏观政策连续性、稳定性、可持续性，统筹做好今明两年宏观政策衔接，保持经济运行在合理区间。积极的财政政策要提升政策效能，兜牢基层“三保”底线，合理把握预算内投资和地方政府债券发行进度，推动今年底明年初形成实物工作量。稳健的货币政策要保持流动性合理充裕，助力中小企业和困难行业持续恢复。要增强宏观政策自主性，保持人民币汇率在合理均衡水平上基本稳定。做好大宗商品保供稳价工作。会议要求，支持新能源汽车加快发展，加快推进“十四五”规划重大工程项目建设；开展</w:t>
      </w:r>
      <w:proofErr w:type="gramStart"/>
      <w:r w:rsidRPr="003B6164">
        <w:rPr>
          <w:rFonts w:ascii="华文楷体" w:hAnsi="华文楷体" w:hint="eastAsia"/>
          <w:b w:val="0"/>
          <w:color w:val="auto"/>
          <w:sz w:val="24"/>
          <w:szCs w:val="24"/>
        </w:rPr>
        <w:t>补链强链</w:t>
      </w:r>
      <w:proofErr w:type="gramEnd"/>
      <w:r w:rsidRPr="003B6164">
        <w:rPr>
          <w:rFonts w:ascii="华文楷体" w:hAnsi="华文楷体" w:hint="eastAsia"/>
          <w:b w:val="0"/>
          <w:color w:val="auto"/>
          <w:sz w:val="24"/>
          <w:szCs w:val="24"/>
        </w:rPr>
        <w:t>专项行动，加快解决“卡脖子”难题；尽快出台2030年前</w:t>
      </w:r>
      <w:proofErr w:type="gramStart"/>
      <w:r w:rsidRPr="003B6164">
        <w:rPr>
          <w:rFonts w:ascii="华文楷体" w:hAnsi="华文楷体" w:hint="eastAsia"/>
          <w:b w:val="0"/>
          <w:color w:val="auto"/>
          <w:sz w:val="24"/>
          <w:szCs w:val="24"/>
        </w:rPr>
        <w:t>碳达峰行动</w:t>
      </w:r>
      <w:proofErr w:type="gramEnd"/>
      <w:r w:rsidRPr="003B6164">
        <w:rPr>
          <w:rFonts w:ascii="华文楷体" w:hAnsi="华文楷体" w:hint="eastAsia"/>
          <w:b w:val="0"/>
          <w:color w:val="auto"/>
          <w:sz w:val="24"/>
          <w:szCs w:val="24"/>
        </w:rPr>
        <w:t>方案，纠正运动式“减碳”，坚决遏制“两高”项目盲目发展。要防范化解重点领域风险，落实地方党政主要领导负责的财政金融风险处置机制，完善企业境外上市监管制度。要坚持房子是用来住的、不是用来炒的定位，稳地价、稳房价、稳预期，促进房地产市场平稳健康发展。加快发展租赁住房，落实用地、税收等支持政策。</w:t>
      </w:r>
    </w:p>
    <w:p w14:paraId="06B9B268" w14:textId="77777777" w:rsidR="003B6164" w:rsidRPr="003B6164" w:rsidRDefault="003B6164" w:rsidP="003B6164">
      <w:pPr>
        <w:pStyle w:val="Header1"/>
        <w:spacing w:before="240"/>
        <w:ind w:firstLine="480"/>
        <w:rPr>
          <w:rFonts w:ascii="华文楷体" w:hAnsi="华文楷体"/>
          <w:b w:val="0"/>
          <w:color w:val="auto"/>
          <w:sz w:val="24"/>
          <w:szCs w:val="24"/>
        </w:rPr>
      </w:pPr>
      <w:r w:rsidRPr="003B6164">
        <w:rPr>
          <w:rFonts w:ascii="华文楷体" w:hAnsi="华文楷体" w:hint="eastAsia"/>
          <w:b w:val="0"/>
          <w:color w:val="auto"/>
          <w:sz w:val="24"/>
          <w:szCs w:val="24"/>
        </w:rPr>
        <w:t>美联储7月利率决议：FOMC投票一致决定维持联邦基金利率目标区间在0%-0.25%不变，维持超额准备金利率（IOER）在0.15%不变，维持贴现利率在0.25%不变；将继续每月增</w:t>
      </w:r>
      <w:proofErr w:type="gramStart"/>
      <w:r w:rsidRPr="003B6164">
        <w:rPr>
          <w:rFonts w:ascii="华文楷体" w:hAnsi="华文楷体" w:hint="eastAsia"/>
          <w:b w:val="0"/>
          <w:color w:val="auto"/>
          <w:sz w:val="24"/>
          <w:szCs w:val="24"/>
        </w:rPr>
        <w:t>持至少</w:t>
      </w:r>
      <w:proofErr w:type="gramEnd"/>
      <w:r w:rsidRPr="003B6164">
        <w:rPr>
          <w:rFonts w:ascii="华文楷体" w:hAnsi="华文楷体" w:hint="eastAsia"/>
          <w:b w:val="0"/>
          <w:color w:val="auto"/>
          <w:sz w:val="24"/>
          <w:szCs w:val="24"/>
        </w:rPr>
        <w:t>800亿美元的国债，以及至少400亿美元的住房抵押贷款支持证券，直到委员会的充分就业和物价稳定的目标取得实质性进展；建立美国国内和国外常备回购便利工具（SRF）。美联储指出，通胀上升很大程度上反映了暂时性因素的影响，较长期通胀预期仍然牢牢</w:t>
      </w:r>
      <w:proofErr w:type="gramStart"/>
      <w:r w:rsidRPr="003B6164">
        <w:rPr>
          <w:rFonts w:ascii="华文楷体" w:hAnsi="华文楷体" w:hint="eastAsia"/>
          <w:b w:val="0"/>
          <w:color w:val="auto"/>
          <w:sz w:val="24"/>
          <w:szCs w:val="24"/>
        </w:rPr>
        <w:t>锚</w:t>
      </w:r>
      <w:proofErr w:type="gramEnd"/>
      <w:r w:rsidRPr="003B6164">
        <w:rPr>
          <w:rFonts w:ascii="华文楷体" w:hAnsi="华文楷体" w:hint="eastAsia"/>
          <w:b w:val="0"/>
          <w:color w:val="auto"/>
          <w:sz w:val="24"/>
          <w:szCs w:val="24"/>
        </w:rPr>
        <w:t>定在2%； 美国经济已经朝着缩减量化宽松所需的目标取得了进展，未来几次会议上将继续评估进展。</w:t>
      </w:r>
    </w:p>
    <w:p w14:paraId="0C2AD665" w14:textId="0F561569" w:rsidR="00692270" w:rsidRPr="00692270" w:rsidRDefault="00692270" w:rsidP="00692270">
      <w:pPr>
        <w:pStyle w:val="Header1"/>
        <w:spacing w:before="240"/>
        <w:ind w:firstLine="480"/>
        <w:rPr>
          <w:rFonts w:ascii="华文楷体" w:hAnsi="华文楷体"/>
          <w:b w:val="0"/>
          <w:color w:val="auto"/>
          <w:sz w:val="24"/>
          <w:szCs w:val="24"/>
        </w:rPr>
      </w:pPr>
      <w:r w:rsidRPr="00692270">
        <w:rPr>
          <w:rFonts w:ascii="华文楷体" w:hAnsi="华文楷体" w:hint="eastAsia"/>
          <w:b w:val="0"/>
          <w:color w:val="auto"/>
          <w:sz w:val="24"/>
          <w:szCs w:val="24"/>
        </w:rPr>
        <w:t>中国7月官方制造业PMI为50.4，连续17个月位于临界点上，预期51.1，前值50.9；非制造业PMI为53.3，综合PMI产出指数为52.4。国家统计局指出，7月中国采购经理指数保持扩张态势，服务业商务活动指数小幅回升；总体上看，经济继续保持扩张态势，但步伐有所放缓。</w:t>
      </w:r>
    </w:p>
    <w:p w14:paraId="2481ADDF" w14:textId="6A8431E4" w:rsidR="006E67E1" w:rsidRPr="00500BB1" w:rsidRDefault="00692270" w:rsidP="00692270">
      <w:pPr>
        <w:pStyle w:val="Header1"/>
        <w:spacing w:before="240"/>
        <w:ind w:firstLine="480"/>
        <w:rPr>
          <w:rFonts w:ascii="华文楷体" w:hAnsi="华文楷体"/>
          <w:b w:val="0"/>
          <w:color w:val="auto"/>
          <w:sz w:val="24"/>
          <w:szCs w:val="24"/>
          <w:highlight w:val="yellow"/>
        </w:rPr>
      </w:pPr>
      <w:r w:rsidRPr="00692270">
        <w:rPr>
          <w:rFonts w:ascii="华文楷体" w:hAnsi="华文楷体" w:hint="eastAsia"/>
          <w:b w:val="0"/>
          <w:color w:val="auto"/>
          <w:sz w:val="24"/>
          <w:szCs w:val="24"/>
        </w:rPr>
        <w:t>央行召开工作会议，明确下半年八大重点任务。具体包括：1、坚持稳字当头，稳健的货币政策要灵活精准、合理适度；2、整体协同、加快完善绿色金融体系；3、切实防范化解重大金融风险；4、持续加强宏观审慎管理；5、进一步有序推进金融开放；6、深化重点领域金融改革；7、督促指导平台企业对照监管要求全面整改，对虚拟货币交易炒作保持高压态势；8、继续做好金融服务和管理。</w:t>
      </w:r>
    </w:p>
    <w:p w14:paraId="7EEDEF05" w14:textId="067E2636" w:rsidR="00E0626C" w:rsidRPr="007353FF" w:rsidRDefault="005E5CB1" w:rsidP="009A2BA0">
      <w:pPr>
        <w:pStyle w:val="Header1"/>
        <w:spacing w:before="240"/>
        <w:rPr>
          <w:color w:val="C45911" w:themeColor="accent2" w:themeShade="BF"/>
        </w:rPr>
      </w:pPr>
      <w:r w:rsidRPr="007353FF">
        <w:rPr>
          <w:rFonts w:hint="eastAsia"/>
          <w:color w:val="C45911" w:themeColor="accent2" w:themeShade="BF"/>
        </w:rPr>
        <w:t>二</w:t>
      </w:r>
      <w:r w:rsidR="00E0626C" w:rsidRPr="007353FF">
        <w:rPr>
          <w:rFonts w:hint="eastAsia"/>
          <w:color w:val="C45911" w:themeColor="accent2" w:themeShade="BF"/>
        </w:rPr>
        <w:t>、上周市场回顾</w:t>
      </w:r>
    </w:p>
    <w:p w14:paraId="08F77D38" w14:textId="58EA1DC1" w:rsidR="00E0626C" w:rsidRPr="00500BB1" w:rsidRDefault="00E0626C" w:rsidP="009A2BA0">
      <w:pPr>
        <w:pStyle w:val="Header2"/>
        <w:rPr>
          <w:rFonts w:eastAsia="PMingLiU"/>
          <w:sz w:val="28"/>
          <w:szCs w:val="21"/>
          <w:lang w:eastAsia="zh-CN"/>
        </w:rPr>
      </w:pPr>
      <w:r w:rsidRPr="00500BB1">
        <w:rPr>
          <w:rFonts w:hint="eastAsia"/>
          <w:sz w:val="28"/>
          <w:szCs w:val="21"/>
          <w:lang w:eastAsia="zh-CN"/>
        </w:rPr>
        <w:t>1</w:t>
      </w:r>
      <w:r w:rsidRPr="00500BB1">
        <w:rPr>
          <w:rFonts w:hint="eastAsia"/>
          <w:sz w:val="28"/>
          <w:szCs w:val="21"/>
          <w:lang w:eastAsia="zh-CN"/>
        </w:rPr>
        <w:t>、</w:t>
      </w:r>
      <w:r w:rsidRPr="00500BB1">
        <w:rPr>
          <w:rFonts w:hint="eastAsia"/>
          <w:sz w:val="28"/>
          <w:szCs w:val="21"/>
        </w:rPr>
        <w:t>资金面</w:t>
      </w:r>
    </w:p>
    <w:p w14:paraId="1A536934" w14:textId="4D6D7417" w:rsidR="00500BB1" w:rsidRPr="00500BB1" w:rsidRDefault="00500BB1" w:rsidP="00EC3415">
      <w:pPr>
        <w:pStyle w:val="Body-text"/>
        <w:spacing w:after="240"/>
        <w:ind w:firstLineChars="200" w:firstLine="480"/>
        <w:rPr>
          <w:rFonts w:ascii="华文楷体" w:hAnsi="华文楷体"/>
          <w:sz w:val="24"/>
          <w:szCs w:val="24"/>
          <w:lang w:eastAsia="zh-CN"/>
        </w:rPr>
      </w:pPr>
      <w:r w:rsidRPr="00500BB1">
        <w:rPr>
          <w:rFonts w:ascii="华文楷体" w:hAnsi="华文楷体" w:hint="eastAsia"/>
          <w:sz w:val="24"/>
          <w:szCs w:val="24"/>
          <w:lang w:eastAsia="zh-CN"/>
        </w:rPr>
        <w:t>央行</w:t>
      </w:r>
      <w:r w:rsidR="004A14ED">
        <w:rPr>
          <w:rFonts w:ascii="华文楷体" w:hAnsi="华文楷体" w:hint="eastAsia"/>
          <w:sz w:val="24"/>
          <w:szCs w:val="24"/>
          <w:lang w:eastAsia="zh-CN"/>
        </w:rPr>
        <w:t>上</w:t>
      </w:r>
      <w:r w:rsidRPr="00500BB1">
        <w:rPr>
          <w:rFonts w:ascii="华文楷体" w:hAnsi="华文楷体" w:hint="eastAsia"/>
          <w:sz w:val="24"/>
          <w:szCs w:val="24"/>
          <w:lang w:eastAsia="zh-CN"/>
        </w:rPr>
        <w:t>周公开市场开展逆回购900亿元，逆回购到期500亿元，货币净投放400亿元。货币市场7天逆回购利率为2.2%；SHIBOR隔夜利率</w:t>
      </w:r>
      <w:r w:rsidR="004A14ED">
        <w:rPr>
          <w:rFonts w:ascii="华文楷体" w:hAnsi="华文楷体" w:hint="eastAsia"/>
          <w:sz w:val="24"/>
          <w:szCs w:val="24"/>
          <w:lang w:eastAsia="zh-CN"/>
        </w:rPr>
        <w:t>上</w:t>
      </w:r>
      <w:r w:rsidRPr="00500BB1">
        <w:rPr>
          <w:rFonts w:ascii="华文楷体" w:hAnsi="华文楷体" w:hint="eastAsia"/>
          <w:sz w:val="24"/>
          <w:szCs w:val="24"/>
          <w:lang w:eastAsia="zh-CN"/>
        </w:rPr>
        <w:t>周均值为2.06%，低于上</w:t>
      </w:r>
      <w:r w:rsidR="004A14ED">
        <w:rPr>
          <w:rFonts w:ascii="华文楷体" w:hAnsi="华文楷体" w:hint="eastAsia"/>
          <w:sz w:val="24"/>
          <w:szCs w:val="24"/>
          <w:lang w:eastAsia="zh-CN"/>
        </w:rPr>
        <w:t>一</w:t>
      </w:r>
      <w:r w:rsidRPr="00500BB1">
        <w:rPr>
          <w:rFonts w:ascii="华文楷体" w:hAnsi="华文楷体" w:hint="eastAsia"/>
          <w:sz w:val="24"/>
          <w:szCs w:val="24"/>
          <w:lang w:eastAsia="zh-CN"/>
        </w:rPr>
        <w:t>周均值2.13%，期初值为2.119%，期末值为2.178%。</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7353FF" w14:paraId="60E58867" w14:textId="77777777" w:rsidTr="005671F6">
        <w:trPr>
          <w:jc w:val="center"/>
        </w:trPr>
        <w:tc>
          <w:tcPr>
            <w:tcW w:w="4939" w:type="dxa"/>
            <w:vAlign w:val="center"/>
          </w:tcPr>
          <w:p w14:paraId="17724E9F" w14:textId="1A5A88F2" w:rsidR="00E0626C" w:rsidRPr="007353FF" w:rsidRDefault="00E0626C" w:rsidP="009A2BA0">
            <w:pPr>
              <w:pStyle w:val="ChartHeading"/>
              <w:jc w:val="both"/>
            </w:pPr>
            <w:bookmarkStart w:id="0" w:name="_Hlk12804578"/>
            <w:r w:rsidRPr="007353FF">
              <w:rPr>
                <w:rFonts w:hint="eastAsia"/>
              </w:rPr>
              <w:lastRenderedPageBreak/>
              <w:t>图表</w:t>
            </w:r>
            <w:r w:rsidRPr="007353FF">
              <w:t xml:space="preserve">. </w:t>
            </w:r>
            <w:r w:rsidRPr="007353FF">
              <w:rPr>
                <w:rFonts w:hint="eastAsia"/>
              </w:rPr>
              <w:t>央行公开市场</w:t>
            </w:r>
            <w:r w:rsidR="00065B19" w:rsidRPr="007353FF">
              <w:rPr>
                <w:rFonts w:hint="eastAsia"/>
              </w:rPr>
              <w:t>逆回购</w:t>
            </w:r>
            <w:r w:rsidRPr="007353FF">
              <w:rPr>
                <w:rFonts w:hint="eastAsia"/>
              </w:rPr>
              <w:t>操作</w:t>
            </w:r>
          </w:p>
        </w:tc>
        <w:tc>
          <w:tcPr>
            <w:tcW w:w="4938" w:type="dxa"/>
            <w:vAlign w:val="center"/>
          </w:tcPr>
          <w:p w14:paraId="173ED7B2" w14:textId="65A78209" w:rsidR="00E0626C" w:rsidRPr="007353FF" w:rsidRDefault="00E0626C" w:rsidP="009A2BA0">
            <w:pPr>
              <w:pStyle w:val="ChartHeading"/>
              <w:jc w:val="both"/>
            </w:pPr>
            <w:r w:rsidRPr="007353FF">
              <w:rPr>
                <w:rFonts w:hint="eastAsia"/>
              </w:rPr>
              <w:t>图表</w:t>
            </w:r>
            <w:r w:rsidRPr="007353FF">
              <w:t xml:space="preserve">. </w:t>
            </w:r>
            <w:r w:rsidRPr="007353FF">
              <w:rPr>
                <w:rFonts w:hint="eastAsia"/>
              </w:rPr>
              <w:t>DR</w:t>
            </w:r>
            <w:r w:rsidRPr="007353FF">
              <w:t>007</w:t>
            </w:r>
            <w:r w:rsidRPr="007353FF">
              <w:rPr>
                <w:rFonts w:hint="eastAsia"/>
              </w:rPr>
              <w:t>与</w:t>
            </w:r>
            <w:r w:rsidRPr="007353FF">
              <w:rPr>
                <w:rFonts w:hint="eastAsia"/>
              </w:rPr>
              <w:t>R</w:t>
            </w:r>
            <w:r w:rsidRPr="007353FF">
              <w:t>007</w:t>
            </w:r>
            <w:r w:rsidRPr="007353FF">
              <w:rPr>
                <w:rFonts w:hint="eastAsia"/>
              </w:rPr>
              <w:t>走势</w:t>
            </w:r>
          </w:p>
        </w:tc>
      </w:tr>
      <w:tr w:rsidR="00E0626C" w:rsidRPr="007353FF" w14:paraId="794C3731" w14:textId="77777777" w:rsidTr="007353FF">
        <w:tblPrEx>
          <w:tblCellMar>
            <w:left w:w="108" w:type="dxa"/>
            <w:right w:w="108" w:type="dxa"/>
          </w:tblCellMar>
        </w:tblPrEx>
        <w:trPr>
          <w:jc w:val="center"/>
        </w:trPr>
        <w:tc>
          <w:tcPr>
            <w:tcW w:w="4939" w:type="dxa"/>
            <w:vAlign w:val="center"/>
          </w:tcPr>
          <w:p w14:paraId="60AEAEDC" w14:textId="7429EF2D" w:rsidR="00E0626C" w:rsidRPr="007353FF" w:rsidRDefault="007353FF" w:rsidP="009A2BA0">
            <w:pPr>
              <w:jc w:val="center"/>
              <w:rPr>
                <w:noProof/>
                <w:sz w:val="20"/>
              </w:rPr>
            </w:pPr>
            <w:r w:rsidRPr="007353FF">
              <w:rPr>
                <w:noProof/>
              </w:rPr>
              <w:drawing>
                <wp:inline distT="0" distB="0" distL="0" distR="0" wp14:anchorId="07C997FF" wp14:editId="5BD8D4D9">
                  <wp:extent cx="2999105" cy="1795780"/>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3E1D4B89" w:rsidR="00E0626C" w:rsidRPr="007353FF" w:rsidRDefault="007353FF" w:rsidP="009A2BA0">
            <w:pPr>
              <w:jc w:val="center"/>
              <w:rPr>
                <w:noProof/>
                <w:sz w:val="14"/>
                <w:szCs w:val="14"/>
              </w:rPr>
            </w:pPr>
            <w:r w:rsidRPr="007353FF">
              <w:rPr>
                <w:noProof/>
              </w:rPr>
              <w:drawing>
                <wp:inline distT="0" distB="0" distL="0" distR="0" wp14:anchorId="04E79B25" wp14:editId="44377BC9">
                  <wp:extent cx="2998470" cy="1879600"/>
                  <wp:effectExtent l="0" t="0" r="0" b="635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65AD67B-44D2-401D-8331-4848B52F05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59562A2C" w14:textId="77777777" w:rsidTr="005671F6">
        <w:trPr>
          <w:trHeight w:val="64"/>
          <w:jc w:val="center"/>
        </w:trPr>
        <w:tc>
          <w:tcPr>
            <w:tcW w:w="4939" w:type="dxa"/>
            <w:vAlign w:val="center"/>
          </w:tcPr>
          <w:p w14:paraId="7BEE3B66" w14:textId="77777777" w:rsidR="00E0626C" w:rsidRPr="007353FF" w:rsidRDefault="00E0626C" w:rsidP="009A2BA0">
            <w:pPr>
              <w:pStyle w:val="Source"/>
              <w:jc w:val="both"/>
              <w:rPr>
                <w:kern w:val="0"/>
              </w:rPr>
            </w:pPr>
            <w:r w:rsidRPr="007353FF">
              <w:rPr>
                <w:rFonts w:hint="eastAsia"/>
                <w:kern w:val="0"/>
              </w:rPr>
              <w:t>资料来源：万得，富</w:t>
            </w:r>
            <w:proofErr w:type="gramStart"/>
            <w:r w:rsidRPr="007353FF">
              <w:rPr>
                <w:rFonts w:hint="eastAsia"/>
                <w:kern w:val="0"/>
              </w:rPr>
              <w:t>荣基金</w:t>
            </w:r>
            <w:proofErr w:type="gramEnd"/>
          </w:p>
        </w:tc>
        <w:tc>
          <w:tcPr>
            <w:tcW w:w="4938" w:type="dxa"/>
            <w:vAlign w:val="center"/>
          </w:tcPr>
          <w:p w14:paraId="7D69A7C5" w14:textId="77777777" w:rsidR="00E0626C" w:rsidRPr="007353FF" w:rsidRDefault="00E0626C" w:rsidP="009A2BA0">
            <w:pPr>
              <w:pStyle w:val="Source"/>
              <w:jc w:val="both"/>
              <w:rPr>
                <w:kern w:val="0"/>
              </w:rPr>
            </w:pPr>
            <w:r w:rsidRPr="007353FF">
              <w:rPr>
                <w:rFonts w:hint="eastAsia"/>
                <w:kern w:val="0"/>
              </w:rPr>
              <w:t>资料来源：万得，富</w:t>
            </w:r>
            <w:proofErr w:type="gramStart"/>
            <w:r w:rsidRPr="007353FF">
              <w:rPr>
                <w:rFonts w:hint="eastAsia"/>
                <w:kern w:val="0"/>
              </w:rPr>
              <w:t>荣基金</w:t>
            </w:r>
            <w:proofErr w:type="gramEnd"/>
          </w:p>
        </w:tc>
      </w:tr>
      <w:bookmarkEnd w:id="0"/>
    </w:tbl>
    <w:p w14:paraId="599CD2B1" w14:textId="77777777" w:rsidR="00E0626C" w:rsidRPr="00500BB1" w:rsidRDefault="00E0626C" w:rsidP="009A2BA0">
      <w:pPr>
        <w:pStyle w:val="Body-text"/>
        <w:spacing w:after="0"/>
        <w:rPr>
          <w:highlight w:val="yellow"/>
          <w:lang w:eastAsia="zh-CN"/>
        </w:rPr>
      </w:pPr>
    </w:p>
    <w:p w14:paraId="704BC20A" w14:textId="65C0D621" w:rsidR="00E0626C" w:rsidRPr="00CD2B4D" w:rsidRDefault="00E0626C" w:rsidP="009A2BA0">
      <w:pPr>
        <w:pStyle w:val="Header2"/>
        <w:rPr>
          <w:rFonts w:eastAsia="PMingLiU"/>
          <w:sz w:val="28"/>
          <w:szCs w:val="21"/>
        </w:rPr>
      </w:pPr>
      <w:r w:rsidRPr="00CD2B4D">
        <w:rPr>
          <w:sz w:val="28"/>
          <w:szCs w:val="21"/>
          <w:lang w:eastAsia="zh-CN"/>
        </w:rPr>
        <w:t>2</w:t>
      </w:r>
      <w:r w:rsidRPr="00CD2B4D">
        <w:rPr>
          <w:rFonts w:hint="eastAsia"/>
          <w:sz w:val="28"/>
          <w:szCs w:val="21"/>
          <w:lang w:eastAsia="zh-CN"/>
        </w:rPr>
        <w:t>、</w:t>
      </w:r>
      <w:r w:rsidRPr="00CD2B4D">
        <w:rPr>
          <w:rFonts w:hint="eastAsia"/>
          <w:sz w:val="28"/>
          <w:szCs w:val="21"/>
        </w:rPr>
        <w:t>利率债</w:t>
      </w:r>
    </w:p>
    <w:p w14:paraId="33F356F9" w14:textId="7ED56829" w:rsidR="00A917BC" w:rsidRPr="00500BB1" w:rsidRDefault="0093645F" w:rsidP="00A917BC">
      <w:pPr>
        <w:pStyle w:val="Body-text"/>
        <w:spacing w:after="240"/>
        <w:ind w:firstLineChars="200" w:firstLine="480"/>
        <w:rPr>
          <w:rFonts w:ascii="华文楷体" w:hAnsi="华文楷体"/>
          <w:sz w:val="24"/>
          <w:szCs w:val="24"/>
          <w:highlight w:val="yellow"/>
          <w:lang w:eastAsia="zh-CN"/>
        </w:rPr>
      </w:pPr>
      <w:r w:rsidRPr="00CD2B4D">
        <w:rPr>
          <w:rFonts w:ascii="华文楷体" w:hAnsi="华文楷体" w:hint="eastAsia"/>
          <w:sz w:val="24"/>
          <w:szCs w:val="24"/>
          <w:lang w:eastAsia="zh-CN"/>
        </w:rPr>
        <w:t>利率债</w:t>
      </w:r>
      <w:r w:rsidR="0064451B" w:rsidRPr="00CD2B4D">
        <w:rPr>
          <w:rFonts w:ascii="华文楷体" w:hAnsi="华文楷体" w:hint="eastAsia"/>
          <w:sz w:val="24"/>
          <w:szCs w:val="24"/>
          <w:lang w:eastAsia="zh-CN"/>
        </w:rPr>
        <w:t>方面，</w:t>
      </w:r>
      <w:r w:rsidR="00CD2B4D" w:rsidRPr="00CD2B4D">
        <w:rPr>
          <w:rFonts w:ascii="华文楷体" w:hAnsi="华文楷体" w:hint="eastAsia"/>
          <w:sz w:val="24"/>
          <w:szCs w:val="24"/>
          <w:lang w:eastAsia="zh-CN"/>
        </w:rPr>
        <w:t>受南京疫情扩散、中美角力加剧、联储FOMC会议维持鸽派</w:t>
      </w:r>
      <w:r w:rsidR="004F3CD1" w:rsidRPr="00CD2B4D">
        <w:rPr>
          <w:rFonts w:ascii="华文楷体" w:hAnsi="华文楷体" w:hint="eastAsia"/>
          <w:sz w:val="24"/>
          <w:szCs w:val="24"/>
          <w:lang w:eastAsia="zh-CN"/>
        </w:rPr>
        <w:t>影响，市场短期情绪仍维持相对高位</w:t>
      </w:r>
      <w:r w:rsidR="006629A0" w:rsidRPr="00CD2B4D">
        <w:rPr>
          <w:rFonts w:ascii="华文楷体" w:hAnsi="华文楷体" w:hint="eastAsia"/>
          <w:sz w:val="24"/>
          <w:szCs w:val="24"/>
          <w:lang w:eastAsia="zh-CN"/>
        </w:rPr>
        <w:t>。</w:t>
      </w:r>
      <w:r w:rsidR="00692270" w:rsidRPr="00CD2B4D">
        <w:rPr>
          <w:rFonts w:ascii="华文楷体" w:hAnsi="华文楷体" w:hint="eastAsia"/>
          <w:sz w:val="24"/>
          <w:szCs w:val="24"/>
          <w:lang w:eastAsia="zh-CN"/>
        </w:rPr>
        <w:t>市场表现情况，国债10年和1Y期限利差在70.17BP，</w:t>
      </w:r>
      <w:proofErr w:type="gramStart"/>
      <w:r w:rsidR="00692270" w:rsidRPr="00CD2B4D">
        <w:rPr>
          <w:rFonts w:ascii="华文楷体" w:hAnsi="华文楷体" w:hint="eastAsia"/>
          <w:sz w:val="24"/>
          <w:szCs w:val="24"/>
          <w:lang w:eastAsia="zh-CN"/>
        </w:rPr>
        <w:t>国开债</w:t>
      </w:r>
      <w:proofErr w:type="gramEnd"/>
      <w:r w:rsidR="00692270" w:rsidRPr="00CD2B4D">
        <w:rPr>
          <w:rFonts w:ascii="华文楷体" w:hAnsi="华文楷体" w:hint="eastAsia"/>
          <w:sz w:val="24"/>
          <w:szCs w:val="24"/>
          <w:lang w:eastAsia="zh-CN"/>
        </w:rPr>
        <w:t>10Y与1Y利差在101.73BP。最终，10Y</w:t>
      </w:r>
      <w:r w:rsidR="00692270" w:rsidRPr="00692270">
        <w:rPr>
          <w:rFonts w:ascii="华文楷体" w:hAnsi="华文楷体" w:hint="eastAsia"/>
          <w:sz w:val="24"/>
          <w:szCs w:val="24"/>
          <w:lang w:eastAsia="zh-CN"/>
        </w:rPr>
        <w:t>国债下行7.71BP，10Y</w:t>
      </w:r>
      <w:proofErr w:type="gramStart"/>
      <w:r w:rsidR="00692270" w:rsidRPr="00692270">
        <w:rPr>
          <w:rFonts w:ascii="华文楷体" w:hAnsi="华文楷体" w:hint="eastAsia"/>
          <w:sz w:val="24"/>
          <w:szCs w:val="24"/>
          <w:lang w:eastAsia="zh-CN"/>
        </w:rPr>
        <w:t>国开债下行</w:t>
      </w:r>
      <w:proofErr w:type="gramEnd"/>
      <w:r w:rsidR="00692270" w:rsidRPr="00692270">
        <w:rPr>
          <w:rFonts w:ascii="华文楷体" w:hAnsi="华文楷体" w:hint="eastAsia"/>
          <w:sz w:val="24"/>
          <w:szCs w:val="24"/>
          <w:lang w:eastAsia="zh-CN"/>
        </w:rPr>
        <w:t>7.22BP，10Y</w:t>
      </w:r>
      <w:proofErr w:type="gramStart"/>
      <w:r w:rsidR="00692270" w:rsidRPr="00692270">
        <w:rPr>
          <w:rFonts w:ascii="华文楷体" w:hAnsi="华文楷体" w:hint="eastAsia"/>
          <w:sz w:val="24"/>
          <w:szCs w:val="24"/>
          <w:lang w:eastAsia="zh-CN"/>
        </w:rPr>
        <w:t>期限国开债</w:t>
      </w:r>
      <w:proofErr w:type="gramEnd"/>
      <w:r w:rsidR="00692270" w:rsidRPr="00692270">
        <w:rPr>
          <w:rFonts w:ascii="华文楷体" w:hAnsi="华文楷体" w:hint="eastAsia"/>
          <w:sz w:val="24"/>
          <w:szCs w:val="24"/>
          <w:lang w:eastAsia="zh-CN"/>
        </w:rPr>
        <w:t>和国债利</w:t>
      </w:r>
      <w:proofErr w:type="gramStart"/>
      <w:r w:rsidR="00692270" w:rsidRPr="00692270">
        <w:rPr>
          <w:rFonts w:ascii="华文楷体" w:hAnsi="华文楷体" w:hint="eastAsia"/>
          <w:sz w:val="24"/>
          <w:szCs w:val="24"/>
          <w:lang w:eastAsia="zh-CN"/>
        </w:rPr>
        <w:t>差维持</w:t>
      </w:r>
      <w:proofErr w:type="gramEnd"/>
      <w:r w:rsidR="00692270" w:rsidRPr="00692270">
        <w:rPr>
          <w:rFonts w:ascii="华文楷体" w:hAnsi="华文楷体" w:hint="eastAsia"/>
          <w:sz w:val="24"/>
          <w:szCs w:val="24"/>
          <w:lang w:eastAsia="zh-CN"/>
        </w:rPr>
        <w:t>在39.18BP。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B41E24">
        <w:tblPrEx>
          <w:tblCellMar>
            <w:left w:w="108" w:type="dxa"/>
            <w:right w:w="108" w:type="dxa"/>
          </w:tblCellMar>
        </w:tblPrEx>
        <w:trPr>
          <w:jc w:val="center"/>
        </w:trPr>
        <w:tc>
          <w:tcPr>
            <w:tcW w:w="4939" w:type="dxa"/>
            <w:vAlign w:val="center"/>
          </w:tcPr>
          <w:p w14:paraId="678C97B0" w14:textId="0B4D2DC1" w:rsidR="00E0626C" w:rsidRPr="00B41E24" w:rsidRDefault="00B41E24" w:rsidP="002104B2">
            <w:pPr>
              <w:rPr>
                <w:noProof/>
              </w:rPr>
            </w:pPr>
            <w:r w:rsidRPr="00B41E24">
              <w:rPr>
                <w:noProof/>
              </w:rPr>
              <w:drawing>
                <wp:inline distT="0" distB="0" distL="0" distR="0" wp14:anchorId="2AE10208" wp14:editId="74F17612">
                  <wp:extent cx="2999105" cy="1763395"/>
                  <wp:effectExtent l="0" t="0" r="10795" b="8255"/>
                  <wp:docPr id="21" name="图表 2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320DE283" w:rsidR="00E0626C" w:rsidRPr="00B41E24" w:rsidRDefault="00B41E24" w:rsidP="009A2BA0">
            <w:pPr>
              <w:jc w:val="center"/>
              <w:rPr>
                <w:noProof/>
                <w:szCs w:val="18"/>
              </w:rPr>
            </w:pPr>
            <w:r w:rsidRPr="00B41E24">
              <w:rPr>
                <w:noProof/>
              </w:rPr>
              <w:drawing>
                <wp:inline distT="0" distB="0" distL="0" distR="0" wp14:anchorId="59B79833" wp14:editId="04240571">
                  <wp:extent cx="2998470" cy="1798955"/>
                  <wp:effectExtent l="0" t="0" r="11430" b="0"/>
                  <wp:docPr id="22" name="图表 2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E4EE34E-5F51-4008-A3D7-B74375136BA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1E64B73D" w14:textId="1D9B94CF" w:rsidR="00E0626C" w:rsidRPr="00500BB1" w:rsidRDefault="00E0626C" w:rsidP="009A2BA0">
      <w:pPr>
        <w:pStyle w:val="Body-text"/>
        <w:spacing w:after="0"/>
        <w:rPr>
          <w:highlight w:val="yellow"/>
          <w:lang w:eastAsia="zh-CN"/>
        </w:rPr>
      </w:pPr>
    </w:p>
    <w:p w14:paraId="18D67482" w14:textId="3EDA3EA7" w:rsidR="00E0626C" w:rsidRPr="00CD2B4D" w:rsidRDefault="00E0626C" w:rsidP="009A2BA0">
      <w:pPr>
        <w:pStyle w:val="Header2"/>
        <w:rPr>
          <w:rFonts w:eastAsia="PMingLiU"/>
          <w:sz w:val="28"/>
          <w:szCs w:val="21"/>
        </w:rPr>
      </w:pPr>
      <w:r w:rsidRPr="00CD2B4D">
        <w:rPr>
          <w:sz w:val="28"/>
          <w:szCs w:val="21"/>
          <w:lang w:eastAsia="zh-CN"/>
        </w:rPr>
        <w:t>3</w:t>
      </w:r>
      <w:r w:rsidRPr="00CD2B4D">
        <w:rPr>
          <w:rFonts w:hint="eastAsia"/>
          <w:sz w:val="28"/>
          <w:szCs w:val="21"/>
          <w:lang w:eastAsia="zh-CN"/>
        </w:rPr>
        <w:t>、</w:t>
      </w:r>
      <w:r w:rsidRPr="00CD2B4D">
        <w:rPr>
          <w:rFonts w:hint="eastAsia"/>
          <w:sz w:val="28"/>
          <w:szCs w:val="21"/>
        </w:rPr>
        <w:t>信用债</w:t>
      </w:r>
    </w:p>
    <w:p w14:paraId="33FDD8BC" w14:textId="0588B539" w:rsidR="00D97370" w:rsidRPr="00F10CFD" w:rsidRDefault="00305223" w:rsidP="00B41E24">
      <w:pPr>
        <w:pStyle w:val="Body-text"/>
        <w:spacing w:after="240"/>
        <w:ind w:firstLineChars="200" w:firstLine="480"/>
        <w:rPr>
          <w:rFonts w:ascii="华文楷体" w:hAnsi="华文楷体"/>
          <w:color w:val="FF0000"/>
          <w:sz w:val="24"/>
          <w:szCs w:val="24"/>
          <w:highlight w:val="yellow"/>
          <w:lang w:eastAsia="zh-CN"/>
        </w:rPr>
      </w:pPr>
      <w:r w:rsidRPr="00C47E25">
        <w:rPr>
          <w:rFonts w:ascii="华文楷体" w:hAnsi="华文楷体" w:hint="eastAsia"/>
          <w:sz w:val="24"/>
          <w:szCs w:val="24"/>
          <w:lang w:eastAsia="zh-CN"/>
        </w:rPr>
        <w:t>信用债</w:t>
      </w:r>
      <w:r w:rsidR="003F59A9" w:rsidRPr="00C47E25">
        <w:rPr>
          <w:rFonts w:ascii="华文楷体" w:hAnsi="华文楷体" w:hint="eastAsia"/>
          <w:sz w:val="24"/>
          <w:szCs w:val="24"/>
          <w:lang w:eastAsia="zh-CN"/>
        </w:rPr>
        <w:t>方面，</w:t>
      </w:r>
      <w:r w:rsidR="00C47E25" w:rsidRPr="00C47E25">
        <w:rPr>
          <w:rFonts w:ascii="华文楷体" w:hAnsi="华文楷体" w:hint="eastAsia"/>
          <w:sz w:val="24"/>
          <w:szCs w:val="24"/>
          <w:lang w:eastAsia="zh-CN"/>
        </w:rPr>
        <w:t>各</w:t>
      </w:r>
      <w:r w:rsidR="00522436" w:rsidRPr="00C47E25">
        <w:rPr>
          <w:rFonts w:ascii="华文楷体" w:hAnsi="华文楷体" w:hint="eastAsia"/>
          <w:sz w:val="24"/>
          <w:szCs w:val="24"/>
          <w:lang w:eastAsia="zh-CN"/>
        </w:rPr>
        <w:t>期限品种</w:t>
      </w:r>
      <w:r w:rsidR="00D14130" w:rsidRPr="00C47E25">
        <w:rPr>
          <w:rFonts w:ascii="华文楷体" w:hAnsi="华文楷体" w:hint="eastAsia"/>
          <w:sz w:val="24"/>
          <w:szCs w:val="24"/>
          <w:lang w:eastAsia="zh-CN"/>
        </w:rPr>
        <w:t>收益率</w:t>
      </w:r>
      <w:r w:rsidR="00CD2B4D" w:rsidRPr="00C47E25">
        <w:rPr>
          <w:rFonts w:ascii="华文楷体" w:hAnsi="华文楷体" w:hint="eastAsia"/>
          <w:sz w:val="24"/>
          <w:szCs w:val="24"/>
          <w:lang w:eastAsia="zh-CN"/>
        </w:rPr>
        <w:t>大多</w:t>
      </w:r>
      <w:r w:rsidR="00EC722C" w:rsidRPr="00C47E25">
        <w:rPr>
          <w:rFonts w:ascii="华文楷体" w:hAnsi="华文楷体" w:hint="eastAsia"/>
          <w:sz w:val="24"/>
          <w:szCs w:val="24"/>
          <w:lang w:eastAsia="zh-CN"/>
        </w:rPr>
        <w:t>下行</w:t>
      </w:r>
      <w:r w:rsidR="002E0C5D" w:rsidRPr="00C47E25">
        <w:rPr>
          <w:rFonts w:ascii="华文楷体" w:hAnsi="华文楷体" w:hint="eastAsia"/>
          <w:sz w:val="24"/>
          <w:szCs w:val="24"/>
          <w:lang w:eastAsia="zh-CN"/>
        </w:rPr>
        <w:t>，</w:t>
      </w:r>
      <w:r w:rsidR="00C47E25" w:rsidRPr="00C47E25">
        <w:rPr>
          <w:rFonts w:ascii="华文楷体" w:hAnsi="华文楷体" w:hint="eastAsia"/>
          <w:sz w:val="24"/>
          <w:szCs w:val="24"/>
          <w:lang w:eastAsia="zh-CN"/>
        </w:rPr>
        <w:t>3Y企业债表现突出，但整体信用利差边际有所回升</w:t>
      </w:r>
      <w:r w:rsidR="008011F8" w:rsidRPr="00C47E25">
        <w:rPr>
          <w:rFonts w:ascii="华文楷体" w:hAnsi="华文楷体" w:hint="eastAsia"/>
          <w:sz w:val="24"/>
          <w:szCs w:val="24"/>
          <w:lang w:eastAsia="zh-CN"/>
        </w:rPr>
        <w:t>。</w:t>
      </w:r>
      <w:r w:rsidR="00B41E24" w:rsidRPr="00C47E25">
        <w:rPr>
          <w:rFonts w:ascii="华文楷体" w:hAnsi="华文楷体" w:hint="eastAsia"/>
          <w:sz w:val="24"/>
          <w:szCs w:val="24"/>
          <w:lang w:eastAsia="zh-CN"/>
        </w:rPr>
        <w:t>1Y期限</w:t>
      </w:r>
      <w:proofErr w:type="gramStart"/>
      <w:r w:rsidR="00B41E24" w:rsidRPr="00C47E25">
        <w:rPr>
          <w:rFonts w:ascii="华文楷体" w:hAnsi="华文楷体" w:hint="eastAsia"/>
          <w:sz w:val="24"/>
          <w:szCs w:val="24"/>
          <w:lang w:eastAsia="zh-CN"/>
        </w:rPr>
        <w:t>短融变化</w:t>
      </w:r>
      <w:proofErr w:type="gramEnd"/>
      <w:r w:rsidR="00B41E24" w:rsidRPr="00C47E25">
        <w:rPr>
          <w:rFonts w:ascii="华文楷体" w:hAnsi="华文楷体" w:hint="eastAsia"/>
          <w:sz w:val="24"/>
          <w:szCs w:val="24"/>
          <w:lang w:eastAsia="zh-CN"/>
        </w:rPr>
        <w:t>-1~4BP，3年AAA企业债</w:t>
      </w:r>
      <w:r w:rsidR="00E3002E" w:rsidRPr="00C47E25">
        <w:rPr>
          <w:rFonts w:ascii="华文楷体" w:hAnsi="华文楷体" w:hint="eastAsia"/>
          <w:sz w:val="24"/>
          <w:szCs w:val="24"/>
          <w:lang w:eastAsia="zh-CN"/>
        </w:rPr>
        <w:t>下行3</w:t>
      </w:r>
      <w:r w:rsidR="00B41E24" w:rsidRPr="00C47E25">
        <w:rPr>
          <w:rFonts w:ascii="华文楷体" w:hAnsi="华文楷体" w:hint="eastAsia"/>
          <w:sz w:val="24"/>
          <w:szCs w:val="24"/>
          <w:lang w:eastAsia="zh-CN"/>
        </w:rPr>
        <w:t>~</w:t>
      </w:r>
      <w:r w:rsidR="00E3002E" w:rsidRPr="00C47E25">
        <w:rPr>
          <w:rFonts w:ascii="华文楷体" w:hAnsi="华文楷体"/>
          <w:sz w:val="24"/>
          <w:szCs w:val="24"/>
          <w:lang w:eastAsia="zh-CN"/>
        </w:rPr>
        <w:t>5</w:t>
      </w:r>
      <w:r w:rsidR="00B41E24" w:rsidRPr="00C47E25">
        <w:rPr>
          <w:rFonts w:ascii="华文楷体" w:hAnsi="华文楷体" w:hint="eastAsia"/>
          <w:sz w:val="24"/>
          <w:szCs w:val="24"/>
          <w:lang w:eastAsia="zh-CN"/>
        </w:rPr>
        <w:t>BP，5Y企业债</w:t>
      </w:r>
      <w:r w:rsidR="00E3002E" w:rsidRPr="00C47E25">
        <w:rPr>
          <w:rFonts w:ascii="华文楷体" w:hAnsi="华文楷体" w:hint="eastAsia"/>
          <w:sz w:val="24"/>
          <w:szCs w:val="24"/>
          <w:lang w:eastAsia="zh-CN"/>
        </w:rPr>
        <w:t>下行</w:t>
      </w:r>
      <w:r w:rsidR="00E3002E" w:rsidRPr="00C47E25">
        <w:rPr>
          <w:rFonts w:ascii="华文楷体" w:hAnsi="华文楷体"/>
          <w:sz w:val="24"/>
          <w:szCs w:val="24"/>
          <w:lang w:eastAsia="zh-CN"/>
        </w:rPr>
        <w:t>1</w:t>
      </w:r>
      <w:r w:rsidR="00E3002E" w:rsidRPr="00C47E25">
        <w:rPr>
          <w:rFonts w:ascii="华文楷体" w:hAnsi="华文楷体" w:hint="eastAsia"/>
          <w:sz w:val="24"/>
          <w:szCs w:val="24"/>
          <w:lang w:eastAsia="zh-CN"/>
        </w:rPr>
        <w:t>~</w:t>
      </w:r>
      <w:r w:rsidR="00E3002E" w:rsidRPr="00C47E25">
        <w:rPr>
          <w:rFonts w:ascii="华文楷体" w:hAnsi="华文楷体"/>
          <w:sz w:val="24"/>
          <w:szCs w:val="24"/>
          <w:lang w:eastAsia="zh-CN"/>
        </w:rPr>
        <w:t>3</w:t>
      </w:r>
      <w:r w:rsidR="00B41E24" w:rsidRPr="00C47E25">
        <w:rPr>
          <w:rFonts w:ascii="华文楷体" w:hAnsi="华文楷体" w:hint="eastAsia"/>
          <w:sz w:val="24"/>
          <w:szCs w:val="24"/>
          <w:lang w:eastAsia="zh-CN"/>
        </w:rPr>
        <w:t xml:space="preserve">BP左右， </w:t>
      </w:r>
      <w:proofErr w:type="gramStart"/>
      <w:r w:rsidR="00B41E24" w:rsidRPr="00C47E25">
        <w:rPr>
          <w:rFonts w:ascii="华文楷体" w:hAnsi="华文楷体" w:hint="eastAsia"/>
          <w:sz w:val="24"/>
          <w:szCs w:val="24"/>
          <w:lang w:eastAsia="zh-CN"/>
        </w:rPr>
        <w:t>城投债</w:t>
      </w:r>
      <w:proofErr w:type="gramEnd"/>
      <w:r w:rsidR="00B41E24" w:rsidRPr="00C47E25">
        <w:rPr>
          <w:rFonts w:ascii="华文楷体" w:hAnsi="华文楷体" w:hint="eastAsia"/>
          <w:sz w:val="24"/>
          <w:szCs w:val="24"/>
          <w:lang w:eastAsia="zh-CN"/>
        </w:rPr>
        <w:t>3Y</w:t>
      </w:r>
      <w:r w:rsidR="00B41E24" w:rsidRPr="00B41E24">
        <w:rPr>
          <w:rFonts w:ascii="华文楷体" w:hAnsi="华文楷体" w:hint="eastAsia"/>
          <w:sz w:val="24"/>
          <w:szCs w:val="24"/>
          <w:lang w:eastAsia="zh-CN"/>
        </w:rPr>
        <w:t>期限品种</w:t>
      </w:r>
      <w:r w:rsidR="00E3002E">
        <w:rPr>
          <w:rFonts w:ascii="华文楷体" w:hAnsi="华文楷体" w:hint="eastAsia"/>
          <w:sz w:val="24"/>
          <w:szCs w:val="24"/>
          <w:lang w:eastAsia="zh-CN"/>
        </w:rPr>
        <w:t>下行</w:t>
      </w:r>
      <w:r w:rsidR="00E3002E">
        <w:rPr>
          <w:rFonts w:ascii="华文楷体" w:hAnsi="华文楷体"/>
          <w:sz w:val="24"/>
          <w:szCs w:val="24"/>
          <w:lang w:eastAsia="zh-CN"/>
        </w:rPr>
        <w:t>0</w:t>
      </w:r>
      <w:r w:rsidR="00E3002E" w:rsidRPr="00B41E24">
        <w:rPr>
          <w:rFonts w:ascii="华文楷体" w:hAnsi="华文楷体" w:hint="eastAsia"/>
          <w:sz w:val="24"/>
          <w:szCs w:val="24"/>
          <w:lang w:eastAsia="zh-CN"/>
        </w:rPr>
        <w:t>~</w:t>
      </w:r>
      <w:r w:rsidR="00E3002E">
        <w:rPr>
          <w:rFonts w:ascii="华文楷体" w:hAnsi="华文楷体"/>
          <w:sz w:val="24"/>
          <w:szCs w:val="24"/>
          <w:lang w:eastAsia="zh-CN"/>
        </w:rPr>
        <w:t>5</w:t>
      </w:r>
      <w:r w:rsidR="00B41E24" w:rsidRPr="00B41E24">
        <w:rPr>
          <w:rFonts w:ascii="华文楷体" w:hAnsi="华文楷体" w:hint="eastAsia"/>
          <w:sz w:val="24"/>
          <w:szCs w:val="24"/>
          <w:lang w:eastAsia="zh-CN"/>
        </w:rPr>
        <w:t>BP，5Y品种变化-4~1BP，7Y品种变化</w:t>
      </w:r>
      <w:r w:rsidR="00E3002E">
        <w:rPr>
          <w:rFonts w:ascii="华文楷体" w:hAnsi="华文楷体" w:hint="eastAsia"/>
          <w:sz w:val="24"/>
          <w:szCs w:val="24"/>
          <w:lang w:eastAsia="zh-CN"/>
        </w:rPr>
        <w:t>下行</w:t>
      </w:r>
      <w:r w:rsidR="00E3002E">
        <w:rPr>
          <w:rFonts w:ascii="华文楷体" w:hAnsi="华文楷体"/>
          <w:sz w:val="24"/>
          <w:szCs w:val="24"/>
          <w:lang w:eastAsia="zh-CN"/>
        </w:rPr>
        <w:t>6</w:t>
      </w:r>
      <w:r w:rsidR="00E3002E" w:rsidRPr="00B41E24">
        <w:rPr>
          <w:rFonts w:ascii="华文楷体" w:hAnsi="华文楷体" w:hint="eastAsia"/>
          <w:sz w:val="24"/>
          <w:szCs w:val="24"/>
          <w:lang w:eastAsia="zh-CN"/>
        </w:rPr>
        <w:t>~</w:t>
      </w:r>
      <w:r w:rsidR="00E3002E">
        <w:rPr>
          <w:rFonts w:ascii="华文楷体" w:hAnsi="华文楷体"/>
          <w:sz w:val="24"/>
          <w:szCs w:val="24"/>
          <w:lang w:eastAsia="zh-CN"/>
        </w:rPr>
        <w:t>9</w:t>
      </w:r>
      <w:r w:rsidR="00B41E24" w:rsidRPr="00B41E24">
        <w:rPr>
          <w:rFonts w:ascii="华文楷体" w:hAnsi="华文楷体" w:hint="eastAsia"/>
          <w:sz w:val="24"/>
          <w:szCs w:val="24"/>
          <w:lang w:eastAsia="zh-CN"/>
        </w:rPr>
        <w:t>BP左右。具体来看收益率分位数，1Y品种收益率分位数在9%~13%以内；3Y品种收益率分位数在6%~10%区间。5Y及7Y等中长期</w:t>
      </w:r>
      <w:proofErr w:type="gramStart"/>
      <w:r w:rsidR="00B41E24" w:rsidRPr="00B41E24">
        <w:rPr>
          <w:rFonts w:ascii="华文楷体" w:hAnsi="华文楷体" w:hint="eastAsia"/>
          <w:sz w:val="24"/>
          <w:szCs w:val="24"/>
          <w:lang w:eastAsia="zh-CN"/>
        </w:rPr>
        <w:t>限品种</w:t>
      </w:r>
      <w:proofErr w:type="gramEnd"/>
      <w:r w:rsidR="00B41E24" w:rsidRPr="00B41E24">
        <w:rPr>
          <w:rFonts w:ascii="华文楷体" w:hAnsi="华文楷体" w:hint="eastAsia"/>
          <w:sz w:val="24"/>
          <w:szCs w:val="24"/>
          <w:lang w:eastAsia="zh-CN"/>
        </w:rPr>
        <w:t>处于3%~8%分位数。</w:t>
      </w:r>
      <w:r w:rsidR="00B41E24" w:rsidRPr="00B41E24">
        <w:rPr>
          <w:rFonts w:ascii="华文楷体" w:hAnsi="华文楷体" w:hint="eastAsia"/>
          <w:sz w:val="24"/>
          <w:szCs w:val="24"/>
          <w:lang w:eastAsia="zh-CN"/>
        </w:rPr>
        <w:tab/>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lastRenderedPageBreak/>
              <w:t>图表</w:t>
            </w:r>
            <w:r w:rsidRPr="00B41E24">
              <w:t xml:space="preserve">. </w:t>
            </w:r>
            <w:r w:rsidR="00F966B6" w:rsidRPr="00B41E24">
              <w:rPr>
                <w:rFonts w:hint="eastAsia"/>
              </w:rPr>
              <w:t>信用债收益率、利差变化情况</w:t>
            </w:r>
          </w:p>
        </w:tc>
      </w:tr>
      <w:tr w:rsidR="00E0626C" w:rsidRPr="00B41E24" w14:paraId="1114B583" w14:textId="77777777" w:rsidTr="00522436">
        <w:tblPrEx>
          <w:tblCellMar>
            <w:left w:w="108" w:type="dxa"/>
            <w:right w:w="108" w:type="dxa"/>
          </w:tblCellMar>
        </w:tblPrEx>
        <w:trPr>
          <w:trHeight w:val="3671"/>
          <w:jc w:val="center"/>
        </w:trPr>
        <w:tc>
          <w:tcPr>
            <w:tcW w:w="9713" w:type="dxa"/>
            <w:vAlign w:val="center"/>
          </w:tcPr>
          <w:tbl>
            <w:tblPr>
              <w:tblW w:w="9638" w:type="dxa"/>
              <w:tblLook w:val="04A0" w:firstRow="1" w:lastRow="0" w:firstColumn="1" w:lastColumn="0" w:noHBand="0" w:noVBand="1"/>
            </w:tblPr>
            <w:tblGrid>
              <w:gridCol w:w="1130"/>
              <w:gridCol w:w="919"/>
              <w:gridCol w:w="920"/>
              <w:gridCol w:w="920"/>
              <w:gridCol w:w="920"/>
              <w:gridCol w:w="1149"/>
              <w:gridCol w:w="920"/>
              <w:gridCol w:w="920"/>
              <w:gridCol w:w="920"/>
              <w:gridCol w:w="920"/>
            </w:tblGrid>
            <w:tr w:rsidR="00B41E24" w:rsidRPr="00B41E24" w14:paraId="15070232" w14:textId="77777777" w:rsidTr="00B41E24">
              <w:trPr>
                <w:trHeight w:val="310"/>
              </w:trPr>
              <w:tc>
                <w:tcPr>
                  <w:tcW w:w="1130" w:type="dxa"/>
                  <w:tcBorders>
                    <w:top w:val="nil"/>
                    <w:left w:val="nil"/>
                    <w:bottom w:val="single" w:sz="12" w:space="0" w:color="FFFFFF"/>
                    <w:right w:val="single" w:sz="8" w:space="0" w:color="FFFFFF"/>
                  </w:tcBorders>
                  <w:shd w:val="clear" w:color="000000" w:fill="F79646"/>
                  <w:noWrap/>
                  <w:vAlign w:val="center"/>
                  <w:hideMark/>
                </w:tcPr>
                <w:p w14:paraId="413AFE14" w14:textId="02EDA4B4"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收益率(%)</w:t>
                  </w:r>
                </w:p>
              </w:tc>
              <w:tc>
                <w:tcPr>
                  <w:tcW w:w="919" w:type="dxa"/>
                  <w:tcBorders>
                    <w:top w:val="nil"/>
                    <w:left w:val="nil"/>
                    <w:bottom w:val="single" w:sz="12" w:space="0" w:color="FFFFFF"/>
                    <w:right w:val="single" w:sz="8" w:space="0" w:color="FFFFFF"/>
                  </w:tcBorders>
                  <w:shd w:val="clear" w:color="000000" w:fill="F79646"/>
                  <w:noWrap/>
                  <w:vAlign w:val="center"/>
                  <w:hideMark/>
                </w:tcPr>
                <w:p w14:paraId="0F3218AA" w14:textId="77928D44"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FE8EB9B" w14:textId="2B4D3660"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5A35579" w14:textId="45703E52"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12FDB1" w14:textId="5550A0C9"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19B3728" w14:textId="3F5D66B2"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A9FDAC9" w14:textId="22F7C213"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1994889" w14:textId="5E63E537"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0805862" w14:textId="4CB39B75"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6CB6C50" w14:textId="70D83AFB"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r>
            <w:tr w:rsidR="00B41E24" w:rsidRPr="00B41E24" w14:paraId="759A3C98" w14:textId="77777777" w:rsidTr="00B41E24">
              <w:trPr>
                <w:trHeight w:val="321"/>
              </w:trPr>
              <w:tc>
                <w:tcPr>
                  <w:tcW w:w="1130" w:type="dxa"/>
                  <w:tcBorders>
                    <w:top w:val="nil"/>
                    <w:left w:val="nil"/>
                    <w:bottom w:val="single" w:sz="8" w:space="0" w:color="FFFFFF"/>
                    <w:right w:val="single" w:sz="8" w:space="0" w:color="FFFFFF"/>
                  </w:tcBorders>
                  <w:shd w:val="clear" w:color="000000" w:fill="FCD5B4"/>
                  <w:noWrap/>
                  <w:vAlign w:val="center"/>
                  <w:hideMark/>
                </w:tcPr>
                <w:p w14:paraId="48EBF66E" w14:textId="00701138"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1F59B1A1" w14:textId="55FDE72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2.70 </w:t>
                  </w:r>
                </w:p>
              </w:tc>
              <w:tc>
                <w:tcPr>
                  <w:tcW w:w="920" w:type="dxa"/>
                  <w:tcBorders>
                    <w:top w:val="nil"/>
                    <w:left w:val="nil"/>
                    <w:bottom w:val="single" w:sz="8" w:space="0" w:color="FFFFFF"/>
                    <w:right w:val="single" w:sz="8" w:space="0" w:color="FFFFFF"/>
                  </w:tcBorders>
                  <w:shd w:val="clear" w:color="000000" w:fill="FCD5B4"/>
                  <w:noWrap/>
                  <w:vAlign w:val="center"/>
                  <w:hideMark/>
                </w:tcPr>
                <w:p w14:paraId="4F0034E5" w14:textId="7C2B318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2.80 </w:t>
                  </w:r>
                </w:p>
              </w:tc>
              <w:tc>
                <w:tcPr>
                  <w:tcW w:w="920" w:type="dxa"/>
                  <w:tcBorders>
                    <w:top w:val="nil"/>
                    <w:left w:val="nil"/>
                    <w:bottom w:val="single" w:sz="8" w:space="0" w:color="FFFFFF"/>
                    <w:right w:val="single" w:sz="8" w:space="0" w:color="FFFFFF"/>
                  </w:tcBorders>
                  <w:shd w:val="clear" w:color="000000" w:fill="FCD5B4"/>
                  <w:noWrap/>
                  <w:vAlign w:val="center"/>
                  <w:hideMark/>
                </w:tcPr>
                <w:p w14:paraId="55FA1300" w14:textId="421E442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3.06 </w:t>
                  </w:r>
                </w:p>
              </w:tc>
              <w:tc>
                <w:tcPr>
                  <w:tcW w:w="920" w:type="dxa"/>
                  <w:tcBorders>
                    <w:top w:val="nil"/>
                    <w:left w:val="nil"/>
                    <w:bottom w:val="single" w:sz="8" w:space="0" w:color="FFFFFF"/>
                    <w:right w:val="single" w:sz="8" w:space="0" w:color="FFFFFF"/>
                  </w:tcBorders>
                  <w:shd w:val="clear" w:color="000000" w:fill="FCD5B4"/>
                  <w:noWrap/>
                  <w:vAlign w:val="center"/>
                  <w:hideMark/>
                </w:tcPr>
                <w:p w14:paraId="75B7D0B9" w14:textId="3FE311A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5.29 </w:t>
                  </w:r>
                </w:p>
              </w:tc>
              <w:tc>
                <w:tcPr>
                  <w:tcW w:w="1149" w:type="dxa"/>
                  <w:tcBorders>
                    <w:top w:val="nil"/>
                    <w:left w:val="nil"/>
                    <w:bottom w:val="single" w:sz="8" w:space="0" w:color="FFFFFF"/>
                    <w:right w:val="single" w:sz="8" w:space="0" w:color="FFFFFF"/>
                  </w:tcBorders>
                  <w:shd w:val="clear" w:color="000000" w:fill="FCD5B4"/>
                  <w:noWrap/>
                  <w:vAlign w:val="center"/>
                  <w:hideMark/>
                </w:tcPr>
                <w:p w14:paraId="27CF2E5D" w14:textId="2A391A11"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23261A7" w14:textId="6B0AE31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0.56 </w:t>
                  </w:r>
                </w:p>
              </w:tc>
              <w:tc>
                <w:tcPr>
                  <w:tcW w:w="920" w:type="dxa"/>
                  <w:tcBorders>
                    <w:top w:val="nil"/>
                    <w:left w:val="nil"/>
                    <w:bottom w:val="single" w:sz="8" w:space="0" w:color="FFFFFF"/>
                    <w:right w:val="single" w:sz="8" w:space="0" w:color="FFFFFF"/>
                  </w:tcBorders>
                  <w:shd w:val="clear" w:color="000000" w:fill="FCD5B4"/>
                  <w:noWrap/>
                  <w:vAlign w:val="center"/>
                  <w:hideMark/>
                </w:tcPr>
                <w:p w14:paraId="71D92286" w14:textId="2DEF118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0.67 </w:t>
                  </w:r>
                </w:p>
              </w:tc>
              <w:tc>
                <w:tcPr>
                  <w:tcW w:w="920" w:type="dxa"/>
                  <w:tcBorders>
                    <w:top w:val="nil"/>
                    <w:left w:val="nil"/>
                    <w:bottom w:val="single" w:sz="8" w:space="0" w:color="FFFFFF"/>
                    <w:right w:val="single" w:sz="8" w:space="0" w:color="FFFFFF"/>
                  </w:tcBorders>
                  <w:shd w:val="clear" w:color="000000" w:fill="FCD5B4"/>
                  <w:noWrap/>
                  <w:vAlign w:val="center"/>
                  <w:hideMark/>
                </w:tcPr>
                <w:p w14:paraId="320E6D3C" w14:textId="31DC0CE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0.93 </w:t>
                  </w:r>
                </w:p>
              </w:tc>
              <w:tc>
                <w:tcPr>
                  <w:tcW w:w="920" w:type="dxa"/>
                  <w:tcBorders>
                    <w:top w:val="nil"/>
                    <w:left w:val="nil"/>
                    <w:bottom w:val="single" w:sz="8" w:space="0" w:color="FFFFFF"/>
                    <w:right w:val="single" w:sz="8" w:space="0" w:color="FFFFFF"/>
                  </w:tcBorders>
                  <w:shd w:val="clear" w:color="000000" w:fill="FCD5B4"/>
                  <w:noWrap/>
                  <w:vAlign w:val="center"/>
                  <w:hideMark/>
                </w:tcPr>
                <w:p w14:paraId="6E8168B1" w14:textId="216F640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3.16 </w:t>
                  </w:r>
                </w:p>
              </w:tc>
            </w:tr>
            <w:tr w:rsidR="00B41E24" w:rsidRPr="00B41E24" w14:paraId="3A66D0A6"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39137B72" w14:textId="748D5247"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3B73915E" w14:textId="79C894D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3.09 </w:t>
                  </w:r>
                </w:p>
              </w:tc>
              <w:tc>
                <w:tcPr>
                  <w:tcW w:w="920" w:type="dxa"/>
                  <w:tcBorders>
                    <w:top w:val="nil"/>
                    <w:left w:val="nil"/>
                    <w:bottom w:val="single" w:sz="8" w:space="0" w:color="FFFFFF"/>
                    <w:right w:val="single" w:sz="8" w:space="0" w:color="FFFFFF"/>
                  </w:tcBorders>
                  <w:shd w:val="clear" w:color="000000" w:fill="FDE9D9"/>
                  <w:noWrap/>
                  <w:vAlign w:val="center"/>
                  <w:hideMark/>
                </w:tcPr>
                <w:p w14:paraId="5B9C8B87" w14:textId="464D2AE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3.22 </w:t>
                  </w:r>
                </w:p>
              </w:tc>
              <w:tc>
                <w:tcPr>
                  <w:tcW w:w="920" w:type="dxa"/>
                  <w:tcBorders>
                    <w:top w:val="nil"/>
                    <w:left w:val="nil"/>
                    <w:bottom w:val="single" w:sz="8" w:space="0" w:color="FFFFFF"/>
                    <w:right w:val="single" w:sz="8" w:space="0" w:color="FFFFFF"/>
                  </w:tcBorders>
                  <w:shd w:val="clear" w:color="000000" w:fill="FDE9D9"/>
                  <w:noWrap/>
                  <w:vAlign w:val="center"/>
                  <w:hideMark/>
                </w:tcPr>
                <w:p w14:paraId="1FA1A5B8" w14:textId="10AE514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3.71 </w:t>
                  </w:r>
                </w:p>
              </w:tc>
              <w:tc>
                <w:tcPr>
                  <w:tcW w:w="920" w:type="dxa"/>
                  <w:tcBorders>
                    <w:top w:val="nil"/>
                    <w:left w:val="nil"/>
                    <w:bottom w:val="single" w:sz="8" w:space="0" w:color="FFFFFF"/>
                    <w:right w:val="single" w:sz="8" w:space="0" w:color="FFFFFF"/>
                  </w:tcBorders>
                  <w:shd w:val="clear" w:color="000000" w:fill="FDE9D9"/>
                  <w:noWrap/>
                  <w:vAlign w:val="center"/>
                  <w:hideMark/>
                </w:tcPr>
                <w:p w14:paraId="175F37FF" w14:textId="49D4FF3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5.93 </w:t>
                  </w:r>
                </w:p>
              </w:tc>
              <w:tc>
                <w:tcPr>
                  <w:tcW w:w="1149" w:type="dxa"/>
                  <w:tcBorders>
                    <w:top w:val="nil"/>
                    <w:left w:val="nil"/>
                    <w:bottom w:val="single" w:sz="8" w:space="0" w:color="FFFFFF"/>
                    <w:right w:val="single" w:sz="8" w:space="0" w:color="FFFFFF"/>
                  </w:tcBorders>
                  <w:shd w:val="clear" w:color="000000" w:fill="FDE9D9"/>
                  <w:noWrap/>
                  <w:vAlign w:val="center"/>
                  <w:hideMark/>
                </w:tcPr>
                <w:p w14:paraId="3AF3F54C" w14:textId="0689437B"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C163F46" w14:textId="0BECB19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0.55 </w:t>
                  </w:r>
                </w:p>
              </w:tc>
              <w:tc>
                <w:tcPr>
                  <w:tcW w:w="920" w:type="dxa"/>
                  <w:tcBorders>
                    <w:top w:val="nil"/>
                    <w:left w:val="nil"/>
                    <w:bottom w:val="single" w:sz="8" w:space="0" w:color="FFFFFF"/>
                    <w:right w:val="single" w:sz="8" w:space="0" w:color="FFFFFF"/>
                  </w:tcBorders>
                  <w:shd w:val="clear" w:color="000000" w:fill="FDE9D9"/>
                  <w:noWrap/>
                  <w:vAlign w:val="center"/>
                  <w:hideMark/>
                </w:tcPr>
                <w:p w14:paraId="3C863207" w14:textId="4B339A2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0.68 </w:t>
                  </w:r>
                </w:p>
              </w:tc>
              <w:tc>
                <w:tcPr>
                  <w:tcW w:w="920" w:type="dxa"/>
                  <w:tcBorders>
                    <w:top w:val="nil"/>
                    <w:left w:val="nil"/>
                    <w:bottom w:val="single" w:sz="8" w:space="0" w:color="FFFFFF"/>
                    <w:right w:val="single" w:sz="8" w:space="0" w:color="FFFFFF"/>
                  </w:tcBorders>
                  <w:shd w:val="clear" w:color="000000" w:fill="FDE9D9"/>
                  <w:noWrap/>
                  <w:vAlign w:val="center"/>
                  <w:hideMark/>
                </w:tcPr>
                <w:p w14:paraId="033A08F8" w14:textId="4844C42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1.17 </w:t>
                  </w:r>
                </w:p>
              </w:tc>
              <w:tc>
                <w:tcPr>
                  <w:tcW w:w="920" w:type="dxa"/>
                  <w:tcBorders>
                    <w:top w:val="nil"/>
                    <w:left w:val="nil"/>
                    <w:bottom w:val="single" w:sz="8" w:space="0" w:color="FFFFFF"/>
                    <w:right w:val="single" w:sz="8" w:space="0" w:color="FFFFFF"/>
                  </w:tcBorders>
                  <w:shd w:val="clear" w:color="000000" w:fill="FDE9D9"/>
                  <w:noWrap/>
                  <w:vAlign w:val="center"/>
                  <w:hideMark/>
                </w:tcPr>
                <w:p w14:paraId="6476BE13" w14:textId="7BB28A4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3.39 </w:t>
                  </w:r>
                </w:p>
              </w:tc>
            </w:tr>
            <w:tr w:rsidR="00B41E24" w:rsidRPr="00B41E24" w14:paraId="1D6AAB92"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155F3072" w14:textId="08966142"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7FD24B78" w14:textId="6DD6EA0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3.36 </w:t>
                  </w:r>
                </w:p>
              </w:tc>
              <w:tc>
                <w:tcPr>
                  <w:tcW w:w="920" w:type="dxa"/>
                  <w:tcBorders>
                    <w:top w:val="nil"/>
                    <w:left w:val="nil"/>
                    <w:bottom w:val="single" w:sz="8" w:space="0" w:color="FFFFFF"/>
                    <w:right w:val="single" w:sz="8" w:space="0" w:color="FFFFFF"/>
                  </w:tcBorders>
                  <w:shd w:val="clear" w:color="000000" w:fill="FCD5B4"/>
                  <w:noWrap/>
                  <w:vAlign w:val="center"/>
                  <w:hideMark/>
                </w:tcPr>
                <w:p w14:paraId="41A6346D" w14:textId="1B50D54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3.56 </w:t>
                  </w:r>
                </w:p>
              </w:tc>
              <w:tc>
                <w:tcPr>
                  <w:tcW w:w="920" w:type="dxa"/>
                  <w:tcBorders>
                    <w:top w:val="nil"/>
                    <w:left w:val="nil"/>
                    <w:bottom w:val="single" w:sz="8" w:space="0" w:color="FFFFFF"/>
                    <w:right w:val="single" w:sz="8" w:space="0" w:color="FFFFFF"/>
                  </w:tcBorders>
                  <w:shd w:val="clear" w:color="000000" w:fill="FCD5B4"/>
                  <w:noWrap/>
                  <w:vAlign w:val="center"/>
                  <w:hideMark/>
                </w:tcPr>
                <w:p w14:paraId="203620ED" w14:textId="7783FA9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4.17 </w:t>
                  </w:r>
                </w:p>
              </w:tc>
              <w:tc>
                <w:tcPr>
                  <w:tcW w:w="920" w:type="dxa"/>
                  <w:tcBorders>
                    <w:top w:val="nil"/>
                    <w:left w:val="nil"/>
                    <w:bottom w:val="single" w:sz="8" w:space="0" w:color="FFFFFF"/>
                    <w:right w:val="single" w:sz="8" w:space="0" w:color="FFFFFF"/>
                  </w:tcBorders>
                  <w:shd w:val="clear" w:color="000000" w:fill="FCD5B4"/>
                  <w:noWrap/>
                  <w:vAlign w:val="center"/>
                  <w:hideMark/>
                </w:tcPr>
                <w:p w14:paraId="5799EA14" w14:textId="035028C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6.39 </w:t>
                  </w:r>
                </w:p>
              </w:tc>
              <w:tc>
                <w:tcPr>
                  <w:tcW w:w="1149" w:type="dxa"/>
                  <w:tcBorders>
                    <w:top w:val="nil"/>
                    <w:left w:val="nil"/>
                    <w:bottom w:val="single" w:sz="8" w:space="0" w:color="FFFFFF"/>
                    <w:right w:val="single" w:sz="8" w:space="0" w:color="FFFFFF"/>
                  </w:tcBorders>
                  <w:shd w:val="clear" w:color="000000" w:fill="FCD5B4"/>
                  <w:noWrap/>
                  <w:vAlign w:val="center"/>
                  <w:hideMark/>
                </w:tcPr>
                <w:p w14:paraId="46B5F421" w14:textId="5AC05249"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D638149" w14:textId="675952A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0.68 </w:t>
                  </w:r>
                </w:p>
              </w:tc>
              <w:tc>
                <w:tcPr>
                  <w:tcW w:w="920" w:type="dxa"/>
                  <w:tcBorders>
                    <w:top w:val="nil"/>
                    <w:left w:val="nil"/>
                    <w:bottom w:val="single" w:sz="8" w:space="0" w:color="FFFFFF"/>
                    <w:right w:val="single" w:sz="8" w:space="0" w:color="FFFFFF"/>
                  </w:tcBorders>
                  <w:shd w:val="clear" w:color="000000" w:fill="FCD5B4"/>
                  <w:noWrap/>
                  <w:vAlign w:val="center"/>
                  <w:hideMark/>
                </w:tcPr>
                <w:p w14:paraId="7D63AB8D" w14:textId="022F14D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0.87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93ED9" w14:textId="3146F53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1.48 </w:t>
                  </w:r>
                </w:p>
              </w:tc>
              <w:tc>
                <w:tcPr>
                  <w:tcW w:w="920" w:type="dxa"/>
                  <w:tcBorders>
                    <w:top w:val="nil"/>
                    <w:left w:val="nil"/>
                    <w:bottom w:val="single" w:sz="8" w:space="0" w:color="FFFFFF"/>
                    <w:right w:val="single" w:sz="8" w:space="0" w:color="FFFFFF"/>
                  </w:tcBorders>
                  <w:shd w:val="clear" w:color="000000" w:fill="FCD5B4"/>
                  <w:noWrap/>
                  <w:vAlign w:val="center"/>
                  <w:hideMark/>
                </w:tcPr>
                <w:p w14:paraId="24AD0A23" w14:textId="57CD0DD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3.70 </w:t>
                  </w:r>
                </w:p>
              </w:tc>
            </w:tr>
            <w:tr w:rsidR="00B41E24" w:rsidRPr="00B41E24" w14:paraId="3DB9FAE2"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2044C520" w14:textId="597F417C"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094B223D" w14:textId="59C5F34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3.05 </w:t>
                  </w:r>
                </w:p>
              </w:tc>
              <w:tc>
                <w:tcPr>
                  <w:tcW w:w="920" w:type="dxa"/>
                  <w:tcBorders>
                    <w:top w:val="nil"/>
                    <w:left w:val="nil"/>
                    <w:bottom w:val="single" w:sz="8" w:space="0" w:color="FFFFFF"/>
                    <w:right w:val="single" w:sz="8" w:space="0" w:color="FFFFFF"/>
                  </w:tcBorders>
                  <w:shd w:val="clear" w:color="000000" w:fill="FDE9D9"/>
                  <w:noWrap/>
                  <w:vAlign w:val="center"/>
                  <w:hideMark/>
                </w:tcPr>
                <w:p w14:paraId="226D27D3" w14:textId="39A9FB2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3.24 </w:t>
                  </w:r>
                </w:p>
              </w:tc>
              <w:tc>
                <w:tcPr>
                  <w:tcW w:w="920" w:type="dxa"/>
                  <w:tcBorders>
                    <w:top w:val="nil"/>
                    <w:left w:val="nil"/>
                    <w:bottom w:val="single" w:sz="8" w:space="0" w:color="FFFFFF"/>
                    <w:right w:val="single" w:sz="8" w:space="0" w:color="FFFFFF"/>
                  </w:tcBorders>
                  <w:shd w:val="clear" w:color="000000" w:fill="FDE9D9"/>
                  <w:noWrap/>
                  <w:vAlign w:val="center"/>
                  <w:hideMark/>
                </w:tcPr>
                <w:p w14:paraId="509D7CD4" w14:textId="4E85201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3.75 </w:t>
                  </w:r>
                </w:p>
              </w:tc>
              <w:tc>
                <w:tcPr>
                  <w:tcW w:w="920" w:type="dxa"/>
                  <w:tcBorders>
                    <w:top w:val="nil"/>
                    <w:left w:val="nil"/>
                    <w:bottom w:val="single" w:sz="8" w:space="0" w:color="FFFFFF"/>
                    <w:right w:val="single" w:sz="8" w:space="0" w:color="FFFFFF"/>
                  </w:tcBorders>
                  <w:shd w:val="clear" w:color="000000" w:fill="FDE9D9"/>
                  <w:noWrap/>
                  <w:vAlign w:val="center"/>
                  <w:hideMark/>
                </w:tcPr>
                <w:p w14:paraId="44CAAD2D" w14:textId="1909742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6.03 </w:t>
                  </w:r>
                </w:p>
              </w:tc>
              <w:tc>
                <w:tcPr>
                  <w:tcW w:w="1149" w:type="dxa"/>
                  <w:tcBorders>
                    <w:top w:val="nil"/>
                    <w:left w:val="nil"/>
                    <w:bottom w:val="single" w:sz="8" w:space="0" w:color="FFFFFF"/>
                    <w:right w:val="single" w:sz="8" w:space="0" w:color="FFFFFF"/>
                  </w:tcBorders>
                  <w:shd w:val="clear" w:color="000000" w:fill="FDE9D9"/>
                  <w:noWrap/>
                  <w:vAlign w:val="center"/>
                  <w:hideMark/>
                </w:tcPr>
                <w:p w14:paraId="2E628139" w14:textId="74099E7D"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043470" w14:textId="41A0815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0.51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C602B" w14:textId="38367D6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0.70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1FCED" w14:textId="463ECB6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1.21 </w:t>
                  </w:r>
                </w:p>
              </w:tc>
              <w:tc>
                <w:tcPr>
                  <w:tcW w:w="920" w:type="dxa"/>
                  <w:tcBorders>
                    <w:top w:val="nil"/>
                    <w:left w:val="nil"/>
                    <w:bottom w:val="single" w:sz="8" w:space="0" w:color="FFFFFF"/>
                    <w:right w:val="single" w:sz="8" w:space="0" w:color="FFFFFF"/>
                  </w:tcBorders>
                  <w:shd w:val="clear" w:color="000000" w:fill="FDE9D9"/>
                  <w:noWrap/>
                  <w:vAlign w:val="center"/>
                  <w:hideMark/>
                </w:tcPr>
                <w:p w14:paraId="62B10FDA" w14:textId="3502C47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3.49 </w:t>
                  </w:r>
                </w:p>
              </w:tc>
            </w:tr>
            <w:tr w:rsidR="00B41E24" w:rsidRPr="00B41E24" w14:paraId="6E6959B5"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22DA7E07" w14:textId="40BF8B7E"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3321A8C9" w14:textId="1E54030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3.33 </w:t>
                  </w:r>
                </w:p>
              </w:tc>
              <w:tc>
                <w:tcPr>
                  <w:tcW w:w="920" w:type="dxa"/>
                  <w:tcBorders>
                    <w:top w:val="nil"/>
                    <w:left w:val="nil"/>
                    <w:bottom w:val="single" w:sz="8" w:space="0" w:color="FFFFFF"/>
                    <w:right w:val="single" w:sz="8" w:space="0" w:color="FFFFFF"/>
                  </w:tcBorders>
                  <w:shd w:val="clear" w:color="000000" w:fill="FCD5B4"/>
                  <w:noWrap/>
                  <w:vAlign w:val="center"/>
                  <w:hideMark/>
                </w:tcPr>
                <w:p w14:paraId="2D55037C" w14:textId="0808228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3.57 </w:t>
                  </w:r>
                </w:p>
              </w:tc>
              <w:tc>
                <w:tcPr>
                  <w:tcW w:w="920" w:type="dxa"/>
                  <w:tcBorders>
                    <w:top w:val="nil"/>
                    <w:left w:val="nil"/>
                    <w:bottom w:val="single" w:sz="8" w:space="0" w:color="FFFFFF"/>
                    <w:right w:val="single" w:sz="8" w:space="0" w:color="FFFFFF"/>
                  </w:tcBorders>
                  <w:shd w:val="clear" w:color="000000" w:fill="FCD5B4"/>
                  <w:noWrap/>
                  <w:vAlign w:val="center"/>
                  <w:hideMark/>
                </w:tcPr>
                <w:p w14:paraId="31736512" w14:textId="28C561F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4.22 </w:t>
                  </w:r>
                </w:p>
              </w:tc>
              <w:tc>
                <w:tcPr>
                  <w:tcW w:w="920" w:type="dxa"/>
                  <w:tcBorders>
                    <w:top w:val="nil"/>
                    <w:left w:val="nil"/>
                    <w:bottom w:val="single" w:sz="8" w:space="0" w:color="FFFFFF"/>
                    <w:right w:val="single" w:sz="8" w:space="0" w:color="FFFFFF"/>
                  </w:tcBorders>
                  <w:shd w:val="clear" w:color="000000" w:fill="FCD5B4"/>
                  <w:noWrap/>
                  <w:vAlign w:val="center"/>
                  <w:hideMark/>
                </w:tcPr>
                <w:p w14:paraId="32F91FC8" w14:textId="5B2B71B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6.50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4516FF" w14:textId="109801F6"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FF838" w14:textId="59396B6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0.65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27668" w14:textId="6465AF7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0.89 </w:t>
                  </w:r>
                </w:p>
              </w:tc>
              <w:tc>
                <w:tcPr>
                  <w:tcW w:w="920" w:type="dxa"/>
                  <w:tcBorders>
                    <w:top w:val="nil"/>
                    <w:left w:val="nil"/>
                    <w:bottom w:val="single" w:sz="8" w:space="0" w:color="FFFFFF"/>
                    <w:right w:val="single" w:sz="8" w:space="0" w:color="FFFFFF"/>
                  </w:tcBorders>
                  <w:shd w:val="clear" w:color="000000" w:fill="FCD5B4"/>
                  <w:noWrap/>
                  <w:vAlign w:val="center"/>
                  <w:hideMark/>
                </w:tcPr>
                <w:p w14:paraId="3FF52323" w14:textId="6BF5E27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1.54 </w:t>
                  </w:r>
                </w:p>
              </w:tc>
              <w:tc>
                <w:tcPr>
                  <w:tcW w:w="920" w:type="dxa"/>
                  <w:tcBorders>
                    <w:top w:val="nil"/>
                    <w:left w:val="nil"/>
                    <w:bottom w:val="single" w:sz="8" w:space="0" w:color="FFFFFF"/>
                    <w:right w:val="single" w:sz="8" w:space="0" w:color="FFFFFF"/>
                  </w:tcBorders>
                  <w:shd w:val="clear" w:color="000000" w:fill="FCD5B4"/>
                  <w:noWrap/>
                  <w:vAlign w:val="center"/>
                  <w:hideMark/>
                </w:tcPr>
                <w:p w14:paraId="3A51C7C3" w14:textId="5E39B48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3.82 </w:t>
                  </w:r>
                </w:p>
              </w:tc>
            </w:tr>
            <w:tr w:rsidR="00B41E24" w:rsidRPr="00B41E24" w14:paraId="10282E85"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5AA354BC" w14:textId="2BA5D662"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46F6A45C" w14:textId="63F321E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3.58 </w:t>
                  </w:r>
                </w:p>
              </w:tc>
              <w:tc>
                <w:tcPr>
                  <w:tcW w:w="920" w:type="dxa"/>
                  <w:tcBorders>
                    <w:top w:val="nil"/>
                    <w:left w:val="nil"/>
                    <w:bottom w:val="single" w:sz="8" w:space="0" w:color="FFFFFF"/>
                    <w:right w:val="single" w:sz="8" w:space="0" w:color="FFFFFF"/>
                  </w:tcBorders>
                  <w:shd w:val="clear" w:color="000000" w:fill="FDE9D9"/>
                  <w:noWrap/>
                  <w:vAlign w:val="center"/>
                  <w:hideMark/>
                </w:tcPr>
                <w:p w14:paraId="7F0C451E" w14:textId="2AD0A3D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3.82 </w:t>
                  </w:r>
                </w:p>
              </w:tc>
              <w:tc>
                <w:tcPr>
                  <w:tcW w:w="920" w:type="dxa"/>
                  <w:tcBorders>
                    <w:top w:val="nil"/>
                    <w:left w:val="nil"/>
                    <w:bottom w:val="single" w:sz="8" w:space="0" w:color="FFFFFF"/>
                    <w:right w:val="single" w:sz="8" w:space="0" w:color="FFFFFF"/>
                  </w:tcBorders>
                  <w:shd w:val="clear" w:color="000000" w:fill="FDE9D9"/>
                  <w:noWrap/>
                  <w:vAlign w:val="center"/>
                  <w:hideMark/>
                </w:tcPr>
                <w:p w14:paraId="14C49F17" w14:textId="7A499E5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4.47 </w:t>
                  </w:r>
                </w:p>
              </w:tc>
              <w:tc>
                <w:tcPr>
                  <w:tcW w:w="920" w:type="dxa"/>
                  <w:tcBorders>
                    <w:top w:val="nil"/>
                    <w:left w:val="nil"/>
                    <w:bottom w:val="single" w:sz="8" w:space="0" w:color="FFFFFF"/>
                    <w:right w:val="single" w:sz="8" w:space="0" w:color="FFFFFF"/>
                  </w:tcBorders>
                  <w:shd w:val="clear" w:color="000000" w:fill="FDE9D9"/>
                  <w:noWrap/>
                  <w:vAlign w:val="center"/>
                  <w:hideMark/>
                </w:tcPr>
                <w:p w14:paraId="5617ED53" w14:textId="6E88602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6.75 </w:t>
                  </w:r>
                </w:p>
              </w:tc>
              <w:tc>
                <w:tcPr>
                  <w:tcW w:w="1149" w:type="dxa"/>
                  <w:tcBorders>
                    <w:top w:val="nil"/>
                    <w:left w:val="nil"/>
                    <w:bottom w:val="single" w:sz="8" w:space="0" w:color="FFFFFF"/>
                    <w:right w:val="single" w:sz="8" w:space="0" w:color="FFFFFF"/>
                  </w:tcBorders>
                  <w:shd w:val="clear" w:color="000000" w:fill="FDE9D9"/>
                  <w:noWrap/>
                  <w:vAlign w:val="center"/>
                  <w:hideMark/>
                </w:tcPr>
                <w:p w14:paraId="6EF87D4A" w14:textId="4AC4DBB0"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DEB6E8D" w14:textId="38730AB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0.76 </w:t>
                  </w:r>
                </w:p>
              </w:tc>
              <w:tc>
                <w:tcPr>
                  <w:tcW w:w="920" w:type="dxa"/>
                  <w:tcBorders>
                    <w:top w:val="nil"/>
                    <w:left w:val="nil"/>
                    <w:bottom w:val="single" w:sz="8" w:space="0" w:color="FFFFFF"/>
                    <w:right w:val="single" w:sz="8" w:space="0" w:color="FFFFFF"/>
                  </w:tcBorders>
                  <w:shd w:val="clear" w:color="000000" w:fill="FDE9D9"/>
                  <w:noWrap/>
                  <w:vAlign w:val="center"/>
                  <w:hideMark/>
                </w:tcPr>
                <w:p w14:paraId="5BFCFC00" w14:textId="119DFA4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1.00 </w:t>
                  </w:r>
                </w:p>
              </w:tc>
              <w:tc>
                <w:tcPr>
                  <w:tcW w:w="920" w:type="dxa"/>
                  <w:tcBorders>
                    <w:top w:val="nil"/>
                    <w:left w:val="nil"/>
                    <w:bottom w:val="single" w:sz="8" w:space="0" w:color="FFFFFF"/>
                    <w:right w:val="single" w:sz="8" w:space="0" w:color="FFFFFF"/>
                  </w:tcBorders>
                  <w:shd w:val="clear" w:color="000000" w:fill="FDE9D9"/>
                  <w:noWrap/>
                  <w:vAlign w:val="center"/>
                  <w:hideMark/>
                </w:tcPr>
                <w:p w14:paraId="135C719B" w14:textId="7ABA600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1.65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F0679" w14:textId="2325C6B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3.93 </w:t>
                  </w:r>
                </w:p>
              </w:tc>
            </w:tr>
            <w:tr w:rsidR="00B41E24" w:rsidRPr="00B41E24" w14:paraId="4B34B1BF"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708D60A2" w14:textId="1DFC9DD1"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7AC10927" w14:textId="30C21AF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3.11 </w:t>
                  </w:r>
                </w:p>
              </w:tc>
              <w:tc>
                <w:tcPr>
                  <w:tcW w:w="920" w:type="dxa"/>
                  <w:tcBorders>
                    <w:top w:val="nil"/>
                    <w:left w:val="nil"/>
                    <w:bottom w:val="single" w:sz="8" w:space="0" w:color="FFFFFF"/>
                    <w:right w:val="single" w:sz="8" w:space="0" w:color="FFFFFF"/>
                  </w:tcBorders>
                  <w:shd w:val="clear" w:color="000000" w:fill="FCD5B4"/>
                  <w:noWrap/>
                  <w:vAlign w:val="center"/>
                  <w:hideMark/>
                </w:tcPr>
                <w:p w14:paraId="5A89295C" w14:textId="659C958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3.23 </w:t>
                  </w:r>
                </w:p>
              </w:tc>
              <w:tc>
                <w:tcPr>
                  <w:tcW w:w="920" w:type="dxa"/>
                  <w:tcBorders>
                    <w:top w:val="nil"/>
                    <w:left w:val="nil"/>
                    <w:bottom w:val="single" w:sz="8" w:space="0" w:color="FFFFFF"/>
                    <w:right w:val="single" w:sz="8" w:space="0" w:color="FFFFFF"/>
                  </w:tcBorders>
                  <w:shd w:val="clear" w:color="000000" w:fill="FCD5B4"/>
                  <w:noWrap/>
                  <w:vAlign w:val="center"/>
                  <w:hideMark/>
                </w:tcPr>
                <w:p w14:paraId="5B048291" w14:textId="6E56172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3.41 </w:t>
                  </w:r>
                </w:p>
              </w:tc>
              <w:tc>
                <w:tcPr>
                  <w:tcW w:w="920" w:type="dxa"/>
                  <w:tcBorders>
                    <w:top w:val="nil"/>
                    <w:left w:val="nil"/>
                    <w:bottom w:val="single" w:sz="8" w:space="0" w:color="FFFFFF"/>
                    <w:right w:val="single" w:sz="8" w:space="0" w:color="FFFFFF"/>
                  </w:tcBorders>
                  <w:shd w:val="clear" w:color="000000" w:fill="FCD5B4"/>
                  <w:noWrap/>
                  <w:vAlign w:val="center"/>
                  <w:hideMark/>
                </w:tcPr>
                <w:p w14:paraId="5711CDD7" w14:textId="2637E13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6.08 </w:t>
                  </w:r>
                </w:p>
              </w:tc>
              <w:tc>
                <w:tcPr>
                  <w:tcW w:w="1149" w:type="dxa"/>
                  <w:tcBorders>
                    <w:top w:val="nil"/>
                    <w:left w:val="nil"/>
                    <w:bottom w:val="single" w:sz="8" w:space="0" w:color="FFFFFF"/>
                    <w:right w:val="single" w:sz="8" w:space="0" w:color="FFFFFF"/>
                  </w:tcBorders>
                  <w:shd w:val="clear" w:color="000000" w:fill="FCD5B4"/>
                  <w:noWrap/>
                  <w:vAlign w:val="center"/>
                  <w:hideMark/>
                </w:tcPr>
                <w:p w14:paraId="611290CA" w14:textId="55A9D878"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0496D80" w14:textId="56573D4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0.58 </w:t>
                  </w:r>
                </w:p>
              </w:tc>
              <w:tc>
                <w:tcPr>
                  <w:tcW w:w="920" w:type="dxa"/>
                  <w:tcBorders>
                    <w:top w:val="nil"/>
                    <w:left w:val="nil"/>
                    <w:bottom w:val="single" w:sz="8" w:space="0" w:color="FFFFFF"/>
                    <w:right w:val="single" w:sz="8" w:space="0" w:color="FFFFFF"/>
                  </w:tcBorders>
                  <w:shd w:val="clear" w:color="000000" w:fill="FCD5B4"/>
                  <w:noWrap/>
                  <w:vAlign w:val="center"/>
                  <w:hideMark/>
                </w:tcPr>
                <w:p w14:paraId="3BFA925B" w14:textId="3904FD3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0.70 </w:t>
                  </w:r>
                </w:p>
              </w:tc>
              <w:tc>
                <w:tcPr>
                  <w:tcW w:w="920" w:type="dxa"/>
                  <w:tcBorders>
                    <w:top w:val="nil"/>
                    <w:left w:val="nil"/>
                    <w:bottom w:val="single" w:sz="8" w:space="0" w:color="FFFFFF"/>
                    <w:right w:val="single" w:sz="8" w:space="0" w:color="FFFFFF"/>
                  </w:tcBorders>
                  <w:shd w:val="clear" w:color="000000" w:fill="FCD5B4"/>
                  <w:noWrap/>
                  <w:vAlign w:val="center"/>
                  <w:hideMark/>
                </w:tcPr>
                <w:p w14:paraId="16CD7225" w14:textId="50DDFA4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0.87 </w:t>
                  </w:r>
                </w:p>
              </w:tc>
              <w:tc>
                <w:tcPr>
                  <w:tcW w:w="920" w:type="dxa"/>
                  <w:tcBorders>
                    <w:top w:val="nil"/>
                    <w:left w:val="nil"/>
                    <w:bottom w:val="single" w:sz="8" w:space="0" w:color="FFFFFF"/>
                    <w:right w:val="single" w:sz="8" w:space="0" w:color="FFFFFF"/>
                  </w:tcBorders>
                  <w:shd w:val="clear" w:color="000000" w:fill="FCD5B4"/>
                  <w:noWrap/>
                  <w:vAlign w:val="center"/>
                  <w:hideMark/>
                </w:tcPr>
                <w:p w14:paraId="62A0BB0C" w14:textId="70C74C9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3.54 </w:t>
                  </w:r>
                </w:p>
              </w:tc>
            </w:tr>
            <w:tr w:rsidR="00B41E24" w:rsidRPr="00B41E24" w14:paraId="410B429A"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3F93C5ED" w14:textId="363AEDDD"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231CF143" w14:textId="329E8F2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3.40 </w:t>
                  </w:r>
                </w:p>
              </w:tc>
              <w:tc>
                <w:tcPr>
                  <w:tcW w:w="920" w:type="dxa"/>
                  <w:tcBorders>
                    <w:top w:val="nil"/>
                    <w:left w:val="nil"/>
                    <w:bottom w:val="single" w:sz="8" w:space="0" w:color="FFFFFF"/>
                    <w:right w:val="single" w:sz="8" w:space="0" w:color="FFFFFF"/>
                  </w:tcBorders>
                  <w:shd w:val="clear" w:color="000000" w:fill="FDE9D9"/>
                  <w:noWrap/>
                  <w:vAlign w:val="center"/>
                  <w:hideMark/>
                </w:tcPr>
                <w:p w14:paraId="28605ADA" w14:textId="39CD477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3.56 </w:t>
                  </w:r>
                </w:p>
              </w:tc>
              <w:tc>
                <w:tcPr>
                  <w:tcW w:w="920" w:type="dxa"/>
                  <w:tcBorders>
                    <w:top w:val="nil"/>
                    <w:left w:val="nil"/>
                    <w:bottom w:val="single" w:sz="8" w:space="0" w:color="FFFFFF"/>
                    <w:right w:val="single" w:sz="8" w:space="0" w:color="FFFFFF"/>
                  </w:tcBorders>
                  <w:shd w:val="clear" w:color="000000" w:fill="FDE9D9"/>
                  <w:noWrap/>
                  <w:vAlign w:val="center"/>
                  <w:hideMark/>
                </w:tcPr>
                <w:p w14:paraId="138A29ED" w14:textId="425AD34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4.05 </w:t>
                  </w:r>
                </w:p>
              </w:tc>
              <w:tc>
                <w:tcPr>
                  <w:tcW w:w="920" w:type="dxa"/>
                  <w:tcBorders>
                    <w:top w:val="nil"/>
                    <w:left w:val="nil"/>
                    <w:bottom w:val="single" w:sz="8" w:space="0" w:color="FFFFFF"/>
                    <w:right w:val="single" w:sz="8" w:space="0" w:color="FFFFFF"/>
                  </w:tcBorders>
                  <w:shd w:val="clear" w:color="000000" w:fill="FDE9D9"/>
                  <w:noWrap/>
                  <w:vAlign w:val="center"/>
                  <w:hideMark/>
                </w:tcPr>
                <w:p w14:paraId="36771C93" w14:textId="1BDAF1F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7.00 </w:t>
                  </w:r>
                </w:p>
              </w:tc>
              <w:tc>
                <w:tcPr>
                  <w:tcW w:w="1149" w:type="dxa"/>
                  <w:tcBorders>
                    <w:top w:val="nil"/>
                    <w:left w:val="nil"/>
                    <w:bottom w:val="single" w:sz="8" w:space="0" w:color="FFFFFF"/>
                    <w:right w:val="single" w:sz="8" w:space="0" w:color="FFFFFF"/>
                  </w:tcBorders>
                  <w:shd w:val="clear" w:color="000000" w:fill="FDE9D9"/>
                  <w:noWrap/>
                  <w:vAlign w:val="center"/>
                  <w:hideMark/>
                </w:tcPr>
                <w:p w14:paraId="12900514" w14:textId="19B30DD0"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1F834B" w14:textId="0E99E58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0.71 </w:t>
                  </w:r>
                </w:p>
              </w:tc>
              <w:tc>
                <w:tcPr>
                  <w:tcW w:w="920" w:type="dxa"/>
                  <w:tcBorders>
                    <w:top w:val="nil"/>
                    <w:left w:val="nil"/>
                    <w:bottom w:val="single" w:sz="8" w:space="0" w:color="FFFFFF"/>
                    <w:right w:val="single" w:sz="8" w:space="0" w:color="FFFFFF"/>
                  </w:tcBorders>
                  <w:shd w:val="clear" w:color="000000" w:fill="FDE9D9"/>
                  <w:noWrap/>
                  <w:vAlign w:val="center"/>
                  <w:hideMark/>
                </w:tcPr>
                <w:p w14:paraId="65FCA278" w14:textId="769419A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0.87 </w:t>
                  </w:r>
                </w:p>
              </w:tc>
              <w:tc>
                <w:tcPr>
                  <w:tcW w:w="920" w:type="dxa"/>
                  <w:tcBorders>
                    <w:top w:val="nil"/>
                    <w:left w:val="nil"/>
                    <w:bottom w:val="single" w:sz="8" w:space="0" w:color="FFFFFF"/>
                    <w:right w:val="single" w:sz="8" w:space="0" w:color="FFFFFF"/>
                  </w:tcBorders>
                  <w:shd w:val="clear" w:color="000000" w:fill="FDE9D9"/>
                  <w:noWrap/>
                  <w:vAlign w:val="center"/>
                  <w:hideMark/>
                </w:tcPr>
                <w:p w14:paraId="27F1C7B6" w14:textId="5132A28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1.37 </w:t>
                  </w:r>
                </w:p>
              </w:tc>
              <w:tc>
                <w:tcPr>
                  <w:tcW w:w="920" w:type="dxa"/>
                  <w:tcBorders>
                    <w:top w:val="nil"/>
                    <w:left w:val="nil"/>
                    <w:bottom w:val="single" w:sz="8" w:space="0" w:color="FFFFFF"/>
                    <w:right w:val="single" w:sz="8" w:space="0" w:color="FFFFFF"/>
                  </w:tcBorders>
                  <w:shd w:val="clear" w:color="000000" w:fill="FDE9D9"/>
                  <w:noWrap/>
                  <w:vAlign w:val="center"/>
                  <w:hideMark/>
                </w:tcPr>
                <w:p w14:paraId="01875D19" w14:textId="7FB752F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4.32 </w:t>
                  </w:r>
                </w:p>
              </w:tc>
            </w:tr>
            <w:tr w:rsidR="00B41E24" w:rsidRPr="00B41E24" w14:paraId="3E035994" w14:textId="77777777" w:rsidTr="00B41E24">
              <w:trPr>
                <w:trHeight w:val="310"/>
              </w:trPr>
              <w:tc>
                <w:tcPr>
                  <w:tcW w:w="1130" w:type="dxa"/>
                  <w:tcBorders>
                    <w:top w:val="nil"/>
                    <w:left w:val="nil"/>
                    <w:bottom w:val="nil"/>
                    <w:right w:val="nil"/>
                  </w:tcBorders>
                  <w:shd w:val="clear" w:color="000000" w:fill="FCD5B4"/>
                  <w:noWrap/>
                  <w:vAlign w:val="center"/>
                  <w:hideMark/>
                </w:tcPr>
                <w:p w14:paraId="6806E277" w14:textId="5D93AB58"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6B2AD056" w14:textId="66BF60F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3.66 </w:t>
                  </w:r>
                </w:p>
              </w:tc>
              <w:tc>
                <w:tcPr>
                  <w:tcW w:w="920" w:type="dxa"/>
                  <w:tcBorders>
                    <w:top w:val="nil"/>
                    <w:left w:val="nil"/>
                    <w:bottom w:val="single" w:sz="8" w:space="0" w:color="FFFFFF"/>
                    <w:right w:val="single" w:sz="8" w:space="0" w:color="FFFFFF"/>
                  </w:tcBorders>
                  <w:shd w:val="clear" w:color="000000" w:fill="FCD5B4"/>
                  <w:noWrap/>
                  <w:vAlign w:val="center"/>
                  <w:hideMark/>
                </w:tcPr>
                <w:p w14:paraId="64875CAA" w14:textId="282E1E7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3.86 </w:t>
                  </w:r>
                </w:p>
              </w:tc>
              <w:tc>
                <w:tcPr>
                  <w:tcW w:w="920" w:type="dxa"/>
                  <w:tcBorders>
                    <w:top w:val="nil"/>
                    <w:left w:val="nil"/>
                    <w:bottom w:val="single" w:sz="8" w:space="0" w:color="FFFFFF"/>
                    <w:right w:val="single" w:sz="8" w:space="0" w:color="FFFFFF"/>
                  </w:tcBorders>
                  <w:shd w:val="clear" w:color="000000" w:fill="FCD5B4"/>
                  <w:noWrap/>
                  <w:vAlign w:val="center"/>
                  <w:hideMark/>
                </w:tcPr>
                <w:p w14:paraId="37FAD57A" w14:textId="16FF200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4.36 </w:t>
                  </w:r>
                </w:p>
              </w:tc>
              <w:tc>
                <w:tcPr>
                  <w:tcW w:w="920" w:type="dxa"/>
                  <w:tcBorders>
                    <w:top w:val="nil"/>
                    <w:left w:val="nil"/>
                    <w:bottom w:val="single" w:sz="8" w:space="0" w:color="FFFFFF"/>
                    <w:right w:val="single" w:sz="8" w:space="0" w:color="FFFFFF"/>
                  </w:tcBorders>
                  <w:shd w:val="clear" w:color="000000" w:fill="FCD5B4"/>
                  <w:noWrap/>
                  <w:vAlign w:val="center"/>
                  <w:hideMark/>
                </w:tcPr>
                <w:p w14:paraId="2CDC7C7E" w14:textId="4AE5709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7.33 </w:t>
                  </w:r>
                </w:p>
              </w:tc>
              <w:tc>
                <w:tcPr>
                  <w:tcW w:w="1149" w:type="dxa"/>
                  <w:tcBorders>
                    <w:top w:val="nil"/>
                    <w:left w:val="nil"/>
                    <w:bottom w:val="nil"/>
                    <w:right w:val="nil"/>
                  </w:tcBorders>
                  <w:shd w:val="clear" w:color="000000" w:fill="FCD5B4"/>
                  <w:noWrap/>
                  <w:vAlign w:val="center"/>
                  <w:hideMark/>
                </w:tcPr>
                <w:p w14:paraId="21A0B914" w14:textId="2E04AB92"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E8FCCC" w14:textId="469C468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0.83 </w:t>
                  </w:r>
                </w:p>
              </w:tc>
              <w:tc>
                <w:tcPr>
                  <w:tcW w:w="920" w:type="dxa"/>
                  <w:tcBorders>
                    <w:top w:val="nil"/>
                    <w:left w:val="nil"/>
                    <w:bottom w:val="single" w:sz="8" w:space="0" w:color="FFFFFF"/>
                    <w:right w:val="single" w:sz="8" w:space="0" w:color="FFFFFF"/>
                  </w:tcBorders>
                  <w:shd w:val="clear" w:color="000000" w:fill="FCD5B4"/>
                  <w:noWrap/>
                  <w:vAlign w:val="center"/>
                  <w:hideMark/>
                </w:tcPr>
                <w:p w14:paraId="5E36F15A" w14:textId="1622883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1.04 </w:t>
                  </w:r>
                </w:p>
              </w:tc>
              <w:tc>
                <w:tcPr>
                  <w:tcW w:w="920" w:type="dxa"/>
                  <w:tcBorders>
                    <w:top w:val="nil"/>
                    <w:left w:val="nil"/>
                    <w:bottom w:val="single" w:sz="8" w:space="0" w:color="FFFFFF"/>
                    <w:right w:val="single" w:sz="8" w:space="0" w:color="FFFFFF"/>
                  </w:tcBorders>
                  <w:shd w:val="clear" w:color="000000" w:fill="FCD5B4"/>
                  <w:noWrap/>
                  <w:vAlign w:val="center"/>
                  <w:hideMark/>
                </w:tcPr>
                <w:p w14:paraId="7CD60254" w14:textId="72EB4F1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1.54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43B4A" w14:textId="239D3DF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4.51 </w:t>
                  </w:r>
                </w:p>
              </w:tc>
            </w:tr>
            <w:tr w:rsidR="00522436" w:rsidRPr="00B41E24" w14:paraId="7406B1F6" w14:textId="77777777" w:rsidTr="00B41E24">
              <w:trPr>
                <w:trHeight w:val="160"/>
              </w:trPr>
              <w:tc>
                <w:tcPr>
                  <w:tcW w:w="1130" w:type="dxa"/>
                  <w:tcBorders>
                    <w:top w:val="nil"/>
                    <w:left w:val="nil"/>
                    <w:bottom w:val="nil"/>
                    <w:right w:val="nil"/>
                  </w:tcBorders>
                  <w:shd w:val="clear" w:color="auto" w:fill="auto"/>
                  <w:noWrap/>
                  <w:vAlign w:val="center"/>
                  <w:hideMark/>
                </w:tcPr>
                <w:p w14:paraId="2190587C" w14:textId="77777777" w:rsidR="00522436" w:rsidRPr="00B41E24" w:rsidRDefault="00522436" w:rsidP="00522436">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399F5F18"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20FF196"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8B3E77A"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8C400F3" w14:textId="77777777" w:rsidR="00522436" w:rsidRPr="00B41E24" w:rsidRDefault="00522436" w:rsidP="00522436">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326524A6"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6D3BBAE2"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77D745A"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2E56B1A"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64A8616" w14:textId="77777777" w:rsidR="00522436" w:rsidRPr="00B41E24" w:rsidRDefault="00522436" w:rsidP="00522436">
                  <w:pPr>
                    <w:widowControl/>
                    <w:jc w:val="center"/>
                    <w:rPr>
                      <w:rFonts w:ascii="Times New Roman" w:eastAsia="Times New Roman" w:hAnsi="Times New Roman"/>
                      <w:kern w:val="0"/>
                      <w:sz w:val="20"/>
                      <w:szCs w:val="20"/>
                    </w:rPr>
                  </w:pPr>
                </w:p>
              </w:tc>
            </w:tr>
            <w:tr w:rsidR="00B41E24" w:rsidRPr="00B41E24" w14:paraId="67AF4F87" w14:textId="77777777" w:rsidTr="00B41E24">
              <w:trPr>
                <w:trHeight w:val="310"/>
              </w:trPr>
              <w:tc>
                <w:tcPr>
                  <w:tcW w:w="1130" w:type="dxa"/>
                  <w:tcBorders>
                    <w:top w:val="nil"/>
                    <w:left w:val="nil"/>
                    <w:bottom w:val="single" w:sz="12" w:space="0" w:color="FFFFFF"/>
                    <w:right w:val="single" w:sz="8" w:space="0" w:color="FFFFFF"/>
                  </w:tcBorders>
                  <w:shd w:val="clear" w:color="000000" w:fill="F79646"/>
                  <w:noWrap/>
                  <w:vAlign w:val="center"/>
                  <w:hideMark/>
                </w:tcPr>
                <w:p w14:paraId="3FE61E82" w14:textId="6DFA11B6" w:rsidR="00B41E24" w:rsidRPr="00B41E24" w:rsidRDefault="00B41E24" w:rsidP="00B41E24">
                  <w:pPr>
                    <w:widowControl/>
                    <w:jc w:val="center"/>
                    <w:rPr>
                      <w:rFonts w:ascii="楷体" w:eastAsia="楷体" w:hAnsi="楷体" w:cs="宋体"/>
                      <w:b/>
                      <w:bCs/>
                      <w:color w:val="FFFFFF"/>
                      <w:kern w:val="0"/>
                      <w:sz w:val="20"/>
                      <w:szCs w:val="20"/>
                    </w:rPr>
                  </w:pPr>
                  <w:proofErr w:type="gramStart"/>
                  <w:r w:rsidRPr="00B41E24">
                    <w:rPr>
                      <w:rFonts w:ascii="楷体" w:eastAsia="楷体" w:hAnsi="楷体" w:hint="eastAsia"/>
                      <w:b/>
                      <w:bCs/>
                      <w:color w:val="FFFFFF"/>
                      <w:sz w:val="20"/>
                      <w:szCs w:val="20"/>
                    </w:rPr>
                    <w:t>周变化</w:t>
                  </w:r>
                  <w:proofErr w:type="gramEnd"/>
                  <w:r w:rsidRPr="00B41E24">
                    <w:rPr>
                      <w:rFonts w:ascii="楷体" w:eastAsia="楷体" w:hAnsi="楷体" w:hint="eastAsia"/>
                      <w:b/>
                      <w:bCs/>
                      <w:color w:val="FFFFFF"/>
                      <w:sz w:val="20"/>
                      <w:szCs w:val="20"/>
                    </w:rPr>
                    <w:t>(BP)</w:t>
                  </w:r>
                </w:p>
              </w:tc>
              <w:tc>
                <w:tcPr>
                  <w:tcW w:w="919" w:type="dxa"/>
                  <w:tcBorders>
                    <w:top w:val="nil"/>
                    <w:left w:val="nil"/>
                    <w:bottom w:val="single" w:sz="12" w:space="0" w:color="FFFFFF"/>
                    <w:right w:val="single" w:sz="8" w:space="0" w:color="FFFFFF"/>
                  </w:tcBorders>
                  <w:shd w:val="clear" w:color="000000" w:fill="F79646"/>
                  <w:noWrap/>
                  <w:vAlign w:val="center"/>
                  <w:hideMark/>
                </w:tcPr>
                <w:p w14:paraId="7A2D29AE" w14:textId="15DE3256"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A4EADA" w14:textId="4408C52A"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ED283BD" w14:textId="251C2E2F"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D14BBA3" w14:textId="231F30D1"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6F6F04C0" w14:textId="722B63E2"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11161DDB" w14:textId="75529016"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88427D0" w14:textId="5AD8B99A"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81475" w14:textId="27DF4DCC"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8358154" w14:textId="06876CAA"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r>
            <w:tr w:rsidR="00B41E24" w:rsidRPr="00B41E24" w14:paraId="691FA2FB" w14:textId="77777777" w:rsidTr="00B41E24">
              <w:trPr>
                <w:trHeight w:val="321"/>
              </w:trPr>
              <w:tc>
                <w:tcPr>
                  <w:tcW w:w="1130" w:type="dxa"/>
                  <w:tcBorders>
                    <w:top w:val="nil"/>
                    <w:left w:val="nil"/>
                    <w:bottom w:val="single" w:sz="8" w:space="0" w:color="FFFFFF"/>
                    <w:right w:val="single" w:sz="8" w:space="0" w:color="FFFFFF"/>
                  </w:tcBorders>
                  <w:shd w:val="clear" w:color="000000" w:fill="FCD5B4"/>
                  <w:noWrap/>
                  <w:vAlign w:val="center"/>
                  <w:hideMark/>
                </w:tcPr>
                <w:p w14:paraId="4B8AC9FB" w14:textId="50C07F55"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26737727" w14:textId="05AFD8BE"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-0.5 </w:t>
                  </w:r>
                </w:p>
              </w:tc>
              <w:tc>
                <w:tcPr>
                  <w:tcW w:w="920" w:type="dxa"/>
                  <w:tcBorders>
                    <w:top w:val="nil"/>
                    <w:left w:val="nil"/>
                    <w:bottom w:val="single" w:sz="8" w:space="0" w:color="FFFFFF"/>
                    <w:right w:val="single" w:sz="8" w:space="0" w:color="FFFFFF"/>
                  </w:tcBorders>
                  <w:shd w:val="clear" w:color="000000" w:fill="FCD5B4"/>
                  <w:noWrap/>
                  <w:vAlign w:val="center"/>
                  <w:hideMark/>
                </w:tcPr>
                <w:p w14:paraId="36AEEC42" w14:textId="091F7D6A"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-1.5 </w:t>
                  </w:r>
                </w:p>
              </w:tc>
              <w:tc>
                <w:tcPr>
                  <w:tcW w:w="920" w:type="dxa"/>
                  <w:tcBorders>
                    <w:top w:val="nil"/>
                    <w:left w:val="nil"/>
                    <w:bottom w:val="single" w:sz="8" w:space="0" w:color="FFFFFF"/>
                    <w:right w:val="single" w:sz="8" w:space="0" w:color="FFFFFF"/>
                  </w:tcBorders>
                  <w:shd w:val="clear" w:color="000000" w:fill="FCD5B4"/>
                  <w:noWrap/>
                  <w:vAlign w:val="center"/>
                  <w:hideMark/>
                </w:tcPr>
                <w:p w14:paraId="6FAA78B0" w14:textId="5F2D95C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1.5 </w:t>
                  </w:r>
                </w:p>
              </w:tc>
              <w:tc>
                <w:tcPr>
                  <w:tcW w:w="920" w:type="dxa"/>
                  <w:tcBorders>
                    <w:top w:val="nil"/>
                    <w:left w:val="nil"/>
                    <w:bottom w:val="single" w:sz="8" w:space="0" w:color="FFFFFF"/>
                    <w:right w:val="single" w:sz="8" w:space="0" w:color="FFFFFF"/>
                  </w:tcBorders>
                  <w:shd w:val="clear" w:color="000000" w:fill="FCD5B4"/>
                  <w:noWrap/>
                  <w:vAlign w:val="center"/>
                  <w:hideMark/>
                </w:tcPr>
                <w:p w14:paraId="79E4FA89" w14:textId="6A223F0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3.5 </w:t>
                  </w:r>
                </w:p>
              </w:tc>
              <w:tc>
                <w:tcPr>
                  <w:tcW w:w="1149" w:type="dxa"/>
                  <w:tcBorders>
                    <w:top w:val="nil"/>
                    <w:left w:val="nil"/>
                    <w:bottom w:val="single" w:sz="8" w:space="0" w:color="FFFFFF"/>
                    <w:right w:val="single" w:sz="8" w:space="0" w:color="FFFFFF"/>
                  </w:tcBorders>
                  <w:shd w:val="clear" w:color="000000" w:fill="FCD5B4"/>
                  <w:noWrap/>
                  <w:vAlign w:val="center"/>
                  <w:hideMark/>
                </w:tcPr>
                <w:p w14:paraId="606C4AAF" w14:textId="2DAFCE1D"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357A1196" w14:textId="5A01DB41"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-2.7 </w:t>
                  </w:r>
                </w:p>
              </w:tc>
              <w:tc>
                <w:tcPr>
                  <w:tcW w:w="920" w:type="dxa"/>
                  <w:tcBorders>
                    <w:top w:val="nil"/>
                    <w:left w:val="nil"/>
                    <w:bottom w:val="single" w:sz="8" w:space="0" w:color="FFFFFF"/>
                    <w:right w:val="single" w:sz="8" w:space="0" w:color="FFFFFF"/>
                  </w:tcBorders>
                  <w:shd w:val="clear" w:color="000000" w:fill="FCD5B4"/>
                  <w:noWrap/>
                  <w:vAlign w:val="center"/>
                  <w:hideMark/>
                </w:tcPr>
                <w:p w14:paraId="2701848E" w14:textId="3B628781"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004705FE" w14:textId="520FD2F1"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-0.7 </w:t>
                  </w:r>
                </w:p>
              </w:tc>
              <w:tc>
                <w:tcPr>
                  <w:tcW w:w="920" w:type="dxa"/>
                  <w:tcBorders>
                    <w:top w:val="nil"/>
                    <w:left w:val="nil"/>
                    <w:bottom w:val="single" w:sz="8" w:space="0" w:color="FFFFFF"/>
                    <w:right w:val="single" w:sz="8" w:space="0" w:color="FFFFFF"/>
                  </w:tcBorders>
                  <w:shd w:val="clear" w:color="000000" w:fill="FCD5B4"/>
                  <w:noWrap/>
                  <w:vAlign w:val="center"/>
                  <w:hideMark/>
                </w:tcPr>
                <w:p w14:paraId="3FBDA2E9" w14:textId="0EE23E8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1.3 </w:t>
                  </w:r>
                </w:p>
              </w:tc>
            </w:tr>
            <w:tr w:rsidR="00B41E24" w:rsidRPr="00B41E24" w14:paraId="497D4922"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7DBC5358" w14:textId="41C8684E"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3CD640D8" w14:textId="4AEBD66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 </w:t>
                  </w:r>
                </w:p>
              </w:tc>
              <w:tc>
                <w:tcPr>
                  <w:tcW w:w="920" w:type="dxa"/>
                  <w:tcBorders>
                    <w:top w:val="nil"/>
                    <w:left w:val="nil"/>
                    <w:bottom w:val="single" w:sz="8" w:space="0" w:color="FFFFFF"/>
                    <w:right w:val="single" w:sz="8" w:space="0" w:color="FFFFFF"/>
                  </w:tcBorders>
                  <w:shd w:val="clear" w:color="000000" w:fill="FDE9D9"/>
                  <w:noWrap/>
                  <w:vAlign w:val="center"/>
                  <w:hideMark/>
                </w:tcPr>
                <w:p w14:paraId="02826B46" w14:textId="3B7FC42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605A16DF" w14:textId="0464660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 </w:t>
                  </w:r>
                </w:p>
              </w:tc>
              <w:tc>
                <w:tcPr>
                  <w:tcW w:w="920" w:type="dxa"/>
                  <w:tcBorders>
                    <w:top w:val="nil"/>
                    <w:left w:val="nil"/>
                    <w:bottom w:val="single" w:sz="8" w:space="0" w:color="FFFFFF"/>
                    <w:right w:val="single" w:sz="8" w:space="0" w:color="FFFFFF"/>
                  </w:tcBorders>
                  <w:shd w:val="clear" w:color="000000" w:fill="FDE9D9"/>
                  <w:noWrap/>
                  <w:vAlign w:val="center"/>
                  <w:hideMark/>
                </w:tcPr>
                <w:p w14:paraId="7B2C5CED" w14:textId="4597B7F2"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0.8 </w:t>
                  </w:r>
                </w:p>
              </w:tc>
              <w:tc>
                <w:tcPr>
                  <w:tcW w:w="1149" w:type="dxa"/>
                  <w:tcBorders>
                    <w:top w:val="nil"/>
                    <w:left w:val="nil"/>
                    <w:bottom w:val="single" w:sz="8" w:space="0" w:color="FFFFFF"/>
                    <w:right w:val="single" w:sz="8" w:space="0" w:color="FFFFFF"/>
                  </w:tcBorders>
                  <w:shd w:val="clear" w:color="000000" w:fill="FDE9D9"/>
                  <w:noWrap/>
                  <w:vAlign w:val="center"/>
                  <w:hideMark/>
                </w:tcPr>
                <w:p w14:paraId="6FF5E0DD" w14:textId="73C889F5"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6C0665C" w14:textId="08711FD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3.1 </w:t>
                  </w:r>
                </w:p>
              </w:tc>
              <w:tc>
                <w:tcPr>
                  <w:tcW w:w="920" w:type="dxa"/>
                  <w:tcBorders>
                    <w:top w:val="nil"/>
                    <w:left w:val="nil"/>
                    <w:bottom w:val="single" w:sz="8" w:space="0" w:color="FFFFFF"/>
                    <w:right w:val="single" w:sz="8" w:space="0" w:color="FFFFFF"/>
                  </w:tcBorders>
                  <w:shd w:val="clear" w:color="000000" w:fill="FDE9D9"/>
                  <w:noWrap/>
                  <w:vAlign w:val="center"/>
                  <w:hideMark/>
                </w:tcPr>
                <w:p w14:paraId="5E23BCCC" w14:textId="4955A00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1.1 </w:t>
                  </w:r>
                </w:p>
              </w:tc>
              <w:tc>
                <w:tcPr>
                  <w:tcW w:w="920" w:type="dxa"/>
                  <w:tcBorders>
                    <w:top w:val="nil"/>
                    <w:left w:val="nil"/>
                    <w:bottom w:val="single" w:sz="8" w:space="0" w:color="FFFFFF"/>
                    <w:right w:val="single" w:sz="8" w:space="0" w:color="FFFFFF"/>
                  </w:tcBorders>
                  <w:shd w:val="clear" w:color="000000" w:fill="FDE9D9"/>
                  <w:noWrap/>
                  <w:vAlign w:val="center"/>
                  <w:hideMark/>
                </w:tcPr>
                <w:p w14:paraId="1C0ED519" w14:textId="38D80BC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3.1 </w:t>
                  </w:r>
                </w:p>
              </w:tc>
              <w:tc>
                <w:tcPr>
                  <w:tcW w:w="920" w:type="dxa"/>
                  <w:tcBorders>
                    <w:top w:val="nil"/>
                    <w:left w:val="nil"/>
                    <w:bottom w:val="single" w:sz="8" w:space="0" w:color="FFFFFF"/>
                    <w:right w:val="single" w:sz="8" w:space="0" w:color="FFFFFF"/>
                  </w:tcBorders>
                  <w:shd w:val="clear" w:color="000000" w:fill="FDE9D9"/>
                  <w:noWrap/>
                  <w:vAlign w:val="center"/>
                  <w:hideMark/>
                </w:tcPr>
                <w:p w14:paraId="0011E4A5" w14:textId="4F4EAB8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3.1 </w:t>
                  </w:r>
                </w:p>
              </w:tc>
            </w:tr>
            <w:tr w:rsidR="00B41E24" w:rsidRPr="00B41E24" w14:paraId="0CE9EDD9"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666B8A39" w14:textId="71E5CFE0"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46A29143" w14:textId="6B384622"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-1.9 </w:t>
                  </w:r>
                </w:p>
              </w:tc>
              <w:tc>
                <w:tcPr>
                  <w:tcW w:w="920" w:type="dxa"/>
                  <w:tcBorders>
                    <w:top w:val="nil"/>
                    <w:left w:val="nil"/>
                    <w:bottom w:val="single" w:sz="8" w:space="0" w:color="FFFFFF"/>
                    <w:right w:val="single" w:sz="8" w:space="0" w:color="FFFFFF"/>
                  </w:tcBorders>
                  <w:shd w:val="clear" w:color="000000" w:fill="FCD5B4"/>
                  <w:noWrap/>
                  <w:vAlign w:val="center"/>
                  <w:hideMark/>
                </w:tcPr>
                <w:p w14:paraId="65AB8809" w14:textId="130DFF56"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-5.9 </w:t>
                  </w:r>
                </w:p>
              </w:tc>
              <w:tc>
                <w:tcPr>
                  <w:tcW w:w="920" w:type="dxa"/>
                  <w:tcBorders>
                    <w:top w:val="nil"/>
                    <w:left w:val="nil"/>
                    <w:bottom w:val="single" w:sz="8" w:space="0" w:color="FFFFFF"/>
                    <w:right w:val="single" w:sz="8" w:space="0" w:color="FFFFFF"/>
                  </w:tcBorders>
                  <w:shd w:val="clear" w:color="000000" w:fill="FCD5B4"/>
                  <w:noWrap/>
                  <w:vAlign w:val="center"/>
                  <w:hideMark/>
                </w:tcPr>
                <w:p w14:paraId="008EB32A" w14:textId="4D42AAA5"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-5.0 </w:t>
                  </w:r>
                </w:p>
              </w:tc>
              <w:tc>
                <w:tcPr>
                  <w:tcW w:w="920" w:type="dxa"/>
                  <w:tcBorders>
                    <w:top w:val="nil"/>
                    <w:left w:val="nil"/>
                    <w:bottom w:val="single" w:sz="8" w:space="0" w:color="FFFFFF"/>
                    <w:right w:val="single" w:sz="8" w:space="0" w:color="FFFFFF"/>
                  </w:tcBorders>
                  <w:shd w:val="clear" w:color="000000" w:fill="FCD5B4"/>
                  <w:noWrap/>
                  <w:vAlign w:val="center"/>
                  <w:hideMark/>
                </w:tcPr>
                <w:p w14:paraId="7D7C0954" w14:textId="40632383"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-3.0 </w:t>
                  </w:r>
                </w:p>
              </w:tc>
              <w:tc>
                <w:tcPr>
                  <w:tcW w:w="1149" w:type="dxa"/>
                  <w:tcBorders>
                    <w:top w:val="nil"/>
                    <w:left w:val="nil"/>
                    <w:bottom w:val="single" w:sz="8" w:space="0" w:color="FFFFFF"/>
                    <w:right w:val="single" w:sz="8" w:space="0" w:color="FFFFFF"/>
                  </w:tcBorders>
                  <w:shd w:val="clear" w:color="000000" w:fill="FCD5B4"/>
                  <w:noWrap/>
                  <w:vAlign w:val="center"/>
                  <w:hideMark/>
                </w:tcPr>
                <w:p w14:paraId="1A7EC8C4" w14:textId="24499297"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E8BFC7" w14:textId="768C5FA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3.6 </w:t>
                  </w:r>
                </w:p>
              </w:tc>
              <w:tc>
                <w:tcPr>
                  <w:tcW w:w="920" w:type="dxa"/>
                  <w:tcBorders>
                    <w:top w:val="nil"/>
                    <w:left w:val="nil"/>
                    <w:bottom w:val="single" w:sz="8" w:space="0" w:color="FFFFFF"/>
                    <w:right w:val="single" w:sz="8" w:space="0" w:color="FFFFFF"/>
                  </w:tcBorders>
                  <w:shd w:val="clear" w:color="000000" w:fill="FCD5B4"/>
                  <w:noWrap/>
                  <w:vAlign w:val="center"/>
                  <w:hideMark/>
                </w:tcPr>
                <w:p w14:paraId="5811EE16" w14:textId="34899E5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-0.4 </w:t>
                  </w:r>
                </w:p>
              </w:tc>
              <w:tc>
                <w:tcPr>
                  <w:tcW w:w="920" w:type="dxa"/>
                  <w:tcBorders>
                    <w:top w:val="nil"/>
                    <w:left w:val="nil"/>
                    <w:bottom w:val="single" w:sz="8" w:space="0" w:color="FFFFFF"/>
                    <w:right w:val="single" w:sz="8" w:space="0" w:color="FFFFFF"/>
                  </w:tcBorders>
                  <w:shd w:val="clear" w:color="000000" w:fill="FCD5B4"/>
                  <w:noWrap/>
                  <w:vAlign w:val="center"/>
                  <w:hideMark/>
                </w:tcPr>
                <w:p w14:paraId="42E7B60E" w14:textId="0982853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 </w:t>
                  </w:r>
                </w:p>
              </w:tc>
              <w:tc>
                <w:tcPr>
                  <w:tcW w:w="920" w:type="dxa"/>
                  <w:tcBorders>
                    <w:top w:val="nil"/>
                    <w:left w:val="nil"/>
                    <w:bottom w:val="single" w:sz="8" w:space="0" w:color="FFFFFF"/>
                    <w:right w:val="single" w:sz="8" w:space="0" w:color="FFFFFF"/>
                  </w:tcBorders>
                  <w:shd w:val="clear" w:color="000000" w:fill="FCD5B4"/>
                  <w:noWrap/>
                  <w:vAlign w:val="center"/>
                  <w:hideMark/>
                </w:tcPr>
                <w:p w14:paraId="4E401EC9" w14:textId="218F161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2.6 </w:t>
                  </w:r>
                </w:p>
              </w:tc>
            </w:tr>
            <w:tr w:rsidR="00B41E24" w:rsidRPr="00B41E24" w14:paraId="4B96FC1F"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055655BC" w14:textId="4FD610F4"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5C23ADBD" w14:textId="7CBC7AD1"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5FCD1E73" w14:textId="27297CFC"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-3.1 </w:t>
                  </w:r>
                </w:p>
              </w:tc>
              <w:tc>
                <w:tcPr>
                  <w:tcW w:w="920" w:type="dxa"/>
                  <w:tcBorders>
                    <w:top w:val="nil"/>
                    <w:left w:val="nil"/>
                    <w:bottom w:val="single" w:sz="8" w:space="0" w:color="FFFFFF"/>
                    <w:right w:val="single" w:sz="8" w:space="0" w:color="FFFFFF"/>
                  </w:tcBorders>
                  <w:shd w:val="clear" w:color="000000" w:fill="FDE9D9"/>
                  <w:noWrap/>
                  <w:vAlign w:val="center"/>
                  <w:hideMark/>
                </w:tcPr>
                <w:p w14:paraId="5B16061B" w14:textId="5EC967BD"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76F51BF6" w14:textId="0C4295BE"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-3.1 </w:t>
                  </w:r>
                </w:p>
              </w:tc>
              <w:tc>
                <w:tcPr>
                  <w:tcW w:w="1149" w:type="dxa"/>
                  <w:tcBorders>
                    <w:top w:val="nil"/>
                    <w:left w:val="nil"/>
                    <w:bottom w:val="single" w:sz="8" w:space="0" w:color="FFFFFF"/>
                    <w:right w:val="single" w:sz="8" w:space="0" w:color="FFFFFF"/>
                  </w:tcBorders>
                  <w:shd w:val="clear" w:color="000000" w:fill="FDE9D9"/>
                  <w:noWrap/>
                  <w:vAlign w:val="center"/>
                  <w:hideMark/>
                </w:tcPr>
                <w:p w14:paraId="343EAA9F" w14:textId="0BA2599F"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3247225" w14:textId="474FF051"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083BF439" w14:textId="3ACED9D3"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-0.8 </w:t>
                  </w:r>
                </w:p>
              </w:tc>
              <w:tc>
                <w:tcPr>
                  <w:tcW w:w="920" w:type="dxa"/>
                  <w:tcBorders>
                    <w:top w:val="nil"/>
                    <w:left w:val="nil"/>
                    <w:bottom w:val="single" w:sz="8" w:space="0" w:color="FFFFFF"/>
                    <w:right w:val="single" w:sz="8" w:space="0" w:color="FFFFFF"/>
                  </w:tcBorders>
                  <w:shd w:val="clear" w:color="000000" w:fill="FDE9D9"/>
                  <w:noWrap/>
                  <w:vAlign w:val="center"/>
                  <w:hideMark/>
                </w:tcPr>
                <w:p w14:paraId="7F14EF11" w14:textId="5BFA005C"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61246080" w14:textId="344DEFD6"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-0.8 </w:t>
                  </w:r>
                </w:p>
              </w:tc>
            </w:tr>
            <w:tr w:rsidR="00B41E24" w:rsidRPr="00B41E24" w14:paraId="445C2E7B"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7A530122" w14:textId="0FA6FB11"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5D5F6751" w14:textId="07856496"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-1.6 </w:t>
                  </w:r>
                </w:p>
              </w:tc>
              <w:tc>
                <w:tcPr>
                  <w:tcW w:w="920" w:type="dxa"/>
                  <w:tcBorders>
                    <w:top w:val="nil"/>
                    <w:left w:val="nil"/>
                    <w:bottom w:val="single" w:sz="8" w:space="0" w:color="FFFFFF"/>
                    <w:right w:val="single" w:sz="8" w:space="0" w:color="FFFFFF"/>
                  </w:tcBorders>
                  <w:shd w:val="clear" w:color="000000" w:fill="FCD5B4"/>
                  <w:noWrap/>
                  <w:vAlign w:val="center"/>
                  <w:hideMark/>
                </w:tcPr>
                <w:p w14:paraId="300B72E8" w14:textId="30E2F9FD"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-2.6 </w:t>
                  </w:r>
                </w:p>
              </w:tc>
              <w:tc>
                <w:tcPr>
                  <w:tcW w:w="920" w:type="dxa"/>
                  <w:tcBorders>
                    <w:top w:val="nil"/>
                    <w:left w:val="nil"/>
                    <w:bottom w:val="single" w:sz="8" w:space="0" w:color="FFFFFF"/>
                    <w:right w:val="single" w:sz="8" w:space="0" w:color="FFFFFF"/>
                  </w:tcBorders>
                  <w:shd w:val="clear" w:color="000000" w:fill="FCD5B4"/>
                  <w:noWrap/>
                  <w:vAlign w:val="center"/>
                  <w:hideMark/>
                </w:tcPr>
                <w:p w14:paraId="4243F803" w14:textId="3D4415B4"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-1.6 </w:t>
                  </w:r>
                </w:p>
              </w:tc>
              <w:tc>
                <w:tcPr>
                  <w:tcW w:w="920" w:type="dxa"/>
                  <w:tcBorders>
                    <w:top w:val="nil"/>
                    <w:left w:val="nil"/>
                    <w:bottom w:val="single" w:sz="8" w:space="0" w:color="FFFFFF"/>
                    <w:right w:val="single" w:sz="8" w:space="0" w:color="FFFFFF"/>
                  </w:tcBorders>
                  <w:shd w:val="clear" w:color="000000" w:fill="FCD5B4"/>
                  <w:noWrap/>
                  <w:vAlign w:val="center"/>
                  <w:hideMark/>
                </w:tcPr>
                <w:p w14:paraId="448E5ABD" w14:textId="69989B54"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-0.6 </w:t>
                  </w:r>
                </w:p>
              </w:tc>
              <w:tc>
                <w:tcPr>
                  <w:tcW w:w="1149" w:type="dxa"/>
                  <w:tcBorders>
                    <w:top w:val="nil"/>
                    <w:left w:val="nil"/>
                    <w:bottom w:val="single" w:sz="8" w:space="0" w:color="FFFFFF"/>
                    <w:right w:val="single" w:sz="8" w:space="0" w:color="FFFFFF"/>
                  </w:tcBorders>
                  <w:shd w:val="clear" w:color="000000" w:fill="FCD5B4"/>
                  <w:noWrap/>
                  <w:vAlign w:val="center"/>
                  <w:hideMark/>
                </w:tcPr>
                <w:p w14:paraId="243BE1B9" w14:textId="76D92272"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84F409D" w14:textId="673923F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036E88AD" w14:textId="62F71E9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2.9 </w:t>
                  </w:r>
                </w:p>
              </w:tc>
              <w:tc>
                <w:tcPr>
                  <w:tcW w:w="920" w:type="dxa"/>
                  <w:tcBorders>
                    <w:top w:val="nil"/>
                    <w:left w:val="nil"/>
                    <w:bottom w:val="single" w:sz="8" w:space="0" w:color="FFFFFF"/>
                    <w:right w:val="single" w:sz="8" w:space="0" w:color="FFFFFF"/>
                  </w:tcBorders>
                  <w:shd w:val="clear" w:color="000000" w:fill="FCD5B4"/>
                  <w:noWrap/>
                  <w:vAlign w:val="center"/>
                  <w:hideMark/>
                </w:tcPr>
                <w:p w14:paraId="427E0CD2" w14:textId="4E4014F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78BEA210" w14:textId="35D5E66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4.9 </w:t>
                  </w:r>
                </w:p>
              </w:tc>
            </w:tr>
            <w:tr w:rsidR="00B41E24" w:rsidRPr="00B41E24" w14:paraId="3191787A"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1F700977" w14:textId="0306C070"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2827D979" w14:textId="7177665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-3.2 </w:t>
                  </w:r>
                </w:p>
              </w:tc>
              <w:tc>
                <w:tcPr>
                  <w:tcW w:w="920" w:type="dxa"/>
                  <w:tcBorders>
                    <w:top w:val="nil"/>
                    <w:left w:val="nil"/>
                    <w:bottom w:val="single" w:sz="8" w:space="0" w:color="FFFFFF"/>
                    <w:right w:val="single" w:sz="8" w:space="0" w:color="FFFFFF"/>
                  </w:tcBorders>
                  <w:shd w:val="clear" w:color="000000" w:fill="FDE9D9"/>
                  <w:noWrap/>
                  <w:vAlign w:val="center"/>
                  <w:hideMark/>
                </w:tcPr>
                <w:p w14:paraId="1BCEB620" w14:textId="2A8AF4C6"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642DA1D2" w14:textId="518CE844"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-3.2 </w:t>
                  </w:r>
                </w:p>
              </w:tc>
              <w:tc>
                <w:tcPr>
                  <w:tcW w:w="920" w:type="dxa"/>
                  <w:tcBorders>
                    <w:top w:val="nil"/>
                    <w:left w:val="nil"/>
                    <w:bottom w:val="single" w:sz="8" w:space="0" w:color="FFFFFF"/>
                    <w:right w:val="single" w:sz="8" w:space="0" w:color="FFFFFF"/>
                  </w:tcBorders>
                  <w:shd w:val="clear" w:color="000000" w:fill="FDE9D9"/>
                  <w:noWrap/>
                  <w:vAlign w:val="center"/>
                  <w:hideMark/>
                </w:tcPr>
                <w:p w14:paraId="45A5D7F8" w14:textId="04C6D19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-2.2 </w:t>
                  </w:r>
                </w:p>
              </w:tc>
              <w:tc>
                <w:tcPr>
                  <w:tcW w:w="1149" w:type="dxa"/>
                  <w:tcBorders>
                    <w:top w:val="nil"/>
                    <w:left w:val="nil"/>
                    <w:bottom w:val="single" w:sz="8" w:space="0" w:color="FFFFFF"/>
                    <w:right w:val="single" w:sz="8" w:space="0" w:color="FFFFFF"/>
                  </w:tcBorders>
                  <w:shd w:val="clear" w:color="000000" w:fill="FDE9D9"/>
                  <w:noWrap/>
                  <w:vAlign w:val="center"/>
                  <w:hideMark/>
                </w:tcPr>
                <w:p w14:paraId="065B2767" w14:textId="3387FE16"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20359E1" w14:textId="31C693B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059C072D" w14:textId="534680A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4.1 </w:t>
                  </w:r>
                </w:p>
              </w:tc>
              <w:tc>
                <w:tcPr>
                  <w:tcW w:w="920" w:type="dxa"/>
                  <w:tcBorders>
                    <w:top w:val="nil"/>
                    <w:left w:val="nil"/>
                    <w:bottom w:val="single" w:sz="8" w:space="0" w:color="FFFFFF"/>
                    <w:right w:val="single" w:sz="8" w:space="0" w:color="FFFFFF"/>
                  </w:tcBorders>
                  <w:shd w:val="clear" w:color="000000" w:fill="FDE9D9"/>
                  <w:noWrap/>
                  <w:vAlign w:val="center"/>
                  <w:hideMark/>
                </w:tcPr>
                <w:p w14:paraId="4DCBF554" w14:textId="0CDC5DC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248F8942" w14:textId="54F46A3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6.1 </w:t>
                  </w:r>
                </w:p>
              </w:tc>
            </w:tr>
            <w:tr w:rsidR="00B41E24" w:rsidRPr="00B41E24" w14:paraId="30D8B86F"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34C7AF72" w14:textId="6902B819"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6BA27B0F" w14:textId="24239B03"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5357D5B3" w14:textId="32DF771B"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-0.0 </w:t>
                  </w:r>
                </w:p>
              </w:tc>
              <w:tc>
                <w:tcPr>
                  <w:tcW w:w="920" w:type="dxa"/>
                  <w:tcBorders>
                    <w:top w:val="nil"/>
                    <w:left w:val="nil"/>
                    <w:bottom w:val="single" w:sz="8" w:space="0" w:color="FFFFFF"/>
                    <w:right w:val="single" w:sz="8" w:space="0" w:color="FFFFFF"/>
                  </w:tcBorders>
                  <w:shd w:val="clear" w:color="000000" w:fill="FCD5B4"/>
                  <w:noWrap/>
                  <w:vAlign w:val="center"/>
                  <w:hideMark/>
                </w:tcPr>
                <w:p w14:paraId="6BAE198E" w14:textId="24C7B24F"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11173B26" w14:textId="39883C27"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-5.0 </w:t>
                  </w:r>
                </w:p>
              </w:tc>
              <w:tc>
                <w:tcPr>
                  <w:tcW w:w="1149" w:type="dxa"/>
                  <w:tcBorders>
                    <w:top w:val="nil"/>
                    <w:left w:val="nil"/>
                    <w:bottom w:val="single" w:sz="8" w:space="0" w:color="FFFFFF"/>
                    <w:right w:val="single" w:sz="8" w:space="0" w:color="FFFFFF"/>
                  </w:tcBorders>
                  <w:shd w:val="clear" w:color="000000" w:fill="FCD5B4"/>
                  <w:noWrap/>
                  <w:vAlign w:val="center"/>
                  <w:hideMark/>
                </w:tcPr>
                <w:p w14:paraId="4344DD46" w14:textId="391FC013"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3E9904F" w14:textId="4ED4363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72520448" w14:textId="1D5226E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2.3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B3956" w14:textId="689A940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1.3 </w:t>
                  </w:r>
                </w:p>
              </w:tc>
              <w:tc>
                <w:tcPr>
                  <w:tcW w:w="920" w:type="dxa"/>
                  <w:tcBorders>
                    <w:top w:val="nil"/>
                    <w:left w:val="nil"/>
                    <w:bottom w:val="single" w:sz="8" w:space="0" w:color="FFFFFF"/>
                    <w:right w:val="single" w:sz="8" w:space="0" w:color="FFFFFF"/>
                  </w:tcBorders>
                  <w:shd w:val="clear" w:color="000000" w:fill="FCD5B4"/>
                  <w:noWrap/>
                  <w:vAlign w:val="center"/>
                  <w:hideMark/>
                </w:tcPr>
                <w:p w14:paraId="455389C2" w14:textId="29A3DDA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-2.7 </w:t>
                  </w:r>
                </w:p>
              </w:tc>
            </w:tr>
            <w:tr w:rsidR="00B41E24" w:rsidRPr="00B41E24" w14:paraId="6A7B0CBC"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052855D1" w14:textId="2B243627"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7770DE15" w14:textId="18E158D2"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-1.4 </w:t>
                  </w:r>
                </w:p>
              </w:tc>
              <w:tc>
                <w:tcPr>
                  <w:tcW w:w="920" w:type="dxa"/>
                  <w:tcBorders>
                    <w:top w:val="nil"/>
                    <w:left w:val="nil"/>
                    <w:bottom w:val="single" w:sz="8" w:space="0" w:color="FFFFFF"/>
                    <w:right w:val="single" w:sz="8" w:space="0" w:color="FFFFFF"/>
                  </w:tcBorders>
                  <w:shd w:val="clear" w:color="000000" w:fill="FDE9D9"/>
                  <w:noWrap/>
                  <w:vAlign w:val="center"/>
                  <w:hideMark/>
                </w:tcPr>
                <w:p w14:paraId="4004BD72" w14:textId="18C59922"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-4.4 </w:t>
                  </w:r>
                </w:p>
              </w:tc>
              <w:tc>
                <w:tcPr>
                  <w:tcW w:w="920" w:type="dxa"/>
                  <w:tcBorders>
                    <w:top w:val="nil"/>
                    <w:left w:val="nil"/>
                    <w:bottom w:val="single" w:sz="8" w:space="0" w:color="FFFFFF"/>
                    <w:right w:val="single" w:sz="8" w:space="0" w:color="FFFFFF"/>
                  </w:tcBorders>
                  <w:shd w:val="clear" w:color="000000" w:fill="FDE9D9"/>
                  <w:noWrap/>
                  <w:vAlign w:val="center"/>
                  <w:hideMark/>
                </w:tcPr>
                <w:p w14:paraId="10E494F6" w14:textId="1523C58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0.6 </w:t>
                  </w:r>
                </w:p>
              </w:tc>
              <w:tc>
                <w:tcPr>
                  <w:tcW w:w="920" w:type="dxa"/>
                  <w:tcBorders>
                    <w:top w:val="nil"/>
                    <w:left w:val="nil"/>
                    <w:bottom w:val="single" w:sz="8" w:space="0" w:color="FFFFFF"/>
                    <w:right w:val="single" w:sz="8" w:space="0" w:color="FFFFFF"/>
                  </w:tcBorders>
                  <w:shd w:val="clear" w:color="000000" w:fill="FDE9D9"/>
                  <w:noWrap/>
                  <w:vAlign w:val="center"/>
                  <w:hideMark/>
                </w:tcPr>
                <w:p w14:paraId="2C334CFA" w14:textId="73AD8C88"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-2.4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CE1B8" w14:textId="4F9D3A33"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A0C33F3" w14:textId="5701294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4.2 </w:t>
                  </w:r>
                </w:p>
              </w:tc>
              <w:tc>
                <w:tcPr>
                  <w:tcW w:w="920" w:type="dxa"/>
                  <w:tcBorders>
                    <w:top w:val="nil"/>
                    <w:left w:val="nil"/>
                    <w:bottom w:val="single" w:sz="8" w:space="0" w:color="FFFFFF"/>
                    <w:right w:val="single" w:sz="8" w:space="0" w:color="FFFFFF"/>
                  </w:tcBorders>
                  <w:shd w:val="clear" w:color="000000" w:fill="FDE9D9"/>
                  <w:noWrap/>
                  <w:vAlign w:val="center"/>
                  <w:hideMark/>
                </w:tcPr>
                <w:p w14:paraId="0131BE88" w14:textId="343B321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6C67254B" w14:textId="37935BA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6.2 </w:t>
                  </w:r>
                </w:p>
              </w:tc>
              <w:tc>
                <w:tcPr>
                  <w:tcW w:w="920" w:type="dxa"/>
                  <w:tcBorders>
                    <w:top w:val="nil"/>
                    <w:left w:val="nil"/>
                    <w:bottom w:val="single" w:sz="8" w:space="0" w:color="FFFFFF"/>
                    <w:right w:val="single" w:sz="8" w:space="0" w:color="FFFFFF"/>
                  </w:tcBorders>
                  <w:shd w:val="clear" w:color="000000" w:fill="FDE9D9"/>
                  <w:noWrap/>
                  <w:vAlign w:val="center"/>
                  <w:hideMark/>
                </w:tcPr>
                <w:p w14:paraId="4C0EAFCC" w14:textId="722AD67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3.2 </w:t>
                  </w:r>
                </w:p>
              </w:tc>
            </w:tr>
            <w:tr w:rsidR="00B41E24" w:rsidRPr="00B41E24" w14:paraId="3B417DAA" w14:textId="77777777" w:rsidTr="00B41E24">
              <w:trPr>
                <w:trHeight w:val="310"/>
              </w:trPr>
              <w:tc>
                <w:tcPr>
                  <w:tcW w:w="1130" w:type="dxa"/>
                  <w:tcBorders>
                    <w:top w:val="nil"/>
                    <w:left w:val="nil"/>
                    <w:bottom w:val="nil"/>
                    <w:right w:val="nil"/>
                  </w:tcBorders>
                  <w:shd w:val="clear" w:color="000000" w:fill="FCD5B4"/>
                  <w:noWrap/>
                  <w:vAlign w:val="center"/>
                  <w:hideMark/>
                </w:tcPr>
                <w:p w14:paraId="0DA46A28" w14:textId="2153CE65"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77893C8C" w14:textId="568E08FA"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-6.7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4B3A7" w14:textId="3CFBC59A"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-5.7 </w:t>
                  </w:r>
                </w:p>
              </w:tc>
              <w:tc>
                <w:tcPr>
                  <w:tcW w:w="920" w:type="dxa"/>
                  <w:tcBorders>
                    <w:top w:val="nil"/>
                    <w:left w:val="nil"/>
                    <w:bottom w:val="single" w:sz="8" w:space="0" w:color="FFFFFF"/>
                    <w:right w:val="single" w:sz="8" w:space="0" w:color="FFFFFF"/>
                  </w:tcBorders>
                  <w:shd w:val="clear" w:color="000000" w:fill="FCD5B4"/>
                  <w:noWrap/>
                  <w:vAlign w:val="center"/>
                  <w:hideMark/>
                </w:tcPr>
                <w:p w14:paraId="6ECD03FA" w14:textId="09F7B186"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-7.7 </w:t>
                  </w:r>
                </w:p>
              </w:tc>
              <w:tc>
                <w:tcPr>
                  <w:tcW w:w="920" w:type="dxa"/>
                  <w:tcBorders>
                    <w:top w:val="nil"/>
                    <w:left w:val="nil"/>
                    <w:bottom w:val="single" w:sz="8" w:space="0" w:color="FFFFFF"/>
                    <w:right w:val="single" w:sz="8" w:space="0" w:color="FFFFFF"/>
                  </w:tcBorders>
                  <w:shd w:val="clear" w:color="000000" w:fill="FCD5B4"/>
                  <w:noWrap/>
                  <w:vAlign w:val="center"/>
                  <w:hideMark/>
                </w:tcPr>
                <w:p w14:paraId="4A1E86C1" w14:textId="120C45A4"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-8.7 </w:t>
                  </w:r>
                </w:p>
              </w:tc>
              <w:tc>
                <w:tcPr>
                  <w:tcW w:w="1149" w:type="dxa"/>
                  <w:tcBorders>
                    <w:top w:val="nil"/>
                    <w:left w:val="nil"/>
                    <w:bottom w:val="nil"/>
                    <w:right w:val="nil"/>
                  </w:tcBorders>
                  <w:shd w:val="clear" w:color="000000" w:fill="FCD5B4"/>
                  <w:noWrap/>
                  <w:vAlign w:val="center"/>
                  <w:hideMark/>
                </w:tcPr>
                <w:p w14:paraId="10247A8D" w14:textId="357D6558"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7E1DEE" w14:textId="3FCB5F8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1.7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F21D5" w14:textId="2B6F283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2.7 </w:t>
                  </w:r>
                </w:p>
              </w:tc>
              <w:tc>
                <w:tcPr>
                  <w:tcW w:w="920" w:type="dxa"/>
                  <w:tcBorders>
                    <w:top w:val="nil"/>
                    <w:left w:val="nil"/>
                    <w:bottom w:val="single" w:sz="8" w:space="0" w:color="FFFFFF"/>
                    <w:right w:val="single" w:sz="8" w:space="0" w:color="FFFFFF"/>
                  </w:tcBorders>
                  <w:shd w:val="clear" w:color="000000" w:fill="FCD5B4"/>
                  <w:noWrap/>
                  <w:vAlign w:val="center"/>
                  <w:hideMark/>
                </w:tcPr>
                <w:p w14:paraId="45D1B136" w14:textId="3E6EBBE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 xml:space="preserve">0.7 </w:t>
                  </w:r>
                </w:p>
              </w:tc>
              <w:tc>
                <w:tcPr>
                  <w:tcW w:w="920" w:type="dxa"/>
                  <w:tcBorders>
                    <w:top w:val="nil"/>
                    <w:left w:val="nil"/>
                    <w:bottom w:val="single" w:sz="8" w:space="0" w:color="FFFFFF"/>
                    <w:right w:val="single" w:sz="8" w:space="0" w:color="FFFFFF"/>
                  </w:tcBorders>
                  <w:shd w:val="clear" w:color="000000" w:fill="FCD5B4"/>
                  <w:noWrap/>
                  <w:vAlign w:val="center"/>
                  <w:hideMark/>
                </w:tcPr>
                <w:p w14:paraId="18882D60" w14:textId="551703D9" w:rsidR="00B41E24" w:rsidRPr="00B41E24" w:rsidRDefault="00B41E24" w:rsidP="00B41E24">
                  <w:pPr>
                    <w:widowControl/>
                    <w:jc w:val="center"/>
                    <w:rPr>
                      <w:rFonts w:eastAsia="等线" w:cs="Calibri"/>
                      <w:color w:val="000000"/>
                      <w:kern w:val="0"/>
                      <w:szCs w:val="21"/>
                    </w:rPr>
                  </w:pPr>
                  <w:r w:rsidRPr="00B41E24">
                    <w:rPr>
                      <w:rFonts w:eastAsia="等线" w:cs="Calibri"/>
                      <w:color w:val="FF0000"/>
                      <w:szCs w:val="21"/>
                    </w:rPr>
                    <w:t xml:space="preserve">-0.3 </w:t>
                  </w:r>
                </w:p>
              </w:tc>
            </w:tr>
            <w:tr w:rsidR="00522436" w:rsidRPr="00B41E24" w14:paraId="42AE38BD" w14:textId="77777777" w:rsidTr="00B41E24">
              <w:trPr>
                <w:trHeight w:val="160"/>
              </w:trPr>
              <w:tc>
                <w:tcPr>
                  <w:tcW w:w="1130" w:type="dxa"/>
                  <w:tcBorders>
                    <w:top w:val="nil"/>
                    <w:left w:val="nil"/>
                    <w:bottom w:val="nil"/>
                    <w:right w:val="nil"/>
                  </w:tcBorders>
                  <w:shd w:val="clear" w:color="auto" w:fill="auto"/>
                  <w:noWrap/>
                  <w:vAlign w:val="center"/>
                  <w:hideMark/>
                </w:tcPr>
                <w:p w14:paraId="5A7EA8AA" w14:textId="77777777" w:rsidR="00522436" w:rsidRPr="00B41E24" w:rsidRDefault="00522436" w:rsidP="00522436">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48196DA8"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2908F17"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4ECE1CA7"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542E0E74" w14:textId="77777777" w:rsidR="00522436" w:rsidRPr="00B41E24" w:rsidRDefault="00522436" w:rsidP="00522436">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05ED658A"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F5D1A19"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1BF2F6A"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E8AB294" w14:textId="77777777" w:rsidR="00522436" w:rsidRPr="00B41E24" w:rsidRDefault="00522436" w:rsidP="00522436">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9F18CA9" w14:textId="77777777" w:rsidR="00522436" w:rsidRPr="00B41E24" w:rsidRDefault="00522436" w:rsidP="00522436">
                  <w:pPr>
                    <w:widowControl/>
                    <w:jc w:val="center"/>
                    <w:rPr>
                      <w:rFonts w:ascii="Times New Roman" w:eastAsia="Times New Roman" w:hAnsi="Times New Roman"/>
                      <w:kern w:val="0"/>
                      <w:sz w:val="20"/>
                      <w:szCs w:val="20"/>
                    </w:rPr>
                  </w:pPr>
                </w:p>
              </w:tc>
            </w:tr>
            <w:tr w:rsidR="00B41E24" w:rsidRPr="00B41E24" w14:paraId="2463192E" w14:textId="77777777" w:rsidTr="00B41E24">
              <w:trPr>
                <w:trHeight w:val="310"/>
              </w:trPr>
              <w:tc>
                <w:tcPr>
                  <w:tcW w:w="1130" w:type="dxa"/>
                  <w:tcBorders>
                    <w:top w:val="nil"/>
                    <w:left w:val="nil"/>
                    <w:bottom w:val="single" w:sz="12" w:space="0" w:color="FFFFFF"/>
                    <w:right w:val="single" w:sz="8" w:space="0" w:color="FFFFFF"/>
                  </w:tcBorders>
                  <w:shd w:val="clear" w:color="000000" w:fill="F79646"/>
                  <w:noWrap/>
                  <w:vAlign w:val="center"/>
                  <w:hideMark/>
                </w:tcPr>
                <w:p w14:paraId="30C3828D" w14:textId="7436E51B"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收益率分位</w:t>
                  </w:r>
                </w:p>
              </w:tc>
              <w:tc>
                <w:tcPr>
                  <w:tcW w:w="919" w:type="dxa"/>
                  <w:tcBorders>
                    <w:top w:val="nil"/>
                    <w:left w:val="nil"/>
                    <w:bottom w:val="single" w:sz="12" w:space="0" w:color="FFFFFF"/>
                    <w:right w:val="single" w:sz="8" w:space="0" w:color="FFFFFF"/>
                  </w:tcBorders>
                  <w:shd w:val="clear" w:color="000000" w:fill="F79646"/>
                  <w:noWrap/>
                  <w:vAlign w:val="center"/>
                  <w:hideMark/>
                </w:tcPr>
                <w:p w14:paraId="57743789" w14:textId="19D26699"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0835438" w14:textId="774C99C6"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942ACD3" w14:textId="2AB86F31"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DED1B9B" w14:textId="73785C4B"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4C48D3F0" w14:textId="35F91765"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20F774BB" w14:textId="084AF039"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045FBE8" w14:textId="01057BBB"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DDC22F" w14:textId="21B6DE9D"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16F42D2" w14:textId="77C6CC13" w:rsidR="00B41E24" w:rsidRPr="00B41E24" w:rsidRDefault="00B41E24" w:rsidP="00B41E24">
                  <w:pPr>
                    <w:widowControl/>
                    <w:jc w:val="center"/>
                    <w:rPr>
                      <w:rFonts w:ascii="楷体" w:eastAsia="楷体" w:hAnsi="楷体" w:cs="宋体"/>
                      <w:b/>
                      <w:bCs/>
                      <w:color w:val="FFFFFF"/>
                      <w:kern w:val="0"/>
                      <w:sz w:val="20"/>
                      <w:szCs w:val="20"/>
                    </w:rPr>
                  </w:pPr>
                  <w:r w:rsidRPr="00B41E24">
                    <w:rPr>
                      <w:rFonts w:ascii="楷体" w:eastAsia="楷体" w:hAnsi="楷体" w:hint="eastAsia"/>
                      <w:b/>
                      <w:bCs/>
                      <w:color w:val="FFFFFF"/>
                      <w:sz w:val="20"/>
                      <w:szCs w:val="20"/>
                    </w:rPr>
                    <w:t>AA-</w:t>
                  </w:r>
                </w:p>
              </w:tc>
            </w:tr>
            <w:tr w:rsidR="00B41E24" w:rsidRPr="00B41E24" w14:paraId="6BCEED0C" w14:textId="77777777" w:rsidTr="00B41E24">
              <w:trPr>
                <w:trHeight w:val="321"/>
              </w:trPr>
              <w:tc>
                <w:tcPr>
                  <w:tcW w:w="1130" w:type="dxa"/>
                  <w:tcBorders>
                    <w:top w:val="nil"/>
                    <w:left w:val="nil"/>
                    <w:bottom w:val="single" w:sz="8" w:space="0" w:color="FFFFFF"/>
                    <w:right w:val="single" w:sz="8" w:space="0" w:color="FFFFFF"/>
                  </w:tcBorders>
                  <w:shd w:val="clear" w:color="000000" w:fill="FCD5B4"/>
                  <w:noWrap/>
                  <w:vAlign w:val="center"/>
                  <w:hideMark/>
                </w:tcPr>
                <w:p w14:paraId="08C9B79B" w14:textId="4A84C38B"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3D9575A3" w14:textId="78BFED0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29CEB283" w14:textId="525DCB4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CD5B4"/>
                  <w:noWrap/>
                  <w:vAlign w:val="center"/>
                  <w:hideMark/>
                </w:tcPr>
                <w:p w14:paraId="79A327E6" w14:textId="4F03E16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CD5B4"/>
                  <w:noWrap/>
                  <w:vAlign w:val="center"/>
                  <w:hideMark/>
                </w:tcPr>
                <w:p w14:paraId="033E9A5E" w14:textId="06BC3F6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43%</w:t>
                  </w:r>
                </w:p>
              </w:tc>
              <w:tc>
                <w:tcPr>
                  <w:tcW w:w="1149" w:type="dxa"/>
                  <w:tcBorders>
                    <w:top w:val="nil"/>
                    <w:left w:val="nil"/>
                    <w:bottom w:val="single" w:sz="8" w:space="0" w:color="FFFFFF"/>
                    <w:right w:val="single" w:sz="8" w:space="0" w:color="FFFFFF"/>
                  </w:tcBorders>
                  <w:shd w:val="clear" w:color="000000" w:fill="FCD5B4"/>
                  <w:noWrap/>
                  <w:vAlign w:val="center"/>
                  <w:hideMark/>
                </w:tcPr>
                <w:p w14:paraId="13B4CCB6" w14:textId="3FC1F524"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1A1E1D51" w14:textId="332BE0A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6394" w14:textId="5788A50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0393CC42" w14:textId="3F56B55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580FA8E3" w14:textId="067061E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69%</w:t>
                  </w:r>
                </w:p>
              </w:tc>
            </w:tr>
            <w:tr w:rsidR="00B41E24" w:rsidRPr="00B41E24" w14:paraId="3DF945E2"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7C68C45D" w14:textId="00665C43"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5A423046" w14:textId="5911C53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3842DD73" w14:textId="3BAA612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78364D74" w14:textId="0E3B19F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564662AF" w14:textId="7F2AD89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37%</w:t>
                  </w:r>
                </w:p>
              </w:tc>
              <w:tc>
                <w:tcPr>
                  <w:tcW w:w="1149" w:type="dxa"/>
                  <w:tcBorders>
                    <w:top w:val="nil"/>
                    <w:left w:val="nil"/>
                    <w:bottom w:val="single" w:sz="8" w:space="0" w:color="FFFFFF"/>
                    <w:right w:val="single" w:sz="8" w:space="0" w:color="FFFFFF"/>
                  </w:tcBorders>
                  <w:shd w:val="clear" w:color="000000" w:fill="FDE9D9"/>
                  <w:noWrap/>
                  <w:vAlign w:val="center"/>
                  <w:hideMark/>
                </w:tcPr>
                <w:p w14:paraId="6544C40A" w14:textId="5A0C4D66"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1A21A620" w14:textId="5C56D8F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17EEE215" w14:textId="395C73E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42640BE8" w14:textId="3979942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11%</w:t>
                  </w:r>
                </w:p>
              </w:tc>
              <w:tc>
                <w:tcPr>
                  <w:tcW w:w="920" w:type="dxa"/>
                  <w:tcBorders>
                    <w:top w:val="nil"/>
                    <w:left w:val="nil"/>
                    <w:bottom w:val="single" w:sz="8" w:space="0" w:color="FFFFFF"/>
                    <w:right w:val="single" w:sz="8" w:space="0" w:color="FFFFFF"/>
                  </w:tcBorders>
                  <w:shd w:val="clear" w:color="000000" w:fill="FDE9D9"/>
                  <w:noWrap/>
                  <w:vAlign w:val="center"/>
                  <w:hideMark/>
                </w:tcPr>
                <w:p w14:paraId="132999AD" w14:textId="08D9FB6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62%</w:t>
                  </w:r>
                </w:p>
              </w:tc>
            </w:tr>
            <w:tr w:rsidR="00B41E24" w:rsidRPr="00B41E24" w14:paraId="311BF477"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1EFAC63F" w14:textId="6813FD58"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15941BE2" w14:textId="0EBC520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6DFE5B08" w14:textId="1D5AB8F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51F72902" w14:textId="2BD0D0E2"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11ED092C" w14:textId="29AEA78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38%</w:t>
                  </w:r>
                </w:p>
              </w:tc>
              <w:tc>
                <w:tcPr>
                  <w:tcW w:w="1149" w:type="dxa"/>
                  <w:tcBorders>
                    <w:top w:val="nil"/>
                    <w:left w:val="nil"/>
                    <w:bottom w:val="single" w:sz="8" w:space="0" w:color="FFFFFF"/>
                    <w:right w:val="single" w:sz="8" w:space="0" w:color="FFFFFF"/>
                  </w:tcBorders>
                  <w:shd w:val="clear" w:color="000000" w:fill="FCD5B4"/>
                  <w:noWrap/>
                  <w:vAlign w:val="center"/>
                  <w:hideMark/>
                </w:tcPr>
                <w:p w14:paraId="4D858F7C" w14:textId="3AE3A66C"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7DE7239" w14:textId="6CBE9FC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4BD0B6F1" w14:textId="6B8CE03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21072B45" w14:textId="53731C5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CD5B4"/>
                  <w:noWrap/>
                  <w:vAlign w:val="center"/>
                  <w:hideMark/>
                </w:tcPr>
                <w:p w14:paraId="2B13C93D" w14:textId="0C6A170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62%</w:t>
                  </w:r>
                </w:p>
              </w:tc>
            </w:tr>
            <w:tr w:rsidR="00B41E24" w:rsidRPr="00B41E24" w14:paraId="61191F62"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187E41C4" w14:textId="34BF5863"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3EADA916" w14:textId="67039486"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273C8344" w14:textId="4C925D9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57848C1D" w14:textId="32DEB3A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13000828" w14:textId="0F5AFD2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40%</w:t>
                  </w:r>
                </w:p>
              </w:tc>
              <w:tc>
                <w:tcPr>
                  <w:tcW w:w="1149" w:type="dxa"/>
                  <w:tcBorders>
                    <w:top w:val="nil"/>
                    <w:left w:val="nil"/>
                    <w:bottom w:val="single" w:sz="8" w:space="0" w:color="FFFFFF"/>
                    <w:right w:val="single" w:sz="8" w:space="0" w:color="FFFFFF"/>
                  </w:tcBorders>
                  <w:shd w:val="clear" w:color="000000" w:fill="FDE9D9"/>
                  <w:noWrap/>
                  <w:vAlign w:val="center"/>
                  <w:hideMark/>
                </w:tcPr>
                <w:p w14:paraId="0345B549" w14:textId="34BFB5EF"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4486153" w14:textId="33A92542"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07CA82A7" w14:textId="5BD5AE0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0%</w:t>
                  </w:r>
                </w:p>
              </w:tc>
              <w:tc>
                <w:tcPr>
                  <w:tcW w:w="920" w:type="dxa"/>
                  <w:tcBorders>
                    <w:top w:val="nil"/>
                    <w:left w:val="nil"/>
                    <w:bottom w:val="single" w:sz="8" w:space="0" w:color="FFFFFF"/>
                    <w:right w:val="single" w:sz="8" w:space="0" w:color="FFFFFF"/>
                  </w:tcBorders>
                  <w:shd w:val="clear" w:color="000000" w:fill="FDE9D9"/>
                  <w:noWrap/>
                  <w:vAlign w:val="center"/>
                  <w:hideMark/>
                </w:tcPr>
                <w:p w14:paraId="7F02EE72" w14:textId="330DEDA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DE9D9"/>
                  <w:noWrap/>
                  <w:vAlign w:val="center"/>
                  <w:hideMark/>
                </w:tcPr>
                <w:p w14:paraId="2E828AF2" w14:textId="3D547D4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70%</w:t>
                  </w:r>
                </w:p>
              </w:tc>
            </w:tr>
            <w:tr w:rsidR="00B41E24" w:rsidRPr="00B41E24" w14:paraId="60838313"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1BD5D8A8" w14:textId="36CCC9B3"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75E567A4" w14:textId="0B84D55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CC5EAC5" w14:textId="663BFAD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4FCC92DC" w14:textId="3661F86D"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762ACF2C" w14:textId="59FA36B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40%</w:t>
                  </w:r>
                </w:p>
              </w:tc>
              <w:tc>
                <w:tcPr>
                  <w:tcW w:w="1149" w:type="dxa"/>
                  <w:tcBorders>
                    <w:top w:val="nil"/>
                    <w:left w:val="nil"/>
                    <w:bottom w:val="single" w:sz="8" w:space="0" w:color="FFFFFF"/>
                    <w:right w:val="single" w:sz="8" w:space="0" w:color="FFFFFF"/>
                  </w:tcBorders>
                  <w:shd w:val="clear" w:color="000000" w:fill="FCD5B4"/>
                  <w:noWrap/>
                  <w:vAlign w:val="center"/>
                  <w:hideMark/>
                </w:tcPr>
                <w:p w14:paraId="635AAF3D" w14:textId="499187B3"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9019280" w14:textId="4A8EBFF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CD5B4"/>
                  <w:noWrap/>
                  <w:vAlign w:val="center"/>
                  <w:hideMark/>
                </w:tcPr>
                <w:p w14:paraId="3C5DFC16" w14:textId="770D3E1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w:t>
                  </w:r>
                </w:p>
              </w:tc>
              <w:tc>
                <w:tcPr>
                  <w:tcW w:w="920" w:type="dxa"/>
                  <w:tcBorders>
                    <w:top w:val="nil"/>
                    <w:left w:val="nil"/>
                    <w:bottom w:val="single" w:sz="8" w:space="0" w:color="FFFFFF"/>
                    <w:right w:val="single" w:sz="8" w:space="0" w:color="FFFFFF"/>
                  </w:tcBorders>
                  <w:shd w:val="clear" w:color="000000" w:fill="FCD5B4"/>
                  <w:noWrap/>
                  <w:vAlign w:val="center"/>
                  <w:hideMark/>
                </w:tcPr>
                <w:p w14:paraId="7C9CABAF" w14:textId="765B3B10"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CD5B4"/>
                  <w:noWrap/>
                  <w:vAlign w:val="center"/>
                  <w:hideMark/>
                </w:tcPr>
                <w:p w14:paraId="217354A8" w14:textId="0572B23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70%</w:t>
                  </w:r>
                </w:p>
              </w:tc>
            </w:tr>
            <w:tr w:rsidR="00B41E24" w:rsidRPr="00B41E24" w14:paraId="2C298517"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30486C22" w14:textId="44AECB26"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65693455" w14:textId="1F52D11B"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100994DF" w14:textId="1CF62ED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5AA0E961" w14:textId="08AD1B71"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6A261B2F" w14:textId="1BB3464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32%</w:t>
                  </w:r>
                </w:p>
              </w:tc>
              <w:tc>
                <w:tcPr>
                  <w:tcW w:w="1149" w:type="dxa"/>
                  <w:tcBorders>
                    <w:top w:val="nil"/>
                    <w:left w:val="nil"/>
                    <w:bottom w:val="single" w:sz="8" w:space="0" w:color="FFFFFF"/>
                    <w:right w:val="single" w:sz="8" w:space="0" w:color="FFFFFF"/>
                  </w:tcBorders>
                  <w:shd w:val="clear" w:color="000000" w:fill="FDE9D9"/>
                  <w:noWrap/>
                  <w:vAlign w:val="center"/>
                  <w:hideMark/>
                </w:tcPr>
                <w:p w14:paraId="52EDB7F5" w14:textId="29486771" w:rsidR="00B41E24" w:rsidRPr="00B41E24" w:rsidRDefault="00B41E24" w:rsidP="00B41E24">
                  <w:pPr>
                    <w:widowControl/>
                    <w:jc w:val="center"/>
                    <w:rPr>
                      <w:rFonts w:ascii="楷体" w:eastAsia="楷体" w:hAnsi="楷体" w:cs="宋体"/>
                      <w:color w:val="000000"/>
                      <w:kern w:val="0"/>
                      <w:sz w:val="20"/>
                      <w:szCs w:val="20"/>
                    </w:rPr>
                  </w:pPr>
                  <w:r w:rsidRPr="00B41E24">
                    <w:rPr>
                      <w:rFonts w:ascii="楷体" w:eastAsia="楷体" w:hAnsi="楷体" w:hint="eastAsia"/>
                      <w:color w:val="00000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4B722B3" w14:textId="144D294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00BAE7B3" w14:textId="5921E3D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1D577A1F" w14:textId="108C1E6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12%</w:t>
                  </w:r>
                </w:p>
              </w:tc>
              <w:tc>
                <w:tcPr>
                  <w:tcW w:w="920" w:type="dxa"/>
                  <w:tcBorders>
                    <w:top w:val="nil"/>
                    <w:left w:val="nil"/>
                    <w:bottom w:val="single" w:sz="8" w:space="0" w:color="FFFFFF"/>
                    <w:right w:val="single" w:sz="8" w:space="0" w:color="FFFFFF"/>
                  </w:tcBorders>
                  <w:shd w:val="clear" w:color="000000" w:fill="FDE9D9"/>
                  <w:noWrap/>
                  <w:vAlign w:val="center"/>
                  <w:hideMark/>
                </w:tcPr>
                <w:p w14:paraId="3FF4C4AA" w14:textId="78EF8D8F"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67%</w:t>
                  </w:r>
                </w:p>
              </w:tc>
            </w:tr>
            <w:tr w:rsidR="00B41E24" w:rsidRPr="00B41E24" w14:paraId="21DC06D6" w14:textId="77777777" w:rsidTr="00B41E24">
              <w:trPr>
                <w:trHeight w:val="310"/>
              </w:trPr>
              <w:tc>
                <w:tcPr>
                  <w:tcW w:w="1130" w:type="dxa"/>
                  <w:tcBorders>
                    <w:top w:val="nil"/>
                    <w:left w:val="nil"/>
                    <w:bottom w:val="single" w:sz="8" w:space="0" w:color="FFFFFF"/>
                    <w:right w:val="single" w:sz="8" w:space="0" w:color="FFFFFF"/>
                  </w:tcBorders>
                  <w:shd w:val="clear" w:color="000000" w:fill="FCD5B4"/>
                  <w:noWrap/>
                  <w:vAlign w:val="center"/>
                  <w:hideMark/>
                </w:tcPr>
                <w:p w14:paraId="4FE37E8C" w14:textId="157ED043"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657AADBA" w14:textId="045BA88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2E67B5DA" w14:textId="7299981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5BB83AA5" w14:textId="4229FE2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45AEAC99" w14:textId="1C2C956A"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51%</w:t>
                  </w:r>
                </w:p>
              </w:tc>
              <w:tc>
                <w:tcPr>
                  <w:tcW w:w="1149" w:type="dxa"/>
                  <w:tcBorders>
                    <w:top w:val="nil"/>
                    <w:left w:val="nil"/>
                    <w:bottom w:val="single" w:sz="8" w:space="0" w:color="FFFFFF"/>
                    <w:right w:val="single" w:sz="8" w:space="0" w:color="FFFFFF"/>
                  </w:tcBorders>
                  <w:shd w:val="clear" w:color="000000" w:fill="FCD5B4"/>
                  <w:noWrap/>
                  <w:vAlign w:val="center"/>
                  <w:hideMark/>
                </w:tcPr>
                <w:p w14:paraId="59204F8F" w14:textId="6A71E827"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79902F5" w14:textId="7C3CE1E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54133AF5" w14:textId="74FBC46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00C9AD90" w14:textId="3C63904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541417A5" w14:textId="3D49AC3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76%</w:t>
                  </w:r>
                </w:p>
              </w:tc>
            </w:tr>
            <w:tr w:rsidR="00B41E24" w:rsidRPr="00B41E24" w14:paraId="0EA4170B" w14:textId="77777777" w:rsidTr="00B41E24">
              <w:trPr>
                <w:trHeight w:val="310"/>
              </w:trPr>
              <w:tc>
                <w:tcPr>
                  <w:tcW w:w="1130" w:type="dxa"/>
                  <w:tcBorders>
                    <w:top w:val="nil"/>
                    <w:left w:val="nil"/>
                    <w:bottom w:val="single" w:sz="8" w:space="0" w:color="FFFFFF"/>
                    <w:right w:val="single" w:sz="8" w:space="0" w:color="FFFFFF"/>
                  </w:tcBorders>
                  <w:shd w:val="clear" w:color="000000" w:fill="FDE9D9"/>
                  <w:noWrap/>
                  <w:vAlign w:val="center"/>
                  <w:hideMark/>
                </w:tcPr>
                <w:p w14:paraId="10FF0248" w14:textId="50011D41"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22074306" w14:textId="1572B7E2"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0BA2FFDF" w14:textId="748429A9"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DE9D9"/>
                  <w:noWrap/>
                  <w:vAlign w:val="center"/>
                  <w:hideMark/>
                </w:tcPr>
                <w:p w14:paraId="073EB474" w14:textId="4C4BA44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8%</w:t>
                  </w:r>
                </w:p>
              </w:tc>
              <w:tc>
                <w:tcPr>
                  <w:tcW w:w="920" w:type="dxa"/>
                  <w:tcBorders>
                    <w:top w:val="nil"/>
                    <w:left w:val="nil"/>
                    <w:bottom w:val="single" w:sz="8" w:space="0" w:color="FFFFFF"/>
                    <w:right w:val="single" w:sz="8" w:space="0" w:color="FFFFFF"/>
                  </w:tcBorders>
                  <w:shd w:val="clear" w:color="000000" w:fill="FDE9D9"/>
                  <w:noWrap/>
                  <w:vAlign w:val="center"/>
                  <w:hideMark/>
                </w:tcPr>
                <w:p w14:paraId="0B9D8097" w14:textId="7332F43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69%</w:t>
                  </w:r>
                </w:p>
              </w:tc>
              <w:tc>
                <w:tcPr>
                  <w:tcW w:w="1149" w:type="dxa"/>
                  <w:tcBorders>
                    <w:top w:val="nil"/>
                    <w:left w:val="nil"/>
                    <w:bottom w:val="single" w:sz="8" w:space="0" w:color="FFFFFF"/>
                    <w:right w:val="single" w:sz="8" w:space="0" w:color="FFFFFF"/>
                  </w:tcBorders>
                  <w:shd w:val="clear" w:color="000000" w:fill="FDE9D9"/>
                  <w:noWrap/>
                  <w:vAlign w:val="center"/>
                  <w:hideMark/>
                </w:tcPr>
                <w:p w14:paraId="345AC80B" w14:textId="1E206B60"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9B927C3" w14:textId="690C3CCC"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4%</w:t>
                  </w:r>
                </w:p>
              </w:tc>
              <w:tc>
                <w:tcPr>
                  <w:tcW w:w="920" w:type="dxa"/>
                  <w:tcBorders>
                    <w:top w:val="nil"/>
                    <w:left w:val="nil"/>
                    <w:bottom w:val="single" w:sz="8" w:space="0" w:color="FFFFFF"/>
                    <w:right w:val="single" w:sz="8" w:space="0" w:color="FFFFFF"/>
                  </w:tcBorders>
                  <w:shd w:val="clear" w:color="000000" w:fill="FDE9D9"/>
                  <w:noWrap/>
                  <w:vAlign w:val="center"/>
                  <w:hideMark/>
                </w:tcPr>
                <w:p w14:paraId="6F372E8A" w14:textId="386BD5A4"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DE9D9"/>
                  <w:noWrap/>
                  <w:vAlign w:val="center"/>
                  <w:hideMark/>
                </w:tcPr>
                <w:p w14:paraId="33016802" w14:textId="585061B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17%</w:t>
                  </w:r>
                </w:p>
              </w:tc>
              <w:tc>
                <w:tcPr>
                  <w:tcW w:w="920" w:type="dxa"/>
                  <w:tcBorders>
                    <w:top w:val="nil"/>
                    <w:left w:val="nil"/>
                    <w:bottom w:val="single" w:sz="8" w:space="0" w:color="FFFFFF"/>
                    <w:right w:val="single" w:sz="8" w:space="0" w:color="FFFFFF"/>
                  </w:tcBorders>
                  <w:shd w:val="clear" w:color="000000" w:fill="FFC7CE"/>
                  <w:noWrap/>
                  <w:vAlign w:val="center"/>
                  <w:hideMark/>
                </w:tcPr>
                <w:p w14:paraId="57FFE293" w14:textId="2AAB30B9" w:rsidR="00B41E24" w:rsidRPr="00B41E24" w:rsidRDefault="00B41E24" w:rsidP="00B41E24">
                  <w:pPr>
                    <w:widowControl/>
                    <w:jc w:val="center"/>
                    <w:rPr>
                      <w:rFonts w:eastAsia="等线" w:cs="Calibri"/>
                      <w:color w:val="9C0006"/>
                      <w:kern w:val="0"/>
                      <w:szCs w:val="21"/>
                    </w:rPr>
                  </w:pPr>
                  <w:r w:rsidRPr="00B41E24">
                    <w:rPr>
                      <w:rFonts w:eastAsia="等线" w:cs="Calibri"/>
                      <w:color w:val="9C0006"/>
                      <w:szCs w:val="21"/>
                    </w:rPr>
                    <w:t>91%</w:t>
                  </w:r>
                </w:p>
              </w:tc>
            </w:tr>
            <w:tr w:rsidR="00B41E24" w:rsidRPr="00B41E24" w14:paraId="72207D52" w14:textId="77777777" w:rsidTr="00B41E24">
              <w:trPr>
                <w:trHeight w:val="310"/>
              </w:trPr>
              <w:tc>
                <w:tcPr>
                  <w:tcW w:w="1130" w:type="dxa"/>
                  <w:tcBorders>
                    <w:top w:val="nil"/>
                    <w:left w:val="nil"/>
                    <w:bottom w:val="nil"/>
                    <w:right w:val="nil"/>
                  </w:tcBorders>
                  <w:shd w:val="clear" w:color="000000" w:fill="FCD5B4"/>
                  <w:noWrap/>
                  <w:vAlign w:val="center"/>
                  <w:hideMark/>
                </w:tcPr>
                <w:p w14:paraId="4814BB37" w14:textId="308DDF82"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5E5F0BFD" w14:textId="7EAA4A6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7F5BCF09" w14:textId="156D6BD8"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00227C37" w14:textId="1E653E67"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46040BD8" w14:textId="023DEDC5"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65%</w:t>
                  </w:r>
                </w:p>
              </w:tc>
              <w:tc>
                <w:tcPr>
                  <w:tcW w:w="1149" w:type="dxa"/>
                  <w:tcBorders>
                    <w:top w:val="nil"/>
                    <w:left w:val="nil"/>
                    <w:bottom w:val="nil"/>
                    <w:right w:val="nil"/>
                  </w:tcBorders>
                  <w:shd w:val="clear" w:color="000000" w:fill="FCD5B4"/>
                  <w:noWrap/>
                  <w:vAlign w:val="center"/>
                  <w:hideMark/>
                </w:tcPr>
                <w:p w14:paraId="24472A59" w14:textId="0A67EDB4" w:rsidR="00B41E24" w:rsidRPr="00B41E24" w:rsidRDefault="00B41E24" w:rsidP="00B41E24">
                  <w:pPr>
                    <w:widowControl/>
                    <w:jc w:val="center"/>
                    <w:rPr>
                      <w:rFonts w:ascii="楷体" w:eastAsia="楷体" w:hAnsi="楷体" w:cs="宋体"/>
                      <w:color w:val="000000"/>
                      <w:kern w:val="0"/>
                      <w:sz w:val="20"/>
                      <w:szCs w:val="20"/>
                    </w:rPr>
                  </w:pPr>
                  <w:proofErr w:type="gramStart"/>
                  <w:r w:rsidRPr="00B41E24">
                    <w:rPr>
                      <w:rFonts w:ascii="楷体" w:eastAsia="楷体" w:hAnsi="楷体" w:hint="eastAsia"/>
                      <w:color w:val="000000"/>
                      <w:sz w:val="20"/>
                      <w:szCs w:val="20"/>
                    </w:rPr>
                    <w:t>城投债</w:t>
                  </w:r>
                  <w:proofErr w:type="gramEnd"/>
                  <w:r w:rsidRPr="00B41E24">
                    <w:rPr>
                      <w:rFonts w:ascii="楷体" w:eastAsia="楷体" w:hAnsi="楷体" w:hint="eastAsia"/>
                      <w:color w:val="00000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9306821" w14:textId="1244C342"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6%</w:t>
                  </w:r>
                </w:p>
              </w:tc>
              <w:tc>
                <w:tcPr>
                  <w:tcW w:w="920" w:type="dxa"/>
                  <w:tcBorders>
                    <w:top w:val="nil"/>
                    <w:left w:val="nil"/>
                    <w:bottom w:val="single" w:sz="8" w:space="0" w:color="FFFFFF"/>
                    <w:right w:val="single" w:sz="8" w:space="0" w:color="FFFFFF"/>
                  </w:tcBorders>
                  <w:shd w:val="clear" w:color="000000" w:fill="FCD5B4"/>
                  <w:noWrap/>
                  <w:vAlign w:val="center"/>
                  <w:hideMark/>
                </w:tcPr>
                <w:p w14:paraId="3117A4FD" w14:textId="66CADD23"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73214012" w14:textId="005BB7BE" w:rsidR="00B41E24" w:rsidRPr="00B41E24" w:rsidRDefault="00B41E24" w:rsidP="00B41E24">
                  <w:pPr>
                    <w:widowControl/>
                    <w:jc w:val="center"/>
                    <w:rPr>
                      <w:rFonts w:eastAsia="等线" w:cs="Calibri"/>
                      <w:color w:val="000000"/>
                      <w:kern w:val="0"/>
                      <w:szCs w:val="21"/>
                    </w:rPr>
                  </w:pPr>
                  <w:r w:rsidRPr="00B41E24">
                    <w:rPr>
                      <w:rFonts w:eastAsia="等线" w:cs="Calibri"/>
                      <w:color w:val="000000"/>
                      <w:szCs w:val="21"/>
                    </w:rPr>
                    <w:t>14%</w:t>
                  </w:r>
                </w:p>
              </w:tc>
              <w:tc>
                <w:tcPr>
                  <w:tcW w:w="920" w:type="dxa"/>
                  <w:tcBorders>
                    <w:top w:val="nil"/>
                    <w:left w:val="nil"/>
                    <w:bottom w:val="single" w:sz="8" w:space="0" w:color="FFFFFF"/>
                    <w:right w:val="single" w:sz="8" w:space="0" w:color="FFFFFF"/>
                  </w:tcBorders>
                  <w:shd w:val="clear" w:color="000000" w:fill="FFC7CE"/>
                  <w:noWrap/>
                  <w:vAlign w:val="center"/>
                  <w:hideMark/>
                </w:tcPr>
                <w:p w14:paraId="5DA3DB4A" w14:textId="1AA4033B" w:rsidR="00B41E24" w:rsidRPr="00B41E24" w:rsidRDefault="00B41E24" w:rsidP="00B41E24">
                  <w:pPr>
                    <w:widowControl/>
                    <w:jc w:val="center"/>
                    <w:rPr>
                      <w:rFonts w:eastAsia="等线" w:cs="Calibri"/>
                      <w:color w:val="9C0006"/>
                      <w:kern w:val="0"/>
                      <w:szCs w:val="21"/>
                    </w:rPr>
                  </w:pPr>
                  <w:r w:rsidRPr="00B41E24">
                    <w:rPr>
                      <w:rFonts w:eastAsia="等线" w:cs="Calibri"/>
                      <w:color w:val="9C0006"/>
                      <w:szCs w:val="21"/>
                    </w:rPr>
                    <w:t>87%</w:t>
                  </w:r>
                </w:p>
              </w:tc>
            </w:tr>
          </w:tbl>
          <w:p w14:paraId="446C7D6E" w14:textId="294F6511" w:rsidR="00E0626C" w:rsidRPr="00B41E24" w:rsidRDefault="00E0626C" w:rsidP="0092340D">
            <w:pPr>
              <w:rPr>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2D403D4F" w14:textId="78A4441C" w:rsidR="00E0626C" w:rsidRPr="00CD2B4D" w:rsidRDefault="00E0626C" w:rsidP="009A2BA0">
      <w:pPr>
        <w:pStyle w:val="Header2"/>
        <w:rPr>
          <w:rFonts w:eastAsia="PMingLiU"/>
          <w:sz w:val="28"/>
          <w:szCs w:val="21"/>
          <w:lang w:eastAsia="zh-CN"/>
        </w:rPr>
      </w:pPr>
      <w:r w:rsidRPr="00CD2B4D">
        <w:rPr>
          <w:sz w:val="28"/>
          <w:szCs w:val="21"/>
          <w:lang w:eastAsia="zh-CN"/>
        </w:rPr>
        <w:t>4</w:t>
      </w:r>
      <w:r w:rsidRPr="00CD2B4D">
        <w:rPr>
          <w:rFonts w:hint="eastAsia"/>
          <w:sz w:val="28"/>
          <w:szCs w:val="21"/>
          <w:lang w:eastAsia="zh-CN"/>
        </w:rPr>
        <w:t>、</w:t>
      </w:r>
      <w:r w:rsidRPr="00CD2B4D">
        <w:rPr>
          <w:rFonts w:hint="eastAsia"/>
          <w:sz w:val="28"/>
          <w:szCs w:val="21"/>
        </w:rPr>
        <w:t>可转债</w:t>
      </w:r>
    </w:p>
    <w:p w14:paraId="526CD45E" w14:textId="6A7C1F5D" w:rsidR="00C37204" w:rsidRPr="00500BB1" w:rsidRDefault="003926C0" w:rsidP="00416C5F">
      <w:pPr>
        <w:pStyle w:val="Body-text"/>
        <w:spacing w:after="240"/>
        <w:ind w:firstLineChars="200" w:firstLine="480"/>
        <w:rPr>
          <w:rFonts w:ascii="华文楷体" w:hAnsi="华文楷体"/>
          <w:sz w:val="24"/>
          <w:szCs w:val="24"/>
          <w:highlight w:val="yellow"/>
          <w:lang w:eastAsia="zh-CN"/>
        </w:rPr>
      </w:pPr>
      <w:r w:rsidRPr="00CD2B4D">
        <w:rPr>
          <w:rFonts w:ascii="华文楷体" w:hAnsi="华文楷体" w:hint="eastAsia"/>
          <w:sz w:val="24"/>
          <w:szCs w:val="24"/>
          <w:lang w:eastAsia="zh-CN"/>
        </w:rPr>
        <w:t>权益市场</w:t>
      </w:r>
      <w:r w:rsidR="005437B0" w:rsidRPr="00CD2B4D">
        <w:rPr>
          <w:rFonts w:ascii="华文楷体" w:hAnsi="华文楷体" w:hint="eastAsia"/>
          <w:sz w:val="24"/>
          <w:szCs w:val="24"/>
          <w:lang w:eastAsia="zh-CN"/>
        </w:rPr>
        <w:t>，</w:t>
      </w:r>
      <w:r w:rsidR="00980B5C" w:rsidRPr="00CD2B4D">
        <w:rPr>
          <w:rFonts w:ascii="华文楷体" w:hAnsi="华文楷体" w:hint="eastAsia"/>
          <w:sz w:val="24"/>
          <w:szCs w:val="24"/>
          <w:lang w:eastAsia="zh-CN"/>
        </w:rPr>
        <w:t>各主要板块指数</w:t>
      </w:r>
      <w:r w:rsidR="00CD2B4D" w:rsidRPr="00CD2B4D">
        <w:rPr>
          <w:rFonts w:ascii="华文楷体" w:hAnsi="华文楷体" w:hint="eastAsia"/>
          <w:sz w:val="24"/>
          <w:szCs w:val="24"/>
          <w:lang w:eastAsia="zh-CN"/>
        </w:rPr>
        <w:t>大幅调整</w:t>
      </w:r>
      <w:r w:rsidR="00657F44" w:rsidRPr="00CD2B4D">
        <w:rPr>
          <w:rFonts w:ascii="华文楷体" w:hAnsi="华文楷体" w:hint="eastAsia"/>
          <w:sz w:val="24"/>
          <w:szCs w:val="24"/>
          <w:lang w:eastAsia="zh-CN"/>
        </w:rPr>
        <w:t>，多数成交量</w:t>
      </w:r>
      <w:r w:rsidR="00CD2B4D" w:rsidRPr="00CD2B4D">
        <w:rPr>
          <w:rFonts w:ascii="华文楷体" w:hAnsi="华文楷体" w:hint="eastAsia"/>
          <w:sz w:val="24"/>
          <w:szCs w:val="24"/>
          <w:lang w:eastAsia="zh-CN"/>
        </w:rPr>
        <w:t>环比</w:t>
      </w:r>
      <w:r w:rsidR="00EA1B8C" w:rsidRPr="00CD2B4D">
        <w:rPr>
          <w:rFonts w:ascii="华文楷体" w:hAnsi="华文楷体" w:hint="eastAsia"/>
          <w:sz w:val="24"/>
          <w:szCs w:val="24"/>
          <w:lang w:eastAsia="zh-CN"/>
        </w:rPr>
        <w:t>扩张</w:t>
      </w:r>
      <w:r w:rsidR="00980B5C" w:rsidRPr="00CD2B4D">
        <w:rPr>
          <w:rFonts w:ascii="华文楷体" w:hAnsi="华文楷体" w:hint="eastAsia"/>
          <w:sz w:val="24"/>
          <w:szCs w:val="24"/>
          <w:lang w:eastAsia="zh-CN"/>
        </w:rPr>
        <w:t>。</w:t>
      </w:r>
      <w:r w:rsidR="00397D67" w:rsidRPr="00CD2B4D">
        <w:rPr>
          <w:rFonts w:ascii="华文楷体" w:hAnsi="华文楷体" w:hint="eastAsia"/>
          <w:sz w:val="24"/>
          <w:szCs w:val="24"/>
          <w:lang w:eastAsia="zh-CN"/>
        </w:rPr>
        <w:t>市场表现，上证综指、创业板指、上证50和沪深300表现分别为-4.3%、-0.9</w:t>
      </w:r>
      <w:r w:rsidR="00367F03">
        <w:rPr>
          <w:rFonts w:ascii="华文楷体" w:hAnsi="华文楷体" w:hint="eastAsia"/>
          <w:sz w:val="24"/>
          <w:szCs w:val="24"/>
          <w:lang w:eastAsia="zh-CN"/>
        </w:rPr>
        <w:t>%</w:t>
      </w:r>
      <w:r w:rsidR="00397D67" w:rsidRPr="00CD2B4D">
        <w:rPr>
          <w:rFonts w:ascii="华文楷体" w:hAnsi="华文楷体" w:hint="eastAsia"/>
          <w:sz w:val="24"/>
          <w:szCs w:val="24"/>
          <w:lang w:eastAsia="zh-CN"/>
        </w:rPr>
        <w:t>、-6.7%和-5.5%。中</w:t>
      </w:r>
      <w:proofErr w:type="gramStart"/>
      <w:r w:rsidR="00397D67" w:rsidRPr="00CD2B4D">
        <w:rPr>
          <w:rFonts w:ascii="华文楷体" w:hAnsi="华文楷体" w:hint="eastAsia"/>
          <w:sz w:val="24"/>
          <w:szCs w:val="24"/>
          <w:lang w:eastAsia="zh-CN"/>
        </w:rPr>
        <w:t>证转债指数</w:t>
      </w:r>
      <w:proofErr w:type="gramEnd"/>
      <w:r w:rsidR="00397D67" w:rsidRPr="00CD2B4D">
        <w:rPr>
          <w:rFonts w:ascii="华文楷体" w:hAnsi="华文楷体" w:hint="eastAsia"/>
          <w:sz w:val="24"/>
          <w:szCs w:val="24"/>
          <w:lang w:eastAsia="zh-CN"/>
        </w:rPr>
        <w:t>下跌0.9%。</w:t>
      </w:r>
      <w:r w:rsidR="00EA1B8C" w:rsidRPr="00CD2B4D">
        <w:rPr>
          <w:rFonts w:ascii="华文楷体" w:hAnsi="华文楷体" w:hint="eastAsia"/>
          <w:sz w:val="24"/>
          <w:szCs w:val="24"/>
          <w:lang w:eastAsia="zh-CN"/>
        </w:rPr>
        <w:t>策略</w:t>
      </w:r>
      <w:r w:rsidR="00A045C5" w:rsidRPr="00CD2B4D">
        <w:rPr>
          <w:rFonts w:ascii="华文楷体" w:hAnsi="华文楷体" w:hint="eastAsia"/>
          <w:sz w:val="24"/>
          <w:szCs w:val="24"/>
          <w:lang w:eastAsia="zh-CN"/>
        </w:rPr>
        <w:t>上，</w:t>
      </w:r>
      <w:r w:rsidR="00EA1B8C" w:rsidRPr="00CD2B4D">
        <w:rPr>
          <w:rFonts w:ascii="华文楷体" w:hAnsi="华文楷体" w:hint="eastAsia"/>
          <w:sz w:val="24"/>
          <w:szCs w:val="24"/>
          <w:lang w:eastAsia="zh-CN"/>
        </w:rPr>
        <w:t>优选中报高景气与</w:t>
      </w:r>
      <w:proofErr w:type="gramStart"/>
      <w:r w:rsidR="00EA1B8C" w:rsidRPr="00CD2B4D">
        <w:rPr>
          <w:rFonts w:ascii="华文楷体" w:hAnsi="华文楷体" w:hint="eastAsia"/>
          <w:sz w:val="24"/>
          <w:szCs w:val="24"/>
          <w:lang w:eastAsia="zh-CN"/>
        </w:rPr>
        <w:t>转债性价</w:t>
      </w:r>
      <w:proofErr w:type="gramEnd"/>
      <w:r w:rsidR="00EA1B8C" w:rsidRPr="00CD2B4D">
        <w:rPr>
          <w:rFonts w:ascii="华文楷体" w:hAnsi="华文楷体" w:hint="eastAsia"/>
          <w:sz w:val="24"/>
          <w:szCs w:val="24"/>
          <w:lang w:eastAsia="zh-CN"/>
        </w:rPr>
        <w:t>比兼具的存量品种。</w:t>
      </w:r>
      <w:r w:rsidR="00AD377D" w:rsidRPr="00CD2B4D">
        <w:rPr>
          <w:rFonts w:ascii="华文楷体" w:hAnsi="华文楷体" w:hint="eastAsia"/>
          <w:sz w:val="24"/>
          <w:szCs w:val="24"/>
          <w:lang w:eastAsia="zh-CN"/>
        </w:rPr>
        <w:t>转债市场整体估值已达近年高点水平，部分优质</w:t>
      </w:r>
      <w:proofErr w:type="gramStart"/>
      <w:r w:rsidR="00AD377D" w:rsidRPr="00CD2B4D">
        <w:rPr>
          <w:rFonts w:ascii="华文楷体" w:hAnsi="华文楷体" w:hint="eastAsia"/>
          <w:sz w:val="24"/>
          <w:szCs w:val="24"/>
          <w:lang w:eastAsia="zh-CN"/>
        </w:rPr>
        <w:t>个券</w:t>
      </w:r>
      <w:proofErr w:type="gramEnd"/>
      <w:r w:rsidR="00AD377D" w:rsidRPr="00CD2B4D">
        <w:rPr>
          <w:rFonts w:ascii="华文楷体" w:hAnsi="华文楷体" w:hint="eastAsia"/>
          <w:sz w:val="24"/>
          <w:szCs w:val="24"/>
          <w:lang w:eastAsia="zh-CN"/>
        </w:rPr>
        <w:t>已适度透支正股未来涨幅，关注整体市场面临调整</w:t>
      </w:r>
      <w:proofErr w:type="gramStart"/>
      <w:r w:rsidR="00AD377D" w:rsidRPr="00CD2B4D">
        <w:rPr>
          <w:rFonts w:ascii="华文楷体" w:hAnsi="华文楷体" w:hint="eastAsia"/>
          <w:sz w:val="24"/>
          <w:szCs w:val="24"/>
          <w:lang w:eastAsia="zh-CN"/>
        </w:rPr>
        <w:t>时板块</w:t>
      </w:r>
      <w:proofErr w:type="gramEnd"/>
      <w:r w:rsidR="00AD377D" w:rsidRPr="00CD2B4D">
        <w:rPr>
          <w:rFonts w:ascii="华文楷体" w:hAnsi="华文楷体" w:hint="eastAsia"/>
          <w:sz w:val="24"/>
          <w:szCs w:val="24"/>
          <w:lang w:eastAsia="zh-CN"/>
        </w:rPr>
        <w:t>可能受到的波动风险。</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lastRenderedPageBreak/>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397D67">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21948F5D">
                  <wp:extent cx="3050133" cy="1936013"/>
                  <wp:effectExtent l="0" t="0" r="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3"/>
                          <a:stretch>
                            <a:fillRect/>
                          </a:stretch>
                        </pic:blipFill>
                        <pic:spPr bwMode="auto">
                          <a:xfrm>
                            <a:off x="0" y="0"/>
                            <a:ext cx="3050133" cy="1936013"/>
                          </a:xfrm>
                          <a:prstGeom prst="rect">
                            <a:avLst/>
                          </a:prstGeom>
                          <a:noFill/>
                          <a:ln>
                            <a:noFill/>
                          </a:ln>
                        </pic:spPr>
                      </pic:pic>
                    </a:graphicData>
                  </a:graphic>
                </wp:inline>
              </w:drawing>
            </w:r>
          </w:p>
        </w:tc>
        <w:tc>
          <w:tcPr>
            <w:tcW w:w="4938" w:type="dxa"/>
            <w:vAlign w:val="center"/>
          </w:tcPr>
          <w:p w14:paraId="39BD4383" w14:textId="69945E14" w:rsidR="00E0626C" w:rsidRPr="009864B5" w:rsidRDefault="00397D67" w:rsidP="009A2BA0">
            <w:pPr>
              <w:jc w:val="center"/>
              <w:rPr>
                <w:noProof/>
                <w:szCs w:val="18"/>
              </w:rPr>
            </w:pPr>
            <w:r w:rsidRPr="009864B5">
              <w:rPr>
                <w:noProof/>
              </w:rPr>
              <w:drawing>
                <wp:inline distT="0" distB="0" distL="0" distR="0" wp14:anchorId="7BEA2637" wp14:editId="6E4B8F51">
                  <wp:extent cx="2998470" cy="1847215"/>
                  <wp:effectExtent l="0" t="0" r="0" b="635"/>
                  <wp:docPr id="23" name="图表 2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791E1D5-F57D-4E57-BC67-FF0E01F678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153B6387" w:rsidR="00E0626C" w:rsidRPr="009864B5" w:rsidRDefault="00E0626C" w:rsidP="009A2BA0">
      <w:pPr>
        <w:pStyle w:val="Body-text"/>
        <w:spacing w:after="0"/>
        <w:rPr>
          <w:lang w:eastAsia="zh-CN"/>
        </w:rPr>
      </w:pPr>
    </w:p>
    <w:p w14:paraId="721DD2C0" w14:textId="02AF1313"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E0626C" w:rsidRPr="009864B5">
        <w:rPr>
          <w:rFonts w:hint="eastAsia"/>
          <w:color w:val="C45911" w:themeColor="accent2" w:themeShade="BF"/>
        </w:rPr>
        <w:t>本周市场展望</w:t>
      </w:r>
    </w:p>
    <w:p w14:paraId="5ACEDF53" w14:textId="44718DE6" w:rsidR="00963D43" w:rsidRPr="009864B5" w:rsidRDefault="00FF7903" w:rsidP="009A2BA0">
      <w:pPr>
        <w:pStyle w:val="Header2"/>
        <w:rPr>
          <w:rFonts w:eastAsia="PMingLiU"/>
          <w:sz w:val="28"/>
          <w:szCs w:val="21"/>
        </w:rPr>
      </w:pPr>
      <w:r w:rsidRPr="009864B5">
        <w:rPr>
          <w:rFonts w:hint="eastAsia"/>
          <w:sz w:val="28"/>
          <w:szCs w:val="21"/>
          <w:lang w:eastAsia="zh-CN"/>
        </w:rPr>
        <w:t>1</w:t>
      </w:r>
      <w:r w:rsidRPr="009864B5">
        <w:rPr>
          <w:rFonts w:hint="eastAsia"/>
          <w:sz w:val="28"/>
          <w:szCs w:val="21"/>
          <w:lang w:eastAsia="zh-CN"/>
        </w:rPr>
        <w:t>、</w:t>
      </w:r>
      <w:r w:rsidR="00E0626C" w:rsidRPr="009864B5">
        <w:rPr>
          <w:rFonts w:hint="eastAsia"/>
          <w:sz w:val="28"/>
          <w:szCs w:val="21"/>
        </w:rPr>
        <w:t>基本面变化</w:t>
      </w:r>
    </w:p>
    <w:p w14:paraId="6DA6200C" w14:textId="7F3EACFE" w:rsidR="004C3E2B" w:rsidRPr="004C3E2B" w:rsidRDefault="00E34B22" w:rsidP="004C3E2B">
      <w:pPr>
        <w:pStyle w:val="Body-text"/>
        <w:ind w:firstLineChars="200" w:firstLine="480"/>
        <w:rPr>
          <w:rFonts w:ascii="华文楷体" w:hAnsi="华文楷体"/>
          <w:sz w:val="24"/>
          <w:szCs w:val="24"/>
          <w:lang w:eastAsia="zh-CN"/>
        </w:rPr>
      </w:pPr>
      <w:r w:rsidRPr="004C3E2B">
        <w:rPr>
          <w:rFonts w:ascii="华文楷体" w:hAnsi="华文楷体" w:hint="eastAsia"/>
          <w:b/>
          <w:bCs/>
          <w:sz w:val="24"/>
          <w:szCs w:val="24"/>
          <w:lang w:eastAsia="zh-CN"/>
        </w:rPr>
        <w:t>生产</w:t>
      </w:r>
      <w:r w:rsidR="00CC2F5D" w:rsidRPr="004C3E2B">
        <w:rPr>
          <w:rFonts w:ascii="华文楷体" w:hAnsi="华文楷体" w:hint="eastAsia"/>
          <w:b/>
          <w:bCs/>
          <w:sz w:val="24"/>
          <w:szCs w:val="24"/>
          <w:lang w:eastAsia="zh-CN"/>
        </w:rPr>
        <w:t>：</w:t>
      </w:r>
      <w:r w:rsidR="004C3E2B" w:rsidRPr="004C3E2B">
        <w:rPr>
          <w:rFonts w:ascii="华文楷体" w:hAnsi="华文楷体" w:hint="eastAsia"/>
          <w:sz w:val="24"/>
          <w:szCs w:val="24"/>
          <w:lang w:eastAsia="zh-CN"/>
        </w:rPr>
        <w:t xml:space="preserve">钢厂生产方面，上周全国和唐山的高炉开工率小幅下降，全国高炉开工率为 57.04%，较前值下跌 0.56 </w:t>
      </w:r>
      <w:proofErr w:type="gramStart"/>
      <w:r w:rsidR="004C3E2B" w:rsidRPr="004C3E2B">
        <w:rPr>
          <w:rFonts w:ascii="华文楷体" w:hAnsi="华文楷体" w:hint="eastAsia"/>
          <w:sz w:val="24"/>
          <w:szCs w:val="24"/>
          <w:lang w:eastAsia="zh-CN"/>
        </w:rPr>
        <w:t>个</w:t>
      </w:r>
      <w:proofErr w:type="gramEnd"/>
      <w:r w:rsidR="004C3E2B" w:rsidRPr="004C3E2B">
        <w:rPr>
          <w:rFonts w:ascii="华文楷体" w:hAnsi="华文楷体" w:hint="eastAsia"/>
          <w:sz w:val="24"/>
          <w:szCs w:val="24"/>
          <w:lang w:eastAsia="zh-CN"/>
        </w:rPr>
        <w:t xml:space="preserve">百分点。唐山高炉开工率环比减少 1.59个百分点，报 50.79%，产能利用率略降 0.91 </w:t>
      </w:r>
      <w:proofErr w:type="gramStart"/>
      <w:r w:rsidR="004C3E2B" w:rsidRPr="004C3E2B">
        <w:rPr>
          <w:rFonts w:ascii="华文楷体" w:hAnsi="华文楷体" w:hint="eastAsia"/>
          <w:sz w:val="24"/>
          <w:szCs w:val="24"/>
          <w:lang w:eastAsia="zh-CN"/>
        </w:rPr>
        <w:t>个</w:t>
      </w:r>
      <w:proofErr w:type="gramEnd"/>
      <w:r w:rsidR="004C3E2B" w:rsidRPr="004C3E2B">
        <w:rPr>
          <w:rFonts w:ascii="华文楷体" w:hAnsi="华文楷体" w:hint="eastAsia"/>
          <w:sz w:val="24"/>
          <w:szCs w:val="24"/>
          <w:lang w:eastAsia="zh-CN"/>
        </w:rPr>
        <w:t>百分点，报 64.27%。</w:t>
      </w:r>
    </w:p>
    <w:p w14:paraId="0FAD938F" w14:textId="53F28B05" w:rsidR="004C3E2B" w:rsidRPr="004C3E2B" w:rsidRDefault="004C3E2B" w:rsidP="0007254B">
      <w:pPr>
        <w:pStyle w:val="Body-text"/>
        <w:ind w:firstLineChars="200" w:firstLine="480"/>
        <w:rPr>
          <w:rFonts w:ascii="华文楷体" w:hAnsi="华文楷体"/>
          <w:sz w:val="24"/>
          <w:szCs w:val="24"/>
          <w:lang w:eastAsia="zh-CN"/>
        </w:rPr>
      </w:pPr>
      <w:r w:rsidRPr="004C3E2B">
        <w:rPr>
          <w:rFonts w:ascii="华文楷体" w:hAnsi="华文楷体" w:hint="eastAsia"/>
          <w:sz w:val="24"/>
          <w:szCs w:val="24"/>
          <w:lang w:eastAsia="zh-CN"/>
        </w:rPr>
        <w:t>汽车轮胎开工率</w:t>
      </w:r>
      <w:r w:rsidR="00367F03">
        <w:rPr>
          <w:rFonts w:ascii="华文楷体" w:hAnsi="华文楷体" w:hint="eastAsia"/>
          <w:sz w:val="24"/>
          <w:szCs w:val="24"/>
          <w:lang w:eastAsia="zh-CN"/>
        </w:rPr>
        <w:t>上</w:t>
      </w:r>
      <w:r w:rsidRPr="004C3E2B">
        <w:rPr>
          <w:rFonts w:ascii="华文楷体" w:hAnsi="华文楷体" w:hint="eastAsia"/>
          <w:sz w:val="24"/>
          <w:szCs w:val="24"/>
          <w:lang w:eastAsia="zh-CN"/>
        </w:rPr>
        <w:t>周环比回落，半钢胎和全钢</w:t>
      </w:r>
      <w:proofErr w:type="gramStart"/>
      <w:r w:rsidRPr="004C3E2B">
        <w:rPr>
          <w:rFonts w:ascii="华文楷体" w:hAnsi="华文楷体" w:hint="eastAsia"/>
          <w:sz w:val="24"/>
          <w:szCs w:val="24"/>
          <w:lang w:eastAsia="zh-CN"/>
        </w:rPr>
        <w:t>胎</w:t>
      </w:r>
      <w:proofErr w:type="gramEnd"/>
      <w:r w:rsidRPr="004C3E2B">
        <w:rPr>
          <w:rFonts w:ascii="华文楷体" w:hAnsi="华文楷体" w:hint="eastAsia"/>
          <w:sz w:val="24"/>
          <w:szCs w:val="24"/>
          <w:lang w:eastAsia="zh-CN"/>
        </w:rPr>
        <w:t xml:space="preserve">分别环比下降 1.63 和 1.32 </w:t>
      </w:r>
      <w:proofErr w:type="gramStart"/>
      <w:r w:rsidRPr="004C3E2B">
        <w:rPr>
          <w:rFonts w:ascii="华文楷体" w:hAnsi="华文楷体" w:hint="eastAsia"/>
          <w:sz w:val="24"/>
          <w:szCs w:val="24"/>
          <w:lang w:eastAsia="zh-CN"/>
        </w:rPr>
        <w:t>个</w:t>
      </w:r>
      <w:proofErr w:type="gramEnd"/>
      <w:r w:rsidRPr="004C3E2B">
        <w:rPr>
          <w:rFonts w:ascii="华文楷体" w:hAnsi="华文楷体" w:hint="eastAsia"/>
          <w:sz w:val="24"/>
          <w:szCs w:val="24"/>
          <w:lang w:eastAsia="zh-CN"/>
        </w:rPr>
        <w:t>百分点，主要由于设备检修结束后，开工提升速度缓慢，加之</w:t>
      </w:r>
      <w:r w:rsidR="00367F03">
        <w:rPr>
          <w:rFonts w:ascii="华文楷体" w:hAnsi="华文楷体" w:hint="eastAsia"/>
          <w:sz w:val="24"/>
          <w:szCs w:val="24"/>
          <w:lang w:eastAsia="zh-CN"/>
        </w:rPr>
        <w:t>上</w:t>
      </w:r>
      <w:r w:rsidRPr="004C3E2B">
        <w:rPr>
          <w:rFonts w:ascii="华文楷体" w:hAnsi="华文楷体" w:hint="eastAsia"/>
          <w:sz w:val="24"/>
          <w:szCs w:val="24"/>
          <w:lang w:eastAsia="zh-CN"/>
        </w:rPr>
        <w:t>周受到暴雨影响，河南地区部分工厂有 2 天左右停工的现象。</w:t>
      </w:r>
    </w:p>
    <w:p w14:paraId="7977AD42" w14:textId="433B8109" w:rsidR="004C3E2B" w:rsidRDefault="004C3E2B" w:rsidP="0007254B">
      <w:pPr>
        <w:pStyle w:val="Body-text"/>
        <w:ind w:firstLineChars="200" w:firstLine="480"/>
        <w:rPr>
          <w:rFonts w:ascii="华文楷体" w:hAnsi="华文楷体"/>
          <w:sz w:val="24"/>
          <w:szCs w:val="24"/>
          <w:lang w:eastAsia="zh-CN"/>
        </w:rPr>
      </w:pPr>
      <w:r w:rsidRPr="004C3E2B">
        <w:rPr>
          <w:rFonts w:ascii="华文楷体" w:hAnsi="华文楷体" w:hint="eastAsia"/>
          <w:sz w:val="24"/>
          <w:szCs w:val="24"/>
          <w:lang w:eastAsia="zh-CN"/>
        </w:rPr>
        <w:t xml:space="preserve">化工方面，PX 开工率仍保持小幅下降趋势，环比下降 0.06 </w:t>
      </w:r>
      <w:proofErr w:type="gramStart"/>
      <w:r w:rsidRPr="004C3E2B">
        <w:rPr>
          <w:rFonts w:ascii="华文楷体" w:hAnsi="华文楷体" w:hint="eastAsia"/>
          <w:sz w:val="24"/>
          <w:szCs w:val="24"/>
          <w:lang w:eastAsia="zh-CN"/>
        </w:rPr>
        <w:t>个</w:t>
      </w:r>
      <w:proofErr w:type="gramEnd"/>
      <w:r w:rsidRPr="004C3E2B">
        <w:rPr>
          <w:rFonts w:ascii="华文楷体" w:hAnsi="华文楷体" w:hint="eastAsia"/>
          <w:sz w:val="24"/>
          <w:szCs w:val="24"/>
          <w:lang w:eastAsia="zh-CN"/>
        </w:rPr>
        <w:t xml:space="preserve">百分点，报 86.06%。PTA 开工率环比下降5.20 </w:t>
      </w:r>
      <w:proofErr w:type="gramStart"/>
      <w:r w:rsidRPr="004C3E2B">
        <w:rPr>
          <w:rFonts w:ascii="华文楷体" w:hAnsi="华文楷体" w:hint="eastAsia"/>
          <w:sz w:val="24"/>
          <w:szCs w:val="24"/>
          <w:lang w:eastAsia="zh-CN"/>
        </w:rPr>
        <w:t>个</w:t>
      </w:r>
      <w:proofErr w:type="gramEnd"/>
      <w:r w:rsidRPr="004C3E2B">
        <w:rPr>
          <w:rFonts w:ascii="华文楷体" w:hAnsi="华文楷体" w:hint="eastAsia"/>
          <w:sz w:val="24"/>
          <w:szCs w:val="24"/>
          <w:lang w:eastAsia="zh-CN"/>
        </w:rPr>
        <w:t>百分点，降幅较上</w:t>
      </w:r>
      <w:r w:rsidR="00367F03">
        <w:rPr>
          <w:rFonts w:ascii="华文楷体" w:hAnsi="华文楷体" w:hint="eastAsia"/>
          <w:sz w:val="24"/>
          <w:szCs w:val="24"/>
          <w:lang w:eastAsia="zh-CN"/>
        </w:rPr>
        <w:t>一</w:t>
      </w:r>
      <w:r w:rsidRPr="004C3E2B">
        <w:rPr>
          <w:rFonts w:ascii="华文楷体" w:hAnsi="华文楷体" w:hint="eastAsia"/>
          <w:sz w:val="24"/>
          <w:szCs w:val="24"/>
          <w:lang w:eastAsia="zh-CN"/>
        </w:rPr>
        <w:t>周扩大，</w:t>
      </w:r>
      <w:proofErr w:type="gramStart"/>
      <w:r w:rsidR="00367F03">
        <w:rPr>
          <w:rFonts w:ascii="华文楷体" w:hAnsi="华文楷体" w:hint="eastAsia"/>
          <w:sz w:val="24"/>
          <w:szCs w:val="24"/>
          <w:lang w:eastAsia="zh-CN"/>
        </w:rPr>
        <w:t>上</w:t>
      </w:r>
      <w:r w:rsidRPr="004C3E2B">
        <w:rPr>
          <w:rFonts w:ascii="华文楷体" w:hAnsi="华文楷体" w:hint="eastAsia"/>
          <w:sz w:val="24"/>
          <w:szCs w:val="24"/>
          <w:lang w:eastAsia="zh-CN"/>
        </w:rPr>
        <w:t>周收止于</w:t>
      </w:r>
      <w:proofErr w:type="gramEnd"/>
      <w:r w:rsidRPr="004C3E2B">
        <w:rPr>
          <w:rFonts w:ascii="华文楷体" w:hAnsi="华文楷体" w:hint="eastAsia"/>
          <w:sz w:val="24"/>
          <w:szCs w:val="24"/>
          <w:lang w:eastAsia="zh-CN"/>
        </w:rPr>
        <w:t xml:space="preserve"> 73.05%，主要因为装置检修量还维持在偏高水平，以及 PTA 处于持续去库状态，</w:t>
      </w:r>
      <w:proofErr w:type="gramStart"/>
      <w:r w:rsidRPr="004C3E2B">
        <w:rPr>
          <w:rFonts w:ascii="华文楷体" w:hAnsi="华文楷体" w:hint="eastAsia"/>
          <w:sz w:val="24"/>
          <w:szCs w:val="24"/>
          <w:lang w:eastAsia="zh-CN"/>
        </w:rPr>
        <w:t>两因素</w:t>
      </w:r>
      <w:proofErr w:type="gramEnd"/>
      <w:r w:rsidRPr="004C3E2B">
        <w:rPr>
          <w:rFonts w:ascii="华文楷体" w:hAnsi="华文楷体" w:hint="eastAsia"/>
          <w:sz w:val="24"/>
          <w:szCs w:val="24"/>
          <w:lang w:eastAsia="zh-CN"/>
        </w:rPr>
        <w:t>叠加导致 PTA 开工率环比下降。涤纶长丝开工率小幅上涨，维持在高位水平，主要受到秋冬面料订单到达、提前备货以及下半年预期较好等原因提振。</w:t>
      </w:r>
    </w:p>
    <w:p w14:paraId="21425444" w14:textId="321FCB11" w:rsidR="00FA22A8" w:rsidRPr="009864B5" w:rsidRDefault="00E34B22" w:rsidP="0007254B">
      <w:pPr>
        <w:pStyle w:val="Body-text"/>
        <w:ind w:firstLineChars="200" w:firstLine="480"/>
        <w:rPr>
          <w:rFonts w:ascii="华文楷体" w:hAnsi="华文楷体"/>
          <w:bCs/>
          <w:sz w:val="24"/>
          <w:szCs w:val="24"/>
          <w:lang w:eastAsia="zh-CN"/>
        </w:rPr>
      </w:pPr>
      <w:r w:rsidRPr="009864B5">
        <w:rPr>
          <w:rFonts w:ascii="华文楷体" w:hAnsi="华文楷体" w:hint="eastAsia"/>
          <w:b/>
          <w:bCs/>
          <w:sz w:val="24"/>
          <w:szCs w:val="24"/>
          <w:lang w:eastAsia="zh-CN"/>
        </w:rPr>
        <w:t>地产</w:t>
      </w:r>
      <w:r w:rsidR="00F704B5" w:rsidRPr="009864B5">
        <w:rPr>
          <w:rFonts w:ascii="华文楷体" w:hAnsi="华文楷体" w:hint="eastAsia"/>
          <w:b/>
          <w:bCs/>
          <w:sz w:val="24"/>
          <w:szCs w:val="24"/>
          <w:lang w:eastAsia="zh-CN"/>
        </w:rPr>
        <w:t>：</w:t>
      </w:r>
      <w:r w:rsidR="00367F03">
        <w:rPr>
          <w:rFonts w:ascii="华文楷体" w:hAnsi="华文楷体" w:hint="eastAsia"/>
          <w:sz w:val="24"/>
          <w:szCs w:val="24"/>
          <w:lang w:eastAsia="zh-CN"/>
        </w:rPr>
        <w:t>上</w:t>
      </w:r>
      <w:r w:rsidR="006979C3" w:rsidRPr="009864B5">
        <w:rPr>
          <w:rFonts w:ascii="华文楷体" w:hAnsi="华文楷体" w:hint="eastAsia"/>
          <w:sz w:val="24"/>
          <w:szCs w:val="24"/>
          <w:lang w:eastAsia="zh-CN"/>
        </w:rPr>
        <w:t>周</w:t>
      </w:r>
      <w:r w:rsidR="006979C3" w:rsidRPr="009864B5">
        <w:rPr>
          <w:rFonts w:ascii="华文楷体" w:hAnsi="华文楷体"/>
          <w:sz w:val="24"/>
          <w:szCs w:val="24"/>
          <w:lang w:eastAsia="zh-CN"/>
        </w:rPr>
        <w:t>30</w:t>
      </w:r>
      <w:r w:rsidR="006979C3" w:rsidRPr="009864B5">
        <w:rPr>
          <w:rFonts w:ascii="华文楷体" w:hAnsi="华文楷体" w:hint="eastAsia"/>
          <w:sz w:val="24"/>
          <w:szCs w:val="24"/>
          <w:lang w:eastAsia="zh-CN"/>
        </w:rPr>
        <w:t>大中城市房地产成交套数累计为</w:t>
      </w:r>
      <w:r w:rsidR="006979C3" w:rsidRPr="009864B5">
        <w:rPr>
          <w:rFonts w:ascii="华文楷体" w:hAnsi="华文楷体"/>
          <w:sz w:val="24"/>
          <w:szCs w:val="24"/>
          <w:lang w:eastAsia="zh-CN"/>
        </w:rPr>
        <w:t>22416</w:t>
      </w:r>
      <w:r w:rsidR="006979C3" w:rsidRPr="009864B5">
        <w:rPr>
          <w:rFonts w:ascii="华文楷体" w:hAnsi="华文楷体" w:hint="eastAsia"/>
          <w:sz w:val="24"/>
          <w:szCs w:val="24"/>
          <w:lang w:eastAsia="zh-CN"/>
        </w:rPr>
        <w:t>套，较上</w:t>
      </w:r>
      <w:r w:rsidR="00367F03">
        <w:rPr>
          <w:rFonts w:ascii="华文楷体" w:hAnsi="华文楷体" w:hint="eastAsia"/>
          <w:sz w:val="24"/>
          <w:szCs w:val="24"/>
          <w:lang w:eastAsia="zh-CN"/>
        </w:rPr>
        <w:t>一</w:t>
      </w:r>
      <w:r w:rsidR="006979C3" w:rsidRPr="009864B5">
        <w:rPr>
          <w:rFonts w:ascii="华文楷体" w:hAnsi="华文楷体" w:hint="eastAsia"/>
          <w:sz w:val="24"/>
          <w:szCs w:val="24"/>
          <w:lang w:eastAsia="zh-CN"/>
        </w:rPr>
        <w:t>周环比变动</w:t>
      </w:r>
      <w:r w:rsidR="006979C3" w:rsidRPr="009864B5">
        <w:rPr>
          <w:rFonts w:ascii="华文楷体" w:hAnsi="华文楷体"/>
          <w:sz w:val="24"/>
          <w:szCs w:val="24"/>
          <w:lang w:eastAsia="zh-CN"/>
        </w:rPr>
        <w:t>-33.33%</w:t>
      </w:r>
      <w:r w:rsidR="006979C3" w:rsidRPr="009864B5">
        <w:rPr>
          <w:rFonts w:ascii="华文楷体" w:hAnsi="华文楷体" w:hint="eastAsia"/>
          <w:sz w:val="24"/>
          <w:szCs w:val="24"/>
          <w:lang w:eastAsia="zh-CN"/>
        </w:rPr>
        <w:t>，其中一、二、三线城市比重分别为</w:t>
      </w:r>
      <w:r w:rsidR="006979C3" w:rsidRPr="009864B5">
        <w:rPr>
          <w:rFonts w:ascii="华文楷体" w:hAnsi="华文楷体"/>
          <w:sz w:val="24"/>
          <w:szCs w:val="24"/>
          <w:lang w:eastAsia="zh-CN"/>
        </w:rPr>
        <w:t>20.56%</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40.73%</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38.71%</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7</w:t>
      </w:r>
      <w:r w:rsidR="006979C3" w:rsidRPr="009864B5">
        <w:rPr>
          <w:rFonts w:ascii="华文楷体" w:hAnsi="华文楷体" w:hint="eastAsia"/>
          <w:sz w:val="24"/>
          <w:szCs w:val="24"/>
          <w:lang w:eastAsia="zh-CN"/>
        </w:rPr>
        <w:t>月以来</w:t>
      </w:r>
      <w:r w:rsidR="006979C3" w:rsidRPr="009864B5">
        <w:rPr>
          <w:rFonts w:ascii="华文楷体" w:hAnsi="华文楷体"/>
          <w:sz w:val="24"/>
          <w:szCs w:val="24"/>
          <w:lang w:eastAsia="zh-CN"/>
        </w:rPr>
        <w:t>30</w:t>
      </w:r>
      <w:r w:rsidR="006979C3" w:rsidRPr="009864B5">
        <w:rPr>
          <w:rFonts w:ascii="华文楷体" w:hAnsi="华文楷体" w:hint="eastAsia"/>
          <w:sz w:val="24"/>
          <w:szCs w:val="24"/>
          <w:lang w:eastAsia="zh-CN"/>
        </w:rPr>
        <w:t>大中城市成交套数同比下降</w:t>
      </w:r>
      <w:r w:rsidR="006979C3" w:rsidRPr="009864B5">
        <w:rPr>
          <w:rFonts w:ascii="华文楷体" w:hAnsi="华文楷体"/>
          <w:sz w:val="24"/>
          <w:szCs w:val="24"/>
          <w:lang w:eastAsia="zh-CN"/>
        </w:rPr>
        <w:t>5.3%</w:t>
      </w:r>
      <w:r w:rsidR="006979C3" w:rsidRPr="009864B5">
        <w:rPr>
          <w:rFonts w:ascii="华文楷体" w:hAnsi="华文楷体" w:hint="eastAsia"/>
          <w:sz w:val="24"/>
          <w:szCs w:val="24"/>
          <w:lang w:eastAsia="zh-CN"/>
        </w:rPr>
        <w:t>。</w:t>
      </w:r>
      <w:r w:rsidR="001D0B68" w:rsidRPr="009864B5">
        <w:rPr>
          <w:rFonts w:ascii="华文楷体" w:hAnsi="华文楷体" w:hint="eastAsia"/>
          <w:sz w:val="24"/>
          <w:szCs w:val="24"/>
          <w:lang w:eastAsia="zh-CN"/>
        </w:rPr>
        <w:t>拿地方面，</w:t>
      </w:r>
      <w:r w:rsidR="006979C3" w:rsidRPr="009864B5">
        <w:rPr>
          <w:rFonts w:ascii="华文楷体" w:hAnsi="华文楷体" w:hint="eastAsia"/>
          <w:sz w:val="24"/>
          <w:szCs w:val="24"/>
          <w:lang w:eastAsia="zh-CN"/>
        </w:rPr>
        <w:t>上周</w:t>
      </w:r>
      <w:r w:rsidR="006979C3" w:rsidRPr="009864B5">
        <w:rPr>
          <w:rFonts w:ascii="华文楷体" w:hAnsi="华文楷体"/>
          <w:sz w:val="24"/>
          <w:szCs w:val="24"/>
          <w:lang w:eastAsia="zh-CN"/>
        </w:rPr>
        <w:t>100</w:t>
      </w:r>
      <w:r w:rsidR="006979C3" w:rsidRPr="009864B5">
        <w:rPr>
          <w:rFonts w:ascii="华文楷体" w:hAnsi="华文楷体" w:hint="eastAsia"/>
          <w:sz w:val="24"/>
          <w:szCs w:val="24"/>
          <w:lang w:eastAsia="zh-CN"/>
        </w:rPr>
        <w:t>大中城市土地溢价率为</w:t>
      </w:r>
      <w:r w:rsidR="006979C3" w:rsidRPr="009864B5">
        <w:rPr>
          <w:rFonts w:ascii="华文楷体" w:hAnsi="华文楷体"/>
          <w:sz w:val="24"/>
          <w:szCs w:val="24"/>
          <w:lang w:eastAsia="zh-CN"/>
        </w:rPr>
        <w:t>11.68%</w:t>
      </w:r>
      <w:r w:rsidR="006979C3" w:rsidRPr="009864B5">
        <w:rPr>
          <w:rFonts w:ascii="华文楷体" w:hAnsi="华文楷体" w:hint="eastAsia"/>
          <w:sz w:val="24"/>
          <w:szCs w:val="24"/>
          <w:lang w:eastAsia="zh-CN"/>
        </w:rPr>
        <w:t>，一二三线城市成交土地溢价率为</w:t>
      </w:r>
      <w:r w:rsidR="006979C3" w:rsidRPr="009864B5">
        <w:rPr>
          <w:rFonts w:ascii="华文楷体" w:hAnsi="华文楷体"/>
          <w:sz w:val="24"/>
          <w:szCs w:val="24"/>
          <w:lang w:eastAsia="zh-CN"/>
        </w:rPr>
        <w:t>0%</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17.9%</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2.11%</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7</w:t>
      </w:r>
      <w:r w:rsidR="006979C3" w:rsidRPr="009864B5">
        <w:rPr>
          <w:rFonts w:ascii="华文楷体" w:hAnsi="华文楷体" w:hint="eastAsia"/>
          <w:sz w:val="24"/>
          <w:szCs w:val="24"/>
          <w:lang w:eastAsia="zh-CN"/>
        </w:rPr>
        <w:t>月以来</w:t>
      </w:r>
      <w:r w:rsidR="006979C3" w:rsidRPr="009864B5">
        <w:rPr>
          <w:rFonts w:ascii="华文楷体" w:hAnsi="华文楷体"/>
          <w:sz w:val="24"/>
          <w:szCs w:val="24"/>
          <w:lang w:eastAsia="zh-CN"/>
        </w:rPr>
        <w:t>100</w:t>
      </w:r>
      <w:r w:rsidR="006979C3" w:rsidRPr="009864B5">
        <w:rPr>
          <w:rFonts w:ascii="华文楷体" w:hAnsi="华文楷体" w:hint="eastAsia"/>
          <w:sz w:val="24"/>
          <w:szCs w:val="24"/>
          <w:lang w:eastAsia="zh-CN"/>
        </w:rPr>
        <w:t>大中城市土地成交溢价率均值为</w:t>
      </w:r>
      <w:r w:rsidR="006979C3" w:rsidRPr="009864B5">
        <w:rPr>
          <w:rFonts w:ascii="华文楷体" w:hAnsi="华文楷体"/>
          <w:sz w:val="24"/>
          <w:szCs w:val="24"/>
          <w:lang w:eastAsia="zh-CN"/>
        </w:rPr>
        <w:t>12.59%</w:t>
      </w:r>
      <w:r w:rsidR="006979C3" w:rsidRPr="009864B5">
        <w:rPr>
          <w:rFonts w:ascii="华文楷体" w:hAnsi="华文楷体" w:hint="eastAsia"/>
          <w:sz w:val="24"/>
          <w:szCs w:val="24"/>
          <w:lang w:eastAsia="zh-CN"/>
        </w:rPr>
        <w:t>，一二三线城市成交土地溢价率均值为</w:t>
      </w:r>
      <w:r w:rsidR="006979C3" w:rsidRPr="009864B5">
        <w:rPr>
          <w:rFonts w:ascii="华文楷体" w:hAnsi="华文楷体"/>
          <w:sz w:val="24"/>
          <w:szCs w:val="24"/>
          <w:lang w:eastAsia="zh-CN"/>
        </w:rPr>
        <w:t>1.31%</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11.9%</w:t>
      </w:r>
      <w:r w:rsidR="006979C3" w:rsidRPr="009864B5">
        <w:rPr>
          <w:rFonts w:ascii="华文楷体" w:hAnsi="华文楷体" w:hint="eastAsia"/>
          <w:sz w:val="24"/>
          <w:szCs w:val="24"/>
          <w:lang w:eastAsia="zh-CN"/>
        </w:rPr>
        <w:t>、</w:t>
      </w:r>
      <w:r w:rsidR="006979C3" w:rsidRPr="009864B5">
        <w:rPr>
          <w:rFonts w:ascii="华文楷体" w:hAnsi="华文楷体"/>
          <w:sz w:val="24"/>
          <w:szCs w:val="24"/>
          <w:lang w:eastAsia="zh-CN"/>
        </w:rPr>
        <w:t>10.65%</w:t>
      </w:r>
      <w:r w:rsidR="00A81E83" w:rsidRPr="009864B5">
        <w:rPr>
          <w:rFonts w:ascii="华文楷体" w:hAnsi="华文楷体" w:hint="eastAsia"/>
          <w:sz w:val="24"/>
          <w:szCs w:val="24"/>
          <w:lang w:eastAsia="zh-CN"/>
        </w:rPr>
        <w:t>。</w:t>
      </w:r>
    </w:p>
    <w:p w14:paraId="77CCCEDF" w14:textId="52E71EE0" w:rsidR="007F6B5C" w:rsidRPr="009864B5" w:rsidRDefault="005D478C" w:rsidP="00153A65">
      <w:pPr>
        <w:pStyle w:val="Body-text"/>
        <w:ind w:firstLineChars="200" w:firstLine="480"/>
        <w:rPr>
          <w:rFonts w:ascii="华文楷体" w:hAnsi="华文楷体"/>
          <w:bCs/>
          <w:sz w:val="24"/>
          <w:szCs w:val="24"/>
          <w:lang w:eastAsia="zh-CN"/>
        </w:rPr>
      </w:pPr>
      <w:r w:rsidRPr="009864B5">
        <w:rPr>
          <w:rFonts w:ascii="华文楷体" w:hAnsi="华文楷体" w:hint="eastAsia"/>
          <w:b/>
          <w:bCs/>
          <w:sz w:val="24"/>
          <w:szCs w:val="24"/>
          <w:lang w:eastAsia="zh-CN"/>
        </w:rPr>
        <w:t>进出口</w:t>
      </w:r>
      <w:r w:rsidR="00CC2F5D" w:rsidRPr="009864B5">
        <w:rPr>
          <w:rFonts w:ascii="华文楷体" w:hAnsi="华文楷体" w:hint="eastAsia"/>
          <w:b/>
          <w:bCs/>
          <w:sz w:val="24"/>
          <w:szCs w:val="24"/>
          <w:lang w:eastAsia="zh-CN"/>
        </w:rPr>
        <w:t>：</w:t>
      </w:r>
      <w:r w:rsidR="001F098C" w:rsidRPr="009864B5">
        <w:rPr>
          <w:rFonts w:ascii="华文楷体" w:hAnsi="华文楷体" w:hint="eastAsia"/>
          <w:sz w:val="24"/>
          <w:szCs w:val="24"/>
          <w:lang w:eastAsia="zh-CN"/>
        </w:rPr>
        <w:t>出口方面，</w:t>
      </w:r>
      <w:r w:rsidR="00367F03">
        <w:rPr>
          <w:rFonts w:ascii="华文楷体" w:hAnsi="华文楷体" w:hint="eastAsia"/>
          <w:bCs/>
          <w:sz w:val="24"/>
          <w:szCs w:val="24"/>
          <w:lang w:eastAsia="zh-CN"/>
        </w:rPr>
        <w:t>上</w:t>
      </w:r>
      <w:r w:rsidR="006979C3" w:rsidRPr="009864B5">
        <w:rPr>
          <w:rFonts w:ascii="华文楷体" w:hAnsi="华文楷体" w:hint="eastAsia"/>
          <w:bCs/>
          <w:sz w:val="24"/>
          <w:szCs w:val="24"/>
          <w:lang w:eastAsia="zh-CN"/>
        </w:rPr>
        <w:t>周中国出口集装箱运价指数（CCFI）未更新，上</w:t>
      </w:r>
      <w:r w:rsidR="00367F03">
        <w:rPr>
          <w:rFonts w:ascii="华文楷体" w:hAnsi="华文楷体" w:hint="eastAsia"/>
          <w:bCs/>
          <w:sz w:val="24"/>
          <w:szCs w:val="24"/>
          <w:lang w:eastAsia="zh-CN"/>
        </w:rPr>
        <w:t>一</w:t>
      </w:r>
      <w:r w:rsidR="006979C3" w:rsidRPr="009864B5">
        <w:rPr>
          <w:rFonts w:ascii="华文楷体" w:hAnsi="华文楷体" w:hint="eastAsia"/>
          <w:bCs/>
          <w:sz w:val="24"/>
          <w:szCs w:val="24"/>
          <w:lang w:eastAsia="zh-CN"/>
        </w:rPr>
        <w:t>周为2854.02，前值为2771.54，环比变动2.98%。</w:t>
      </w:r>
      <w:r w:rsidR="001F098C" w:rsidRPr="009864B5">
        <w:rPr>
          <w:rFonts w:ascii="华文楷体" w:hAnsi="华文楷体" w:hint="eastAsia"/>
          <w:bCs/>
          <w:sz w:val="24"/>
          <w:szCs w:val="24"/>
          <w:lang w:eastAsia="zh-CN"/>
        </w:rPr>
        <w:t>进口方面，</w:t>
      </w:r>
      <w:r w:rsidR="00367F03">
        <w:rPr>
          <w:rFonts w:ascii="华文楷体" w:hAnsi="华文楷体" w:hint="eastAsia"/>
          <w:bCs/>
          <w:sz w:val="24"/>
          <w:szCs w:val="24"/>
          <w:lang w:eastAsia="zh-CN"/>
        </w:rPr>
        <w:t>上</w:t>
      </w:r>
      <w:r w:rsidR="006979C3" w:rsidRPr="009864B5">
        <w:rPr>
          <w:rFonts w:ascii="华文楷体" w:hAnsi="华文楷体" w:hint="eastAsia"/>
          <w:bCs/>
          <w:sz w:val="24"/>
          <w:szCs w:val="24"/>
          <w:lang w:eastAsia="zh-CN"/>
        </w:rPr>
        <w:t>周波罗的海干散货指数（BDI）平均指数为3186，前值为3094.4，环比变动2.96%；中国进口集装箱运价指数（CICFI）为1473.22，前值为1460.32，环比变动0.88%。</w:t>
      </w:r>
    </w:p>
    <w:p w14:paraId="50CC8233" w14:textId="1AD445FF" w:rsidR="00065754" w:rsidRPr="009864B5" w:rsidRDefault="00E34B22" w:rsidP="00153A65">
      <w:pPr>
        <w:pStyle w:val="Body-text"/>
        <w:ind w:firstLineChars="200" w:firstLine="480"/>
        <w:rPr>
          <w:rFonts w:ascii="华文楷体" w:hAnsi="华文楷体"/>
          <w:bCs/>
          <w:sz w:val="24"/>
          <w:szCs w:val="24"/>
          <w:lang w:eastAsia="zh-CN"/>
        </w:rPr>
      </w:pPr>
      <w:r w:rsidRPr="009864B5">
        <w:rPr>
          <w:rFonts w:ascii="华文楷体" w:hAnsi="华文楷体" w:hint="eastAsia"/>
          <w:b/>
          <w:bCs/>
          <w:sz w:val="24"/>
          <w:szCs w:val="24"/>
          <w:lang w:eastAsia="zh-CN"/>
        </w:rPr>
        <w:t>通胀：</w:t>
      </w:r>
      <w:r w:rsidR="00367F03">
        <w:rPr>
          <w:rFonts w:ascii="华文楷体" w:hAnsi="华文楷体" w:hint="eastAsia"/>
          <w:bCs/>
          <w:sz w:val="24"/>
          <w:szCs w:val="24"/>
          <w:lang w:eastAsia="zh-CN"/>
        </w:rPr>
        <w:t>上</w:t>
      </w:r>
      <w:r w:rsidR="009600F4" w:rsidRPr="009600F4">
        <w:rPr>
          <w:rFonts w:ascii="华文楷体" w:hAnsi="华文楷体" w:hint="eastAsia"/>
          <w:bCs/>
          <w:sz w:val="24"/>
          <w:szCs w:val="24"/>
          <w:lang w:eastAsia="zh-CN"/>
        </w:rPr>
        <w:t>周猪肉价格呈小幅下跌态势，环比下降 0.67%，说明中央储备冻猪肉收储工作取得一定进展。蔬菜价格持续走高，较上</w:t>
      </w:r>
      <w:r w:rsidR="00367F03">
        <w:rPr>
          <w:rFonts w:ascii="华文楷体" w:hAnsi="华文楷体" w:hint="eastAsia"/>
          <w:bCs/>
          <w:sz w:val="24"/>
          <w:szCs w:val="24"/>
          <w:lang w:eastAsia="zh-CN"/>
        </w:rPr>
        <w:t>一</w:t>
      </w:r>
      <w:r w:rsidR="009600F4" w:rsidRPr="009600F4">
        <w:rPr>
          <w:rFonts w:ascii="华文楷体" w:hAnsi="华文楷体" w:hint="eastAsia"/>
          <w:bCs/>
          <w:sz w:val="24"/>
          <w:szCs w:val="24"/>
          <w:lang w:eastAsia="zh-CN"/>
        </w:rPr>
        <w:t>周环比增加 3.98%，同样是因为受到季节性影响，夏季蔬菜进入歇伏期，供应量减少支撑其价格走高。水果价格下跌 1.70%。</w:t>
      </w:r>
      <w:r w:rsidR="003B6164" w:rsidRPr="009864B5">
        <w:rPr>
          <w:rFonts w:ascii="华文楷体" w:hAnsi="华文楷体" w:hint="eastAsia"/>
          <w:bCs/>
          <w:sz w:val="24"/>
          <w:szCs w:val="24"/>
          <w:lang w:eastAsia="zh-CN"/>
        </w:rPr>
        <w:t>南华综合价格指数</w:t>
      </w:r>
      <w:r w:rsidR="00367F03">
        <w:rPr>
          <w:rFonts w:ascii="华文楷体" w:hAnsi="华文楷体" w:hint="eastAsia"/>
          <w:bCs/>
          <w:sz w:val="24"/>
          <w:szCs w:val="24"/>
          <w:lang w:eastAsia="zh-CN"/>
        </w:rPr>
        <w:t>上</w:t>
      </w:r>
      <w:r w:rsidR="003B6164" w:rsidRPr="009864B5">
        <w:rPr>
          <w:rFonts w:ascii="华文楷体" w:hAnsi="华文楷体" w:hint="eastAsia"/>
          <w:bCs/>
          <w:sz w:val="24"/>
          <w:szCs w:val="24"/>
          <w:lang w:eastAsia="zh-CN"/>
        </w:rPr>
        <w:t>周均值为</w:t>
      </w:r>
      <w:r w:rsidR="003B6164" w:rsidRPr="009864B5">
        <w:rPr>
          <w:rFonts w:ascii="华文楷体" w:hAnsi="华文楷体"/>
          <w:bCs/>
          <w:sz w:val="24"/>
          <w:szCs w:val="24"/>
          <w:lang w:eastAsia="zh-CN"/>
        </w:rPr>
        <w:t>1968.15</w:t>
      </w:r>
      <w:r w:rsidR="003B6164" w:rsidRPr="009864B5">
        <w:rPr>
          <w:rFonts w:ascii="华文楷体" w:hAnsi="华文楷体" w:hint="eastAsia"/>
          <w:bCs/>
          <w:sz w:val="24"/>
          <w:szCs w:val="24"/>
          <w:lang w:eastAsia="zh-CN"/>
        </w:rPr>
        <w:t>，上</w:t>
      </w:r>
      <w:r w:rsidR="00367F03">
        <w:rPr>
          <w:rFonts w:ascii="华文楷体" w:hAnsi="华文楷体" w:hint="eastAsia"/>
          <w:bCs/>
          <w:sz w:val="24"/>
          <w:szCs w:val="24"/>
          <w:lang w:eastAsia="zh-CN"/>
        </w:rPr>
        <w:t>一</w:t>
      </w:r>
      <w:r w:rsidR="003B6164" w:rsidRPr="009864B5">
        <w:rPr>
          <w:rFonts w:ascii="华文楷体" w:hAnsi="华文楷体" w:hint="eastAsia"/>
          <w:bCs/>
          <w:sz w:val="24"/>
          <w:szCs w:val="24"/>
          <w:lang w:eastAsia="zh-CN"/>
        </w:rPr>
        <w:t>周为</w:t>
      </w:r>
      <w:r w:rsidR="003B6164" w:rsidRPr="009864B5">
        <w:rPr>
          <w:rFonts w:ascii="华文楷体" w:hAnsi="华文楷体"/>
          <w:bCs/>
          <w:sz w:val="24"/>
          <w:szCs w:val="24"/>
          <w:lang w:eastAsia="zh-CN"/>
        </w:rPr>
        <w:t>1934.73</w:t>
      </w:r>
      <w:r w:rsidR="003B6164" w:rsidRPr="009864B5">
        <w:rPr>
          <w:rFonts w:ascii="华文楷体" w:hAnsi="华文楷体" w:hint="eastAsia"/>
          <w:bCs/>
          <w:sz w:val="24"/>
          <w:szCs w:val="24"/>
          <w:lang w:eastAsia="zh-CN"/>
        </w:rPr>
        <w:t>，环比上涨</w:t>
      </w:r>
      <w:r w:rsidR="003B6164" w:rsidRPr="009864B5">
        <w:rPr>
          <w:rFonts w:ascii="华文楷体" w:hAnsi="华文楷体"/>
          <w:bCs/>
          <w:sz w:val="24"/>
          <w:szCs w:val="24"/>
          <w:lang w:eastAsia="zh-CN"/>
        </w:rPr>
        <w:t>1.73%</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7</w:t>
      </w:r>
      <w:r w:rsidR="003B6164" w:rsidRPr="009864B5">
        <w:rPr>
          <w:rFonts w:ascii="华文楷体" w:hAnsi="华文楷体" w:hint="eastAsia"/>
          <w:bCs/>
          <w:sz w:val="24"/>
          <w:szCs w:val="24"/>
          <w:lang w:eastAsia="zh-CN"/>
        </w:rPr>
        <w:t>月以来环比上涨</w:t>
      </w:r>
      <w:r w:rsidR="003B6164" w:rsidRPr="009864B5">
        <w:rPr>
          <w:rFonts w:ascii="华文楷体" w:hAnsi="华文楷体"/>
          <w:bCs/>
          <w:sz w:val="24"/>
          <w:szCs w:val="24"/>
          <w:lang w:eastAsia="zh-CN"/>
        </w:rPr>
        <w:t>1.78%</w:t>
      </w:r>
      <w:r w:rsidR="003B6164" w:rsidRPr="009864B5">
        <w:rPr>
          <w:rFonts w:ascii="华文楷体" w:hAnsi="华文楷体" w:hint="eastAsia"/>
          <w:bCs/>
          <w:sz w:val="24"/>
          <w:szCs w:val="24"/>
          <w:lang w:eastAsia="zh-CN"/>
        </w:rPr>
        <w:t>。其中工业品、</w:t>
      </w:r>
      <w:r w:rsidR="003B6164" w:rsidRPr="009864B5">
        <w:rPr>
          <w:rFonts w:ascii="华文楷体" w:hAnsi="华文楷体" w:hint="eastAsia"/>
          <w:bCs/>
          <w:sz w:val="24"/>
          <w:szCs w:val="24"/>
          <w:lang w:eastAsia="zh-CN"/>
        </w:rPr>
        <w:lastRenderedPageBreak/>
        <w:t>农业品、金属、能化、贵金属</w:t>
      </w:r>
      <w:r w:rsidR="00367F03">
        <w:rPr>
          <w:rFonts w:ascii="华文楷体" w:hAnsi="华文楷体" w:hint="eastAsia"/>
          <w:bCs/>
          <w:sz w:val="24"/>
          <w:szCs w:val="24"/>
          <w:lang w:eastAsia="zh-CN"/>
        </w:rPr>
        <w:t>上</w:t>
      </w:r>
      <w:r w:rsidR="003B6164" w:rsidRPr="009864B5">
        <w:rPr>
          <w:rFonts w:ascii="华文楷体" w:hAnsi="华文楷体" w:hint="eastAsia"/>
          <w:bCs/>
          <w:sz w:val="24"/>
          <w:szCs w:val="24"/>
          <w:lang w:eastAsia="zh-CN"/>
        </w:rPr>
        <w:t>周均值分别为</w:t>
      </w:r>
      <w:r w:rsidR="003B6164" w:rsidRPr="009864B5">
        <w:rPr>
          <w:rFonts w:ascii="华文楷体" w:hAnsi="华文楷体"/>
          <w:bCs/>
          <w:sz w:val="24"/>
          <w:szCs w:val="24"/>
          <w:lang w:eastAsia="zh-CN"/>
        </w:rPr>
        <w:t>3223.48</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914.56</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6065.09</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1511.48</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681.95</w:t>
      </w:r>
      <w:r w:rsidR="003B6164" w:rsidRPr="009864B5">
        <w:rPr>
          <w:rFonts w:ascii="华文楷体" w:hAnsi="华文楷体" w:hint="eastAsia"/>
          <w:bCs/>
          <w:sz w:val="24"/>
          <w:szCs w:val="24"/>
          <w:lang w:eastAsia="zh-CN"/>
        </w:rPr>
        <w:t>，分别较上</w:t>
      </w:r>
      <w:r w:rsidR="00367F03">
        <w:rPr>
          <w:rFonts w:ascii="华文楷体" w:hAnsi="华文楷体" w:hint="eastAsia"/>
          <w:bCs/>
          <w:sz w:val="24"/>
          <w:szCs w:val="24"/>
          <w:lang w:eastAsia="zh-CN"/>
        </w:rPr>
        <w:t>一</w:t>
      </w:r>
      <w:r w:rsidR="003B6164" w:rsidRPr="009864B5">
        <w:rPr>
          <w:rFonts w:ascii="华文楷体" w:hAnsi="华文楷体" w:hint="eastAsia"/>
          <w:bCs/>
          <w:sz w:val="24"/>
          <w:szCs w:val="24"/>
          <w:lang w:eastAsia="zh-CN"/>
        </w:rPr>
        <w:t>周变动</w:t>
      </w:r>
      <w:r w:rsidR="003B6164" w:rsidRPr="009864B5">
        <w:rPr>
          <w:rFonts w:ascii="华文楷体" w:hAnsi="华文楷体"/>
          <w:bCs/>
          <w:sz w:val="24"/>
          <w:szCs w:val="24"/>
          <w:lang w:eastAsia="zh-CN"/>
        </w:rPr>
        <w:t>1.74%</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0.38%</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0.72%</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2.22%</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0.23%</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7</w:t>
      </w:r>
      <w:r w:rsidR="003B6164" w:rsidRPr="009864B5">
        <w:rPr>
          <w:rFonts w:ascii="华文楷体" w:hAnsi="华文楷体" w:hint="eastAsia"/>
          <w:bCs/>
          <w:sz w:val="24"/>
          <w:szCs w:val="24"/>
          <w:lang w:eastAsia="zh-CN"/>
        </w:rPr>
        <w:t>月以来工业品、农业品、金属、能化、贵金属价格分别环比变化</w:t>
      </w:r>
      <w:r w:rsidR="003B6164" w:rsidRPr="009864B5">
        <w:rPr>
          <w:rFonts w:ascii="华文楷体" w:hAnsi="华文楷体"/>
          <w:bCs/>
          <w:sz w:val="24"/>
          <w:szCs w:val="24"/>
          <w:lang w:eastAsia="zh-CN"/>
        </w:rPr>
        <w:t>2.69%</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1.78%</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3.6%</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2.28%</w:t>
      </w:r>
      <w:r w:rsidR="003B6164" w:rsidRPr="009864B5">
        <w:rPr>
          <w:rFonts w:ascii="华文楷体" w:hAnsi="华文楷体" w:hint="eastAsia"/>
          <w:bCs/>
          <w:sz w:val="24"/>
          <w:szCs w:val="24"/>
          <w:lang w:eastAsia="zh-CN"/>
        </w:rPr>
        <w:t>、</w:t>
      </w:r>
      <w:r w:rsidR="003B6164" w:rsidRPr="009864B5">
        <w:rPr>
          <w:rFonts w:ascii="华文楷体" w:hAnsi="华文楷体"/>
          <w:bCs/>
          <w:sz w:val="24"/>
          <w:szCs w:val="24"/>
          <w:lang w:eastAsia="zh-CN"/>
        </w:rPr>
        <w:t>-1.46%</w:t>
      </w:r>
      <w:r w:rsidR="003B6164" w:rsidRPr="009864B5">
        <w:rPr>
          <w:rFonts w:ascii="华文楷体" w:hAnsi="华文楷体" w:hint="eastAsia"/>
          <w:bCs/>
          <w:sz w:val="24"/>
          <w:szCs w:val="24"/>
          <w:lang w:eastAsia="zh-CN"/>
        </w:rPr>
        <w:t>。</w:t>
      </w:r>
    </w:p>
    <w:p w14:paraId="3425BC76" w14:textId="4AA05AEB" w:rsidR="00095AFC" w:rsidRPr="009864B5" w:rsidRDefault="00DC2C5F" w:rsidP="009600F4">
      <w:pPr>
        <w:pStyle w:val="Body-text"/>
        <w:ind w:firstLineChars="200" w:firstLine="480"/>
        <w:rPr>
          <w:rFonts w:ascii="华文楷体" w:hAnsi="华文楷体"/>
          <w:bCs/>
          <w:sz w:val="24"/>
          <w:szCs w:val="24"/>
          <w:lang w:eastAsia="zh-CN"/>
        </w:rPr>
      </w:pPr>
      <w:r w:rsidRPr="009864B5">
        <w:rPr>
          <w:rFonts w:ascii="华文楷体" w:hAnsi="华文楷体" w:hint="eastAsia"/>
          <w:b/>
          <w:bCs/>
          <w:sz w:val="24"/>
          <w:szCs w:val="24"/>
          <w:lang w:eastAsia="zh-CN"/>
        </w:rPr>
        <w:t>消费</w:t>
      </w:r>
      <w:r w:rsidR="008D4119" w:rsidRPr="009864B5">
        <w:rPr>
          <w:rFonts w:ascii="华文楷体" w:hAnsi="华文楷体" w:hint="eastAsia"/>
          <w:b/>
          <w:bCs/>
          <w:sz w:val="24"/>
          <w:szCs w:val="24"/>
          <w:lang w:eastAsia="zh-CN"/>
        </w:rPr>
        <w:t>：</w:t>
      </w:r>
      <w:bookmarkStart w:id="1" w:name="_Hlk21205334"/>
      <w:r w:rsidR="001271C1" w:rsidRPr="009864B5">
        <w:rPr>
          <w:rFonts w:ascii="华文楷体" w:hAnsi="华文楷体" w:hint="eastAsia"/>
          <w:bCs/>
          <w:sz w:val="24"/>
          <w:szCs w:val="24"/>
          <w:lang w:eastAsia="zh-CN"/>
        </w:rPr>
        <w:t>7月19日至25日，乘联会厂家零售日均数量为47074台，厂家批发日均数量为41999台。7月以来汽车零售同比下降2%，批发销售同比下降16%。</w:t>
      </w:r>
      <w:r w:rsidR="00367F03">
        <w:rPr>
          <w:rFonts w:ascii="华文楷体" w:hAnsi="华文楷体" w:hint="eastAsia"/>
          <w:bCs/>
          <w:sz w:val="24"/>
          <w:szCs w:val="24"/>
          <w:lang w:eastAsia="zh-CN"/>
        </w:rPr>
        <w:t>上</w:t>
      </w:r>
      <w:r w:rsidR="001271C1" w:rsidRPr="009864B5">
        <w:rPr>
          <w:rFonts w:ascii="华文楷体" w:hAnsi="华文楷体" w:hint="eastAsia"/>
          <w:bCs/>
          <w:sz w:val="24"/>
          <w:szCs w:val="24"/>
          <w:lang w:eastAsia="zh-CN"/>
        </w:rPr>
        <w:t>周汽车半钢</w:t>
      </w:r>
      <w:proofErr w:type="gramStart"/>
      <w:r w:rsidR="001271C1" w:rsidRPr="009864B5">
        <w:rPr>
          <w:rFonts w:ascii="华文楷体" w:hAnsi="华文楷体" w:hint="eastAsia"/>
          <w:bCs/>
          <w:sz w:val="24"/>
          <w:szCs w:val="24"/>
          <w:lang w:eastAsia="zh-CN"/>
        </w:rPr>
        <w:t>胎</w:t>
      </w:r>
      <w:proofErr w:type="gramEnd"/>
      <w:r w:rsidR="001271C1" w:rsidRPr="009864B5">
        <w:rPr>
          <w:rFonts w:ascii="华文楷体" w:hAnsi="华文楷体" w:hint="eastAsia"/>
          <w:bCs/>
          <w:sz w:val="24"/>
          <w:szCs w:val="24"/>
          <w:lang w:eastAsia="zh-CN"/>
        </w:rPr>
        <w:t>轮胎开工率期末值为57.33%，上</w:t>
      </w:r>
      <w:r w:rsidR="00367F03">
        <w:rPr>
          <w:rFonts w:ascii="华文楷体" w:hAnsi="华文楷体" w:hint="eastAsia"/>
          <w:bCs/>
          <w:sz w:val="24"/>
          <w:szCs w:val="24"/>
          <w:lang w:eastAsia="zh-CN"/>
        </w:rPr>
        <w:t>一</w:t>
      </w:r>
      <w:r w:rsidR="001271C1" w:rsidRPr="009864B5">
        <w:rPr>
          <w:rFonts w:ascii="华文楷体" w:hAnsi="华文楷体" w:hint="eastAsia"/>
          <w:bCs/>
          <w:sz w:val="24"/>
          <w:szCs w:val="24"/>
          <w:lang w:eastAsia="zh-CN"/>
        </w:rPr>
        <w:t>周为58.65%。</w:t>
      </w:r>
    </w:p>
    <w:p w14:paraId="4616BAA5" w14:textId="7D4366D9" w:rsidR="001271C1" w:rsidRDefault="001271C1" w:rsidP="00F07541">
      <w:pPr>
        <w:pStyle w:val="Body-text"/>
        <w:ind w:firstLineChars="200" w:firstLine="480"/>
        <w:rPr>
          <w:rFonts w:ascii="华文楷体" w:hAnsi="华文楷体"/>
          <w:bCs/>
          <w:sz w:val="24"/>
          <w:szCs w:val="24"/>
          <w:lang w:eastAsia="zh-CN"/>
        </w:rPr>
      </w:pPr>
      <w:r w:rsidRPr="009864B5">
        <w:rPr>
          <w:rFonts w:ascii="华文楷体" w:hAnsi="华文楷体" w:hint="eastAsia"/>
          <w:b/>
          <w:bCs/>
          <w:sz w:val="24"/>
          <w:szCs w:val="24"/>
          <w:lang w:eastAsia="zh-CN"/>
        </w:rPr>
        <w:t>原油</w:t>
      </w:r>
      <w:r w:rsidR="00DC2C5F" w:rsidRPr="009864B5">
        <w:rPr>
          <w:rFonts w:ascii="华文楷体" w:hAnsi="华文楷体" w:hint="eastAsia"/>
          <w:bCs/>
          <w:sz w:val="24"/>
          <w:szCs w:val="24"/>
          <w:lang w:eastAsia="zh-CN"/>
        </w:rPr>
        <w:t>：</w:t>
      </w:r>
      <w:r w:rsidR="00367F03">
        <w:rPr>
          <w:rFonts w:ascii="华文楷体" w:hAnsi="华文楷体" w:hint="eastAsia"/>
          <w:bCs/>
          <w:sz w:val="24"/>
          <w:szCs w:val="24"/>
          <w:lang w:eastAsia="zh-CN"/>
        </w:rPr>
        <w:t>上</w:t>
      </w:r>
      <w:r w:rsidRPr="009864B5">
        <w:rPr>
          <w:rFonts w:ascii="华文楷体" w:hAnsi="华文楷体" w:hint="eastAsia"/>
          <w:bCs/>
          <w:sz w:val="24"/>
          <w:szCs w:val="24"/>
          <w:lang w:eastAsia="zh-CN"/>
        </w:rPr>
        <w:t>周英国布伦特原油（</w:t>
      </w:r>
      <w:proofErr w:type="spellStart"/>
      <w:r w:rsidRPr="009864B5">
        <w:rPr>
          <w:rFonts w:ascii="华文楷体" w:hAnsi="华文楷体" w:hint="eastAsia"/>
          <w:bCs/>
          <w:sz w:val="24"/>
          <w:szCs w:val="24"/>
          <w:lang w:eastAsia="zh-CN"/>
        </w:rPr>
        <w:t>Dtd</w:t>
      </w:r>
      <w:proofErr w:type="spellEnd"/>
      <w:r w:rsidRPr="009864B5">
        <w:rPr>
          <w:rFonts w:ascii="华文楷体" w:hAnsi="华文楷体" w:hint="eastAsia"/>
          <w:bCs/>
          <w:sz w:val="24"/>
          <w:szCs w:val="24"/>
          <w:lang w:eastAsia="zh-CN"/>
        </w:rPr>
        <w:t>）现货价均值为75.14美元/桶，前值71.98美元/桶，环比上涨4.38%，7月以来</w:t>
      </w:r>
      <w:proofErr w:type="spellStart"/>
      <w:r w:rsidRPr="009864B5">
        <w:rPr>
          <w:rFonts w:ascii="华文楷体" w:hAnsi="华文楷体" w:hint="eastAsia"/>
          <w:bCs/>
          <w:sz w:val="24"/>
          <w:szCs w:val="24"/>
          <w:lang w:eastAsia="zh-CN"/>
        </w:rPr>
        <w:t>Dtd</w:t>
      </w:r>
      <w:proofErr w:type="spellEnd"/>
      <w:r w:rsidRPr="009864B5">
        <w:rPr>
          <w:rFonts w:ascii="华文楷体" w:hAnsi="华文楷体" w:hint="eastAsia"/>
          <w:bCs/>
          <w:sz w:val="24"/>
          <w:szCs w:val="24"/>
          <w:lang w:eastAsia="zh-CN"/>
        </w:rPr>
        <w:t>现</w:t>
      </w:r>
      <w:proofErr w:type="gramStart"/>
      <w:r w:rsidRPr="009864B5">
        <w:rPr>
          <w:rFonts w:ascii="华文楷体" w:hAnsi="华文楷体" w:hint="eastAsia"/>
          <w:bCs/>
          <w:sz w:val="24"/>
          <w:szCs w:val="24"/>
          <w:lang w:eastAsia="zh-CN"/>
        </w:rPr>
        <w:t>货价环</w:t>
      </w:r>
      <w:proofErr w:type="gramEnd"/>
      <w:r w:rsidRPr="009864B5">
        <w:rPr>
          <w:rFonts w:ascii="华文楷体" w:hAnsi="华文楷体" w:hint="eastAsia"/>
          <w:bCs/>
          <w:sz w:val="24"/>
          <w:szCs w:val="24"/>
          <w:lang w:eastAsia="zh-CN"/>
        </w:rPr>
        <w:t>比上涨2.74%。</w:t>
      </w:r>
      <w:r w:rsidR="00367F03">
        <w:rPr>
          <w:rFonts w:ascii="华文楷体" w:hAnsi="华文楷体" w:hint="eastAsia"/>
          <w:bCs/>
          <w:sz w:val="24"/>
          <w:szCs w:val="24"/>
          <w:lang w:eastAsia="zh-CN"/>
        </w:rPr>
        <w:t>上</w:t>
      </w:r>
      <w:r w:rsidRPr="009864B5">
        <w:rPr>
          <w:rFonts w:ascii="华文楷体" w:hAnsi="华文楷体" w:hint="eastAsia"/>
          <w:bCs/>
          <w:sz w:val="24"/>
          <w:szCs w:val="24"/>
          <w:lang w:eastAsia="zh-CN"/>
        </w:rPr>
        <w:t>周美国西德克萨斯中级轻质原油(WTI) 现货价均值为72.39美元/桶，前值69.58美元/桶，环比上涨4.04%，7月以来WTI原油环比上涨1.76%。</w:t>
      </w:r>
      <w:r w:rsidR="00367F03">
        <w:rPr>
          <w:rFonts w:ascii="华文楷体" w:hAnsi="华文楷体" w:hint="eastAsia"/>
          <w:bCs/>
          <w:sz w:val="24"/>
          <w:szCs w:val="24"/>
          <w:lang w:eastAsia="zh-CN"/>
        </w:rPr>
        <w:t>上</w:t>
      </w:r>
      <w:r w:rsidRPr="009864B5">
        <w:rPr>
          <w:rFonts w:ascii="华文楷体" w:hAnsi="华文楷体" w:hint="eastAsia"/>
          <w:bCs/>
          <w:sz w:val="24"/>
          <w:szCs w:val="24"/>
          <w:lang w:eastAsia="zh-CN"/>
        </w:rPr>
        <w:t>周OPEC一揽子原油价格为73.29美元/桶，前值为71.22美元/桶，环比上涨2.91%，7月以来OPEC一揽子原油价格环比上涨2.1</w:t>
      </w:r>
      <w:r w:rsidRPr="001271C1">
        <w:rPr>
          <w:rFonts w:ascii="华文楷体" w:hAnsi="华文楷体" w:hint="eastAsia"/>
          <w:bCs/>
          <w:sz w:val="24"/>
          <w:szCs w:val="24"/>
          <w:lang w:eastAsia="zh-CN"/>
        </w:rPr>
        <w:t>7%。</w:t>
      </w:r>
    </w:p>
    <w:p w14:paraId="3DE4A092" w14:textId="73D08387" w:rsidR="0077013F" w:rsidRPr="0077013F" w:rsidRDefault="00367F03" w:rsidP="0077013F">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本</w:t>
      </w:r>
      <w:r w:rsidR="00A058AB" w:rsidRPr="0070361D">
        <w:rPr>
          <w:rFonts w:ascii="华文楷体" w:hAnsi="华文楷体" w:hint="eastAsia"/>
          <w:b/>
          <w:bCs/>
          <w:sz w:val="24"/>
          <w:szCs w:val="24"/>
          <w:lang w:eastAsia="zh-CN"/>
        </w:rPr>
        <w:t>周关注</w:t>
      </w:r>
      <w:r w:rsidR="00A058AB" w:rsidRPr="0070361D">
        <w:rPr>
          <w:rFonts w:ascii="华文楷体" w:hAnsi="华文楷体" w:hint="eastAsia"/>
          <w:bCs/>
          <w:sz w:val="24"/>
          <w:szCs w:val="24"/>
          <w:lang w:eastAsia="zh-CN"/>
        </w:rPr>
        <w:t>：</w:t>
      </w:r>
      <w:r w:rsidR="0077013F">
        <w:rPr>
          <w:rFonts w:ascii="华文楷体" w:hAnsi="华文楷体" w:hint="eastAsia"/>
          <w:bCs/>
          <w:sz w:val="24"/>
          <w:szCs w:val="24"/>
          <w:lang w:eastAsia="zh-CN"/>
        </w:rPr>
        <w:t>国内疫情、央行</w:t>
      </w:r>
      <w:r w:rsidR="0077013F" w:rsidRPr="0077013F">
        <w:rPr>
          <w:rFonts w:ascii="华文楷体" w:hAnsi="华文楷体" w:hint="eastAsia"/>
          <w:bCs/>
          <w:sz w:val="24"/>
          <w:szCs w:val="24"/>
          <w:lang w:eastAsia="zh-CN"/>
        </w:rPr>
        <w:t>逆回购</w:t>
      </w:r>
      <w:r w:rsidR="0077013F">
        <w:rPr>
          <w:rFonts w:ascii="华文楷体" w:hAnsi="华文楷体" w:hint="eastAsia"/>
          <w:bCs/>
          <w:sz w:val="24"/>
          <w:szCs w:val="24"/>
          <w:lang w:eastAsia="zh-CN"/>
        </w:rPr>
        <w:t>续作情况、</w:t>
      </w:r>
      <w:r w:rsidR="0077013F" w:rsidRPr="0077013F">
        <w:rPr>
          <w:rFonts w:ascii="华文楷体" w:hAnsi="华文楷体" w:hint="eastAsia"/>
          <w:bCs/>
          <w:sz w:val="24"/>
          <w:szCs w:val="24"/>
          <w:lang w:eastAsia="zh-CN"/>
        </w:rPr>
        <w:t>美国7月非农数据</w:t>
      </w:r>
      <w:r w:rsidR="0077013F">
        <w:rPr>
          <w:rFonts w:ascii="华文楷体" w:hAnsi="华文楷体" w:hint="eastAsia"/>
          <w:bCs/>
          <w:sz w:val="24"/>
          <w:szCs w:val="24"/>
          <w:lang w:eastAsia="zh-CN"/>
        </w:rPr>
        <w:t>（</w:t>
      </w:r>
      <w:r w:rsidR="0077013F" w:rsidRPr="0077013F">
        <w:rPr>
          <w:rFonts w:ascii="华文楷体" w:hAnsi="华文楷体" w:hint="eastAsia"/>
          <w:bCs/>
          <w:sz w:val="24"/>
          <w:szCs w:val="24"/>
          <w:lang w:eastAsia="zh-CN"/>
        </w:rPr>
        <w:t>周五</w:t>
      </w:r>
      <w:r w:rsidR="0077013F">
        <w:rPr>
          <w:rFonts w:ascii="华文楷体" w:hAnsi="华文楷体" w:hint="eastAsia"/>
          <w:bCs/>
          <w:sz w:val="24"/>
          <w:szCs w:val="24"/>
          <w:lang w:eastAsia="zh-CN"/>
        </w:rPr>
        <w:t>）、</w:t>
      </w:r>
      <w:r w:rsidR="0077013F" w:rsidRPr="0077013F">
        <w:rPr>
          <w:rFonts w:ascii="华文楷体" w:hAnsi="华文楷体" w:hint="eastAsia"/>
          <w:bCs/>
          <w:sz w:val="24"/>
          <w:szCs w:val="24"/>
          <w:lang w:eastAsia="zh-CN"/>
        </w:rPr>
        <w:t>中国7月进出口和外汇储备</w:t>
      </w:r>
      <w:r w:rsidR="0077013F">
        <w:rPr>
          <w:rFonts w:ascii="华文楷体" w:hAnsi="华文楷体" w:hint="eastAsia"/>
          <w:bCs/>
          <w:sz w:val="24"/>
          <w:szCs w:val="24"/>
          <w:lang w:eastAsia="zh-CN"/>
        </w:rPr>
        <w:t>（</w:t>
      </w:r>
      <w:r w:rsidR="0077013F" w:rsidRPr="0077013F">
        <w:rPr>
          <w:rFonts w:ascii="华文楷体" w:hAnsi="华文楷体" w:hint="eastAsia"/>
          <w:bCs/>
          <w:sz w:val="24"/>
          <w:szCs w:val="24"/>
          <w:lang w:eastAsia="zh-CN"/>
        </w:rPr>
        <w:t>周六</w:t>
      </w:r>
      <w:r w:rsidR="0077013F">
        <w:rPr>
          <w:rFonts w:ascii="华文楷体" w:hAnsi="华文楷体" w:hint="eastAsia"/>
          <w:bCs/>
          <w:sz w:val="24"/>
          <w:szCs w:val="24"/>
          <w:lang w:eastAsia="zh-CN"/>
        </w:rPr>
        <w:t>）</w:t>
      </w:r>
      <w:r w:rsidR="0077013F" w:rsidRPr="0077013F">
        <w:rPr>
          <w:rFonts w:ascii="华文楷体" w:hAnsi="华文楷体" w:hint="eastAsia"/>
          <w:bCs/>
          <w:sz w:val="24"/>
          <w:szCs w:val="24"/>
          <w:lang w:eastAsia="zh-CN"/>
        </w:rPr>
        <w:t>。</w:t>
      </w:r>
    </w:p>
    <w:p w14:paraId="45E291AF" w14:textId="77777777" w:rsidR="006E7D2B" w:rsidRPr="00500BB1" w:rsidRDefault="006E7D2B" w:rsidP="00F07541">
      <w:pPr>
        <w:pStyle w:val="Body-text"/>
        <w:ind w:firstLineChars="200" w:firstLine="480"/>
        <w:rPr>
          <w:rFonts w:ascii="华文楷体" w:hAnsi="华文楷体"/>
          <w:bCs/>
          <w:sz w:val="24"/>
          <w:szCs w:val="24"/>
          <w:highlight w:val="yellow"/>
          <w:lang w:eastAsia="zh-CN"/>
        </w:rPr>
      </w:pPr>
    </w:p>
    <w:bookmarkEnd w:id="1"/>
    <w:p w14:paraId="07860EC8" w14:textId="0224A361" w:rsidR="00FF7903" w:rsidRPr="00264A9C" w:rsidRDefault="00FF7903" w:rsidP="009A2BA0">
      <w:pPr>
        <w:pStyle w:val="Header2"/>
        <w:spacing w:before="120"/>
        <w:rPr>
          <w:rFonts w:eastAsia="PMingLiU"/>
          <w:sz w:val="28"/>
          <w:szCs w:val="21"/>
          <w:lang w:eastAsia="zh-CN"/>
        </w:rPr>
      </w:pPr>
      <w:r w:rsidRPr="00264A9C">
        <w:rPr>
          <w:sz w:val="28"/>
          <w:szCs w:val="21"/>
          <w:lang w:eastAsia="zh-CN"/>
        </w:rPr>
        <w:t>2</w:t>
      </w:r>
      <w:r w:rsidRPr="00264A9C">
        <w:rPr>
          <w:rFonts w:hint="eastAsia"/>
          <w:sz w:val="28"/>
          <w:szCs w:val="21"/>
          <w:lang w:eastAsia="zh-CN"/>
        </w:rPr>
        <w:t>、</w:t>
      </w:r>
      <w:r w:rsidR="00367F03">
        <w:rPr>
          <w:rFonts w:hint="eastAsia"/>
          <w:sz w:val="28"/>
          <w:szCs w:val="21"/>
          <w:lang w:eastAsia="zh-CN"/>
        </w:rPr>
        <w:t>本</w:t>
      </w:r>
      <w:r w:rsidR="008125E2" w:rsidRPr="00264A9C">
        <w:rPr>
          <w:rFonts w:hint="eastAsia"/>
          <w:sz w:val="28"/>
          <w:szCs w:val="21"/>
          <w:lang w:eastAsia="zh-CN"/>
        </w:rPr>
        <w:t>周</w:t>
      </w:r>
      <w:r w:rsidR="00E0626C" w:rsidRPr="00264A9C">
        <w:rPr>
          <w:rFonts w:hint="eastAsia"/>
          <w:sz w:val="28"/>
          <w:szCs w:val="21"/>
          <w:lang w:eastAsia="zh-CN"/>
        </w:rPr>
        <w:t>债市</w:t>
      </w:r>
      <w:r w:rsidR="00EE070C" w:rsidRPr="00264A9C">
        <w:rPr>
          <w:rFonts w:hint="eastAsia"/>
          <w:sz w:val="28"/>
          <w:szCs w:val="21"/>
          <w:lang w:eastAsia="zh-CN"/>
        </w:rPr>
        <w:t>判断</w:t>
      </w:r>
    </w:p>
    <w:p w14:paraId="24E697A5" w14:textId="50C73A20" w:rsidR="00854194" w:rsidRPr="00264A9C"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264A9C">
        <w:rPr>
          <w:rFonts w:ascii="华文楷体" w:hAnsi="华文楷体" w:hint="eastAsia"/>
          <w:sz w:val="24"/>
          <w:szCs w:val="24"/>
          <w:lang w:eastAsia="zh-CN"/>
        </w:rPr>
        <w:t>利率债：</w:t>
      </w:r>
      <w:r w:rsidR="00C9186F" w:rsidRPr="00264A9C">
        <w:rPr>
          <w:rFonts w:ascii="华文楷体" w:hAnsi="华文楷体" w:hint="eastAsia"/>
          <w:sz w:val="24"/>
          <w:szCs w:val="24"/>
          <w:lang w:eastAsia="zh-CN"/>
        </w:rPr>
        <w:t>7月政治局会议政策基调边际趋向宽松，货币政策和财政政策更加着眼于长期的经济发展和以我为主。同时，7月PMI与BCI数据反映经济各项动能趋弱。国</w:t>
      </w:r>
      <w:proofErr w:type="gramStart"/>
      <w:r w:rsidR="00C9186F" w:rsidRPr="00264A9C">
        <w:rPr>
          <w:rFonts w:ascii="华文楷体" w:hAnsi="华文楷体" w:hint="eastAsia"/>
          <w:sz w:val="24"/>
          <w:szCs w:val="24"/>
          <w:lang w:eastAsia="zh-CN"/>
        </w:rPr>
        <w:t>内债市</w:t>
      </w:r>
      <w:proofErr w:type="gramEnd"/>
      <w:r w:rsidR="00C9186F" w:rsidRPr="00264A9C">
        <w:rPr>
          <w:rFonts w:ascii="华文楷体" w:hAnsi="华文楷体" w:hint="eastAsia"/>
          <w:sz w:val="24"/>
          <w:szCs w:val="24"/>
          <w:lang w:eastAsia="zh-CN"/>
        </w:rPr>
        <w:t>或仍将受益于较充裕的流动性环境</w:t>
      </w:r>
      <w:r w:rsidR="00264A9C" w:rsidRPr="00264A9C">
        <w:rPr>
          <w:rFonts w:ascii="华文楷体" w:hAnsi="华文楷体" w:hint="eastAsia"/>
          <w:sz w:val="24"/>
          <w:szCs w:val="24"/>
          <w:lang w:eastAsia="zh-CN"/>
        </w:rPr>
        <w:t>和边际趋弱的基本面数据</w:t>
      </w:r>
      <w:r w:rsidR="004721F4" w:rsidRPr="00264A9C">
        <w:rPr>
          <w:rFonts w:ascii="华文楷体" w:hAnsi="华文楷体" w:hint="eastAsia"/>
          <w:sz w:val="24"/>
          <w:szCs w:val="24"/>
          <w:lang w:eastAsia="zh-CN"/>
        </w:rPr>
        <w:t>。</w:t>
      </w:r>
    </w:p>
    <w:p w14:paraId="484E2711" w14:textId="10A76598" w:rsidR="00FD739E" w:rsidRPr="00264A9C" w:rsidRDefault="00C505BD" w:rsidP="00FD739E">
      <w:pPr>
        <w:pStyle w:val="Body-text"/>
        <w:spacing w:after="240"/>
        <w:ind w:firstLineChars="200" w:firstLine="480"/>
        <w:rPr>
          <w:rFonts w:ascii="华文楷体" w:hAnsi="华文楷体"/>
          <w:sz w:val="24"/>
          <w:szCs w:val="24"/>
          <w:lang w:eastAsia="zh-CN"/>
        </w:rPr>
      </w:pPr>
      <w:r w:rsidRPr="00264A9C">
        <w:rPr>
          <w:rFonts w:ascii="华文楷体" w:hAnsi="华文楷体" w:hint="eastAsia"/>
          <w:sz w:val="24"/>
          <w:szCs w:val="24"/>
          <w:lang w:eastAsia="zh-CN"/>
        </w:rPr>
        <w:t>信用债：</w:t>
      </w:r>
      <w:r w:rsidR="00E3102D">
        <w:rPr>
          <w:rFonts w:ascii="华文楷体" w:hAnsi="华文楷体" w:hint="eastAsia"/>
          <w:sz w:val="24"/>
          <w:szCs w:val="24"/>
          <w:lang w:eastAsia="zh-CN"/>
        </w:rPr>
        <w:t>政策导向利好债市，但需</w:t>
      </w:r>
      <w:r w:rsidR="00162910">
        <w:rPr>
          <w:rFonts w:ascii="华文楷体" w:hAnsi="华文楷体" w:hint="eastAsia"/>
          <w:sz w:val="24"/>
          <w:szCs w:val="24"/>
          <w:lang w:eastAsia="zh-CN"/>
        </w:rPr>
        <w:t>密切</w:t>
      </w:r>
      <w:r w:rsidR="002A7950" w:rsidRPr="00264A9C">
        <w:rPr>
          <w:rFonts w:ascii="华文楷体" w:hAnsi="华文楷体" w:hint="eastAsia"/>
          <w:sz w:val="24"/>
          <w:szCs w:val="24"/>
          <w:lang w:eastAsia="zh-CN"/>
        </w:rPr>
        <w:t>关注</w:t>
      </w:r>
      <w:r w:rsidR="004721F4" w:rsidRPr="00264A9C">
        <w:rPr>
          <w:rFonts w:ascii="华文楷体" w:hAnsi="华文楷体" w:hint="eastAsia"/>
          <w:sz w:val="24"/>
          <w:szCs w:val="24"/>
          <w:lang w:eastAsia="zh-CN"/>
        </w:rPr>
        <w:t>地方</w:t>
      </w:r>
      <w:r w:rsidR="002A7950" w:rsidRPr="00264A9C">
        <w:rPr>
          <w:rFonts w:ascii="华文楷体" w:hAnsi="华文楷体" w:hint="eastAsia"/>
          <w:sz w:val="24"/>
          <w:szCs w:val="24"/>
          <w:lang w:eastAsia="zh-CN"/>
        </w:rPr>
        <w:t>隐性债务</w:t>
      </w:r>
      <w:r w:rsidR="004721F4" w:rsidRPr="00264A9C">
        <w:rPr>
          <w:rFonts w:ascii="华文楷体" w:hAnsi="华文楷体" w:hint="eastAsia"/>
          <w:sz w:val="24"/>
          <w:szCs w:val="24"/>
          <w:lang w:eastAsia="zh-CN"/>
        </w:rPr>
        <w:t>监管</w:t>
      </w:r>
      <w:r w:rsidR="00162910">
        <w:rPr>
          <w:rFonts w:ascii="华文楷体" w:hAnsi="华文楷体" w:hint="eastAsia"/>
          <w:sz w:val="24"/>
          <w:szCs w:val="24"/>
          <w:lang w:eastAsia="zh-CN"/>
        </w:rPr>
        <w:t>与地产个体层面风险的发酵</w:t>
      </w:r>
      <w:r w:rsidR="002A7950" w:rsidRPr="00264A9C">
        <w:rPr>
          <w:rFonts w:ascii="华文楷体" w:hAnsi="华文楷体" w:hint="eastAsia"/>
          <w:sz w:val="24"/>
          <w:szCs w:val="24"/>
          <w:lang w:eastAsia="zh-CN"/>
        </w:rPr>
        <w:t>。</w:t>
      </w:r>
    </w:p>
    <w:p w14:paraId="4C893BAE" w14:textId="102CB320" w:rsidR="00983C71" w:rsidRPr="00264A9C" w:rsidRDefault="00C505BD" w:rsidP="00FD739E">
      <w:pPr>
        <w:pStyle w:val="Body-text"/>
        <w:spacing w:after="240"/>
        <w:ind w:firstLineChars="200" w:firstLine="480"/>
        <w:rPr>
          <w:rFonts w:ascii="华文楷体" w:eastAsia="PMingLiU" w:hAnsi="华文楷体"/>
          <w:sz w:val="24"/>
          <w:szCs w:val="24"/>
          <w:lang w:eastAsia="zh-CN"/>
        </w:rPr>
      </w:pPr>
      <w:r w:rsidRPr="00264A9C">
        <w:rPr>
          <w:rFonts w:ascii="华文楷体" w:hAnsi="华文楷体" w:hint="eastAsia"/>
          <w:sz w:val="24"/>
          <w:szCs w:val="24"/>
          <w:lang w:eastAsia="zh-CN"/>
        </w:rPr>
        <w:t>可转债：</w:t>
      </w:r>
      <w:r w:rsidR="00264A9C" w:rsidRPr="00264A9C">
        <w:rPr>
          <w:rFonts w:ascii="华文楷体" w:hAnsi="华文楷体" w:hint="eastAsia"/>
          <w:sz w:val="24"/>
          <w:szCs w:val="24"/>
          <w:lang w:eastAsia="zh-CN"/>
        </w:rPr>
        <w:t>流动性环境对权益市场仍较友好，但</w:t>
      </w:r>
      <w:r w:rsidR="00264A9C" w:rsidRPr="00264A9C">
        <w:rPr>
          <w:rFonts w:ascii="华文楷体" w:hAnsi="华文楷体" w:hint="eastAsia"/>
          <w:sz w:val="24"/>
          <w:szCs w:val="24"/>
        </w:rPr>
        <w:t>企业整体盈利压力逐步显现。可转债中成长性较强、符合长期产业政策引导方向的新能源汽车、碳中和、硬科技及专精特新中小企业仍将受益。</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1D3087" w14:paraId="77CEE22B" w14:textId="77777777" w:rsidTr="00691BC8">
        <w:trPr>
          <w:jc w:val="center"/>
        </w:trPr>
        <w:tc>
          <w:tcPr>
            <w:tcW w:w="4939" w:type="dxa"/>
            <w:vAlign w:val="center"/>
          </w:tcPr>
          <w:p w14:paraId="50E52AA0" w14:textId="49372745" w:rsidR="001D35B3" w:rsidRPr="001D3087" w:rsidRDefault="001D35B3" w:rsidP="001858A9">
            <w:pPr>
              <w:pStyle w:val="ChartHeading"/>
              <w:jc w:val="both"/>
            </w:pPr>
            <w:r w:rsidRPr="001D3087">
              <w:rPr>
                <w:rFonts w:hint="eastAsia"/>
              </w:rPr>
              <w:t>图表</w:t>
            </w:r>
            <w:r w:rsidRPr="001D3087">
              <w:t>.</w:t>
            </w:r>
            <w:r w:rsidR="00FF26B0" w:rsidRPr="001D3087">
              <w:rPr>
                <w:rFonts w:hint="eastAsia"/>
              </w:rPr>
              <w:t xml:space="preserve"> </w:t>
            </w:r>
            <w:r w:rsidR="00FF26B0" w:rsidRPr="001D3087">
              <w:rPr>
                <w:rFonts w:hint="eastAsia"/>
              </w:rPr>
              <w:t>南华工业品指数</w:t>
            </w:r>
            <w:r w:rsidR="00752E9D" w:rsidRPr="001D3087">
              <w:rPr>
                <w:rFonts w:hint="eastAsia"/>
              </w:rPr>
              <w:t>震荡</w:t>
            </w:r>
            <w:r w:rsidR="00876F3C" w:rsidRPr="001D3087">
              <w:rPr>
                <w:rFonts w:hint="eastAsia"/>
              </w:rPr>
              <w:t>走势上行</w:t>
            </w:r>
          </w:p>
        </w:tc>
        <w:tc>
          <w:tcPr>
            <w:tcW w:w="4938" w:type="dxa"/>
            <w:vAlign w:val="center"/>
          </w:tcPr>
          <w:p w14:paraId="02A10F26" w14:textId="6D2F1475" w:rsidR="001D35B3" w:rsidRPr="001D3087" w:rsidRDefault="001D35B3" w:rsidP="008656C4">
            <w:pPr>
              <w:pStyle w:val="ChartHeading"/>
              <w:jc w:val="both"/>
            </w:pPr>
            <w:r w:rsidRPr="001D3087">
              <w:rPr>
                <w:rFonts w:hint="eastAsia"/>
              </w:rPr>
              <w:t>图表</w:t>
            </w:r>
            <w:r w:rsidRPr="001D3087">
              <w:t xml:space="preserve">. </w:t>
            </w:r>
            <w:r w:rsidR="0063192C" w:rsidRPr="001D3087">
              <w:rPr>
                <w:rFonts w:hint="eastAsia"/>
              </w:rPr>
              <w:t>水泥价格</w:t>
            </w:r>
            <w:r w:rsidR="00203843" w:rsidRPr="001D3087">
              <w:rPr>
                <w:rFonts w:hint="eastAsia"/>
              </w:rPr>
              <w:t>持续</w:t>
            </w:r>
            <w:r w:rsidR="00AE643A" w:rsidRPr="001D3087">
              <w:rPr>
                <w:rFonts w:hint="eastAsia"/>
              </w:rPr>
              <w:t>回调</w:t>
            </w:r>
          </w:p>
        </w:tc>
      </w:tr>
      <w:tr w:rsidR="001D35B3" w:rsidRPr="001D3087" w14:paraId="205667F1" w14:textId="77777777" w:rsidTr="001551BD">
        <w:tblPrEx>
          <w:tblCellMar>
            <w:left w:w="108" w:type="dxa"/>
            <w:right w:w="108" w:type="dxa"/>
          </w:tblCellMar>
        </w:tblPrEx>
        <w:trPr>
          <w:jc w:val="center"/>
        </w:trPr>
        <w:tc>
          <w:tcPr>
            <w:tcW w:w="4939" w:type="dxa"/>
            <w:vAlign w:val="center"/>
          </w:tcPr>
          <w:p w14:paraId="56C782C2" w14:textId="44BAD322" w:rsidR="001D35B3" w:rsidRPr="001D3087" w:rsidRDefault="001551BD" w:rsidP="009A2BA0">
            <w:pPr>
              <w:jc w:val="center"/>
              <w:rPr>
                <w:noProof/>
              </w:rPr>
            </w:pPr>
            <w:r w:rsidRPr="001D3087">
              <w:rPr>
                <w:noProof/>
              </w:rPr>
              <w:drawing>
                <wp:inline distT="0" distB="0" distL="0" distR="0" wp14:anchorId="4E429A3D" wp14:editId="6C23FCA9">
                  <wp:extent cx="2999105" cy="1799590"/>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309E7260" w:rsidR="001D35B3" w:rsidRPr="001D3087" w:rsidRDefault="001551BD" w:rsidP="009A2BA0">
            <w:pPr>
              <w:jc w:val="center"/>
              <w:rPr>
                <w:noProof/>
                <w:szCs w:val="18"/>
              </w:rPr>
            </w:pPr>
            <w:r w:rsidRPr="001D3087">
              <w:rPr>
                <w:noProof/>
              </w:rPr>
              <w:drawing>
                <wp:inline distT="0" distB="0" distL="0" distR="0" wp14:anchorId="499696C1" wp14:editId="312247B3">
                  <wp:extent cx="2998470" cy="1880870"/>
                  <wp:effectExtent l="0" t="0" r="0" b="5080"/>
                  <wp:docPr id="4" name="图表 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1D3087" w14:paraId="1C5ED951" w14:textId="77777777" w:rsidTr="00691BC8">
        <w:trPr>
          <w:trHeight w:val="64"/>
          <w:jc w:val="center"/>
        </w:trPr>
        <w:tc>
          <w:tcPr>
            <w:tcW w:w="4939" w:type="dxa"/>
            <w:vAlign w:val="center"/>
          </w:tcPr>
          <w:p w14:paraId="2DDE4C83" w14:textId="77777777" w:rsidR="001D35B3" w:rsidRPr="001D3087" w:rsidRDefault="001D35B3" w:rsidP="009A2BA0">
            <w:pPr>
              <w:pStyle w:val="Source"/>
              <w:jc w:val="both"/>
              <w:rPr>
                <w:kern w:val="0"/>
              </w:rPr>
            </w:pPr>
            <w:r w:rsidRPr="001D3087">
              <w:rPr>
                <w:rFonts w:hint="eastAsia"/>
                <w:kern w:val="0"/>
              </w:rPr>
              <w:t>资料来源：万得，富</w:t>
            </w:r>
            <w:proofErr w:type="gramStart"/>
            <w:r w:rsidRPr="001D3087">
              <w:rPr>
                <w:rFonts w:hint="eastAsia"/>
                <w:kern w:val="0"/>
              </w:rPr>
              <w:t>荣基金</w:t>
            </w:r>
            <w:proofErr w:type="gramEnd"/>
          </w:p>
        </w:tc>
        <w:tc>
          <w:tcPr>
            <w:tcW w:w="4938" w:type="dxa"/>
            <w:vAlign w:val="center"/>
          </w:tcPr>
          <w:p w14:paraId="442A0DC3" w14:textId="77777777" w:rsidR="001D35B3" w:rsidRPr="001D3087" w:rsidRDefault="001D35B3" w:rsidP="009A2BA0">
            <w:pPr>
              <w:pStyle w:val="Source"/>
              <w:jc w:val="both"/>
              <w:rPr>
                <w:kern w:val="0"/>
              </w:rPr>
            </w:pPr>
            <w:r w:rsidRPr="001D3087">
              <w:rPr>
                <w:rFonts w:hint="eastAsia"/>
                <w:kern w:val="0"/>
              </w:rPr>
              <w:t>资料来源：万得，富</w:t>
            </w:r>
            <w:proofErr w:type="gramStart"/>
            <w:r w:rsidRPr="001D3087">
              <w:rPr>
                <w:rFonts w:hint="eastAsia"/>
                <w:kern w:val="0"/>
              </w:rPr>
              <w:t>荣基金</w:t>
            </w:r>
            <w:proofErr w:type="gramEnd"/>
          </w:p>
        </w:tc>
      </w:tr>
    </w:tbl>
    <w:p w14:paraId="43F047F4" w14:textId="77777777" w:rsidR="001D35B3" w:rsidRPr="001D3087"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1D3087" w14:paraId="3D734F0A" w14:textId="77777777" w:rsidTr="00691BC8">
        <w:trPr>
          <w:jc w:val="center"/>
        </w:trPr>
        <w:tc>
          <w:tcPr>
            <w:tcW w:w="4939" w:type="dxa"/>
            <w:vAlign w:val="center"/>
          </w:tcPr>
          <w:p w14:paraId="7405388D" w14:textId="73A60577" w:rsidR="001D35B3" w:rsidRPr="001D3087" w:rsidRDefault="001D35B3" w:rsidP="00966A21">
            <w:pPr>
              <w:pStyle w:val="ChartHeading"/>
              <w:jc w:val="both"/>
            </w:pPr>
            <w:r w:rsidRPr="001D3087">
              <w:rPr>
                <w:rFonts w:hint="eastAsia"/>
              </w:rPr>
              <w:lastRenderedPageBreak/>
              <w:t>图表</w:t>
            </w:r>
            <w:r w:rsidRPr="001D3087">
              <w:t xml:space="preserve">. </w:t>
            </w:r>
            <w:r w:rsidR="00F14E78" w:rsidRPr="001D3087">
              <w:rPr>
                <w:rFonts w:hint="eastAsia"/>
              </w:rPr>
              <w:t>商品房销售</w:t>
            </w:r>
            <w:r w:rsidR="001D3087" w:rsidRPr="001D3087">
              <w:rPr>
                <w:rFonts w:hint="eastAsia"/>
              </w:rPr>
              <w:t>超季节性</w:t>
            </w:r>
            <w:r w:rsidR="00F14E78" w:rsidRPr="001D3087">
              <w:rPr>
                <w:rFonts w:hint="eastAsia"/>
              </w:rPr>
              <w:t>走弱</w:t>
            </w:r>
          </w:p>
        </w:tc>
        <w:tc>
          <w:tcPr>
            <w:tcW w:w="4938" w:type="dxa"/>
            <w:vAlign w:val="center"/>
          </w:tcPr>
          <w:p w14:paraId="07575C0F" w14:textId="31559E06" w:rsidR="001D35B3" w:rsidRPr="001D3087" w:rsidRDefault="001D35B3" w:rsidP="00CE0946">
            <w:pPr>
              <w:pStyle w:val="ChartHeading"/>
              <w:jc w:val="both"/>
            </w:pPr>
            <w:r w:rsidRPr="001D3087">
              <w:rPr>
                <w:rFonts w:hint="eastAsia"/>
              </w:rPr>
              <w:t>图表</w:t>
            </w:r>
            <w:r w:rsidRPr="001D3087">
              <w:t xml:space="preserve">. </w:t>
            </w:r>
            <w:r w:rsidR="00CE0946" w:rsidRPr="001D3087">
              <w:rPr>
                <w:rFonts w:hint="eastAsia"/>
              </w:rPr>
              <w:t>猪肉价格</w:t>
            </w:r>
            <w:r w:rsidR="00F14E78" w:rsidRPr="001D3087">
              <w:rPr>
                <w:rFonts w:hint="eastAsia"/>
              </w:rPr>
              <w:t>低位震荡</w:t>
            </w:r>
          </w:p>
        </w:tc>
      </w:tr>
      <w:tr w:rsidR="001D35B3" w:rsidRPr="001D3087" w14:paraId="49BBD33E" w14:textId="77777777" w:rsidTr="001D3087">
        <w:tblPrEx>
          <w:tblCellMar>
            <w:left w:w="108" w:type="dxa"/>
            <w:right w:w="108" w:type="dxa"/>
          </w:tblCellMar>
        </w:tblPrEx>
        <w:trPr>
          <w:trHeight w:val="2987"/>
          <w:jc w:val="center"/>
        </w:trPr>
        <w:tc>
          <w:tcPr>
            <w:tcW w:w="4939" w:type="dxa"/>
            <w:vAlign w:val="center"/>
          </w:tcPr>
          <w:p w14:paraId="0BAC1731" w14:textId="57CEF74C" w:rsidR="001D35B3" w:rsidRPr="001D3087" w:rsidRDefault="001D3087" w:rsidP="009A2BA0">
            <w:pPr>
              <w:jc w:val="center"/>
              <w:rPr>
                <w:noProof/>
              </w:rPr>
            </w:pPr>
            <w:r w:rsidRPr="001D3087">
              <w:rPr>
                <w:noProof/>
              </w:rPr>
              <w:drawing>
                <wp:inline distT="0" distB="0" distL="0" distR="0" wp14:anchorId="39F1FAB2" wp14:editId="132B6193">
                  <wp:extent cx="2999105" cy="1852930"/>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C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23BE7928" w:rsidR="001D35B3" w:rsidRPr="001D3087" w:rsidRDefault="000226CA" w:rsidP="009A2BA0">
            <w:pPr>
              <w:jc w:val="center"/>
              <w:rPr>
                <w:noProof/>
                <w:szCs w:val="18"/>
              </w:rPr>
            </w:pPr>
            <w:r w:rsidRPr="001D3087">
              <w:rPr>
                <w:noProof/>
              </w:rPr>
              <w:drawing>
                <wp:inline distT="0" distB="0" distL="0" distR="0" wp14:anchorId="5D3ABCE2" wp14:editId="316D23A3">
                  <wp:extent cx="2998470" cy="1765300"/>
                  <wp:effectExtent l="0" t="0" r="0" b="6350"/>
                  <wp:docPr id="7" name="图表 7">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1D3087" w14:paraId="2929BCA6" w14:textId="77777777" w:rsidTr="00691BC8">
        <w:trPr>
          <w:trHeight w:val="64"/>
          <w:jc w:val="center"/>
        </w:trPr>
        <w:tc>
          <w:tcPr>
            <w:tcW w:w="4939" w:type="dxa"/>
            <w:vAlign w:val="center"/>
          </w:tcPr>
          <w:p w14:paraId="45A3CEF6" w14:textId="77777777" w:rsidR="001D35B3" w:rsidRPr="001D3087" w:rsidRDefault="001D35B3" w:rsidP="009A2BA0">
            <w:pPr>
              <w:pStyle w:val="Source"/>
              <w:jc w:val="both"/>
              <w:rPr>
                <w:kern w:val="0"/>
              </w:rPr>
            </w:pPr>
            <w:r w:rsidRPr="001D3087">
              <w:rPr>
                <w:rFonts w:hint="eastAsia"/>
                <w:kern w:val="0"/>
              </w:rPr>
              <w:t>资料来源：万得，富</w:t>
            </w:r>
            <w:proofErr w:type="gramStart"/>
            <w:r w:rsidRPr="001D3087">
              <w:rPr>
                <w:rFonts w:hint="eastAsia"/>
                <w:kern w:val="0"/>
              </w:rPr>
              <w:t>荣基金</w:t>
            </w:r>
            <w:proofErr w:type="gramEnd"/>
          </w:p>
        </w:tc>
        <w:tc>
          <w:tcPr>
            <w:tcW w:w="4938" w:type="dxa"/>
            <w:vAlign w:val="center"/>
          </w:tcPr>
          <w:p w14:paraId="38477A40" w14:textId="77777777" w:rsidR="001D35B3" w:rsidRPr="001D3087" w:rsidRDefault="001D35B3" w:rsidP="009A2BA0">
            <w:pPr>
              <w:pStyle w:val="Source"/>
              <w:jc w:val="both"/>
              <w:rPr>
                <w:kern w:val="0"/>
              </w:rPr>
            </w:pPr>
            <w:r w:rsidRPr="001D3087">
              <w:rPr>
                <w:rFonts w:hint="eastAsia"/>
                <w:kern w:val="0"/>
              </w:rPr>
              <w:t>资料来源：万得，富</w:t>
            </w:r>
            <w:proofErr w:type="gramStart"/>
            <w:r w:rsidRPr="001D3087">
              <w:rPr>
                <w:rFonts w:hint="eastAsia"/>
                <w:kern w:val="0"/>
              </w:rPr>
              <w:t>荣基金</w:t>
            </w:r>
            <w:proofErr w:type="gramEnd"/>
          </w:p>
        </w:tc>
      </w:tr>
    </w:tbl>
    <w:p w14:paraId="2243C4C4" w14:textId="63198F1D" w:rsidR="00594303" w:rsidRPr="001D3087" w:rsidRDefault="00594303" w:rsidP="009A2BA0">
      <w:pPr>
        <w:pStyle w:val="Body-text"/>
        <w:spacing w:after="0"/>
        <w:rPr>
          <w:rFonts w:ascii="华文楷体" w:hAnsi="华文楷体"/>
          <w:sz w:val="24"/>
          <w:szCs w:val="24"/>
          <w:lang w:eastAsia="zh-CN"/>
        </w:rPr>
      </w:pPr>
    </w:p>
    <w:p w14:paraId="57A950A6" w14:textId="77777777" w:rsidR="00367F03" w:rsidRDefault="00367F03" w:rsidP="00367F03">
      <w:pPr>
        <w:widowControl/>
        <w:jc w:val="left"/>
        <w:rPr>
          <w:rFonts w:hint="eastAsia"/>
        </w:rPr>
      </w:pPr>
    </w:p>
    <w:p w14:paraId="1587E126" w14:textId="77777777" w:rsidR="00367F03" w:rsidRDefault="00367F03" w:rsidP="00367F03">
      <w:pPr>
        <w:widowControl/>
        <w:jc w:val="left"/>
        <w:rPr>
          <w:rFonts w:hint="eastAsia"/>
        </w:rPr>
      </w:pPr>
    </w:p>
    <w:p w14:paraId="18D5376A" w14:textId="77777777" w:rsidR="00367F03" w:rsidRDefault="00367F03" w:rsidP="00367F03">
      <w:pPr>
        <w:widowControl/>
        <w:jc w:val="left"/>
        <w:rPr>
          <w:rFonts w:hint="eastAsia"/>
        </w:rPr>
      </w:pPr>
    </w:p>
    <w:p w14:paraId="46BB915C" w14:textId="77777777" w:rsidR="00367F03" w:rsidRDefault="00367F03" w:rsidP="00367F03">
      <w:pPr>
        <w:widowControl/>
        <w:jc w:val="left"/>
        <w:rPr>
          <w:rFonts w:hint="eastAsia"/>
        </w:rPr>
      </w:pPr>
    </w:p>
    <w:p w14:paraId="24C44493" w14:textId="77777777" w:rsidR="00367F03" w:rsidRDefault="00367F03" w:rsidP="00367F03">
      <w:pPr>
        <w:widowControl/>
        <w:jc w:val="left"/>
        <w:rPr>
          <w:rFonts w:hint="eastAsia"/>
        </w:rPr>
      </w:pPr>
    </w:p>
    <w:p w14:paraId="18878030" w14:textId="77777777" w:rsidR="00367F03" w:rsidRDefault="00367F03" w:rsidP="00367F03">
      <w:pPr>
        <w:widowControl/>
        <w:jc w:val="left"/>
        <w:rPr>
          <w:rFonts w:hint="eastAsia"/>
        </w:rPr>
      </w:pPr>
    </w:p>
    <w:p w14:paraId="214D818A" w14:textId="77777777" w:rsidR="00367F03" w:rsidRDefault="00367F03" w:rsidP="00367F03">
      <w:pPr>
        <w:widowControl/>
        <w:jc w:val="left"/>
        <w:rPr>
          <w:rFonts w:hint="eastAsia"/>
        </w:rPr>
      </w:pPr>
    </w:p>
    <w:p w14:paraId="7CB57287" w14:textId="4164EB72" w:rsidR="00367F03" w:rsidRDefault="00367F03" w:rsidP="00367F03">
      <w:pPr>
        <w:widowControl/>
        <w:jc w:val="left"/>
      </w:pPr>
      <w:bookmarkStart w:id="2" w:name="_GoBack"/>
      <w:bookmarkEnd w:id="2"/>
      <w:r w:rsidRPr="00FB07A2">
        <w:rPr>
          <w:rFonts w:hint="eastAsia"/>
        </w:rPr>
        <w:t>风险提示：</w:t>
      </w:r>
      <w:r w:rsidRPr="00FB07A2">
        <w:t>1</w:t>
      </w:r>
      <w:r w:rsidRPr="00FB07A2">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FB07A2">
        <w:t>作出</w:t>
      </w:r>
      <w:proofErr w:type="gramEnd"/>
      <w:r w:rsidRPr="00FB07A2">
        <w:t>调整。</w:t>
      </w:r>
      <w:r w:rsidRPr="00FB07A2">
        <w:t>2</w:t>
      </w:r>
      <w:r w:rsidRPr="00FB07A2">
        <w:t>、本报告中的资料、观点和预测等仅供参考，在任何时候均不构成对任何人的个人推荐。市场有风险，投资需谨慎。</w:t>
      </w:r>
    </w:p>
    <w:p w14:paraId="1EF1A1F1" w14:textId="23F15779" w:rsidR="0028459A" w:rsidRPr="001A1299" w:rsidRDefault="0028459A" w:rsidP="009A2BA0">
      <w:pPr>
        <w:pStyle w:val="Body-text"/>
        <w:ind w:firstLineChars="200" w:firstLine="480"/>
        <w:rPr>
          <w:rFonts w:ascii="华文楷体" w:hAnsi="华文楷体"/>
          <w:sz w:val="24"/>
          <w:szCs w:val="24"/>
          <w:lang w:eastAsia="zh-CN"/>
        </w:rPr>
      </w:pP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2BFE5E" w14:textId="77777777" w:rsidR="00C15CE8" w:rsidRDefault="00C15CE8">
      <w:r>
        <w:separator/>
      </w:r>
    </w:p>
  </w:endnote>
  <w:endnote w:type="continuationSeparator" w:id="0">
    <w:p w14:paraId="0BFEB727" w14:textId="77777777" w:rsidR="00C15CE8" w:rsidRDefault="00C15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367F03" w:rsidRPr="00367F03">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D1B339" w14:textId="77777777" w:rsidR="00C15CE8" w:rsidRDefault="00C15CE8">
      <w:r>
        <w:separator/>
      </w:r>
    </w:p>
  </w:footnote>
  <w:footnote w:type="continuationSeparator" w:id="0">
    <w:p w14:paraId="065CA88B" w14:textId="77777777" w:rsidR="00C15CE8" w:rsidRDefault="00C15C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03"/>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4ED"/>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6F0"/>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CE8"/>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OneDrive\OneDrive%20-%20mail.nankai.edu.cn\desktop\&#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OneDrive\OneDrive%20-%20mail.nankai.edu.cn\desktop\&#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资金!$B$4</c:f>
              <c:strCache>
                <c:ptCount val="1"/>
                <c:pt idx="0">
                  <c:v>货币投放</c:v>
                </c:pt>
              </c:strCache>
            </c:strRef>
          </c:tx>
          <c:spPr>
            <a:solidFill>
              <a:srgbClr val="F8CBAD"/>
            </a:solidFill>
            <a:ln w="22225">
              <a:noFill/>
            </a:ln>
          </c:spPr>
          <c:invertIfNegative val="0"/>
          <c:cat>
            <c:numRef>
              <c:f>资金!$A$5:$A$27</c:f>
              <c:numCache>
                <c:formatCode>yyyy\-mm\-dd;@</c:formatCode>
                <c:ptCount val="23"/>
                <c:pt idx="0">
                  <c:v>44253</c:v>
                </c:pt>
                <c:pt idx="1">
                  <c:v>44260</c:v>
                </c:pt>
                <c:pt idx="2">
                  <c:v>44267</c:v>
                </c:pt>
                <c:pt idx="3">
                  <c:v>44274</c:v>
                </c:pt>
                <c:pt idx="4">
                  <c:v>44281</c:v>
                </c:pt>
                <c:pt idx="5">
                  <c:v>44288</c:v>
                </c:pt>
                <c:pt idx="6">
                  <c:v>44295</c:v>
                </c:pt>
                <c:pt idx="7">
                  <c:v>44302</c:v>
                </c:pt>
                <c:pt idx="8">
                  <c:v>44309</c:v>
                </c:pt>
                <c:pt idx="9">
                  <c:v>44316</c:v>
                </c:pt>
                <c:pt idx="10">
                  <c:v>44323</c:v>
                </c:pt>
                <c:pt idx="11">
                  <c:v>44330</c:v>
                </c:pt>
                <c:pt idx="12">
                  <c:v>44337</c:v>
                </c:pt>
                <c:pt idx="13">
                  <c:v>44344</c:v>
                </c:pt>
                <c:pt idx="14">
                  <c:v>44351</c:v>
                </c:pt>
                <c:pt idx="15">
                  <c:v>44358</c:v>
                </c:pt>
                <c:pt idx="16">
                  <c:v>44365</c:v>
                </c:pt>
                <c:pt idx="17">
                  <c:v>44372</c:v>
                </c:pt>
                <c:pt idx="18">
                  <c:v>44379</c:v>
                </c:pt>
                <c:pt idx="19">
                  <c:v>44386</c:v>
                </c:pt>
                <c:pt idx="20">
                  <c:v>44393</c:v>
                </c:pt>
                <c:pt idx="21">
                  <c:v>44400</c:v>
                </c:pt>
                <c:pt idx="22">
                  <c:v>44407</c:v>
                </c:pt>
              </c:numCache>
            </c:numRef>
          </c:cat>
          <c:val>
            <c:numRef>
              <c:f>资金!$B$5:$B$27</c:f>
              <c:numCache>
                <c:formatCode>###,###,###,###,##0.00</c:formatCode>
                <c:ptCount val="23"/>
                <c:pt idx="0">
                  <c:v>800</c:v>
                </c:pt>
                <c:pt idx="1">
                  <c:v>550</c:v>
                </c:pt>
                <c:pt idx="2">
                  <c:v>500</c:v>
                </c:pt>
                <c:pt idx="3">
                  <c:v>500</c:v>
                </c:pt>
                <c:pt idx="4">
                  <c:v>550</c:v>
                </c:pt>
                <c:pt idx="5">
                  <c:v>500</c:v>
                </c:pt>
                <c:pt idx="6">
                  <c:v>400</c:v>
                </c:pt>
                <c:pt idx="7">
                  <c:v>500</c:v>
                </c:pt>
                <c:pt idx="8">
                  <c:v>500</c:v>
                </c:pt>
                <c:pt idx="9">
                  <c:v>650</c:v>
                </c:pt>
                <c:pt idx="10">
                  <c:v>200</c:v>
                </c:pt>
                <c:pt idx="11">
                  <c:v>600</c:v>
                </c:pt>
                <c:pt idx="12">
                  <c:v>500</c:v>
                </c:pt>
                <c:pt idx="13">
                  <c:v>550</c:v>
                </c:pt>
                <c:pt idx="14">
                  <c:v>500</c:v>
                </c:pt>
                <c:pt idx="15">
                  <c:v>500</c:v>
                </c:pt>
                <c:pt idx="16">
                  <c:v>400</c:v>
                </c:pt>
                <c:pt idx="17">
                  <c:v>900</c:v>
                </c:pt>
                <c:pt idx="18">
                  <c:v>1150</c:v>
                </c:pt>
                <c:pt idx="19">
                  <c:v>500</c:v>
                </c:pt>
                <c:pt idx="20">
                  <c:v>500</c:v>
                </c:pt>
                <c:pt idx="21">
                  <c:v>500</c:v>
                </c:pt>
                <c:pt idx="22">
                  <c:v>950</c:v>
                </c:pt>
              </c:numCache>
            </c:numRef>
          </c:val>
          <c:extLst xmlns:c16r2="http://schemas.microsoft.com/office/drawing/2015/06/chart">
            <c:ext xmlns:c16="http://schemas.microsoft.com/office/drawing/2014/chart" uri="{C3380CC4-5D6E-409C-BE32-E72D297353CC}">
              <c16:uniqueId val="{00000000-64E2-41E1-831D-943D465A388E}"/>
            </c:ext>
          </c:extLst>
        </c:ser>
        <c:ser>
          <c:idx val="2"/>
          <c:order val="1"/>
          <c:tx>
            <c:strRef>
              <c:f>资金!$C$4</c:f>
              <c:strCache>
                <c:ptCount val="1"/>
                <c:pt idx="0">
                  <c:v>货币回笼</c:v>
                </c:pt>
              </c:strCache>
            </c:strRef>
          </c:tx>
          <c:spPr>
            <a:solidFill>
              <a:srgbClr val="E7E6E6">
                <a:lumMod val="90000"/>
              </a:srgbClr>
            </a:solidFill>
            <a:ln w="22225">
              <a:noFill/>
              <a:prstDash val="sysDash"/>
            </a:ln>
          </c:spPr>
          <c:invertIfNegative val="0"/>
          <c:cat>
            <c:numRef>
              <c:f>资金!$A$5:$A$27</c:f>
              <c:numCache>
                <c:formatCode>yyyy\-mm\-dd;@</c:formatCode>
                <c:ptCount val="23"/>
                <c:pt idx="0">
                  <c:v>44253</c:v>
                </c:pt>
                <c:pt idx="1">
                  <c:v>44260</c:v>
                </c:pt>
                <c:pt idx="2">
                  <c:v>44267</c:v>
                </c:pt>
                <c:pt idx="3">
                  <c:v>44274</c:v>
                </c:pt>
                <c:pt idx="4">
                  <c:v>44281</c:v>
                </c:pt>
                <c:pt idx="5">
                  <c:v>44288</c:v>
                </c:pt>
                <c:pt idx="6">
                  <c:v>44295</c:v>
                </c:pt>
                <c:pt idx="7">
                  <c:v>44302</c:v>
                </c:pt>
                <c:pt idx="8">
                  <c:v>44309</c:v>
                </c:pt>
                <c:pt idx="9">
                  <c:v>44316</c:v>
                </c:pt>
                <c:pt idx="10">
                  <c:v>44323</c:v>
                </c:pt>
                <c:pt idx="11">
                  <c:v>44330</c:v>
                </c:pt>
                <c:pt idx="12">
                  <c:v>44337</c:v>
                </c:pt>
                <c:pt idx="13">
                  <c:v>44344</c:v>
                </c:pt>
                <c:pt idx="14">
                  <c:v>44351</c:v>
                </c:pt>
                <c:pt idx="15">
                  <c:v>44358</c:v>
                </c:pt>
                <c:pt idx="16">
                  <c:v>44365</c:v>
                </c:pt>
                <c:pt idx="17">
                  <c:v>44372</c:v>
                </c:pt>
                <c:pt idx="18">
                  <c:v>44379</c:v>
                </c:pt>
                <c:pt idx="19">
                  <c:v>44386</c:v>
                </c:pt>
                <c:pt idx="20">
                  <c:v>44393</c:v>
                </c:pt>
                <c:pt idx="21">
                  <c:v>44400</c:v>
                </c:pt>
                <c:pt idx="22">
                  <c:v>44407</c:v>
                </c:pt>
              </c:numCache>
            </c:numRef>
          </c:cat>
          <c:val>
            <c:numRef>
              <c:f>资金!$C$5:$C$27</c:f>
              <c:numCache>
                <c:formatCode>###,###,###,###,##0.00</c:formatCode>
                <c:ptCount val="23"/>
                <c:pt idx="0">
                  <c:v>-950</c:v>
                </c:pt>
                <c:pt idx="1">
                  <c:v>-800</c:v>
                </c:pt>
                <c:pt idx="2">
                  <c:v>-500</c:v>
                </c:pt>
                <c:pt idx="3">
                  <c:v>-500</c:v>
                </c:pt>
                <c:pt idx="4">
                  <c:v>-550</c:v>
                </c:pt>
                <c:pt idx="5">
                  <c:v>-500</c:v>
                </c:pt>
                <c:pt idx="6">
                  <c:v>-500</c:v>
                </c:pt>
                <c:pt idx="7">
                  <c:v>-400</c:v>
                </c:pt>
                <c:pt idx="8">
                  <c:v>-500</c:v>
                </c:pt>
                <c:pt idx="9">
                  <c:v>-550</c:v>
                </c:pt>
                <c:pt idx="10">
                  <c:v>-600</c:v>
                </c:pt>
                <c:pt idx="11">
                  <c:v>-200</c:v>
                </c:pt>
                <c:pt idx="12">
                  <c:v>-600</c:v>
                </c:pt>
                <c:pt idx="13">
                  <c:v>-550</c:v>
                </c:pt>
                <c:pt idx="14">
                  <c:v>-500</c:v>
                </c:pt>
                <c:pt idx="15">
                  <c:v>-500</c:v>
                </c:pt>
                <c:pt idx="16">
                  <c:v>-500</c:v>
                </c:pt>
                <c:pt idx="17">
                  <c:v>-450</c:v>
                </c:pt>
                <c:pt idx="18">
                  <c:v>-900</c:v>
                </c:pt>
                <c:pt idx="19">
                  <c:v>-1100</c:v>
                </c:pt>
                <c:pt idx="20">
                  <c:v>-500</c:v>
                </c:pt>
                <c:pt idx="21">
                  <c:v>-500</c:v>
                </c:pt>
                <c:pt idx="22">
                  <c:v>-550</c:v>
                </c:pt>
              </c:numCache>
            </c:numRef>
          </c:val>
          <c:extLst xmlns:c16r2="http://schemas.microsoft.com/office/drawing/2015/06/chart">
            <c:ext xmlns:c16="http://schemas.microsoft.com/office/drawing/2014/chart" uri="{C3380CC4-5D6E-409C-BE32-E72D297353CC}">
              <c16:uniqueId val="{00000001-64E2-41E1-831D-943D465A388E}"/>
            </c:ext>
          </c:extLst>
        </c:ser>
        <c:dLbls>
          <c:showLegendKey val="0"/>
          <c:showVal val="0"/>
          <c:showCatName val="0"/>
          <c:showSerName val="0"/>
          <c:showPercent val="0"/>
          <c:showBubbleSize val="0"/>
        </c:dLbls>
        <c:gapWidth val="150"/>
        <c:overlap val="100"/>
        <c:axId val="447793024"/>
        <c:axId val="447795200"/>
      </c:barChart>
      <c:lineChart>
        <c:grouping val="standard"/>
        <c:varyColors val="0"/>
        <c:ser>
          <c:idx val="1"/>
          <c:order val="2"/>
          <c:tx>
            <c:strRef>
              <c:f>资金!$D$4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资金!$A$5:$A$27</c:f>
              <c:numCache>
                <c:formatCode>yyyy\-mm\-dd;@</c:formatCode>
                <c:ptCount val="23"/>
                <c:pt idx="0">
                  <c:v>44253</c:v>
                </c:pt>
                <c:pt idx="1">
                  <c:v>44260</c:v>
                </c:pt>
                <c:pt idx="2">
                  <c:v>44267</c:v>
                </c:pt>
                <c:pt idx="3">
                  <c:v>44274</c:v>
                </c:pt>
                <c:pt idx="4">
                  <c:v>44281</c:v>
                </c:pt>
                <c:pt idx="5">
                  <c:v>44288</c:v>
                </c:pt>
                <c:pt idx="6">
                  <c:v>44295</c:v>
                </c:pt>
                <c:pt idx="7">
                  <c:v>44302</c:v>
                </c:pt>
                <c:pt idx="8">
                  <c:v>44309</c:v>
                </c:pt>
                <c:pt idx="9">
                  <c:v>44316</c:v>
                </c:pt>
                <c:pt idx="10">
                  <c:v>44323</c:v>
                </c:pt>
                <c:pt idx="11">
                  <c:v>44330</c:v>
                </c:pt>
                <c:pt idx="12">
                  <c:v>44337</c:v>
                </c:pt>
                <c:pt idx="13">
                  <c:v>44344</c:v>
                </c:pt>
                <c:pt idx="14">
                  <c:v>44351</c:v>
                </c:pt>
                <c:pt idx="15">
                  <c:v>44358</c:v>
                </c:pt>
                <c:pt idx="16">
                  <c:v>44365</c:v>
                </c:pt>
                <c:pt idx="17">
                  <c:v>44372</c:v>
                </c:pt>
                <c:pt idx="18">
                  <c:v>44379</c:v>
                </c:pt>
                <c:pt idx="19">
                  <c:v>44386</c:v>
                </c:pt>
                <c:pt idx="20">
                  <c:v>44393</c:v>
                </c:pt>
                <c:pt idx="21">
                  <c:v>44400</c:v>
                </c:pt>
                <c:pt idx="22">
                  <c:v>44407</c:v>
                </c:pt>
              </c:numCache>
            </c:numRef>
          </c:cat>
          <c:val>
            <c:numRef>
              <c:f>资金!$D$5:$D$27</c:f>
              <c:numCache>
                <c:formatCode>###,###,###,###,##0.00</c:formatCode>
                <c:ptCount val="23"/>
                <c:pt idx="0">
                  <c:v>-150</c:v>
                </c:pt>
                <c:pt idx="1">
                  <c:v>-250</c:v>
                </c:pt>
                <c:pt idx="2">
                  <c:v>0</c:v>
                </c:pt>
                <c:pt idx="3">
                  <c:v>0</c:v>
                </c:pt>
                <c:pt idx="4">
                  <c:v>0</c:v>
                </c:pt>
                <c:pt idx="5">
                  <c:v>0</c:v>
                </c:pt>
                <c:pt idx="6">
                  <c:v>-100</c:v>
                </c:pt>
                <c:pt idx="7">
                  <c:v>100</c:v>
                </c:pt>
                <c:pt idx="8">
                  <c:v>0</c:v>
                </c:pt>
                <c:pt idx="9">
                  <c:v>100</c:v>
                </c:pt>
                <c:pt idx="10">
                  <c:v>-400</c:v>
                </c:pt>
                <c:pt idx="11">
                  <c:v>400</c:v>
                </c:pt>
                <c:pt idx="12">
                  <c:v>-100</c:v>
                </c:pt>
                <c:pt idx="13">
                  <c:v>0</c:v>
                </c:pt>
                <c:pt idx="14">
                  <c:v>0</c:v>
                </c:pt>
                <c:pt idx="15">
                  <c:v>0</c:v>
                </c:pt>
                <c:pt idx="16">
                  <c:v>-100</c:v>
                </c:pt>
                <c:pt idx="17">
                  <c:v>450</c:v>
                </c:pt>
                <c:pt idx="18">
                  <c:v>250</c:v>
                </c:pt>
                <c:pt idx="19">
                  <c:v>-600</c:v>
                </c:pt>
                <c:pt idx="20">
                  <c:v>0</c:v>
                </c:pt>
                <c:pt idx="21">
                  <c:v>0</c:v>
                </c:pt>
                <c:pt idx="22">
                  <c:v>400</c:v>
                </c:pt>
              </c:numCache>
            </c:numRef>
          </c:val>
          <c:smooth val="0"/>
          <c:extLst xmlns:c16r2="http://schemas.microsoft.com/office/drawing/2015/06/chart">
            <c:ext xmlns:c16="http://schemas.microsoft.com/office/drawing/2014/chart" uri="{C3380CC4-5D6E-409C-BE32-E72D297353CC}">
              <c16:uniqueId val="{00000002-64E2-41E1-831D-943D465A388E}"/>
            </c:ext>
          </c:extLst>
        </c:ser>
        <c:dLbls>
          <c:showLegendKey val="0"/>
          <c:showVal val="0"/>
          <c:showCatName val="0"/>
          <c:showSerName val="0"/>
          <c:showPercent val="0"/>
          <c:showBubbleSize val="0"/>
        </c:dLbls>
        <c:marker val="1"/>
        <c:smooth val="0"/>
        <c:axId val="447793024"/>
        <c:axId val="447795200"/>
      </c:lineChart>
      <c:catAx>
        <c:axId val="4477930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7795200"/>
        <c:crosses val="autoZero"/>
        <c:auto val="0"/>
        <c:lblAlgn val="ctr"/>
        <c:lblOffset val="0"/>
        <c:tickMarkSkip val="2"/>
        <c:noMultiLvlLbl val="0"/>
      </c:catAx>
      <c:valAx>
        <c:axId val="4477952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779302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资金!$H$2</c:f>
              <c:strCache>
                <c:ptCount val="1"/>
                <c:pt idx="0">
                  <c:v>银行间质押式回购加权利率:1天</c:v>
                </c:pt>
              </c:strCache>
            </c:strRef>
          </c:tx>
          <c:spPr>
            <a:ln w="25400">
              <a:solidFill>
                <a:srgbClr val="ED7D31">
                  <a:lumMod val="75000"/>
                </a:srgbClr>
              </a:solidFill>
            </a:ln>
          </c:spPr>
          <c:marker>
            <c:symbol val="none"/>
          </c:marker>
          <c:cat>
            <c:numRef>
              <c:f>资金!$G$3:$G$61</c:f>
              <c:numCache>
                <c:formatCode>yyyy\-mm\-dd;@</c:formatCode>
                <c:ptCount val="59"/>
                <c:pt idx="0">
                  <c:v>44407</c:v>
                </c:pt>
                <c:pt idx="1">
                  <c:v>44406</c:v>
                </c:pt>
                <c:pt idx="2">
                  <c:v>44405</c:v>
                </c:pt>
                <c:pt idx="3">
                  <c:v>44404</c:v>
                </c:pt>
                <c:pt idx="4">
                  <c:v>44403</c:v>
                </c:pt>
                <c:pt idx="5">
                  <c:v>44400</c:v>
                </c:pt>
                <c:pt idx="6">
                  <c:v>44399</c:v>
                </c:pt>
                <c:pt idx="7">
                  <c:v>44398</c:v>
                </c:pt>
                <c:pt idx="8">
                  <c:v>44397</c:v>
                </c:pt>
                <c:pt idx="9">
                  <c:v>44396</c:v>
                </c:pt>
                <c:pt idx="10">
                  <c:v>44393</c:v>
                </c:pt>
                <c:pt idx="11">
                  <c:v>44392</c:v>
                </c:pt>
                <c:pt idx="12">
                  <c:v>44391</c:v>
                </c:pt>
                <c:pt idx="13">
                  <c:v>44390</c:v>
                </c:pt>
                <c:pt idx="14">
                  <c:v>44389</c:v>
                </c:pt>
                <c:pt idx="15">
                  <c:v>44386</c:v>
                </c:pt>
                <c:pt idx="16">
                  <c:v>44385</c:v>
                </c:pt>
                <c:pt idx="17">
                  <c:v>44384</c:v>
                </c:pt>
                <c:pt idx="18">
                  <c:v>44383</c:v>
                </c:pt>
                <c:pt idx="19">
                  <c:v>44382</c:v>
                </c:pt>
                <c:pt idx="20">
                  <c:v>44379</c:v>
                </c:pt>
                <c:pt idx="21">
                  <c:v>44378</c:v>
                </c:pt>
                <c:pt idx="22">
                  <c:v>44377</c:v>
                </c:pt>
                <c:pt idx="23">
                  <c:v>44376</c:v>
                </c:pt>
                <c:pt idx="24">
                  <c:v>44375</c:v>
                </c:pt>
                <c:pt idx="25">
                  <c:v>44372</c:v>
                </c:pt>
                <c:pt idx="26">
                  <c:v>44371</c:v>
                </c:pt>
                <c:pt idx="27">
                  <c:v>44370</c:v>
                </c:pt>
                <c:pt idx="28">
                  <c:v>44369</c:v>
                </c:pt>
                <c:pt idx="29">
                  <c:v>44368</c:v>
                </c:pt>
                <c:pt idx="30">
                  <c:v>44365</c:v>
                </c:pt>
                <c:pt idx="31">
                  <c:v>44364</c:v>
                </c:pt>
                <c:pt idx="32">
                  <c:v>44363</c:v>
                </c:pt>
                <c:pt idx="33">
                  <c:v>44362</c:v>
                </c:pt>
                <c:pt idx="34">
                  <c:v>44358</c:v>
                </c:pt>
                <c:pt idx="35">
                  <c:v>44357</c:v>
                </c:pt>
                <c:pt idx="36">
                  <c:v>44356</c:v>
                </c:pt>
                <c:pt idx="37">
                  <c:v>44355</c:v>
                </c:pt>
                <c:pt idx="38">
                  <c:v>44354</c:v>
                </c:pt>
                <c:pt idx="39">
                  <c:v>44351</c:v>
                </c:pt>
                <c:pt idx="40">
                  <c:v>44350</c:v>
                </c:pt>
                <c:pt idx="41">
                  <c:v>44349</c:v>
                </c:pt>
                <c:pt idx="42">
                  <c:v>44348</c:v>
                </c:pt>
                <c:pt idx="43">
                  <c:v>44347</c:v>
                </c:pt>
                <c:pt idx="44">
                  <c:v>44344</c:v>
                </c:pt>
                <c:pt idx="45">
                  <c:v>44343</c:v>
                </c:pt>
                <c:pt idx="46">
                  <c:v>44342</c:v>
                </c:pt>
                <c:pt idx="47">
                  <c:v>44341</c:v>
                </c:pt>
                <c:pt idx="48">
                  <c:v>44340</c:v>
                </c:pt>
                <c:pt idx="49">
                  <c:v>44337</c:v>
                </c:pt>
                <c:pt idx="50">
                  <c:v>44336</c:v>
                </c:pt>
                <c:pt idx="51">
                  <c:v>44335</c:v>
                </c:pt>
                <c:pt idx="52">
                  <c:v>44334</c:v>
                </c:pt>
                <c:pt idx="53">
                  <c:v>44333</c:v>
                </c:pt>
                <c:pt idx="54">
                  <c:v>44330</c:v>
                </c:pt>
                <c:pt idx="55">
                  <c:v>44329</c:v>
                </c:pt>
                <c:pt idx="56">
                  <c:v>44328</c:v>
                </c:pt>
                <c:pt idx="57">
                  <c:v>44327</c:v>
                </c:pt>
                <c:pt idx="58">
                  <c:v>44326</c:v>
                </c:pt>
              </c:numCache>
            </c:numRef>
          </c:cat>
          <c:val>
            <c:numRef>
              <c:f>资金!$H$3:$H$61</c:f>
              <c:numCache>
                <c:formatCode>###,###,###,###,##0.0000</c:formatCode>
                <c:ptCount val="59"/>
                <c:pt idx="0">
                  <c:v>2.2915999999999999</c:v>
                </c:pt>
                <c:pt idx="1">
                  <c:v>1.6695</c:v>
                </c:pt>
                <c:pt idx="2">
                  <c:v>2.0876000000000001</c:v>
                </c:pt>
                <c:pt idx="3">
                  <c:v>2.3111000000000002</c:v>
                </c:pt>
                <c:pt idx="4">
                  <c:v>2.1661000000000001</c:v>
                </c:pt>
                <c:pt idx="5">
                  <c:v>2.0718000000000001</c:v>
                </c:pt>
                <c:pt idx="6">
                  <c:v>2.1480999999999999</c:v>
                </c:pt>
                <c:pt idx="7">
                  <c:v>2.2153999999999998</c:v>
                </c:pt>
                <c:pt idx="8">
                  <c:v>2.2222</c:v>
                </c:pt>
                <c:pt idx="9">
                  <c:v>2.1469999999999998</c:v>
                </c:pt>
                <c:pt idx="10">
                  <c:v>2.1206999999999998</c:v>
                </c:pt>
                <c:pt idx="11">
                  <c:v>2.1284000000000001</c:v>
                </c:pt>
                <c:pt idx="12">
                  <c:v>2.0181</c:v>
                </c:pt>
                <c:pt idx="13">
                  <c:v>2.0840999999999998</c:v>
                </c:pt>
                <c:pt idx="14">
                  <c:v>1.984</c:v>
                </c:pt>
                <c:pt idx="15">
                  <c:v>2.2357999999999998</c:v>
                </c:pt>
                <c:pt idx="16">
                  <c:v>1.8419000000000001</c:v>
                </c:pt>
                <c:pt idx="17">
                  <c:v>2.0931000000000002</c:v>
                </c:pt>
                <c:pt idx="18">
                  <c:v>1.9484999999999999</c:v>
                </c:pt>
                <c:pt idx="19">
                  <c:v>1.7087000000000001</c:v>
                </c:pt>
                <c:pt idx="20">
                  <c:v>1.6527000000000001</c:v>
                </c:pt>
                <c:pt idx="21">
                  <c:v>1.7985</c:v>
                </c:pt>
                <c:pt idx="22">
                  <c:v>3.6480999999999999</c:v>
                </c:pt>
                <c:pt idx="23">
                  <c:v>1.8728</c:v>
                </c:pt>
                <c:pt idx="24">
                  <c:v>1.6152</c:v>
                </c:pt>
                <c:pt idx="25">
                  <c:v>1.5741000000000001</c:v>
                </c:pt>
                <c:pt idx="26">
                  <c:v>1.8687</c:v>
                </c:pt>
                <c:pt idx="27">
                  <c:v>2.2334999999999998</c:v>
                </c:pt>
                <c:pt idx="28">
                  <c:v>2.3925999999999998</c:v>
                </c:pt>
                <c:pt idx="29">
                  <c:v>2.2985000000000002</c:v>
                </c:pt>
                <c:pt idx="30">
                  <c:v>2.0535000000000001</c:v>
                </c:pt>
                <c:pt idx="31">
                  <c:v>1.9017999999999999</c:v>
                </c:pt>
                <c:pt idx="32">
                  <c:v>2.0264000000000002</c:v>
                </c:pt>
                <c:pt idx="33">
                  <c:v>2.1314000000000002</c:v>
                </c:pt>
                <c:pt idx="34">
                  <c:v>2.0297000000000001</c:v>
                </c:pt>
                <c:pt idx="35">
                  <c:v>1.9117</c:v>
                </c:pt>
                <c:pt idx="36">
                  <c:v>2.194</c:v>
                </c:pt>
                <c:pt idx="37">
                  <c:v>2.2252000000000001</c:v>
                </c:pt>
                <c:pt idx="38">
                  <c:v>2.3681000000000001</c:v>
                </c:pt>
                <c:pt idx="39">
                  <c:v>2.2187999999999999</c:v>
                </c:pt>
                <c:pt idx="40">
                  <c:v>1.8841000000000001</c:v>
                </c:pt>
                <c:pt idx="41">
                  <c:v>2.0444</c:v>
                </c:pt>
                <c:pt idx="42">
                  <c:v>2.2265999999999999</c:v>
                </c:pt>
                <c:pt idx="43">
                  <c:v>2.5068999999999999</c:v>
                </c:pt>
                <c:pt idx="44">
                  <c:v>2.2092000000000001</c:v>
                </c:pt>
                <c:pt idx="45">
                  <c:v>2.1524000000000001</c:v>
                </c:pt>
                <c:pt idx="46">
                  <c:v>2.0261</c:v>
                </c:pt>
                <c:pt idx="47">
                  <c:v>2.2078000000000002</c:v>
                </c:pt>
                <c:pt idx="48">
                  <c:v>2.2084999999999999</c:v>
                </c:pt>
                <c:pt idx="49">
                  <c:v>2.0007000000000001</c:v>
                </c:pt>
                <c:pt idx="50">
                  <c:v>2.1055999999999999</c:v>
                </c:pt>
                <c:pt idx="51">
                  <c:v>2.0579999999999998</c:v>
                </c:pt>
                <c:pt idx="52">
                  <c:v>2.1303999999999998</c:v>
                </c:pt>
                <c:pt idx="53">
                  <c:v>2.1846000000000001</c:v>
                </c:pt>
                <c:pt idx="54">
                  <c:v>1.8376999999999999</c:v>
                </c:pt>
                <c:pt idx="55">
                  <c:v>1.9856</c:v>
                </c:pt>
                <c:pt idx="56">
                  <c:v>1.9772000000000001</c:v>
                </c:pt>
                <c:pt idx="57">
                  <c:v>1.9589000000000001</c:v>
                </c:pt>
                <c:pt idx="58">
                  <c:v>1.6997</c:v>
                </c:pt>
              </c:numCache>
            </c:numRef>
          </c:val>
          <c:smooth val="1"/>
          <c:extLst xmlns:c16r2="http://schemas.microsoft.com/office/drawing/2015/06/chart">
            <c:ext xmlns:c16="http://schemas.microsoft.com/office/drawing/2014/chart" uri="{C3380CC4-5D6E-409C-BE32-E72D297353CC}">
              <c16:uniqueId val="{00000000-7508-4C7A-812C-E789CF54BECF}"/>
            </c:ext>
          </c:extLst>
        </c:ser>
        <c:ser>
          <c:idx val="2"/>
          <c:order val="1"/>
          <c:tx>
            <c:strRef>
              <c:f>资金!$I$2</c:f>
              <c:strCache>
                <c:ptCount val="1"/>
                <c:pt idx="0">
                  <c:v>银行间质押式回购加权利率:7天</c:v>
                </c:pt>
              </c:strCache>
            </c:strRef>
          </c:tx>
          <c:spPr>
            <a:ln w="25400">
              <a:solidFill>
                <a:srgbClr val="ED7D31"/>
              </a:solidFill>
              <a:prstDash val="sysDash"/>
            </a:ln>
          </c:spPr>
          <c:marker>
            <c:symbol val="none"/>
          </c:marker>
          <c:cat>
            <c:numRef>
              <c:f>资金!$G$3:$G$61</c:f>
              <c:numCache>
                <c:formatCode>yyyy\-mm\-dd;@</c:formatCode>
                <c:ptCount val="59"/>
                <c:pt idx="0">
                  <c:v>44407</c:v>
                </c:pt>
                <c:pt idx="1">
                  <c:v>44406</c:v>
                </c:pt>
                <c:pt idx="2">
                  <c:v>44405</c:v>
                </c:pt>
                <c:pt idx="3">
                  <c:v>44404</c:v>
                </c:pt>
                <c:pt idx="4">
                  <c:v>44403</c:v>
                </c:pt>
                <c:pt idx="5">
                  <c:v>44400</c:v>
                </c:pt>
                <c:pt idx="6">
                  <c:v>44399</c:v>
                </c:pt>
                <c:pt idx="7">
                  <c:v>44398</c:v>
                </c:pt>
                <c:pt idx="8">
                  <c:v>44397</c:v>
                </c:pt>
                <c:pt idx="9">
                  <c:v>44396</c:v>
                </c:pt>
                <c:pt idx="10">
                  <c:v>44393</c:v>
                </c:pt>
                <c:pt idx="11">
                  <c:v>44392</c:v>
                </c:pt>
                <c:pt idx="12">
                  <c:v>44391</c:v>
                </c:pt>
                <c:pt idx="13">
                  <c:v>44390</c:v>
                </c:pt>
                <c:pt idx="14">
                  <c:v>44389</c:v>
                </c:pt>
                <c:pt idx="15">
                  <c:v>44386</c:v>
                </c:pt>
                <c:pt idx="16">
                  <c:v>44385</c:v>
                </c:pt>
                <c:pt idx="17">
                  <c:v>44384</c:v>
                </c:pt>
                <c:pt idx="18">
                  <c:v>44383</c:v>
                </c:pt>
                <c:pt idx="19">
                  <c:v>44382</c:v>
                </c:pt>
                <c:pt idx="20">
                  <c:v>44379</c:v>
                </c:pt>
                <c:pt idx="21">
                  <c:v>44378</c:v>
                </c:pt>
                <c:pt idx="22">
                  <c:v>44377</c:v>
                </c:pt>
                <c:pt idx="23">
                  <c:v>44376</c:v>
                </c:pt>
                <c:pt idx="24">
                  <c:v>44375</c:v>
                </c:pt>
                <c:pt idx="25">
                  <c:v>44372</c:v>
                </c:pt>
                <c:pt idx="26">
                  <c:v>44371</c:v>
                </c:pt>
                <c:pt idx="27">
                  <c:v>44370</c:v>
                </c:pt>
                <c:pt idx="28">
                  <c:v>44369</c:v>
                </c:pt>
                <c:pt idx="29">
                  <c:v>44368</c:v>
                </c:pt>
                <c:pt idx="30">
                  <c:v>44365</c:v>
                </c:pt>
                <c:pt idx="31">
                  <c:v>44364</c:v>
                </c:pt>
                <c:pt idx="32">
                  <c:v>44363</c:v>
                </c:pt>
                <c:pt idx="33">
                  <c:v>44362</c:v>
                </c:pt>
                <c:pt idx="34">
                  <c:v>44358</c:v>
                </c:pt>
                <c:pt idx="35">
                  <c:v>44357</c:v>
                </c:pt>
                <c:pt idx="36">
                  <c:v>44356</c:v>
                </c:pt>
                <c:pt idx="37">
                  <c:v>44355</c:v>
                </c:pt>
                <c:pt idx="38">
                  <c:v>44354</c:v>
                </c:pt>
                <c:pt idx="39">
                  <c:v>44351</c:v>
                </c:pt>
                <c:pt idx="40">
                  <c:v>44350</c:v>
                </c:pt>
                <c:pt idx="41">
                  <c:v>44349</c:v>
                </c:pt>
                <c:pt idx="42">
                  <c:v>44348</c:v>
                </c:pt>
                <c:pt idx="43">
                  <c:v>44347</c:v>
                </c:pt>
                <c:pt idx="44">
                  <c:v>44344</c:v>
                </c:pt>
                <c:pt idx="45">
                  <c:v>44343</c:v>
                </c:pt>
                <c:pt idx="46">
                  <c:v>44342</c:v>
                </c:pt>
                <c:pt idx="47">
                  <c:v>44341</c:v>
                </c:pt>
                <c:pt idx="48">
                  <c:v>44340</c:v>
                </c:pt>
                <c:pt idx="49">
                  <c:v>44337</c:v>
                </c:pt>
                <c:pt idx="50">
                  <c:v>44336</c:v>
                </c:pt>
                <c:pt idx="51">
                  <c:v>44335</c:v>
                </c:pt>
                <c:pt idx="52">
                  <c:v>44334</c:v>
                </c:pt>
                <c:pt idx="53">
                  <c:v>44333</c:v>
                </c:pt>
                <c:pt idx="54">
                  <c:v>44330</c:v>
                </c:pt>
                <c:pt idx="55">
                  <c:v>44329</c:v>
                </c:pt>
                <c:pt idx="56">
                  <c:v>44328</c:v>
                </c:pt>
                <c:pt idx="57">
                  <c:v>44327</c:v>
                </c:pt>
                <c:pt idx="58">
                  <c:v>44326</c:v>
                </c:pt>
              </c:numCache>
            </c:numRef>
          </c:cat>
          <c:val>
            <c:numRef>
              <c:f>资金!$I$3:$I$61</c:f>
              <c:numCache>
                <c:formatCode>###,###,###,###,##0.0000</c:formatCode>
                <c:ptCount val="59"/>
                <c:pt idx="0">
                  <c:v>2.4135</c:v>
                </c:pt>
                <c:pt idx="1">
                  <c:v>2.5125999999999999</c:v>
                </c:pt>
                <c:pt idx="2">
                  <c:v>2.6025</c:v>
                </c:pt>
                <c:pt idx="3">
                  <c:v>2.5617000000000001</c:v>
                </c:pt>
                <c:pt idx="4">
                  <c:v>2.4441000000000002</c:v>
                </c:pt>
                <c:pt idx="5">
                  <c:v>2.1591999999999998</c:v>
                </c:pt>
                <c:pt idx="6">
                  <c:v>2.2351999999999999</c:v>
                </c:pt>
                <c:pt idx="7">
                  <c:v>2.2496</c:v>
                </c:pt>
                <c:pt idx="8">
                  <c:v>2.2222</c:v>
                </c:pt>
                <c:pt idx="9">
                  <c:v>2.2004999999999999</c:v>
                </c:pt>
                <c:pt idx="10">
                  <c:v>2.2141000000000002</c:v>
                </c:pt>
                <c:pt idx="11">
                  <c:v>2.2366999999999999</c:v>
                </c:pt>
                <c:pt idx="12">
                  <c:v>2.2166000000000001</c:v>
                </c:pt>
                <c:pt idx="13">
                  <c:v>2.2111999999999998</c:v>
                </c:pt>
                <c:pt idx="14">
                  <c:v>2.2132999999999998</c:v>
                </c:pt>
                <c:pt idx="15">
                  <c:v>2.2448999999999999</c:v>
                </c:pt>
                <c:pt idx="16">
                  <c:v>2.1055000000000001</c:v>
                </c:pt>
                <c:pt idx="17">
                  <c:v>2.1293000000000002</c:v>
                </c:pt>
                <c:pt idx="18">
                  <c:v>2.0691000000000002</c:v>
                </c:pt>
                <c:pt idx="19">
                  <c:v>2.0535999999999999</c:v>
                </c:pt>
                <c:pt idx="20">
                  <c:v>2.0105</c:v>
                </c:pt>
                <c:pt idx="21">
                  <c:v>2.1985000000000001</c:v>
                </c:pt>
                <c:pt idx="22">
                  <c:v>3.242</c:v>
                </c:pt>
                <c:pt idx="23">
                  <c:v>3.3837999999999999</c:v>
                </c:pt>
                <c:pt idx="24">
                  <c:v>2.8334000000000001</c:v>
                </c:pt>
                <c:pt idx="25">
                  <c:v>2.7275999999999998</c:v>
                </c:pt>
                <c:pt idx="26">
                  <c:v>2.7907000000000002</c:v>
                </c:pt>
                <c:pt idx="27">
                  <c:v>2.3719000000000001</c:v>
                </c:pt>
                <c:pt idx="28">
                  <c:v>2.4222000000000001</c:v>
                </c:pt>
                <c:pt idx="29">
                  <c:v>2.3371</c:v>
                </c:pt>
                <c:pt idx="30">
                  <c:v>2.2141999999999999</c:v>
                </c:pt>
                <c:pt idx="31">
                  <c:v>2.2254999999999998</c:v>
                </c:pt>
                <c:pt idx="32">
                  <c:v>2.2517999999999998</c:v>
                </c:pt>
                <c:pt idx="33">
                  <c:v>2.2555999999999998</c:v>
                </c:pt>
                <c:pt idx="34">
                  <c:v>2.1131000000000002</c:v>
                </c:pt>
                <c:pt idx="35">
                  <c:v>2.1677</c:v>
                </c:pt>
                <c:pt idx="36">
                  <c:v>2.2887</c:v>
                </c:pt>
                <c:pt idx="37">
                  <c:v>2.3472</c:v>
                </c:pt>
                <c:pt idx="38">
                  <c:v>2.3174000000000001</c:v>
                </c:pt>
                <c:pt idx="39">
                  <c:v>2.1429</c:v>
                </c:pt>
                <c:pt idx="40">
                  <c:v>2.1086999999999998</c:v>
                </c:pt>
                <c:pt idx="41">
                  <c:v>2.2256</c:v>
                </c:pt>
                <c:pt idx="42">
                  <c:v>2.29</c:v>
                </c:pt>
                <c:pt idx="43">
                  <c:v>2.7025999999999999</c:v>
                </c:pt>
                <c:pt idx="44">
                  <c:v>2.4354</c:v>
                </c:pt>
                <c:pt idx="45">
                  <c:v>2.3687999999999998</c:v>
                </c:pt>
                <c:pt idx="46">
                  <c:v>2.3936999999999999</c:v>
                </c:pt>
                <c:pt idx="47">
                  <c:v>2.4274</c:v>
                </c:pt>
                <c:pt idx="48">
                  <c:v>2.1537999999999999</c:v>
                </c:pt>
                <c:pt idx="49">
                  <c:v>2.1427</c:v>
                </c:pt>
                <c:pt idx="50">
                  <c:v>2.2088000000000001</c:v>
                </c:pt>
                <c:pt idx="51">
                  <c:v>2.1913</c:v>
                </c:pt>
                <c:pt idx="52">
                  <c:v>2.2437</c:v>
                </c:pt>
                <c:pt idx="53">
                  <c:v>2.1873999999999998</c:v>
                </c:pt>
                <c:pt idx="54">
                  <c:v>2.0255000000000001</c:v>
                </c:pt>
                <c:pt idx="55">
                  <c:v>2.0687000000000002</c:v>
                </c:pt>
                <c:pt idx="56">
                  <c:v>1.9994000000000001</c:v>
                </c:pt>
                <c:pt idx="57">
                  <c:v>1.9733000000000001</c:v>
                </c:pt>
                <c:pt idx="58">
                  <c:v>1.9528000000000001</c:v>
                </c:pt>
              </c:numCache>
            </c:numRef>
          </c:val>
          <c:smooth val="1"/>
          <c:extLst xmlns:c16r2="http://schemas.microsoft.com/office/drawing/2015/06/chart">
            <c:ext xmlns:c16="http://schemas.microsoft.com/office/drawing/2014/chart" uri="{C3380CC4-5D6E-409C-BE32-E72D297353CC}">
              <c16:uniqueId val="{00000001-7508-4C7A-812C-E789CF54BECF}"/>
            </c:ext>
          </c:extLst>
        </c:ser>
        <c:dLbls>
          <c:showLegendKey val="0"/>
          <c:showVal val="0"/>
          <c:showCatName val="0"/>
          <c:showSerName val="0"/>
          <c:showPercent val="0"/>
          <c:showBubbleSize val="0"/>
        </c:dLbls>
        <c:marker val="1"/>
        <c:smooth val="0"/>
        <c:axId val="447802368"/>
        <c:axId val="447804160"/>
      </c:lineChart>
      <c:dateAx>
        <c:axId val="4478023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7804160"/>
        <c:crosses val="autoZero"/>
        <c:auto val="0"/>
        <c:lblOffset val="0"/>
        <c:baseTimeUnit val="days"/>
        <c:majorUnit val="14"/>
        <c:majorTimeUnit val="days"/>
        <c:minorUnit val="7"/>
        <c:minorTimeUnit val="days"/>
      </c:dateAx>
      <c:valAx>
        <c:axId val="44780416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780236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-15.41</c:v>
                </c:pt>
                <c:pt idx="1">
                  <c:v>-5.08</c:v>
                </c:pt>
                <c:pt idx="2">
                  <c:v>2.27</c:v>
                </c:pt>
                <c:pt idx="3">
                  <c:v>-2.31</c:v>
                </c:pt>
                <c:pt idx="4">
                  <c:v>-5.54</c:v>
                </c:pt>
                <c:pt idx="5">
                  <c:v>-8.35</c:v>
                </c:pt>
                <c:pt idx="6">
                  <c:v>-7.71</c:v>
                </c:pt>
              </c:numCache>
            </c:numRef>
          </c:val>
          <c:extLst xmlns:c16r2="http://schemas.microsoft.com/office/drawing/2015/06/chart">
            <c:ext xmlns:c16="http://schemas.microsoft.com/office/drawing/2014/chart" uri="{C3380CC4-5D6E-409C-BE32-E72D297353CC}">
              <c16:uniqueId val="{00000000-EF3B-49AD-8985-28D0F539EEF8}"/>
            </c:ext>
          </c:extLst>
        </c:ser>
        <c:dLbls>
          <c:showLegendKey val="0"/>
          <c:showVal val="0"/>
          <c:showCatName val="0"/>
          <c:showSerName val="0"/>
          <c:showPercent val="0"/>
          <c:showBubbleSize val="0"/>
        </c:dLbls>
        <c:gapWidth val="150"/>
        <c:axId val="448875904"/>
        <c:axId val="448878080"/>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F3B-49AD-8985-28D0F539EEF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F3B-49AD-8985-28D0F539EEF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F3B-49AD-8985-28D0F539EEF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EF3B-49AD-8985-28D0F539EEF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F3B-49AD-8985-28D0F539EEF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F3B-49AD-8985-28D0F539EEF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1.49</c:v>
                </c:pt>
                <c:pt idx="1">
                  <c:v>1.7614000000000001</c:v>
                </c:pt>
                <c:pt idx="2">
                  <c:v>2.1345999999999998</c:v>
                </c:pt>
                <c:pt idx="3">
                  <c:v>2.5354999999999999</c:v>
                </c:pt>
                <c:pt idx="4">
                  <c:v>2.6871999999999998</c:v>
                </c:pt>
                <c:pt idx="5">
                  <c:v>2.8229000000000002</c:v>
                </c:pt>
                <c:pt idx="6">
                  <c:v>2.8363</c:v>
                </c:pt>
              </c:numCache>
            </c:numRef>
          </c:val>
          <c:smooth val="0"/>
          <c:extLst xmlns:c16r2="http://schemas.microsoft.com/office/drawing/2015/06/chart">
            <c:ext xmlns:c16="http://schemas.microsoft.com/office/drawing/2014/chart" uri="{C3380CC4-5D6E-409C-BE32-E72D297353CC}">
              <c16:uniqueId val="{00000007-EF3B-49AD-8985-28D0F539EEF8}"/>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1.6440999999999999</c:v>
                </c:pt>
                <c:pt idx="1">
                  <c:v>1.8122</c:v>
                </c:pt>
                <c:pt idx="2">
                  <c:v>2.1118999999999999</c:v>
                </c:pt>
                <c:pt idx="3">
                  <c:v>2.5586000000000002</c:v>
                </c:pt>
                <c:pt idx="4">
                  <c:v>2.7425999999999999</c:v>
                </c:pt>
                <c:pt idx="5">
                  <c:v>2.9064000000000001</c:v>
                </c:pt>
                <c:pt idx="6">
                  <c:v>2.9134000000000002</c:v>
                </c:pt>
              </c:numCache>
            </c:numRef>
          </c:val>
          <c:smooth val="0"/>
          <c:extLst xmlns:c16r2="http://schemas.microsoft.com/office/drawing/2015/06/chart">
            <c:ext xmlns:c16="http://schemas.microsoft.com/office/drawing/2014/chart" uri="{C3380CC4-5D6E-409C-BE32-E72D297353CC}">
              <c16:uniqueId val="{00000008-EF3B-49AD-8985-28D0F539EEF8}"/>
            </c:ext>
          </c:extLst>
        </c:ser>
        <c:dLbls>
          <c:showLegendKey val="0"/>
          <c:showVal val="0"/>
          <c:showCatName val="0"/>
          <c:showSerName val="0"/>
          <c:showPercent val="0"/>
          <c:showBubbleSize val="0"/>
        </c:dLbls>
        <c:marker val="1"/>
        <c:smooth val="0"/>
        <c:axId val="448901888"/>
        <c:axId val="448879616"/>
      </c:lineChart>
      <c:dateAx>
        <c:axId val="44887590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8878080"/>
        <c:crosses val="autoZero"/>
        <c:auto val="0"/>
        <c:lblOffset val="0"/>
        <c:baseTimeUnit val="days"/>
      </c:dateAx>
      <c:valAx>
        <c:axId val="4488780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8875904"/>
        <c:crosses val="autoZero"/>
        <c:crossBetween val="between"/>
      </c:valAx>
      <c:valAx>
        <c:axId val="448879616"/>
        <c:scaling>
          <c:orientation val="minMax"/>
        </c:scaling>
        <c:delete val="0"/>
        <c:axPos val="r"/>
        <c:numFmt formatCode="#,##0.0_);[Red]\(#,##0.0\)" sourceLinked="0"/>
        <c:majorTickMark val="out"/>
        <c:minorTickMark val="none"/>
        <c:tickLblPos val="nextTo"/>
        <c:spPr>
          <a:ln w="3175">
            <a:solidFill>
              <a:sysClr val="windowText" lastClr="000000"/>
            </a:solidFill>
          </a:ln>
        </c:spPr>
        <c:crossAx val="448901888"/>
        <c:crosses val="max"/>
        <c:crossBetween val="between"/>
      </c:valAx>
      <c:dateAx>
        <c:axId val="448901888"/>
        <c:scaling>
          <c:orientation val="minMax"/>
        </c:scaling>
        <c:delete val="1"/>
        <c:axPos val="b"/>
        <c:numFmt formatCode="General" sourceLinked="1"/>
        <c:majorTickMark val="out"/>
        <c:minorTickMark val="none"/>
        <c:tickLblPos val="nextTo"/>
        <c:crossAx val="44887961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-17</c:v>
                </c:pt>
                <c:pt idx="1">
                  <c:v>-8.9499999999999993</c:v>
                </c:pt>
                <c:pt idx="2">
                  <c:v>-10.97</c:v>
                </c:pt>
                <c:pt idx="3">
                  <c:v>-4.7</c:v>
                </c:pt>
                <c:pt idx="4">
                  <c:v>-2.2799999999999998</c:v>
                </c:pt>
                <c:pt idx="5">
                  <c:v>-7.06</c:v>
                </c:pt>
                <c:pt idx="6">
                  <c:v>-7.22</c:v>
                </c:pt>
              </c:numCache>
            </c:numRef>
          </c:val>
          <c:extLst xmlns:c16r2="http://schemas.microsoft.com/office/drawing/2015/06/chart">
            <c:ext xmlns:c16="http://schemas.microsoft.com/office/drawing/2014/chart" uri="{C3380CC4-5D6E-409C-BE32-E72D297353CC}">
              <c16:uniqueId val="{00000000-71F2-4DA3-A67C-5A777A173BE4}"/>
            </c:ext>
          </c:extLst>
        </c:ser>
        <c:dLbls>
          <c:showLegendKey val="0"/>
          <c:showVal val="0"/>
          <c:showCatName val="0"/>
          <c:showSerName val="0"/>
          <c:showPercent val="0"/>
          <c:showBubbleSize val="0"/>
        </c:dLbls>
        <c:gapWidth val="150"/>
        <c:axId val="448978944"/>
        <c:axId val="448980864"/>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71F2-4DA3-A67C-5A777A173BE4}"/>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71F2-4DA3-A67C-5A777A173BE4}"/>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71F2-4DA3-A67C-5A777A173BE4}"/>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71F2-4DA3-A67C-5A777A173BE4}"/>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71F2-4DA3-A67C-5A777A173BE4}"/>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71F2-4DA3-A67C-5A777A173BE4}"/>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1.5</c:v>
                </c:pt>
                <c:pt idx="1">
                  <c:v>1.768</c:v>
                </c:pt>
                <c:pt idx="2">
                  <c:v>2.2107999999999999</c:v>
                </c:pt>
                <c:pt idx="3">
                  <c:v>2.7105999999999999</c:v>
                </c:pt>
                <c:pt idx="4">
                  <c:v>3.0228999999999999</c:v>
                </c:pt>
                <c:pt idx="5">
                  <c:v>3.2031999999999998</c:v>
                </c:pt>
                <c:pt idx="6">
                  <c:v>3.2281</c:v>
                </c:pt>
              </c:numCache>
            </c:numRef>
          </c:val>
          <c:smooth val="0"/>
          <c:extLst xmlns:c16r2="http://schemas.microsoft.com/office/drawing/2015/06/chart">
            <c:ext xmlns:c16="http://schemas.microsoft.com/office/drawing/2014/chart" uri="{C3380CC4-5D6E-409C-BE32-E72D297353CC}">
              <c16:uniqueId val="{00000007-71F2-4DA3-A67C-5A777A173BE4}"/>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1.67</c:v>
                </c:pt>
                <c:pt idx="1">
                  <c:v>1.8574999999999999</c:v>
                </c:pt>
                <c:pt idx="2">
                  <c:v>2.3205</c:v>
                </c:pt>
                <c:pt idx="3">
                  <c:v>2.7576000000000001</c:v>
                </c:pt>
                <c:pt idx="4">
                  <c:v>3.0457000000000001</c:v>
                </c:pt>
                <c:pt idx="5">
                  <c:v>3.2738</c:v>
                </c:pt>
                <c:pt idx="6">
                  <c:v>3.3003</c:v>
                </c:pt>
              </c:numCache>
            </c:numRef>
          </c:val>
          <c:smooth val="0"/>
          <c:extLst xmlns:c16r2="http://schemas.microsoft.com/office/drawing/2015/06/chart">
            <c:ext xmlns:c16="http://schemas.microsoft.com/office/drawing/2014/chart" uri="{C3380CC4-5D6E-409C-BE32-E72D297353CC}">
              <c16:uniqueId val="{00000008-71F2-4DA3-A67C-5A777A173BE4}"/>
            </c:ext>
          </c:extLst>
        </c:ser>
        <c:dLbls>
          <c:showLegendKey val="0"/>
          <c:showVal val="0"/>
          <c:showCatName val="0"/>
          <c:showSerName val="0"/>
          <c:showPercent val="0"/>
          <c:showBubbleSize val="0"/>
        </c:dLbls>
        <c:marker val="1"/>
        <c:smooth val="0"/>
        <c:axId val="448988288"/>
        <c:axId val="448982400"/>
      </c:lineChart>
      <c:dateAx>
        <c:axId val="4489789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8980864"/>
        <c:crosses val="autoZero"/>
        <c:auto val="0"/>
        <c:lblOffset val="0"/>
        <c:baseTimeUnit val="days"/>
      </c:dateAx>
      <c:valAx>
        <c:axId val="4489808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8978944"/>
        <c:crosses val="autoZero"/>
        <c:crossBetween val="between"/>
      </c:valAx>
      <c:valAx>
        <c:axId val="448982400"/>
        <c:scaling>
          <c:orientation val="minMax"/>
        </c:scaling>
        <c:delete val="0"/>
        <c:axPos val="r"/>
        <c:numFmt formatCode="#,##0.0_);[Red]\(#,##0.0\)" sourceLinked="0"/>
        <c:majorTickMark val="out"/>
        <c:minorTickMark val="none"/>
        <c:tickLblPos val="nextTo"/>
        <c:spPr>
          <a:ln w="3175">
            <a:solidFill>
              <a:sysClr val="windowText" lastClr="000000"/>
            </a:solidFill>
          </a:ln>
        </c:spPr>
        <c:crossAx val="448988288"/>
        <c:crosses val="max"/>
        <c:crossBetween val="between"/>
      </c:valAx>
      <c:dateAx>
        <c:axId val="448988288"/>
        <c:scaling>
          <c:orientation val="minMax"/>
        </c:scaling>
        <c:delete val="1"/>
        <c:axPos val="b"/>
        <c:numFmt formatCode="General" sourceLinked="1"/>
        <c:majorTickMark val="out"/>
        <c:minorTickMark val="none"/>
        <c:tickLblPos val="nextTo"/>
        <c:crossAx val="44898240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2"/>
                <c:pt idx="0">
                  <c:v>44407</c:v>
                </c:pt>
                <c:pt idx="1">
                  <c:v>44400</c:v>
                </c:pt>
                <c:pt idx="2">
                  <c:v>44393</c:v>
                </c:pt>
                <c:pt idx="3">
                  <c:v>44386</c:v>
                </c:pt>
                <c:pt idx="4">
                  <c:v>44379</c:v>
                </c:pt>
                <c:pt idx="5">
                  <c:v>44372</c:v>
                </c:pt>
                <c:pt idx="6">
                  <c:v>44365</c:v>
                </c:pt>
                <c:pt idx="7">
                  <c:v>44358</c:v>
                </c:pt>
                <c:pt idx="8">
                  <c:v>44351</c:v>
                </c:pt>
                <c:pt idx="9">
                  <c:v>44337</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numCache>
            </c:numRef>
          </c:cat>
          <c:val>
            <c:numRef>
              <c:f>转债!$H$5:$H$28</c:f>
              <c:numCache>
                <c:formatCode>General</c:formatCode>
                <c:ptCount val="22"/>
                <c:pt idx="0">
                  <c:v>6.3195922805432403</c:v>
                </c:pt>
                <c:pt idx="1">
                  <c:v>7.2675702061615999</c:v>
                </c:pt>
                <c:pt idx="2">
                  <c:v>5.7811828672868604</c:v>
                </c:pt>
                <c:pt idx="3">
                  <c:v>4.3690542484882799</c:v>
                </c:pt>
                <c:pt idx="4">
                  <c:v>2.4314811690128391</c:v>
                </c:pt>
                <c:pt idx="5">
                  <c:v>3.4271949179542238</c:v>
                </c:pt>
                <c:pt idx="6">
                  <c:v>1.4011582743082229</c:v>
                </c:pt>
                <c:pt idx="7">
                  <c:v>3.0960899751536486</c:v>
                </c:pt>
                <c:pt idx="8">
                  <c:v>3.266197700162965</c:v>
                </c:pt>
                <c:pt idx="9">
                  <c:v>1.5101878651278433</c:v>
                </c:pt>
                <c:pt idx="10">
                  <c:v>0.39749304717355827</c:v>
                </c:pt>
                <c:pt idx="11">
                  <c:v>0.11412392769600821</c:v>
                </c:pt>
                <c:pt idx="12">
                  <c:v>0.11601071913169836</c:v>
                </c:pt>
                <c:pt idx="13">
                  <c:v>-0.60091611810452195</c:v>
                </c:pt>
                <c:pt idx="14">
                  <c:v>-0.31870602765174949</c:v>
                </c:pt>
                <c:pt idx="15">
                  <c:v>-0.69016135301274151</c:v>
                </c:pt>
                <c:pt idx="16">
                  <c:v>-1.268705515522639</c:v>
                </c:pt>
                <c:pt idx="17">
                  <c:v>-0.70202118489425258</c:v>
                </c:pt>
                <c:pt idx="18">
                  <c:v>-0.7172772413599815</c:v>
                </c:pt>
                <c:pt idx="19">
                  <c:v>-1.032479227774008</c:v>
                </c:pt>
                <c:pt idx="20">
                  <c:v>-1.4978967666324783</c:v>
                </c:pt>
                <c:pt idx="21">
                  <c:v>0</c:v>
                </c:pt>
              </c:numCache>
            </c:numRef>
          </c:val>
          <c:smooth val="1"/>
          <c:extLst xmlns:c16r2="http://schemas.microsoft.com/office/drawing/2015/06/chart">
            <c:ext xmlns:c16="http://schemas.microsoft.com/office/drawing/2014/chart" uri="{C3380CC4-5D6E-409C-BE32-E72D297353CC}">
              <c16:uniqueId val="{00000000-5FB7-404A-88CE-A934E0A4B0DA}"/>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2"/>
                <c:pt idx="0">
                  <c:v>44407</c:v>
                </c:pt>
                <c:pt idx="1">
                  <c:v>44400</c:v>
                </c:pt>
                <c:pt idx="2">
                  <c:v>44393</c:v>
                </c:pt>
                <c:pt idx="3">
                  <c:v>44386</c:v>
                </c:pt>
                <c:pt idx="4">
                  <c:v>44379</c:v>
                </c:pt>
                <c:pt idx="5">
                  <c:v>44372</c:v>
                </c:pt>
                <c:pt idx="6">
                  <c:v>44365</c:v>
                </c:pt>
                <c:pt idx="7">
                  <c:v>44358</c:v>
                </c:pt>
                <c:pt idx="8">
                  <c:v>44351</c:v>
                </c:pt>
                <c:pt idx="9">
                  <c:v>44337</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numCache>
            </c:numRef>
          </c:cat>
          <c:val>
            <c:numRef>
              <c:f>转债!$I$5:$I$28</c:f>
              <c:numCache>
                <c:formatCode>General</c:formatCode>
                <c:ptCount val="22"/>
                <c:pt idx="0">
                  <c:v>2.271054828691299</c:v>
                </c:pt>
                <c:pt idx="1">
                  <c:v>1.9806316235186472</c:v>
                </c:pt>
                <c:pt idx="2">
                  <c:v>1.7162457721313196</c:v>
                </c:pt>
                <c:pt idx="3">
                  <c:v>1.3850164846328283</c:v>
                </c:pt>
                <c:pt idx="4">
                  <c:v>0.9685041924408111</c:v>
                </c:pt>
                <c:pt idx="5">
                  <c:v>0.93947894559816003</c:v>
                </c:pt>
                <c:pt idx="6">
                  <c:v>0.73203379904627219</c:v>
                </c:pt>
                <c:pt idx="7">
                  <c:v>0.80997512365610369</c:v>
                </c:pt>
                <c:pt idx="8">
                  <c:v>1.026383949379972</c:v>
                </c:pt>
                <c:pt idx="9">
                  <c:v>1.1886692265796306</c:v>
                </c:pt>
                <c:pt idx="10">
                  <c:v>0.82832932386542879</c:v>
                </c:pt>
                <c:pt idx="11">
                  <c:v>0.77070567204544638</c:v>
                </c:pt>
                <c:pt idx="12">
                  <c:v>0.81040196552142341</c:v>
                </c:pt>
                <c:pt idx="13">
                  <c:v>0.68234940592148963</c:v>
                </c:pt>
                <c:pt idx="14">
                  <c:v>0.38688946673792746</c:v>
                </c:pt>
                <c:pt idx="15">
                  <c:v>0.41497566147683518</c:v>
                </c:pt>
                <c:pt idx="16">
                  <c:v>0.3879138872147303</c:v>
                </c:pt>
                <c:pt idx="17">
                  <c:v>0.21888450854281594</c:v>
                </c:pt>
                <c:pt idx="18">
                  <c:v>0.13274782011860609</c:v>
                </c:pt>
                <c:pt idx="19">
                  <c:v>0.12258898372368154</c:v>
                </c:pt>
                <c:pt idx="20">
                  <c:v>-2.6891037515974769E-2</c:v>
                </c:pt>
                <c:pt idx="21">
                  <c:v>0</c:v>
                </c:pt>
              </c:numCache>
            </c:numRef>
          </c:val>
          <c:smooth val="1"/>
          <c:extLst xmlns:c16r2="http://schemas.microsoft.com/office/drawing/2015/06/chart">
            <c:ext xmlns:c16="http://schemas.microsoft.com/office/drawing/2014/chart" uri="{C3380CC4-5D6E-409C-BE32-E72D297353CC}">
              <c16:uniqueId val="{00000001-5FB7-404A-88CE-A934E0A4B0DA}"/>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2"/>
                <c:pt idx="0">
                  <c:v>44407</c:v>
                </c:pt>
                <c:pt idx="1">
                  <c:v>44400</c:v>
                </c:pt>
                <c:pt idx="2">
                  <c:v>44393</c:v>
                </c:pt>
                <c:pt idx="3">
                  <c:v>44386</c:v>
                </c:pt>
                <c:pt idx="4">
                  <c:v>44379</c:v>
                </c:pt>
                <c:pt idx="5">
                  <c:v>44372</c:v>
                </c:pt>
                <c:pt idx="6">
                  <c:v>44365</c:v>
                </c:pt>
                <c:pt idx="7">
                  <c:v>44358</c:v>
                </c:pt>
                <c:pt idx="8">
                  <c:v>44351</c:v>
                </c:pt>
                <c:pt idx="9">
                  <c:v>44337</c:v>
                </c:pt>
                <c:pt idx="10">
                  <c:v>44323</c:v>
                </c:pt>
                <c:pt idx="11">
                  <c:v>44316</c:v>
                </c:pt>
                <c:pt idx="12">
                  <c:v>44309</c:v>
                </c:pt>
                <c:pt idx="13">
                  <c:v>44302</c:v>
                </c:pt>
                <c:pt idx="14">
                  <c:v>44295</c:v>
                </c:pt>
                <c:pt idx="15">
                  <c:v>44288</c:v>
                </c:pt>
                <c:pt idx="16">
                  <c:v>44281</c:v>
                </c:pt>
                <c:pt idx="17">
                  <c:v>44274</c:v>
                </c:pt>
                <c:pt idx="18">
                  <c:v>44267</c:v>
                </c:pt>
                <c:pt idx="19">
                  <c:v>44260</c:v>
                </c:pt>
                <c:pt idx="20">
                  <c:v>44253</c:v>
                </c:pt>
                <c:pt idx="21">
                  <c:v>44246</c:v>
                </c:pt>
              </c:numCache>
            </c:numRef>
          </c:cat>
          <c:val>
            <c:numRef>
              <c:f>转债!$J$5:$J$28</c:f>
              <c:numCache>
                <c:formatCode>General</c:formatCode>
                <c:ptCount val="22"/>
                <c:pt idx="0">
                  <c:v>-16.745093567188718</c:v>
                </c:pt>
                <c:pt idx="1">
                  <c:v>-11.933425416372344</c:v>
                </c:pt>
                <c:pt idx="2">
                  <c:v>-11.837480588671557</c:v>
                </c:pt>
                <c:pt idx="3">
                  <c:v>-12.275917908812872</c:v>
                </c:pt>
                <c:pt idx="4">
                  <c:v>-12.07378225602984</c:v>
                </c:pt>
                <c:pt idx="5">
                  <c:v>-9.324940879158838</c:v>
                </c:pt>
                <c:pt idx="6">
                  <c:v>-11.704357032083589</c:v>
                </c:pt>
                <c:pt idx="7">
                  <c:v>-9.5891010690376977</c:v>
                </c:pt>
                <c:pt idx="8">
                  <c:v>-8.5928080400882951</c:v>
                </c:pt>
                <c:pt idx="9">
                  <c:v>-11.156105323523292</c:v>
                </c:pt>
                <c:pt idx="10">
                  <c:v>-13.54578131743348</c:v>
                </c:pt>
                <c:pt idx="11">
                  <c:v>-11.340559233147406</c:v>
                </c:pt>
                <c:pt idx="12">
                  <c:v>-11.133521214111742</c:v>
                </c:pt>
                <c:pt idx="13">
                  <c:v>-14.062694567527545</c:v>
                </c:pt>
                <c:pt idx="14">
                  <c:v>-12.865979031785246</c:v>
                </c:pt>
                <c:pt idx="15">
                  <c:v>-10.681813069123535</c:v>
                </c:pt>
                <c:pt idx="16">
                  <c:v>-12.820078832402759</c:v>
                </c:pt>
                <c:pt idx="17">
                  <c:v>-13.354774191784447</c:v>
                </c:pt>
                <c:pt idx="18">
                  <c:v>-10.94446603662117</c:v>
                </c:pt>
                <c:pt idx="19">
                  <c:v>-8.929924022840563</c:v>
                </c:pt>
                <c:pt idx="20">
                  <c:v>-7.6499945836899457</c:v>
                </c:pt>
                <c:pt idx="21">
                  <c:v>0</c:v>
                </c:pt>
              </c:numCache>
            </c:numRef>
          </c:val>
          <c:smooth val="1"/>
          <c:extLst xmlns:c16r2="http://schemas.microsoft.com/office/drawing/2015/06/chart">
            <c:ext xmlns:c16="http://schemas.microsoft.com/office/drawing/2014/chart" uri="{C3380CC4-5D6E-409C-BE32-E72D297353CC}">
              <c16:uniqueId val="{00000002-5FB7-404A-88CE-A934E0A4B0DA}"/>
            </c:ext>
          </c:extLst>
        </c:ser>
        <c:dLbls>
          <c:showLegendKey val="0"/>
          <c:showVal val="0"/>
          <c:showCatName val="0"/>
          <c:showSerName val="0"/>
          <c:showPercent val="0"/>
          <c:showBubbleSize val="0"/>
        </c:dLbls>
        <c:marker val="1"/>
        <c:smooth val="0"/>
        <c:axId val="449030784"/>
        <c:axId val="449122688"/>
      </c:lineChart>
      <c:dateAx>
        <c:axId val="4490307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9122688"/>
        <c:crosses val="autoZero"/>
        <c:auto val="0"/>
        <c:lblOffset val="0"/>
        <c:baseTimeUnit val="days"/>
        <c:majorUnit val="14"/>
        <c:majorTimeUnit val="days"/>
      </c:dateAx>
      <c:valAx>
        <c:axId val="4491226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903078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AC3E-446B-93F0-300C1736753B}"/>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AC3E-446B-93F0-300C1736753B}"/>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3139.09</c:v>
                </c:pt>
                <c:pt idx="177">
                  <c:v>#N/A</c:v>
                </c:pt>
                <c:pt idx="178">
                  <c:v>#N/A</c:v>
                </c:pt>
                <c:pt idx="179">
                  <c:v>#N/A</c:v>
                </c:pt>
                <c:pt idx="180">
                  <c:v>#N/A</c:v>
                </c:pt>
                <c:pt idx="181">
                  <c:v>#N/A</c:v>
                </c:pt>
                <c:pt idx="182">
                  <c:v>#N/A</c:v>
                </c:pt>
                <c:pt idx="183">
                  <c:v>3101.82</c:v>
                </c:pt>
                <c:pt idx="184">
                  <c:v>#N/A</c:v>
                </c:pt>
                <c:pt idx="185">
                  <c:v>#N/A</c:v>
                </c:pt>
                <c:pt idx="186">
                  <c:v>#N/A</c:v>
                </c:pt>
                <c:pt idx="187">
                  <c:v>#N/A</c:v>
                </c:pt>
                <c:pt idx="188">
                  <c:v>#N/A</c:v>
                </c:pt>
                <c:pt idx="189">
                  <c:v>#N/A</c:v>
                </c:pt>
                <c:pt idx="190">
                  <c:v>3115.01</c:v>
                </c:pt>
                <c:pt idx="191">
                  <c:v>#N/A</c:v>
                </c:pt>
                <c:pt idx="192">
                  <c:v>#N/A</c:v>
                </c:pt>
                <c:pt idx="193">
                  <c:v>#N/A</c:v>
                </c:pt>
                <c:pt idx="194">
                  <c:v>#N/A</c:v>
                </c:pt>
                <c:pt idx="195">
                  <c:v>#N/A</c:v>
                </c:pt>
                <c:pt idx="196">
                  <c:v>#N/A</c:v>
                </c:pt>
                <c:pt idx="197">
                  <c:v>3186.35</c:v>
                </c:pt>
                <c:pt idx="198">
                  <c:v>#N/A</c:v>
                </c:pt>
                <c:pt idx="199">
                  <c:v>#N/A</c:v>
                </c:pt>
                <c:pt idx="200">
                  <c:v>#N/A</c:v>
                </c:pt>
                <c:pt idx="201">
                  <c:v>#N/A</c:v>
                </c:pt>
                <c:pt idx="202">
                  <c:v>#N/A</c:v>
                </c:pt>
                <c:pt idx="203">
                  <c:v>#N/A</c:v>
                </c:pt>
                <c:pt idx="204">
                  <c:v>3189.26</c:v>
                </c:pt>
                <c:pt idx="205">
                  <c:v>#N/A</c:v>
                </c:pt>
                <c:pt idx="206">
                  <c:v>#N/A</c:v>
                </c:pt>
                <c:pt idx="207">
                  <c:v>#N/A</c:v>
                </c:pt>
                <c:pt idx="208">
                  <c:v>#N/A</c:v>
                </c:pt>
                <c:pt idx="209">
                  <c:v>#N/A</c:v>
                </c:pt>
                <c:pt idx="210">
                  <c:v>#N/A</c:v>
                </c:pt>
                <c:pt idx="211">
                  <c:v>3244.75</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AC3E-446B-93F0-300C1736753B}"/>
            </c:ext>
          </c:extLst>
        </c:ser>
        <c:dLbls>
          <c:showLegendKey val="0"/>
          <c:showVal val="0"/>
          <c:showCatName val="0"/>
          <c:showSerName val="0"/>
          <c:showPercent val="0"/>
          <c:showBubbleSize val="0"/>
        </c:dLbls>
        <c:marker val="1"/>
        <c:smooth val="0"/>
        <c:axId val="424706816"/>
        <c:axId val="424708352"/>
      </c:lineChart>
      <c:dateAx>
        <c:axId val="4247068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24708352"/>
        <c:crosses val="autoZero"/>
        <c:auto val="0"/>
        <c:lblOffset val="0"/>
        <c:baseTimeUnit val="days"/>
        <c:majorUnit val="1"/>
        <c:majorTimeUnit val="months"/>
      </c:dateAx>
      <c:valAx>
        <c:axId val="4247083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247068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7499-47E1-BE8A-B848A02F4DFC}"/>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7499-47E1-BE8A-B848A02F4DFC}"/>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148.87</c:v>
                </c:pt>
                <c:pt idx="172">
                  <c:v>148.43</c:v>
                </c:pt>
                <c:pt idx="173">
                  <c:v>148.09</c:v>
                </c:pt>
                <c:pt idx="174">
                  <c:v>147.71</c:v>
                </c:pt>
                <c:pt idx="175">
                  <c:v>147.4</c:v>
                </c:pt>
                <c:pt idx="176">
                  <c:v>#N/A</c:v>
                </c:pt>
                <c:pt idx="177">
                  <c:v>#N/A</c:v>
                </c:pt>
                <c:pt idx="178">
                  <c:v>147.24</c:v>
                </c:pt>
                <c:pt idx="179">
                  <c:v>147.13999999999999</c:v>
                </c:pt>
                <c:pt idx="180">
                  <c:v>146.91</c:v>
                </c:pt>
                <c:pt idx="181">
                  <c:v>146.66999999999999</c:v>
                </c:pt>
                <c:pt idx="182">
                  <c:v>145.88999999999999</c:v>
                </c:pt>
                <c:pt idx="183">
                  <c:v>#N/A</c:v>
                </c:pt>
                <c:pt idx="184">
                  <c:v>#N/A</c:v>
                </c:pt>
                <c:pt idx="185">
                  <c:v>145.09</c:v>
                </c:pt>
                <c:pt idx="186">
                  <c:v>143.96</c:v>
                </c:pt>
                <c:pt idx="187">
                  <c:v>143.51</c:v>
                </c:pt>
                <c:pt idx="188">
                  <c:v>143.03</c:v>
                </c:pt>
                <c:pt idx="189">
                  <c:v>142.46</c:v>
                </c:pt>
                <c:pt idx="190">
                  <c:v>#N/A</c:v>
                </c:pt>
                <c:pt idx="191">
                  <c:v>#N/A</c:v>
                </c:pt>
                <c:pt idx="192">
                  <c:v>141.66999999999999</c:v>
                </c:pt>
                <c:pt idx="193">
                  <c:v>141.13</c:v>
                </c:pt>
                <c:pt idx="194">
                  <c:v>140.6</c:v>
                </c:pt>
                <c:pt idx="195">
                  <c:v>140.29</c:v>
                </c:pt>
                <c:pt idx="196">
                  <c:v>139.72</c:v>
                </c:pt>
                <c:pt idx="197">
                  <c:v>#N/A</c:v>
                </c:pt>
                <c:pt idx="198">
                  <c:v>#N/A</c:v>
                </c:pt>
                <c:pt idx="199">
                  <c:v>139.69</c:v>
                </c:pt>
                <c:pt idx="200">
                  <c:v>139.61000000000001</c:v>
                </c:pt>
                <c:pt idx="201">
                  <c:v>139.51</c:v>
                </c:pt>
                <c:pt idx="202">
                  <c:v>139.38</c:v>
                </c:pt>
                <c:pt idx="203">
                  <c:v>139.38</c:v>
                </c:pt>
                <c:pt idx="204">
                  <c:v>#N/A</c:v>
                </c:pt>
                <c:pt idx="205">
                  <c:v>#N/A</c:v>
                </c:pt>
                <c:pt idx="206">
                  <c:v>139.35</c:v>
                </c:pt>
                <c:pt idx="207">
                  <c:v>139.33000000000001</c:v>
                </c:pt>
                <c:pt idx="208">
                  <c:v>139.29</c:v>
                </c:pt>
                <c:pt idx="209">
                  <c:v>139.29</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499-47E1-BE8A-B848A02F4DFC}"/>
            </c:ext>
          </c:extLst>
        </c:ser>
        <c:dLbls>
          <c:showLegendKey val="0"/>
          <c:showVal val="0"/>
          <c:showCatName val="0"/>
          <c:showSerName val="0"/>
          <c:showPercent val="0"/>
          <c:showBubbleSize val="0"/>
        </c:dLbls>
        <c:marker val="1"/>
        <c:smooth val="0"/>
        <c:axId val="451965696"/>
        <c:axId val="451967232"/>
      </c:lineChart>
      <c:dateAx>
        <c:axId val="4519656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51967232"/>
        <c:crosses val="autoZero"/>
        <c:auto val="0"/>
        <c:lblOffset val="0"/>
        <c:baseTimeUnit val="days"/>
        <c:majorUnit val="1"/>
        <c:majorTimeUnit val="months"/>
      </c:dateAx>
      <c:valAx>
        <c:axId val="451967232"/>
        <c:scaling>
          <c:orientation val="minMax"/>
          <c:min val="12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519656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商品房!$H$1</c:f>
              <c:strCache>
                <c:ptCount val="1"/>
                <c:pt idx="0">
                  <c:v>2019</c:v>
                </c:pt>
              </c:strCache>
            </c:strRef>
          </c:tx>
          <c:spPr>
            <a:ln w="28575">
              <a:solidFill>
                <a:srgbClr val="E7E6E6">
                  <a:lumMod val="75000"/>
                </a:srgbClr>
              </a:solidFill>
              <a:prstDash val="solid"/>
            </a:ln>
          </c:spPr>
          <c:marker>
            <c:symbol val="none"/>
          </c:marker>
          <c:cat>
            <c:numRef>
              <c:f>商品房!$G$2:$G$366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商品房!$H$2:$H$366</c:f>
              <c:numCache>
                <c:formatCode>General</c:formatCode>
                <c:ptCount val="365"/>
                <c:pt idx="0">
                  <c:v>#N/A</c:v>
                </c:pt>
                <c:pt idx="1">
                  <c:v>#N/A</c:v>
                </c:pt>
                <c:pt idx="2">
                  <c:v>#N/A</c:v>
                </c:pt>
                <c:pt idx="3">
                  <c:v>#N/A</c:v>
                </c:pt>
                <c:pt idx="4">
                  <c:v>#N/A</c:v>
                </c:pt>
                <c:pt idx="5">
                  <c:v>267.31339800000001</c:v>
                </c:pt>
                <c:pt idx="6">
                  <c:v>#N/A</c:v>
                </c:pt>
                <c:pt idx="7">
                  <c:v>#N/A</c:v>
                </c:pt>
                <c:pt idx="8">
                  <c:v>#N/A</c:v>
                </c:pt>
                <c:pt idx="9">
                  <c:v>#N/A</c:v>
                </c:pt>
                <c:pt idx="10">
                  <c:v>#N/A</c:v>
                </c:pt>
                <c:pt idx="11">
                  <c:v>#N/A</c:v>
                </c:pt>
                <c:pt idx="12">
                  <c:v>292.84096199999999</c:v>
                </c:pt>
                <c:pt idx="13">
                  <c:v>#N/A</c:v>
                </c:pt>
                <c:pt idx="14">
                  <c:v>#N/A</c:v>
                </c:pt>
                <c:pt idx="15">
                  <c:v>#N/A</c:v>
                </c:pt>
                <c:pt idx="16">
                  <c:v>#N/A</c:v>
                </c:pt>
                <c:pt idx="17">
                  <c:v>#N/A</c:v>
                </c:pt>
                <c:pt idx="18">
                  <c:v>#N/A</c:v>
                </c:pt>
                <c:pt idx="19">
                  <c:v>302.03425800000002</c:v>
                </c:pt>
                <c:pt idx="20">
                  <c:v>#N/A</c:v>
                </c:pt>
                <c:pt idx="21">
                  <c:v>#N/A</c:v>
                </c:pt>
                <c:pt idx="22">
                  <c:v>#N/A</c:v>
                </c:pt>
                <c:pt idx="23">
                  <c:v>#N/A</c:v>
                </c:pt>
                <c:pt idx="24">
                  <c:v>#N/A</c:v>
                </c:pt>
                <c:pt idx="25">
                  <c:v>#N/A</c:v>
                </c:pt>
                <c:pt idx="26">
                  <c:v>293.21626600000002</c:v>
                </c:pt>
                <c:pt idx="27">
                  <c:v>#N/A</c:v>
                </c:pt>
                <c:pt idx="28">
                  <c:v>#N/A</c:v>
                </c:pt>
                <c:pt idx="29">
                  <c:v>#N/A</c:v>
                </c:pt>
                <c:pt idx="30">
                  <c:v>#N/A</c:v>
                </c:pt>
                <c:pt idx="31">
                  <c:v>#N/A</c:v>
                </c:pt>
                <c:pt idx="32">
                  <c:v>#N/A</c:v>
                </c:pt>
                <c:pt idx="33">
                  <c:v>241.141324</c:v>
                </c:pt>
                <c:pt idx="34">
                  <c:v>#N/A</c:v>
                </c:pt>
                <c:pt idx="35">
                  <c:v>#N/A</c:v>
                </c:pt>
                <c:pt idx="36">
                  <c:v>#N/A</c:v>
                </c:pt>
                <c:pt idx="37">
                  <c:v>#N/A</c:v>
                </c:pt>
                <c:pt idx="38">
                  <c:v>#N/A</c:v>
                </c:pt>
                <c:pt idx="39">
                  <c:v>#N/A</c:v>
                </c:pt>
                <c:pt idx="40">
                  <c:v>19.554523</c:v>
                </c:pt>
                <c:pt idx="41">
                  <c:v>#N/A</c:v>
                </c:pt>
                <c:pt idx="42">
                  <c:v>#N/A</c:v>
                </c:pt>
                <c:pt idx="43">
                  <c:v>#N/A</c:v>
                </c:pt>
                <c:pt idx="44">
                  <c:v>#N/A</c:v>
                </c:pt>
                <c:pt idx="45">
                  <c:v>#N/A</c:v>
                </c:pt>
                <c:pt idx="46">
                  <c:v>#N/A</c:v>
                </c:pt>
                <c:pt idx="47">
                  <c:v>202.02587699999998</c:v>
                </c:pt>
                <c:pt idx="48">
                  <c:v>#N/A</c:v>
                </c:pt>
                <c:pt idx="49">
                  <c:v>#N/A</c:v>
                </c:pt>
                <c:pt idx="50">
                  <c:v>#N/A</c:v>
                </c:pt>
                <c:pt idx="51">
                  <c:v>#N/A</c:v>
                </c:pt>
                <c:pt idx="52">
                  <c:v>#N/A</c:v>
                </c:pt>
                <c:pt idx="53">
                  <c:v>#N/A</c:v>
                </c:pt>
                <c:pt idx="54">
                  <c:v>298.92984399999995</c:v>
                </c:pt>
                <c:pt idx="55">
                  <c:v>#N/A</c:v>
                </c:pt>
                <c:pt idx="56">
                  <c:v>#N/A</c:v>
                </c:pt>
                <c:pt idx="57">
                  <c:v>#N/A</c:v>
                </c:pt>
                <c:pt idx="58">
                  <c:v>#N/A</c:v>
                </c:pt>
                <c:pt idx="59">
                  <c:v>#N/A</c:v>
                </c:pt>
                <c:pt idx="60">
                  <c:v>#N/A</c:v>
                </c:pt>
                <c:pt idx="61">
                  <c:v>310.10935799999999</c:v>
                </c:pt>
                <c:pt idx="62">
                  <c:v>#N/A</c:v>
                </c:pt>
                <c:pt idx="63">
                  <c:v>#N/A</c:v>
                </c:pt>
                <c:pt idx="64">
                  <c:v>#N/A</c:v>
                </c:pt>
                <c:pt idx="65">
                  <c:v>#N/A</c:v>
                </c:pt>
                <c:pt idx="66">
                  <c:v>#N/A</c:v>
                </c:pt>
                <c:pt idx="67">
                  <c:v>#N/A</c:v>
                </c:pt>
                <c:pt idx="68">
                  <c:v>316.51979699999993</c:v>
                </c:pt>
                <c:pt idx="69">
                  <c:v>#N/A</c:v>
                </c:pt>
                <c:pt idx="70">
                  <c:v>#N/A</c:v>
                </c:pt>
                <c:pt idx="71">
                  <c:v>#N/A</c:v>
                </c:pt>
                <c:pt idx="72">
                  <c:v>#N/A</c:v>
                </c:pt>
                <c:pt idx="73">
                  <c:v>#N/A</c:v>
                </c:pt>
                <c:pt idx="74">
                  <c:v>#N/A</c:v>
                </c:pt>
                <c:pt idx="75">
                  <c:v>319.67082700000003</c:v>
                </c:pt>
                <c:pt idx="76">
                  <c:v>#N/A</c:v>
                </c:pt>
                <c:pt idx="77">
                  <c:v>#N/A</c:v>
                </c:pt>
                <c:pt idx="78">
                  <c:v>#N/A</c:v>
                </c:pt>
                <c:pt idx="79">
                  <c:v>#N/A</c:v>
                </c:pt>
                <c:pt idx="80">
                  <c:v>#N/A</c:v>
                </c:pt>
                <c:pt idx="81">
                  <c:v>#N/A</c:v>
                </c:pt>
                <c:pt idx="82">
                  <c:v>386.38753300000002</c:v>
                </c:pt>
                <c:pt idx="83">
                  <c:v>#N/A</c:v>
                </c:pt>
                <c:pt idx="84">
                  <c:v>#N/A</c:v>
                </c:pt>
                <c:pt idx="85">
                  <c:v>#N/A</c:v>
                </c:pt>
                <c:pt idx="86">
                  <c:v>#N/A</c:v>
                </c:pt>
                <c:pt idx="87">
                  <c:v>#N/A</c:v>
                </c:pt>
                <c:pt idx="88">
                  <c:v>#N/A</c:v>
                </c:pt>
                <c:pt idx="89">
                  <c:v>419.02560200000005</c:v>
                </c:pt>
                <c:pt idx="90">
                  <c:v>#N/A</c:v>
                </c:pt>
                <c:pt idx="91">
                  <c:v>#N/A</c:v>
                </c:pt>
                <c:pt idx="92">
                  <c:v>#N/A</c:v>
                </c:pt>
                <c:pt idx="93">
                  <c:v>#N/A</c:v>
                </c:pt>
                <c:pt idx="94">
                  <c:v>#N/A</c:v>
                </c:pt>
                <c:pt idx="95">
                  <c:v>#N/A</c:v>
                </c:pt>
                <c:pt idx="96">
                  <c:v>275.632859</c:v>
                </c:pt>
                <c:pt idx="97">
                  <c:v>#N/A</c:v>
                </c:pt>
                <c:pt idx="98">
                  <c:v>#N/A</c:v>
                </c:pt>
                <c:pt idx="99">
                  <c:v>#N/A</c:v>
                </c:pt>
                <c:pt idx="100">
                  <c:v>#N/A</c:v>
                </c:pt>
                <c:pt idx="101">
                  <c:v>#N/A</c:v>
                </c:pt>
                <c:pt idx="102">
                  <c:v>#N/A</c:v>
                </c:pt>
                <c:pt idx="103">
                  <c:v>355.50820200000004</c:v>
                </c:pt>
                <c:pt idx="104">
                  <c:v>#N/A</c:v>
                </c:pt>
                <c:pt idx="105">
                  <c:v>#N/A</c:v>
                </c:pt>
                <c:pt idx="106">
                  <c:v>#N/A</c:v>
                </c:pt>
                <c:pt idx="107">
                  <c:v>#N/A</c:v>
                </c:pt>
                <c:pt idx="108">
                  <c:v>#N/A</c:v>
                </c:pt>
                <c:pt idx="109">
                  <c:v>#N/A</c:v>
                </c:pt>
                <c:pt idx="110">
                  <c:v>374.00893000000008</c:v>
                </c:pt>
                <c:pt idx="111">
                  <c:v>#N/A</c:v>
                </c:pt>
                <c:pt idx="112">
                  <c:v>#N/A</c:v>
                </c:pt>
                <c:pt idx="113">
                  <c:v>#N/A</c:v>
                </c:pt>
                <c:pt idx="114">
                  <c:v>#N/A</c:v>
                </c:pt>
                <c:pt idx="115">
                  <c:v>#N/A</c:v>
                </c:pt>
                <c:pt idx="116">
                  <c:v>#N/A</c:v>
                </c:pt>
                <c:pt idx="117">
                  <c:v>404.26218699999993</c:v>
                </c:pt>
                <c:pt idx="118">
                  <c:v>#N/A</c:v>
                </c:pt>
                <c:pt idx="119">
                  <c:v>#N/A</c:v>
                </c:pt>
                <c:pt idx="120">
                  <c:v>#N/A</c:v>
                </c:pt>
                <c:pt idx="121">
                  <c:v>#N/A</c:v>
                </c:pt>
                <c:pt idx="122">
                  <c:v>#N/A</c:v>
                </c:pt>
                <c:pt idx="123">
                  <c:v>#N/A</c:v>
                </c:pt>
                <c:pt idx="124">
                  <c:v>249.84356099999997</c:v>
                </c:pt>
                <c:pt idx="125">
                  <c:v>#N/A</c:v>
                </c:pt>
                <c:pt idx="126">
                  <c:v>#N/A</c:v>
                </c:pt>
                <c:pt idx="127">
                  <c:v>#N/A</c:v>
                </c:pt>
                <c:pt idx="128">
                  <c:v>#N/A</c:v>
                </c:pt>
                <c:pt idx="129">
                  <c:v>#N/A</c:v>
                </c:pt>
                <c:pt idx="130">
                  <c:v>#N/A</c:v>
                </c:pt>
                <c:pt idx="131">
                  <c:v>401.54138899999998</c:v>
                </c:pt>
                <c:pt idx="132">
                  <c:v>#N/A</c:v>
                </c:pt>
                <c:pt idx="133">
                  <c:v>#N/A</c:v>
                </c:pt>
                <c:pt idx="134">
                  <c:v>#N/A</c:v>
                </c:pt>
                <c:pt idx="135">
                  <c:v>#N/A</c:v>
                </c:pt>
                <c:pt idx="136">
                  <c:v>#N/A</c:v>
                </c:pt>
                <c:pt idx="137">
                  <c:v>#N/A</c:v>
                </c:pt>
                <c:pt idx="138">
                  <c:v>405.66314499999999</c:v>
                </c:pt>
                <c:pt idx="139">
                  <c:v>#N/A</c:v>
                </c:pt>
                <c:pt idx="140">
                  <c:v>#N/A</c:v>
                </c:pt>
                <c:pt idx="141">
                  <c:v>#N/A</c:v>
                </c:pt>
                <c:pt idx="142">
                  <c:v>#N/A</c:v>
                </c:pt>
                <c:pt idx="143">
                  <c:v>#N/A</c:v>
                </c:pt>
                <c:pt idx="144">
                  <c:v>#N/A</c:v>
                </c:pt>
                <c:pt idx="145">
                  <c:v>358.88591299999996</c:v>
                </c:pt>
                <c:pt idx="146">
                  <c:v>#N/A</c:v>
                </c:pt>
                <c:pt idx="147">
                  <c:v>#N/A</c:v>
                </c:pt>
                <c:pt idx="148">
                  <c:v>#N/A</c:v>
                </c:pt>
                <c:pt idx="149">
                  <c:v>#N/A</c:v>
                </c:pt>
                <c:pt idx="150">
                  <c:v>#N/A</c:v>
                </c:pt>
                <c:pt idx="151">
                  <c:v>#N/A</c:v>
                </c:pt>
                <c:pt idx="152">
                  <c:v>363.62247000000002</c:v>
                </c:pt>
                <c:pt idx="153">
                  <c:v>#N/A</c:v>
                </c:pt>
                <c:pt idx="154">
                  <c:v>#N/A</c:v>
                </c:pt>
                <c:pt idx="155">
                  <c:v>#N/A</c:v>
                </c:pt>
                <c:pt idx="156">
                  <c:v>#N/A</c:v>
                </c:pt>
                <c:pt idx="157">
                  <c:v>#N/A</c:v>
                </c:pt>
                <c:pt idx="158">
                  <c:v>#N/A</c:v>
                </c:pt>
                <c:pt idx="159">
                  <c:v>316.39991699999996</c:v>
                </c:pt>
                <c:pt idx="160">
                  <c:v>#N/A</c:v>
                </c:pt>
                <c:pt idx="161">
                  <c:v>#N/A</c:v>
                </c:pt>
                <c:pt idx="162">
                  <c:v>#N/A</c:v>
                </c:pt>
                <c:pt idx="163">
                  <c:v>#N/A</c:v>
                </c:pt>
                <c:pt idx="164">
                  <c:v>#N/A</c:v>
                </c:pt>
                <c:pt idx="165">
                  <c:v>#N/A</c:v>
                </c:pt>
                <c:pt idx="166">
                  <c:v>386.55237399999999</c:v>
                </c:pt>
                <c:pt idx="167">
                  <c:v>#N/A</c:v>
                </c:pt>
                <c:pt idx="168">
                  <c:v>#N/A</c:v>
                </c:pt>
                <c:pt idx="169">
                  <c:v>#N/A</c:v>
                </c:pt>
                <c:pt idx="170">
                  <c:v>#N/A</c:v>
                </c:pt>
                <c:pt idx="171">
                  <c:v>#N/A</c:v>
                </c:pt>
                <c:pt idx="172">
                  <c:v>#N/A</c:v>
                </c:pt>
                <c:pt idx="173">
                  <c:v>397.82106199999998</c:v>
                </c:pt>
                <c:pt idx="174">
                  <c:v>#N/A</c:v>
                </c:pt>
                <c:pt idx="175">
                  <c:v>#N/A</c:v>
                </c:pt>
                <c:pt idx="176">
                  <c:v>#N/A</c:v>
                </c:pt>
                <c:pt idx="177">
                  <c:v>#N/A</c:v>
                </c:pt>
                <c:pt idx="178">
                  <c:v>#N/A</c:v>
                </c:pt>
                <c:pt idx="179">
                  <c:v>#N/A</c:v>
                </c:pt>
                <c:pt idx="180">
                  <c:v>464.62096800000006</c:v>
                </c:pt>
                <c:pt idx="181">
                  <c:v>#N/A</c:v>
                </c:pt>
                <c:pt idx="182">
                  <c:v>#N/A</c:v>
                </c:pt>
                <c:pt idx="183">
                  <c:v>#N/A</c:v>
                </c:pt>
                <c:pt idx="184">
                  <c:v>#N/A</c:v>
                </c:pt>
                <c:pt idx="185">
                  <c:v>#N/A</c:v>
                </c:pt>
                <c:pt idx="186">
                  <c:v>#N/A</c:v>
                </c:pt>
                <c:pt idx="187">
                  <c:v>381.76732499999997</c:v>
                </c:pt>
                <c:pt idx="188">
                  <c:v>#N/A</c:v>
                </c:pt>
                <c:pt idx="189">
                  <c:v>#N/A</c:v>
                </c:pt>
                <c:pt idx="190">
                  <c:v>#N/A</c:v>
                </c:pt>
                <c:pt idx="191">
                  <c:v>#N/A</c:v>
                </c:pt>
                <c:pt idx="192">
                  <c:v>#N/A</c:v>
                </c:pt>
                <c:pt idx="193">
                  <c:v>#N/A</c:v>
                </c:pt>
                <c:pt idx="194">
                  <c:v>389.91190200000005</c:v>
                </c:pt>
                <c:pt idx="195">
                  <c:v>#N/A</c:v>
                </c:pt>
                <c:pt idx="196">
                  <c:v>#N/A</c:v>
                </c:pt>
                <c:pt idx="197">
                  <c:v>#N/A</c:v>
                </c:pt>
                <c:pt idx="198">
                  <c:v>#N/A</c:v>
                </c:pt>
                <c:pt idx="199">
                  <c:v>#N/A</c:v>
                </c:pt>
                <c:pt idx="200">
                  <c:v>#N/A</c:v>
                </c:pt>
                <c:pt idx="201">
                  <c:v>343.448688</c:v>
                </c:pt>
                <c:pt idx="202">
                  <c:v>#N/A</c:v>
                </c:pt>
                <c:pt idx="203">
                  <c:v>#N/A</c:v>
                </c:pt>
                <c:pt idx="204">
                  <c:v>#N/A</c:v>
                </c:pt>
                <c:pt idx="205">
                  <c:v>#N/A</c:v>
                </c:pt>
                <c:pt idx="206">
                  <c:v>#N/A</c:v>
                </c:pt>
                <c:pt idx="207">
                  <c:v>#N/A</c:v>
                </c:pt>
                <c:pt idx="208">
                  <c:v>339.83486199999993</c:v>
                </c:pt>
                <c:pt idx="209">
                  <c:v>#N/A</c:v>
                </c:pt>
                <c:pt idx="210">
                  <c:v>#N/A</c:v>
                </c:pt>
                <c:pt idx="211">
                  <c:v>#N/A</c:v>
                </c:pt>
                <c:pt idx="212">
                  <c:v>#N/A</c:v>
                </c:pt>
                <c:pt idx="213">
                  <c:v>#N/A</c:v>
                </c:pt>
                <c:pt idx="214">
                  <c:v>#N/A</c:v>
                </c:pt>
                <c:pt idx="215">
                  <c:v>361.06021800000002</c:v>
                </c:pt>
                <c:pt idx="216">
                  <c:v>#N/A</c:v>
                </c:pt>
                <c:pt idx="217">
                  <c:v>#N/A</c:v>
                </c:pt>
                <c:pt idx="218">
                  <c:v>#N/A</c:v>
                </c:pt>
                <c:pt idx="219">
                  <c:v>#N/A</c:v>
                </c:pt>
                <c:pt idx="220">
                  <c:v>#N/A</c:v>
                </c:pt>
                <c:pt idx="221">
                  <c:v>#N/A</c:v>
                </c:pt>
                <c:pt idx="222">
                  <c:v>330.71517699999998</c:v>
                </c:pt>
                <c:pt idx="223">
                  <c:v>#N/A</c:v>
                </c:pt>
                <c:pt idx="224">
                  <c:v>#N/A</c:v>
                </c:pt>
                <c:pt idx="225">
                  <c:v>#N/A</c:v>
                </c:pt>
                <c:pt idx="226">
                  <c:v>#N/A</c:v>
                </c:pt>
                <c:pt idx="227">
                  <c:v>#N/A</c:v>
                </c:pt>
                <c:pt idx="228">
                  <c:v>#N/A</c:v>
                </c:pt>
                <c:pt idx="229">
                  <c:v>279.95826499999998</c:v>
                </c:pt>
                <c:pt idx="230">
                  <c:v>#N/A</c:v>
                </c:pt>
                <c:pt idx="231">
                  <c:v>#N/A</c:v>
                </c:pt>
                <c:pt idx="232">
                  <c:v>#N/A</c:v>
                </c:pt>
                <c:pt idx="233">
                  <c:v>#N/A</c:v>
                </c:pt>
                <c:pt idx="234">
                  <c:v>#N/A</c:v>
                </c:pt>
                <c:pt idx="235">
                  <c:v>#N/A</c:v>
                </c:pt>
                <c:pt idx="236">
                  <c:v>327.84962300000001</c:v>
                </c:pt>
                <c:pt idx="237">
                  <c:v>#N/A</c:v>
                </c:pt>
                <c:pt idx="238">
                  <c:v>#N/A</c:v>
                </c:pt>
                <c:pt idx="239">
                  <c:v>#N/A</c:v>
                </c:pt>
                <c:pt idx="240">
                  <c:v>#N/A</c:v>
                </c:pt>
                <c:pt idx="241">
                  <c:v>#N/A</c:v>
                </c:pt>
                <c:pt idx="242">
                  <c:v>#N/A</c:v>
                </c:pt>
                <c:pt idx="243">
                  <c:v>367.77852000000001</c:v>
                </c:pt>
                <c:pt idx="244">
                  <c:v>#N/A</c:v>
                </c:pt>
                <c:pt idx="245">
                  <c:v>#N/A</c:v>
                </c:pt>
                <c:pt idx="246">
                  <c:v>#N/A</c:v>
                </c:pt>
                <c:pt idx="247">
                  <c:v>#N/A</c:v>
                </c:pt>
                <c:pt idx="248">
                  <c:v>#N/A</c:v>
                </c:pt>
                <c:pt idx="249">
                  <c:v>#N/A</c:v>
                </c:pt>
                <c:pt idx="250">
                  <c:v>348.98230799999999</c:v>
                </c:pt>
                <c:pt idx="251">
                  <c:v>#N/A</c:v>
                </c:pt>
                <c:pt idx="252">
                  <c:v>#N/A</c:v>
                </c:pt>
                <c:pt idx="253">
                  <c:v>#N/A</c:v>
                </c:pt>
                <c:pt idx="254">
                  <c:v>#N/A</c:v>
                </c:pt>
                <c:pt idx="255">
                  <c:v>#N/A</c:v>
                </c:pt>
                <c:pt idx="256">
                  <c:v>#N/A</c:v>
                </c:pt>
                <c:pt idx="257">
                  <c:v>310.38044400000001</c:v>
                </c:pt>
                <c:pt idx="258">
                  <c:v>#N/A</c:v>
                </c:pt>
                <c:pt idx="259">
                  <c:v>#N/A</c:v>
                </c:pt>
                <c:pt idx="260">
                  <c:v>#N/A</c:v>
                </c:pt>
                <c:pt idx="261">
                  <c:v>#N/A</c:v>
                </c:pt>
                <c:pt idx="262">
                  <c:v>#N/A</c:v>
                </c:pt>
                <c:pt idx="263">
                  <c:v>#N/A</c:v>
                </c:pt>
                <c:pt idx="264">
                  <c:v>408.84765699999997</c:v>
                </c:pt>
                <c:pt idx="265">
                  <c:v>#N/A</c:v>
                </c:pt>
                <c:pt idx="266">
                  <c:v>#N/A</c:v>
                </c:pt>
                <c:pt idx="267">
                  <c:v>#N/A</c:v>
                </c:pt>
                <c:pt idx="268">
                  <c:v>#N/A</c:v>
                </c:pt>
                <c:pt idx="269">
                  <c:v>#N/A</c:v>
                </c:pt>
                <c:pt idx="270">
                  <c:v>#N/A</c:v>
                </c:pt>
                <c:pt idx="271">
                  <c:v>467.94544200000001</c:v>
                </c:pt>
                <c:pt idx="272">
                  <c:v>#N/A</c:v>
                </c:pt>
                <c:pt idx="273">
                  <c:v>#N/A</c:v>
                </c:pt>
                <c:pt idx="274">
                  <c:v>#N/A</c:v>
                </c:pt>
                <c:pt idx="275">
                  <c:v>#N/A</c:v>
                </c:pt>
                <c:pt idx="276">
                  <c:v>#N/A</c:v>
                </c:pt>
                <c:pt idx="277">
                  <c:v>#N/A</c:v>
                </c:pt>
                <c:pt idx="278">
                  <c:v>166.22644100000002</c:v>
                </c:pt>
                <c:pt idx="279">
                  <c:v>#N/A</c:v>
                </c:pt>
                <c:pt idx="280">
                  <c:v>#N/A</c:v>
                </c:pt>
                <c:pt idx="281">
                  <c:v>#N/A</c:v>
                </c:pt>
                <c:pt idx="282">
                  <c:v>#N/A</c:v>
                </c:pt>
                <c:pt idx="283">
                  <c:v>#N/A</c:v>
                </c:pt>
                <c:pt idx="284">
                  <c:v>#N/A</c:v>
                </c:pt>
                <c:pt idx="285">
                  <c:v>372.52432699999997</c:v>
                </c:pt>
                <c:pt idx="286">
                  <c:v>#N/A</c:v>
                </c:pt>
                <c:pt idx="287">
                  <c:v>#N/A</c:v>
                </c:pt>
                <c:pt idx="288">
                  <c:v>#N/A</c:v>
                </c:pt>
                <c:pt idx="289">
                  <c:v>#N/A</c:v>
                </c:pt>
                <c:pt idx="290">
                  <c:v>#N/A</c:v>
                </c:pt>
                <c:pt idx="291">
                  <c:v>#N/A</c:v>
                </c:pt>
                <c:pt idx="292">
                  <c:v>394.99505499999992</c:v>
                </c:pt>
                <c:pt idx="293">
                  <c:v>#N/A</c:v>
                </c:pt>
                <c:pt idx="294">
                  <c:v>#N/A</c:v>
                </c:pt>
                <c:pt idx="295">
                  <c:v>#N/A</c:v>
                </c:pt>
                <c:pt idx="296">
                  <c:v>#N/A</c:v>
                </c:pt>
                <c:pt idx="297">
                  <c:v>#N/A</c:v>
                </c:pt>
                <c:pt idx="298">
                  <c:v>#N/A</c:v>
                </c:pt>
                <c:pt idx="299">
                  <c:v>354.92420100000004</c:v>
                </c:pt>
                <c:pt idx="300">
                  <c:v>#N/A</c:v>
                </c:pt>
                <c:pt idx="301">
                  <c:v>#N/A</c:v>
                </c:pt>
                <c:pt idx="302">
                  <c:v>#N/A</c:v>
                </c:pt>
                <c:pt idx="303">
                  <c:v>#N/A</c:v>
                </c:pt>
                <c:pt idx="304">
                  <c:v>#N/A</c:v>
                </c:pt>
                <c:pt idx="305">
                  <c:v>#N/A</c:v>
                </c:pt>
                <c:pt idx="306">
                  <c:v>338.46134599999993</c:v>
                </c:pt>
                <c:pt idx="307">
                  <c:v>#N/A</c:v>
                </c:pt>
                <c:pt idx="308">
                  <c:v>#N/A</c:v>
                </c:pt>
                <c:pt idx="309">
                  <c:v>#N/A</c:v>
                </c:pt>
                <c:pt idx="310">
                  <c:v>#N/A</c:v>
                </c:pt>
                <c:pt idx="311">
                  <c:v>#N/A</c:v>
                </c:pt>
                <c:pt idx="312">
                  <c:v>#N/A</c:v>
                </c:pt>
                <c:pt idx="313">
                  <c:v>328.90464599999996</c:v>
                </c:pt>
                <c:pt idx="314">
                  <c:v>#N/A</c:v>
                </c:pt>
                <c:pt idx="315">
                  <c:v>#N/A</c:v>
                </c:pt>
                <c:pt idx="316">
                  <c:v>#N/A</c:v>
                </c:pt>
                <c:pt idx="317">
                  <c:v>#N/A</c:v>
                </c:pt>
                <c:pt idx="318">
                  <c:v>#N/A</c:v>
                </c:pt>
                <c:pt idx="319">
                  <c:v>#N/A</c:v>
                </c:pt>
                <c:pt idx="320">
                  <c:v>363.49946200000005</c:v>
                </c:pt>
                <c:pt idx="321">
                  <c:v>#N/A</c:v>
                </c:pt>
                <c:pt idx="322">
                  <c:v>#N/A</c:v>
                </c:pt>
                <c:pt idx="323">
                  <c:v>#N/A</c:v>
                </c:pt>
                <c:pt idx="324">
                  <c:v>#N/A</c:v>
                </c:pt>
                <c:pt idx="325">
                  <c:v>#N/A</c:v>
                </c:pt>
                <c:pt idx="326">
                  <c:v>#N/A</c:v>
                </c:pt>
                <c:pt idx="327">
                  <c:v>352.36126100000001</c:v>
                </c:pt>
                <c:pt idx="328">
                  <c:v>#N/A</c:v>
                </c:pt>
                <c:pt idx="329">
                  <c:v>#N/A</c:v>
                </c:pt>
                <c:pt idx="330">
                  <c:v>#N/A</c:v>
                </c:pt>
                <c:pt idx="331">
                  <c:v>#N/A</c:v>
                </c:pt>
                <c:pt idx="332">
                  <c:v>#N/A</c:v>
                </c:pt>
                <c:pt idx="333">
                  <c:v>#N/A</c:v>
                </c:pt>
                <c:pt idx="334">
                  <c:v>486.52327299999996</c:v>
                </c:pt>
                <c:pt idx="335">
                  <c:v>#N/A</c:v>
                </c:pt>
                <c:pt idx="336">
                  <c:v>#N/A</c:v>
                </c:pt>
                <c:pt idx="337">
                  <c:v>#N/A</c:v>
                </c:pt>
                <c:pt idx="338">
                  <c:v>#N/A</c:v>
                </c:pt>
                <c:pt idx="339">
                  <c:v>#N/A</c:v>
                </c:pt>
                <c:pt idx="340">
                  <c:v>#N/A</c:v>
                </c:pt>
                <c:pt idx="341">
                  <c:v>372.29751200000004</c:v>
                </c:pt>
                <c:pt idx="342">
                  <c:v>#N/A</c:v>
                </c:pt>
                <c:pt idx="343">
                  <c:v>#N/A</c:v>
                </c:pt>
                <c:pt idx="344">
                  <c:v>#N/A</c:v>
                </c:pt>
                <c:pt idx="345">
                  <c:v>#N/A</c:v>
                </c:pt>
                <c:pt idx="346">
                  <c:v>#N/A</c:v>
                </c:pt>
                <c:pt idx="347">
                  <c:v>#N/A</c:v>
                </c:pt>
                <c:pt idx="348">
                  <c:v>410.40761899999995</c:v>
                </c:pt>
                <c:pt idx="349">
                  <c:v>#N/A</c:v>
                </c:pt>
                <c:pt idx="350">
                  <c:v>#N/A</c:v>
                </c:pt>
                <c:pt idx="351">
                  <c:v>#N/A</c:v>
                </c:pt>
                <c:pt idx="352">
                  <c:v>#N/A</c:v>
                </c:pt>
                <c:pt idx="353">
                  <c:v>#N/A</c:v>
                </c:pt>
                <c:pt idx="354">
                  <c:v>#N/A</c:v>
                </c:pt>
                <c:pt idx="355">
                  <c:v>404.94305499999996</c:v>
                </c:pt>
                <c:pt idx="356">
                  <c:v>#N/A</c:v>
                </c:pt>
                <c:pt idx="357">
                  <c:v>#N/A</c:v>
                </c:pt>
                <c:pt idx="358">
                  <c:v>#N/A</c:v>
                </c:pt>
                <c:pt idx="359">
                  <c:v>#N/A</c:v>
                </c:pt>
                <c:pt idx="360">
                  <c:v>#N/A</c:v>
                </c:pt>
                <c:pt idx="361">
                  <c:v>#N/A</c:v>
                </c:pt>
                <c:pt idx="362">
                  <c:v>466.02757700000001</c:v>
                </c:pt>
                <c:pt idx="363">
                  <c:v>#N/A</c:v>
                </c:pt>
                <c:pt idx="364">
                  <c:v>#N/A</c:v>
                </c:pt>
              </c:numCache>
            </c:numRef>
          </c:val>
          <c:smooth val="1"/>
          <c:extLst xmlns:c16r2="http://schemas.microsoft.com/office/drawing/2015/06/chart">
            <c:ext xmlns:c16="http://schemas.microsoft.com/office/drawing/2014/chart" uri="{C3380CC4-5D6E-409C-BE32-E72D297353CC}">
              <c16:uniqueId val="{00000000-0332-4DD5-ABC9-2D6FB4259381}"/>
            </c:ext>
          </c:extLst>
        </c:ser>
        <c:ser>
          <c:idx val="2"/>
          <c:order val="1"/>
          <c:tx>
            <c:strRef>
              <c:f>商品房!$I$1</c:f>
              <c:strCache>
                <c:ptCount val="1"/>
                <c:pt idx="0">
                  <c:v>2020</c:v>
                </c:pt>
              </c:strCache>
            </c:strRef>
          </c:tx>
          <c:spPr>
            <a:ln w="28575">
              <a:solidFill>
                <a:srgbClr val="F8CBAD"/>
              </a:solidFill>
              <a:prstDash val="solid"/>
            </a:ln>
          </c:spPr>
          <c:marker>
            <c:symbol val="none"/>
          </c:marker>
          <c:cat>
            <c:numRef>
              <c:f>商品房!$G$2:$G$366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商品房!$I$2:$I$366</c:f>
              <c:numCache>
                <c:formatCode>General</c:formatCode>
                <c:ptCount val="365"/>
                <c:pt idx="0">
                  <c:v>#N/A</c:v>
                </c:pt>
                <c:pt idx="1">
                  <c:v>#N/A</c:v>
                </c:pt>
                <c:pt idx="2">
                  <c:v>#N/A</c:v>
                </c:pt>
                <c:pt idx="3">
                  <c:v>#N/A</c:v>
                </c:pt>
                <c:pt idx="4">
                  <c:v>347.40214899999995</c:v>
                </c:pt>
                <c:pt idx="5">
                  <c:v>#N/A</c:v>
                </c:pt>
                <c:pt idx="6">
                  <c:v>#N/A</c:v>
                </c:pt>
                <c:pt idx="7">
                  <c:v>#N/A</c:v>
                </c:pt>
                <c:pt idx="8">
                  <c:v>#N/A</c:v>
                </c:pt>
                <c:pt idx="9">
                  <c:v>#N/A</c:v>
                </c:pt>
                <c:pt idx="10">
                  <c:v>#N/A</c:v>
                </c:pt>
                <c:pt idx="11">
                  <c:v>369.04152499999998</c:v>
                </c:pt>
                <c:pt idx="12">
                  <c:v>#N/A</c:v>
                </c:pt>
                <c:pt idx="13">
                  <c:v>#N/A</c:v>
                </c:pt>
                <c:pt idx="14">
                  <c:v>#N/A</c:v>
                </c:pt>
                <c:pt idx="15">
                  <c:v>#N/A</c:v>
                </c:pt>
                <c:pt idx="16">
                  <c:v>#N/A</c:v>
                </c:pt>
                <c:pt idx="17">
                  <c:v>#N/A</c:v>
                </c:pt>
                <c:pt idx="18">
                  <c:v>362.18498900000009</c:v>
                </c:pt>
                <c:pt idx="19">
                  <c:v>#N/A</c:v>
                </c:pt>
                <c:pt idx="20">
                  <c:v>#N/A</c:v>
                </c:pt>
                <c:pt idx="21">
                  <c:v>#N/A</c:v>
                </c:pt>
                <c:pt idx="22">
                  <c:v>#N/A</c:v>
                </c:pt>
                <c:pt idx="23">
                  <c:v>#N/A</c:v>
                </c:pt>
                <c:pt idx="24">
                  <c:v>#N/A</c:v>
                </c:pt>
                <c:pt idx="25">
                  <c:v>99.531409000000011</c:v>
                </c:pt>
                <c:pt idx="26">
                  <c:v>#N/A</c:v>
                </c:pt>
                <c:pt idx="27">
                  <c:v>#N/A</c:v>
                </c:pt>
                <c:pt idx="28">
                  <c:v>#N/A</c:v>
                </c:pt>
                <c:pt idx="29">
                  <c:v>#N/A</c:v>
                </c:pt>
                <c:pt idx="30">
                  <c:v>#N/A</c:v>
                </c:pt>
                <c:pt idx="31">
                  <c:v>#N/A</c:v>
                </c:pt>
                <c:pt idx="32">
                  <c:v>5.3623950000000002</c:v>
                </c:pt>
                <c:pt idx="33">
                  <c:v>#N/A</c:v>
                </c:pt>
                <c:pt idx="34">
                  <c:v>#N/A</c:v>
                </c:pt>
                <c:pt idx="35">
                  <c:v>#N/A</c:v>
                </c:pt>
                <c:pt idx="36">
                  <c:v>#N/A</c:v>
                </c:pt>
                <c:pt idx="37">
                  <c:v>#N/A</c:v>
                </c:pt>
                <c:pt idx="38">
                  <c:v>#N/A</c:v>
                </c:pt>
                <c:pt idx="39">
                  <c:v>4.160984</c:v>
                </c:pt>
                <c:pt idx="40">
                  <c:v>#N/A</c:v>
                </c:pt>
                <c:pt idx="41">
                  <c:v>#N/A</c:v>
                </c:pt>
                <c:pt idx="42">
                  <c:v>#N/A</c:v>
                </c:pt>
                <c:pt idx="43">
                  <c:v>#N/A</c:v>
                </c:pt>
                <c:pt idx="44">
                  <c:v>#N/A</c:v>
                </c:pt>
                <c:pt idx="45">
                  <c:v>#N/A</c:v>
                </c:pt>
                <c:pt idx="46">
                  <c:v>36.112761999999996</c:v>
                </c:pt>
                <c:pt idx="47">
                  <c:v>#N/A</c:v>
                </c:pt>
                <c:pt idx="48">
                  <c:v>#N/A</c:v>
                </c:pt>
                <c:pt idx="49">
                  <c:v>#N/A</c:v>
                </c:pt>
                <c:pt idx="50">
                  <c:v>#N/A</c:v>
                </c:pt>
                <c:pt idx="51">
                  <c:v>#N/A</c:v>
                </c:pt>
                <c:pt idx="52">
                  <c:v>#N/A</c:v>
                </c:pt>
                <c:pt idx="53">
                  <c:v>81.801238999999995</c:v>
                </c:pt>
                <c:pt idx="54">
                  <c:v>#N/A</c:v>
                </c:pt>
                <c:pt idx="55">
                  <c:v>#N/A</c:v>
                </c:pt>
                <c:pt idx="56">
                  <c:v>#N/A</c:v>
                </c:pt>
                <c:pt idx="57">
                  <c:v>#N/A</c:v>
                </c:pt>
                <c:pt idx="58">
                  <c:v>#N/A</c:v>
                </c:pt>
                <c:pt idx="59">
                  <c:v>#N/A</c:v>
                </c:pt>
                <c:pt idx="60">
                  <c:v>134.98354</c:v>
                </c:pt>
                <c:pt idx="61">
                  <c:v>#N/A</c:v>
                </c:pt>
                <c:pt idx="62">
                  <c:v>#N/A</c:v>
                </c:pt>
                <c:pt idx="63">
                  <c:v>#N/A</c:v>
                </c:pt>
                <c:pt idx="64">
                  <c:v>#N/A</c:v>
                </c:pt>
                <c:pt idx="65">
                  <c:v>#N/A</c:v>
                </c:pt>
                <c:pt idx="66">
                  <c:v>#N/A</c:v>
                </c:pt>
                <c:pt idx="67">
                  <c:v>167.80485500000003</c:v>
                </c:pt>
                <c:pt idx="68">
                  <c:v>#N/A</c:v>
                </c:pt>
                <c:pt idx="69">
                  <c:v>#N/A</c:v>
                </c:pt>
                <c:pt idx="70">
                  <c:v>#N/A</c:v>
                </c:pt>
                <c:pt idx="71">
                  <c:v>#N/A</c:v>
                </c:pt>
                <c:pt idx="72">
                  <c:v>#N/A</c:v>
                </c:pt>
                <c:pt idx="73">
                  <c:v>#N/A</c:v>
                </c:pt>
                <c:pt idx="74">
                  <c:v>184.66556199999999</c:v>
                </c:pt>
                <c:pt idx="75">
                  <c:v>#N/A</c:v>
                </c:pt>
                <c:pt idx="76">
                  <c:v>#N/A</c:v>
                </c:pt>
                <c:pt idx="77">
                  <c:v>#N/A</c:v>
                </c:pt>
                <c:pt idx="78">
                  <c:v>#N/A</c:v>
                </c:pt>
                <c:pt idx="79">
                  <c:v>#N/A</c:v>
                </c:pt>
                <c:pt idx="80">
                  <c:v>#N/A</c:v>
                </c:pt>
                <c:pt idx="81">
                  <c:v>227.89435900000001</c:v>
                </c:pt>
                <c:pt idx="82">
                  <c:v>#N/A</c:v>
                </c:pt>
                <c:pt idx="83">
                  <c:v>#N/A</c:v>
                </c:pt>
                <c:pt idx="84">
                  <c:v>#N/A</c:v>
                </c:pt>
                <c:pt idx="85">
                  <c:v>#N/A</c:v>
                </c:pt>
                <c:pt idx="86">
                  <c:v>#N/A</c:v>
                </c:pt>
                <c:pt idx="87">
                  <c:v>#N/A</c:v>
                </c:pt>
                <c:pt idx="88">
                  <c:v>272.924599</c:v>
                </c:pt>
                <c:pt idx="89">
                  <c:v>#N/A</c:v>
                </c:pt>
                <c:pt idx="90">
                  <c:v>#N/A</c:v>
                </c:pt>
                <c:pt idx="91">
                  <c:v>#N/A</c:v>
                </c:pt>
                <c:pt idx="92">
                  <c:v>#N/A</c:v>
                </c:pt>
                <c:pt idx="93">
                  <c:v>#N/A</c:v>
                </c:pt>
                <c:pt idx="94">
                  <c:v>#N/A</c:v>
                </c:pt>
                <c:pt idx="95">
                  <c:v>274.31212099999999</c:v>
                </c:pt>
                <c:pt idx="96">
                  <c:v>#N/A</c:v>
                </c:pt>
                <c:pt idx="97">
                  <c:v>#N/A</c:v>
                </c:pt>
                <c:pt idx="98">
                  <c:v>#N/A</c:v>
                </c:pt>
                <c:pt idx="99">
                  <c:v>#N/A</c:v>
                </c:pt>
                <c:pt idx="100">
                  <c:v>#N/A</c:v>
                </c:pt>
                <c:pt idx="101">
                  <c:v>#N/A</c:v>
                </c:pt>
                <c:pt idx="102">
                  <c:v>241.38839099999998</c:v>
                </c:pt>
                <c:pt idx="103">
                  <c:v>#N/A</c:v>
                </c:pt>
                <c:pt idx="104">
                  <c:v>#N/A</c:v>
                </c:pt>
                <c:pt idx="105">
                  <c:v>#N/A</c:v>
                </c:pt>
                <c:pt idx="106">
                  <c:v>#N/A</c:v>
                </c:pt>
                <c:pt idx="107">
                  <c:v>#N/A</c:v>
                </c:pt>
                <c:pt idx="108">
                  <c:v>#N/A</c:v>
                </c:pt>
                <c:pt idx="109">
                  <c:v>295.21941000000004</c:v>
                </c:pt>
                <c:pt idx="110">
                  <c:v>#N/A</c:v>
                </c:pt>
                <c:pt idx="111">
                  <c:v>#N/A</c:v>
                </c:pt>
                <c:pt idx="112">
                  <c:v>#N/A</c:v>
                </c:pt>
                <c:pt idx="113">
                  <c:v>#N/A</c:v>
                </c:pt>
                <c:pt idx="114">
                  <c:v>#N/A</c:v>
                </c:pt>
                <c:pt idx="115">
                  <c:v>#N/A</c:v>
                </c:pt>
                <c:pt idx="116">
                  <c:v>330.44030199999997</c:v>
                </c:pt>
                <c:pt idx="117">
                  <c:v>#N/A</c:v>
                </c:pt>
                <c:pt idx="118">
                  <c:v>#N/A</c:v>
                </c:pt>
                <c:pt idx="119">
                  <c:v>#N/A</c:v>
                </c:pt>
                <c:pt idx="120">
                  <c:v>#N/A</c:v>
                </c:pt>
                <c:pt idx="121">
                  <c:v>#N/A</c:v>
                </c:pt>
                <c:pt idx="122">
                  <c:v>#N/A</c:v>
                </c:pt>
                <c:pt idx="123">
                  <c:v>287.19996200000003</c:v>
                </c:pt>
                <c:pt idx="124">
                  <c:v>#N/A</c:v>
                </c:pt>
                <c:pt idx="125">
                  <c:v>#N/A</c:v>
                </c:pt>
                <c:pt idx="126">
                  <c:v>#N/A</c:v>
                </c:pt>
                <c:pt idx="127">
                  <c:v>#N/A</c:v>
                </c:pt>
                <c:pt idx="128">
                  <c:v>#N/A</c:v>
                </c:pt>
                <c:pt idx="129">
                  <c:v>#N/A</c:v>
                </c:pt>
                <c:pt idx="130">
                  <c:v>279.15904399999999</c:v>
                </c:pt>
                <c:pt idx="131">
                  <c:v>#N/A</c:v>
                </c:pt>
                <c:pt idx="132">
                  <c:v>#N/A</c:v>
                </c:pt>
                <c:pt idx="133">
                  <c:v>#N/A</c:v>
                </c:pt>
                <c:pt idx="134">
                  <c:v>#N/A</c:v>
                </c:pt>
                <c:pt idx="135">
                  <c:v>#N/A</c:v>
                </c:pt>
                <c:pt idx="136">
                  <c:v>#N/A</c:v>
                </c:pt>
                <c:pt idx="137">
                  <c:v>348.80996199999998</c:v>
                </c:pt>
                <c:pt idx="138">
                  <c:v>#N/A</c:v>
                </c:pt>
                <c:pt idx="139">
                  <c:v>#N/A</c:v>
                </c:pt>
                <c:pt idx="140">
                  <c:v>#N/A</c:v>
                </c:pt>
                <c:pt idx="141">
                  <c:v>#N/A</c:v>
                </c:pt>
                <c:pt idx="142">
                  <c:v>#N/A</c:v>
                </c:pt>
                <c:pt idx="143">
                  <c:v>#N/A</c:v>
                </c:pt>
                <c:pt idx="144">
                  <c:v>379.91816299999999</c:v>
                </c:pt>
                <c:pt idx="145">
                  <c:v>#N/A</c:v>
                </c:pt>
                <c:pt idx="146">
                  <c:v>#N/A</c:v>
                </c:pt>
                <c:pt idx="147">
                  <c:v>#N/A</c:v>
                </c:pt>
                <c:pt idx="148">
                  <c:v>#N/A</c:v>
                </c:pt>
                <c:pt idx="149">
                  <c:v>#N/A</c:v>
                </c:pt>
                <c:pt idx="150">
                  <c:v>#N/A</c:v>
                </c:pt>
                <c:pt idx="151">
                  <c:v>433.07221399999997</c:v>
                </c:pt>
                <c:pt idx="152">
                  <c:v>#N/A</c:v>
                </c:pt>
                <c:pt idx="153">
                  <c:v>#N/A</c:v>
                </c:pt>
                <c:pt idx="154">
                  <c:v>#N/A</c:v>
                </c:pt>
                <c:pt idx="155">
                  <c:v>#N/A</c:v>
                </c:pt>
                <c:pt idx="156">
                  <c:v>#N/A</c:v>
                </c:pt>
                <c:pt idx="157">
                  <c:v>#N/A</c:v>
                </c:pt>
                <c:pt idx="158">
                  <c:v>332.90823600000004</c:v>
                </c:pt>
                <c:pt idx="159">
                  <c:v>#N/A</c:v>
                </c:pt>
                <c:pt idx="160">
                  <c:v>#N/A</c:v>
                </c:pt>
                <c:pt idx="161">
                  <c:v>#N/A</c:v>
                </c:pt>
                <c:pt idx="162">
                  <c:v>#N/A</c:v>
                </c:pt>
                <c:pt idx="163">
                  <c:v>#N/A</c:v>
                </c:pt>
                <c:pt idx="164">
                  <c:v>#N/A</c:v>
                </c:pt>
                <c:pt idx="165">
                  <c:v>373.25607600000001</c:v>
                </c:pt>
                <c:pt idx="166">
                  <c:v>#N/A</c:v>
                </c:pt>
                <c:pt idx="167">
                  <c:v>#N/A</c:v>
                </c:pt>
                <c:pt idx="168">
                  <c:v>#N/A</c:v>
                </c:pt>
                <c:pt idx="169">
                  <c:v>#N/A</c:v>
                </c:pt>
                <c:pt idx="170">
                  <c:v>#N/A</c:v>
                </c:pt>
                <c:pt idx="171">
                  <c:v>#N/A</c:v>
                </c:pt>
                <c:pt idx="172">
                  <c:v>427.14919800000001</c:v>
                </c:pt>
                <c:pt idx="173">
                  <c:v>#N/A</c:v>
                </c:pt>
                <c:pt idx="174">
                  <c:v>#N/A</c:v>
                </c:pt>
                <c:pt idx="175">
                  <c:v>#N/A</c:v>
                </c:pt>
                <c:pt idx="176">
                  <c:v>#N/A</c:v>
                </c:pt>
                <c:pt idx="177">
                  <c:v>#N/A</c:v>
                </c:pt>
                <c:pt idx="178">
                  <c:v>#N/A</c:v>
                </c:pt>
                <c:pt idx="179">
                  <c:v>467.46288099999992</c:v>
                </c:pt>
                <c:pt idx="180">
                  <c:v>#N/A</c:v>
                </c:pt>
                <c:pt idx="181">
                  <c:v>#N/A</c:v>
                </c:pt>
                <c:pt idx="182">
                  <c:v>#N/A</c:v>
                </c:pt>
                <c:pt idx="183">
                  <c:v>#N/A</c:v>
                </c:pt>
                <c:pt idx="184">
                  <c:v>#N/A</c:v>
                </c:pt>
                <c:pt idx="185">
                  <c:v>#N/A</c:v>
                </c:pt>
                <c:pt idx="186">
                  <c:v>495.81486100000006</c:v>
                </c:pt>
                <c:pt idx="187">
                  <c:v>#N/A</c:v>
                </c:pt>
                <c:pt idx="188">
                  <c:v>#N/A</c:v>
                </c:pt>
                <c:pt idx="189">
                  <c:v>#N/A</c:v>
                </c:pt>
                <c:pt idx="190">
                  <c:v>#N/A</c:v>
                </c:pt>
                <c:pt idx="191">
                  <c:v>#N/A</c:v>
                </c:pt>
                <c:pt idx="192">
                  <c:v>#N/A</c:v>
                </c:pt>
                <c:pt idx="193">
                  <c:v>401.856537</c:v>
                </c:pt>
                <c:pt idx="194">
                  <c:v>#N/A</c:v>
                </c:pt>
                <c:pt idx="195">
                  <c:v>#N/A</c:v>
                </c:pt>
                <c:pt idx="196">
                  <c:v>#N/A</c:v>
                </c:pt>
                <c:pt idx="197">
                  <c:v>#N/A</c:v>
                </c:pt>
                <c:pt idx="198">
                  <c:v>#N/A</c:v>
                </c:pt>
                <c:pt idx="199">
                  <c:v>#N/A</c:v>
                </c:pt>
                <c:pt idx="200">
                  <c:v>398.97194400000001</c:v>
                </c:pt>
                <c:pt idx="201">
                  <c:v>#N/A</c:v>
                </c:pt>
                <c:pt idx="202">
                  <c:v>#N/A</c:v>
                </c:pt>
                <c:pt idx="203">
                  <c:v>#N/A</c:v>
                </c:pt>
                <c:pt idx="204">
                  <c:v>#N/A</c:v>
                </c:pt>
                <c:pt idx="205">
                  <c:v>#N/A</c:v>
                </c:pt>
                <c:pt idx="206">
                  <c:v>#N/A</c:v>
                </c:pt>
                <c:pt idx="207">
                  <c:v>406.38128999999992</c:v>
                </c:pt>
                <c:pt idx="208">
                  <c:v>#N/A</c:v>
                </c:pt>
                <c:pt idx="209">
                  <c:v>#N/A</c:v>
                </c:pt>
                <c:pt idx="210">
                  <c:v>#N/A</c:v>
                </c:pt>
                <c:pt idx="211">
                  <c:v>#N/A</c:v>
                </c:pt>
                <c:pt idx="212">
                  <c:v>#N/A</c:v>
                </c:pt>
                <c:pt idx="213">
                  <c:v>#N/A</c:v>
                </c:pt>
                <c:pt idx="214">
                  <c:v>417.84455300000002</c:v>
                </c:pt>
                <c:pt idx="215">
                  <c:v>#N/A</c:v>
                </c:pt>
                <c:pt idx="216">
                  <c:v>#N/A</c:v>
                </c:pt>
                <c:pt idx="217">
                  <c:v>#N/A</c:v>
                </c:pt>
                <c:pt idx="218">
                  <c:v>#N/A</c:v>
                </c:pt>
                <c:pt idx="219">
                  <c:v>#N/A</c:v>
                </c:pt>
                <c:pt idx="220">
                  <c:v>#N/A</c:v>
                </c:pt>
                <c:pt idx="221">
                  <c:v>367.95963799999998</c:v>
                </c:pt>
                <c:pt idx="222">
                  <c:v>#N/A</c:v>
                </c:pt>
                <c:pt idx="223">
                  <c:v>#N/A</c:v>
                </c:pt>
                <c:pt idx="224">
                  <c:v>#N/A</c:v>
                </c:pt>
                <c:pt idx="225">
                  <c:v>#N/A</c:v>
                </c:pt>
                <c:pt idx="226">
                  <c:v>#N/A</c:v>
                </c:pt>
                <c:pt idx="227">
                  <c:v>#N/A</c:v>
                </c:pt>
                <c:pt idx="228">
                  <c:v>370.94738500000005</c:v>
                </c:pt>
                <c:pt idx="229">
                  <c:v>#N/A</c:v>
                </c:pt>
                <c:pt idx="230">
                  <c:v>#N/A</c:v>
                </c:pt>
                <c:pt idx="231">
                  <c:v>#N/A</c:v>
                </c:pt>
                <c:pt idx="232">
                  <c:v>#N/A</c:v>
                </c:pt>
                <c:pt idx="233">
                  <c:v>#N/A</c:v>
                </c:pt>
                <c:pt idx="234">
                  <c:v>#N/A</c:v>
                </c:pt>
                <c:pt idx="235">
                  <c:v>367.68343899999996</c:v>
                </c:pt>
                <c:pt idx="236">
                  <c:v>#N/A</c:v>
                </c:pt>
                <c:pt idx="237">
                  <c:v>#N/A</c:v>
                </c:pt>
                <c:pt idx="238">
                  <c:v>#N/A</c:v>
                </c:pt>
                <c:pt idx="239">
                  <c:v>#N/A</c:v>
                </c:pt>
                <c:pt idx="240">
                  <c:v>#N/A</c:v>
                </c:pt>
                <c:pt idx="241">
                  <c:v>#N/A</c:v>
                </c:pt>
                <c:pt idx="242">
                  <c:v>428.83965799999999</c:v>
                </c:pt>
                <c:pt idx="243">
                  <c:v>#N/A</c:v>
                </c:pt>
                <c:pt idx="244">
                  <c:v>#N/A</c:v>
                </c:pt>
                <c:pt idx="245">
                  <c:v>#N/A</c:v>
                </c:pt>
                <c:pt idx="246">
                  <c:v>#N/A</c:v>
                </c:pt>
                <c:pt idx="247">
                  <c:v>#N/A</c:v>
                </c:pt>
                <c:pt idx="248">
                  <c:v>#N/A</c:v>
                </c:pt>
                <c:pt idx="249">
                  <c:v>398.52756000000005</c:v>
                </c:pt>
                <c:pt idx="250">
                  <c:v>#N/A</c:v>
                </c:pt>
                <c:pt idx="251">
                  <c:v>#N/A</c:v>
                </c:pt>
                <c:pt idx="252">
                  <c:v>#N/A</c:v>
                </c:pt>
                <c:pt idx="253">
                  <c:v>#N/A</c:v>
                </c:pt>
                <c:pt idx="254">
                  <c:v>#N/A</c:v>
                </c:pt>
                <c:pt idx="255">
                  <c:v>#N/A</c:v>
                </c:pt>
                <c:pt idx="256">
                  <c:v>365.15646200000003</c:v>
                </c:pt>
                <c:pt idx="257">
                  <c:v>#N/A</c:v>
                </c:pt>
                <c:pt idx="258">
                  <c:v>#N/A</c:v>
                </c:pt>
                <c:pt idx="259">
                  <c:v>#N/A</c:v>
                </c:pt>
                <c:pt idx="260">
                  <c:v>#N/A</c:v>
                </c:pt>
                <c:pt idx="261">
                  <c:v>#N/A</c:v>
                </c:pt>
                <c:pt idx="262">
                  <c:v>#N/A</c:v>
                </c:pt>
                <c:pt idx="263">
                  <c:v>424.622749</c:v>
                </c:pt>
                <c:pt idx="264">
                  <c:v>#N/A</c:v>
                </c:pt>
                <c:pt idx="265">
                  <c:v>#N/A</c:v>
                </c:pt>
                <c:pt idx="266">
                  <c:v>#N/A</c:v>
                </c:pt>
                <c:pt idx="267">
                  <c:v>#N/A</c:v>
                </c:pt>
                <c:pt idx="268">
                  <c:v>#N/A</c:v>
                </c:pt>
                <c:pt idx="269">
                  <c:v>#N/A</c:v>
                </c:pt>
                <c:pt idx="270">
                  <c:v>453.77499799999998</c:v>
                </c:pt>
                <c:pt idx="271">
                  <c:v>#N/A</c:v>
                </c:pt>
                <c:pt idx="272">
                  <c:v>#N/A</c:v>
                </c:pt>
                <c:pt idx="273">
                  <c:v>#N/A</c:v>
                </c:pt>
                <c:pt idx="274">
                  <c:v>#N/A</c:v>
                </c:pt>
                <c:pt idx="275">
                  <c:v>#N/A</c:v>
                </c:pt>
                <c:pt idx="276">
                  <c:v>#N/A</c:v>
                </c:pt>
                <c:pt idx="277">
                  <c:v>322.54708600000004</c:v>
                </c:pt>
                <c:pt idx="278">
                  <c:v>#N/A</c:v>
                </c:pt>
                <c:pt idx="279">
                  <c:v>#N/A</c:v>
                </c:pt>
                <c:pt idx="280">
                  <c:v>#N/A</c:v>
                </c:pt>
                <c:pt idx="281">
                  <c:v>#N/A</c:v>
                </c:pt>
                <c:pt idx="282">
                  <c:v>#N/A</c:v>
                </c:pt>
                <c:pt idx="283">
                  <c:v>#N/A</c:v>
                </c:pt>
                <c:pt idx="284">
                  <c:v>225.683468</c:v>
                </c:pt>
                <c:pt idx="285">
                  <c:v>#N/A</c:v>
                </c:pt>
                <c:pt idx="286">
                  <c:v>#N/A</c:v>
                </c:pt>
                <c:pt idx="287">
                  <c:v>#N/A</c:v>
                </c:pt>
                <c:pt idx="288">
                  <c:v>#N/A</c:v>
                </c:pt>
                <c:pt idx="289">
                  <c:v>#N/A</c:v>
                </c:pt>
                <c:pt idx="290">
                  <c:v>#N/A</c:v>
                </c:pt>
                <c:pt idx="291">
                  <c:v>426.27263699999997</c:v>
                </c:pt>
                <c:pt idx="292">
                  <c:v>#N/A</c:v>
                </c:pt>
                <c:pt idx="293">
                  <c:v>#N/A</c:v>
                </c:pt>
                <c:pt idx="294">
                  <c:v>#N/A</c:v>
                </c:pt>
                <c:pt idx="295">
                  <c:v>#N/A</c:v>
                </c:pt>
                <c:pt idx="296">
                  <c:v>#N/A</c:v>
                </c:pt>
                <c:pt idx="297">
                  <c:v>#N/A</c:v>
                </c:pt>
                <c:pt idx="298">
                  <c:v>437.29017900000002</c:v>
                </c:pt>
                <c:pt idx="299">
                  <c:v>#N/A</c:v>
                </c:pt>
                <c:pt idx="300">
                  <c:v>#N/A</c:v>
                </c:pt>
                <c:pt idx="301">
                  <c:v>#N/A</c:v>
                </c:pt>
                <c:pt idx="302">
                  <c:v>#N/A</c:v>
                </c:pt>
                <c:pt idx="303">
                  <c:v>#N/A</c:v>
                </c:pt>
                <c:pt idx="304">
                  <c:v>#N/A</c:v>
                </c:pt>
                <c:pt idx="305">
                  <c:v>453.52334099999996</c:v>
                </c:pt>
                <c:pt idx="306">
                  <c:v>#N/A</c:v>
                </c:pt>
                <c:pt idx="307">
                  <c:v>#N/A</c:v>
                </c:pt>
                <c:pt idx="308">
                  <c:v>#N/A</c:v>
                </c:pt>
                <c:pt idx="309">
                  <c:v>#N/A</c:v>
                </c:pt>
                <c:pt idx="310">
                  <c:v>#N/A</c:v>
                </c:pt>
                <c:pt idx="311">
                  <c:v>#N/A</c:v>
                </c:pt>
                <c:pt idx="312">
                  <c:v>387.00242699999995</c:v>
                </c:pt>
                <c:pt idx="313">
                  <c:v>#N/A</c:v>
                </c:pt>
                <c:pt idx="314">
                  <c:v>#N/A</c:v>
                </c:pt>
                <c:pt idx="315">
                  <c:v>#N/A</c:v>
                </c:pt>
                <c:pt idx="316">
                  <c:v>#N/A</c:v>
                </c:pt>
                <c:pt idx="317">
                  <c:v>#N/A</c:v>
                </c:pt>
                <c:pt idx="318">
                  <c:v>#N/A</c:v>
                </c:pt>
                <c:pt idx="319">
                  <c:v>374.37377200000003</c:v>
                </c:pt>
                <c:pt idx="320">
                  <c:v>#N/A</c:v>
                </c:pt>
                <c:pt idx="321">
                  <c:v>#N/A</c:v>
                </c:pt>
                <c:pt idx="322">
                  <c:v>#N/A</c:v>
                </c:pt>
                <c:pt idx="323">
                  <c:v>#N/A</c:v>
                </c:pt>
                <c:pt idx="324">
                  <c:v>#N/A</c:v>
                </c:pt>
                <c:pt idx="325">
                  <c:v>#N/A</c:v>
                </c:pt>
                <c:pt idx="326">
                  <c:v>385.37363700000003</c:v>
                </c:pt>
                <c:pt idx="327">
                  <c:v>#N/A</c:v>
                </c:pt>
                <c:pt idx="328">
                  <c:v>#N/A</c:v>
                </c:pt>
                <c:pt idx="329">
                  <c:v>#N/A</c:v>
                </c:pt>
                <c:pt idx="330">
                  <c:v>#N/A</c:v>
                </c:pt>
                <c:pt idx="331">
                  <c:v>#N/A</c:v>
                </c:pt>
                <c:pt idx="332">
                  <c:v>#N/A</c:v>
                </c:pt>
                <c:pt idx="333">
                  <c:v>437.01772599999998</c:v>
                </c:pt>
                <c:pt idx="334">
                  <c:v>#N/A</c:v>
                </c:pt>
                <c:pt idx="335">
                  <c:v>#N/A</c:v>
                </c:pt>
                <c:pt idx="336">
                  <c:v>#N/A</c:v>
                </c:pt>
                <c:pt idx="337">
                  <c:v>#N/A</c:v>
                </c:pt>
                <c:pt idx="338">
                  <c:v>#N/A</c:v>
                </c:pt>
                <c:pt idx="339">
                  <c:v>#N/A</c:v>
                </c:pt>
                <c:pt idx="340">
                  <c:v>422.69122700000003</c:v>
                </c:pt>
                <c:pt idx="341">
                  <c:v>#N/A</c:v>
                </c:pt>
                <c:pt idx="342">
                  <c:v>#N/A</c:v>
                </c:pt>
                <c:pt idx="343">
                  <c:v>#N/A</c:v>
                </c:pt>
                <c:pt idx="344">
                  <c:v>#N/A</c:v>
                </c:pt>
                <c:pt idx="345">
                  <c:v>#N/A</c:v>
                </c:pt>
                <c:pt idx="346">
                  <c:v>#N/A</c:v>
                </c:pt>
                <c:pt idx="347">
                  <c:v>425.14839300000006</c:v>
                </c:pt>
                <c:pt idx="348">
                  <c:v>#N/A</c:v>
                </c:pt>
                <c:pt idx="349">
                  <c:v>#N/A</c:v>
                </c:pt>
                <c:pt idx="350">
                  <c:v>#N/A</c:v>
                </c:pt>
                <c:pt idx="351">
                  <c:v>#N/A</c:v>
                </c:pt>
                <c:pt idx="352">
                  <c:v>#N/A</c:v>
                </c:pt>
                <c:pt idx="353">
                  <c:v>#N/A</c:v>
                </c:pt>
                <c:pt idx="354">
                  <c:v>437.59308199999998</c:v>
                </c:pt>
                <c:pt idx="355">
                  <c:v>#N/A</c:v>
                </c:pt>
                <c:pt idx="356">
                  <c:v>#N/A</c:v>
                </c:pt>
                <c:pt idx="357">
                  <c:v>#N/A</c:v>
                </c:pt>
                <c:pt idx="358">
                  <c:v>#N/A</c:v>
                </c:pt>
                <c:pt idx="359">
                  <c:v>#N/A</c:v>
                </c:pt>
                <c:pt idx="360">
                  <c:v>#N/A</c:v>
                </c:pt>
                <c:pt idx="361">
                  <c:v>513.54122299999995</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332-4DD5-ABC9-2D6FB4259381}"/>
            </c:ext>
          </c:extLst>
        </c:ser>
        <c:ser>
          <c:idx val="1"/>
          <c:order val="2"/>
          <c:tx>
            <c:strRef>
              <c:f>商品房!$J$1</c:f>
              <c:strCache>
                <c:ptCount val="1"/>
                <c:pt idx="0">
                  <c:v>2021</c:v>
                </c:pt>
              </c:strCache>
            </c:strRef>
          </c:tx>
          <c:spPr>
            <a:ln w="28575">
              <a:solidFill>
                <a:srgbClr val="BF5711"/>
              </a:solidFill>
              <a:prstDash val="solid"/>
            </a:ln>
          </c:spPr>
          <c:marker>
            <c:symbol val="none"/>
          </c:marker>
          <c:cat>
            <c:numRef>
              <c:f>商品房!$G$2:$G$366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商品房!$J$2:$J$366</c:f>
              <c:numCache>
                <c:formatCode>General</c:formatCode>
                <c:ptCount val="365"/>
                <c:pt idx="0">
                  <c:v>#N/A</c:v>
                </c:pt>
                <c:pt idx="1">
                  <c:v>#N/A</c:v>
                </c:pt>
                <c:pt idx="2">
                  <c:v>404.11560800000001</c:v>
                </c:pt>
                <c:pt idx="3">
                  <c:v>#N/A</c:v>
                </c:pt>
                <c:pt idx="4">
                  <c:v>#N/A</c:v>
                </c:pt>
                <c:pt idx="5">
                  <c:v>#N/A</c:v>
                </c:pt>
                <c:pt idx="6">
                  <c:v>#N/A</c:v>
                </c:pt>
                <c:pt idx="7">
                  <c:v>#N/A</c:v>
                </c:pt>
                <c:pt idx="8">
                  <c:v>#N/A</c:v>
                </c:pt>
                <c:pt idx="9">
                  <c:v>429.18597299999999</c:v>
                </c:pt>
                <c:pt idx="10">
                  <c:v>#N/A</c:v>
                </c:pt>
                <c:pt idx="11">
                  <c:v>#N/A</c:v>
                </c:pt>
                <c:pt idx="12">
                  <c:v>#N/A</c:v>
                </c:pt>
                <c:pt idx="13">
                  <c:v>#N/A</c:v>
                </c:pt>
                <c:pt idx="14">
                  <c:v>#N/A</c:v>
                </c:pt>
                <c:pt idx="15">
                  <c:v>#N/A</c:v>
                </c:pt>
                <c:pt idx="16">
                  <c:v>396.41738100000003</c:v>
                </c:pt>
                <c:pt idx="17">
                  <c:v>#N/A</c:v>
                </c:pt>
                <c:pt idx="18">
                  <c:v>#N/A</c:v>
                </c:pt>
                <c:pt idx="19">
                  <c:v>#N/A</c:v>
                </c:pt>
                <c:pt idx="20">
                  <c:v>#N/A</c:v>
                </c:pt>
                <c:pt idx="21">
                  <c:v>#N/A</c:v>
                </c:pt>
                <c:pt idx="22">
                  <c:v>#N/A</c:v>
                </c:pt>
                <c:pt idx="23">
                  <c:v>378.36077</c:v>
                </c:pt>
                <c:pt idx="24">
                  <c:v>#N/A</c:v>
                </c:pt>
                <c:pt idx="25">
                  <c:v>#N/A</c:v>
                </c:pt>
                <c:pt idx="26">
                  <c:v>#N/A</c:v>
                </c:pt>
                <c:pt idx="27">
                  <c:v>#N/A</c:v>
                </c:pt>
                <c:pt idx="28">
                  <c:v>#N/A</c:v>
                </c:pt>
                <c:pt idx="29">
                  <c:v>#N/A</c:v>
                </c:pt>
                <c:pt idx="30">
                  <c:v>448.190383</c:v>
                </c:pt>
                <c:pt idx="31">
                  <c:v>#N/A</c:v>
                </c:pt>
                <c:pt idx="32">
                  <c:v>#N/A</c:v>
                </c:pt>
                <c:pt idx="33">
                  <c:v>#N/A</c:v>
                </c:pt>
                <c:pt idx="34">
                  <c:v>#N/A</c:v>
                </c:pt>
                <c:pt idx="35">
                  <c:v>#N/A</c:v>
                </c:pt>
                <c:pt idx="36">
                  <c:v>#N/A</c:v>
                </c:pt>
                <c:pt idx="37">
                  <c:v>384.047054</c:v>
                </c:pt>
                <c:pt idx="38">
                  <c:v>#N/A</c:v>
                </c:pt>
                <c:pt idx="39">
                  <c:v>#N/A</c:v>
                </c:pt>
                <c:pt idx="40">
                  <c:v>#N/A</c:v>
                </c:pt>
                <c:pt idx="41">
                  <c:v>#N/A</c:v>
                </c:pt>
                <c:pt idx="42">
                  <c:v>#N/A</c:v>
                </c:pt>
                <c:pt idx="43">
                  <c:v>#N/A</c:v>
                </c:pt>
                <c:pt idx="44">
                  <c:v>91.993799999999993</c:v>
                </c:pt>
                <c:pt idx="45">
                  <c:v>#N/A</c:v>
                </c:pt>
                <c:pt idx="46">
                  <c:v>#N/A</c:v>
                </c:pt>
                <c:pt idx="47">
                  <c:v>#N/A</c:v>
                </c:pt>
                <c:pt idx="48">
                  <c:v>#N/A</c:v>
                </c:pt>
                <c:pt idx="49">
                  <c:v>#N/A</c:v>
                </c:pt>
                <c:pt idx="50">
                  <c:v>#N/A</c:v>
                </c:pt>
                <c:pt idx="51">
                  <c:v>122.57166699999999</c:v>
                </c:pt>
                <c:pt idx="52">
                  <c:v>#N/A</c:v>
                </c:pt>
                <c:pt idx="53">
                  <c:v>#N/A</c:v>
                </c:pt>
                <c:pt idx="54">
                  <c:v>#N/A</c:v>
                </c:pt>
                <c:pt idx="55">
                  <c:v>#N/A</c:v>
                </c:pt>
                <c:pt idx="56">
                  <c:v>#N/A</c:v>
                </c:pt>
                <c:pt idx="57">
                  <c:v>#N/A</c:v>
                </c:pt>
                <c:pt idx="58">
                  <c:v>383.44248400000009</c:v>
                </c:pt>
                <c:pt idx="59">
                  <c:v>#N/A</c:v>
                </c:pt>
                <c:pt idx="60">
                  <c:v>#N/A</c:v>
                </c:pt>
                <c:pt idx="61">
                  <c:v>#N/A</c:v>
                </c:pt>
                <c:pt idx="62">
                  <c:v>#N/A</c:v>
                </c:pt>
                <c:pt idx="63">
                  <c:v>#N/A</c:v>
                </c:pt>
                <c:pt idx="64">
                  <c:v>#N/A</c:v>
                </c:pt>
                <c:pt idx="65">
                  <c:v>395.39209499999998</c:v>
                </c:pt>
                <c:pt idx="66">
                  <c:v>#N/A</c:v>
                </c:pt>
                <c:pt idx="67">
                  <c:v>#N/A</c:v>
                </c:pt>
                <c:pt idx="68">
                  <c:v>#N/A</c:v>
                </c:pt>
                <c:pt idx="69">
                  <c:v>#N/A</c:v>
                </c:pt>
                <c:pt idx="70">
                  <c:v>#N/A</c:v>
                </c:pt>
                <c:pt idx="71">
                  <c:v>#N/A</c:v>
                </c:pt>
                <c:pt idx="72">
                  <c:v>381.756508</c:v>
                </c:pt>
                <c:pt idx="73">
                  <c:v>#N/A</c:v>
                </c:pt>
                <c:pt idx="74">
                  <c:v>#N/A</c:v>
                </c:pt>
                <c:pt idx="75">
                  <c:v>#N/A</c:v>
                </c:pt>
                <c:pt idx="76">
                  <c:v>#N/A</c:v>
                </c:pt>
                <c:pt idx="77">
                  <c:v>#N/A</c:v>
                </c:pt>
                <c:pt idx="78">
                  <c:v>#N/A</c:v>
                </c:pt>
                <c:pt idx="79">
                  <c:v>432.50817499999999</c:v>
                </c:pt>
                <c:pt idx="80">
                  <c:v>#N/A</c:v>
                </c:pt>
                <c:pt idx="81">
                  <c:v>#N/A</c:v>
                </c:pt>
                <c:pt idx="82">
                  <c:v>#N/A</c:v>
                </c:pt>
                <c:pt idx="83">
                  <c:v>#N/A</c:v>
                </c:pt>
                <c:pt idx="84">
                  <c:v>#N/A</c:v>
                </c:pt>
                <c:pt idx="85">
                  <c:v>#N/A</c:v>
                </c:pt>
                <c:pt idx="86">
                  <c:v>408.62015000000002</c:v>
                </c:pt>
                <c:pt idx="87">
                  <c:v>#N/A</c:v>
                </c:pt>
                <c:pt idx="88">
                  <c:v>#N/A</c:v>
                </c:pt>
                <c:pt idx="89">
                  <c:v>#N/A</c:v>
                </c:pt>
                <c:pt idx="90">
                  <c:v>#N/A</c:v>
                </c:pt>
                <c:pt idx="91">
                  <c:v>#N/A</c:v>
                </c:pt>
                <c:pt idx="92">
                  <c:v>#N/A</c:v>
                </c:pt>
                <c:pt idx="93">
                  <c:v>409.44071199999996</c:v>
                </c:pt>
                <c:pt idx="94">
                  <c:v>#N/A</c:v>
                </c:pt>
                <c:pt idx="95">
                  <c:v>#N/A</c:v>
                </c:pt>
                <c:pt idx="96">
                  <c:v>#N/A</c:v>
                </c:pt>
                <c:pt idx="97">
                  <c:v>#N/A</c:v>
                </c:pt>
                <c:pt idx="98">
                  <c:v>#N/A</c:v>
                </c:pt>
                <c:pt idx="99">
                  <c:v>#N/A</c:v>
                </c:pt>
                <c:pt idx="100">
                  <c:v>383.20736200000005</c:v>
                </c:pt>
                <c:pt idx="101">
                  <c:v>#N/A</c:v>
                </c:pt>
                <c:pt idx="102">
                  <c:v>#N/A</c:v>
                </c:pt>
                <c:pt idx="103">
                  <c:v>#N/A</c:v>
                </c:pt>
                <c:pt idx="104">
                  <c:v>#N/A</c:v>
                </c:pt>
                <c:pt idx="105">
                  <c:v>#N/A</c:v>
                </c:pt>
                <c:pt idx="106">
                  <c:v>#N/A</c:v>
                </c:pt>
                <c:pt idx="107">
                  <c:v>412.48120399999999</c:v>
                </c:pt>
                <c:pt idx="108">
                  <c:v>#N/A</c:v>
                </c:pt>
                <c:pt idx="109">
                  <c:v>#N/A</c:v>
                </c:pt>
                <c:pt idx="110">
                  <c:v>#N/A</c:v>
                </c:pt>
                <c:pt idx="111">
                  <c:v>#N/A</c:v>
                </c:pt>
                <c:pt idx="112">
                  <c:v>#N/A</c:v>
                </c:pt>
                <c:pt idx="113">
                  <c:v>#N/A</c:v>
                </c:pt>
                <c:pt idx="114">
                  <c:v>434.57028400000002</c:v>
                </c:pt>
                <c:pt idx="115">
                  <c:v>#N/A</c:v>
                </c:pt>
                <c:pt idx="116">
                  <c:v>#N/A</c:v>
                </c:pt>
                <c:pt idx="117">
                  <c:v>#N/A</c:v>
                </c:pt>
                <c:pt idx="118">
                  <c:v>#N/A</c:v>
                </c:pt>
                <c:pt idx="119">
                  <c:v>#N/A</c:v>
                </c:pt>
                <c:pt idx="120">
                  <c:v>#N/A</c:v>
                </c:pt>
                <c:pt idx="121">
                  <c:v>426.73755499999993</c:v>
                </c:pt>
                <c:pt idx="122">
                  <c:v>#N/A</c:v>
                </c:pt>
                <c:pt idx="123">
                  <c:v>#N/A</c:v>
                </c:pt>
                <c:pt idx="124">
                  <c:v>#N/A</c:v>
                </c:pt>
                <c:pt idx="125">
                  <c:v>#N/A</c:v>
                </c:pt>
                <c:pt idx="126">
                  <c:v>#N/A</c:v>
                </c:pt>
                <c:pt idx="127">
                  <c:v>#N/A</c:v>
                </c:pt>
                <c:pt idx="128">
                  <c:v>332.59524799999997</c:v>
                </c:pt>
                <c:pt idx="129">
                  <c:v>#N/A</c:v>
                </c:pt>
                <c:pt idx="130">
                  <c:v>#N/A</c:v>
                </c:pt>
                <c:pt idx="131">
                  <c:v>#N/A</c:v>
                </c:pt>
                <c:pt idx="132">
                  <c:v>#N/A</c:v>
                </c:pt>
                <c:pt idx="133">
                  <c:v>#N/A</c:v>
                </c:pt>
                <c:pt idx="134">
                  <c:v>#N/A</c:v>
                </c:pt>
                <c:pt idx="135">
                  <c:v>439.26663999999994</c:v>
                </c:pt>
                <c:pt idx="136">
                  <c:v>#N/A</c:v>
                </c:pt>
                <c:pt idx="137">
                  <c:v>#N/A</c:v>
                </c:pt>
                <c:pt idx="138">
                  <c:v>#N/A</c:v>
                </c:pt>
                <c:pt idx="139">
                  <c:v>#N/A</c:v>
                </c:pt>
                <c:pt idx="140">
                  <c:v>#N/A</c:v>
                </c:pt>
                <c:pt idx="141">
                  <c:v>#N/A</c:v>
                </c:pt>
                <c:pt idx="142">
                  <c:v>421.75531399999994</c:v>
                </c:pt>
                <c:pt idx="143">
                  <c:v>#N/A</c:v>
                </c:pt>
                <c:pt idx="144">
                  <c:v>#N/A</c:v>
                </c:pt>
                <c:pt idx="145">
                  <c:v>#N/A</c:v>
                </c:pt>
                <c:pt idx="146">
                  <c:v>#N/A</c:v>
                </c:pt>
                <c:pt idx="147">
                  <c:v>#N/A</c:v>
                </c:pt>
                <c:pt idx="148">
                  <c:v>#N/A</c:v>
                </c:pt>
                <c:pt idx="149">
                  <c:v>412.006708</c:v>
                </c:pt>
                <c:pt idx="150">
                  <c:v>#N/A</c:v>
                </c:pt>
                <c:pt idx="151">
                  <c:v>#N/A</c:v>
                </c:pt>
                <c:pt idx="152">
                  <c:v>#N/A</c:v>
                </c:pt>
                <c:pt idx="153">
                  <c:v>#N/A</c:v>
                </c:pt>
                <c:pt idx="154">
                  <c:v>#N/A</c:v>
                </c:pt>
                <c:pt idx="155">
                  <c:v>#N/A</c:v>
                </c:pt>
                <c:pt idx="156">
                  <c:v>469.311151</c:v>
                </c:pt>
                <c:pt idx="157">
                  <c:v>#N/A</c:v>
                </c:pt>
                <c:pt idx="158">
                  <c:v>#N/A</c:v>
                </c:pt>
                <c:pt idx="159">
                  <c:v>#N/A</c:v>
                </c:pt>
                <c:pt idx="160">
                  <c:v>#N/A</c:v>
                </c:pt>
                <c:pt idx="161">
                  <c:v>#N/A</c:v>
                </c:pt>
                <c:pt idx="162">
                  <c:v>#N/A</c:v>
                </c:pt>
                <c:pt idx="163">
                  <c:v>393.53754200000003</c:v>
                </c:pt>
                <c:pt idx="164">
                  <c:v>#N/A</c:v>
                </c:pt>
                <c:pt idx="165">
                  <c:v>#N/A</c:v>
                </c:pt>
                <c:pt idx="166">
                  <c:v>#N/A</c:v>
                </c:pt>
                <c:pt idx="167">
                  <c:v>#N/A</c:v>
                </c:pt>
                <c:pt idx="168">
                  <c:v>#N/A</c:v>
                </c:pt>
                <c:pt idx="169">
                  <c:v>#N/A</c:v>
                </c:pt>
                <c:pt idx="170">
                  <c:v>322.22420299999999</c:v>
                </c:pt>
                <c:pt idx="171">
                  <c:v>#N/A</c:v>
                </c:pt>
                <c:pt idx="172">
                  <c:v>#N/A</c:v>
                </c:pt>
                <c:pt idx="173">
                  <c:v>#N/A</c:v>
                </c:pt>
                <c:pt idx="174">
                  <c:v>#N/A</c:v>
                </c:pt>
                <c:pt idx="175">
                  <c:v>#N/A</c:v>
                </c:pt>
                <c:pt idx="176">
                  <c:v>#N/A</c:v>
                </c:pt>
                <c:pt idx="177">
                  <c:v>463.99628599999994</c:v>
                </c:pt>
                <c:pt idx="178">
                  <c:v>#N/A</c:v>
                </c:pt>
                <c:pt idx="179">
                  <c:v>#N/A</c:v>
                </c:pt>
                <c:pt idx="180">
                  <c:v>#N/A</c:v>
                </c:pt>
                <c:pt idx="181">
                  <c:v>#N/A</c:v>
                </c:pt>
                <c:pt idx="182">
                  <c:v>#N/A</c:v>
                </c:pt>
                <c:pt idx="183">
                  <c:v>#N/A</c:v>
                </c:pt>
                <c:pt idx="184">
                  <c:v>491.06224800000001</c:v>
                </c:pt>
                <c:pt idx="185">
                  <c:v>#N/A</c:v>
                </c:pt>
                <c:pt idx="186">
                  <c:v>#N/A</c:v>
                </c:pt>
                <c:pt idx="187">
                  <c:v>#N/A</c:v>
                </c:pt>
                <c:pt idx="188">
                  <c:v>#N/A</c:v>
                </c:pt>
                <c:pt idx="189">
                  <c:v>#N/A</c:v>
                </c:pt>
                <c:pt idx="190">
                  <c:v>#N/A</c:v>
                </c:pt>
                <c:pt idx="191">
                  <c:v>435.27353000000005</c:v>
                </c:pt>
                <c:pt idx="192">
                  <c:v>#N/A</c:v>
                </c:pt>
                <c:pt idx="193">
                  <c:v>#N/A</c:v>
                </c:pt>
                <c:pt idx="194">
                  <c:v>#N/A</c:v>
                </c:pt>
                <c:pt idx="195">
                  <c:v>#N/A</c:v>
                </c:pt>
                <c:pt idx="196">
                  <c:v>#N/A</c:v>
                </c:pt>
                <c:pt idx="197">
                  <c:v>#N/A</c:v>
                </c:pt>
                <c:pt idx="198">
                  <c:v>395.95680400000003</c:v>
                </c:pt>
                <c:pt idx="199">
                  <c:v>#N/A</c:v>
                </c:pt>
                <c:pt idx="200">
                  <c:v>#N/A</c:v>
                </c:pt>
                <c:pt idx="201">
                  <c:v>#N/A</c:v>
                </c:pt>
                <c:pt idx="202">
                  <c:v>#N/A</c:v>
                </c:pt>
                <c:pt idx="203">
                  <c:v>#N/A</c:v>
                </c:pt>
                <c:pt idx="204">
                  <c:v>#N/A</c:v>
                </c:pt>
                <c:pt idx="205">
                  <c:v>363.29604899999998</c:v>
                </c:pt>
                <c:pt idx="206">
                  <c:v>#N/A</c:v>
                </c:pt>
                <c:pt idx="207">
                  <c:v>#N/A</c:v>
                </c:pt>
                <c:pt idx="208">
                  <c:v>#N/A</c:v>
                </c:pt>
                <c:pt idx="209">
                  <c:v>#N/A</c:v>
                </c:pt>
                <c:pt idx="210">
                  <c:v>#N/A</c:v>
                </c:pt>
                <c:pt idx="211">
                  <c:v>#N/A</c:v>
                </c:pt>
                <c:pt idx="212">
                  <c:v>320.17928250000006</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0332-4DD5-ABC9-2D6FB4259381}"/>
            </c:ext>
          </c:extLst>
        </c:ser>
        <c:dLbls>
          <c:showLegendKey val="0"/>
          <c:showVal val="0"/>
          <c:showCatName val="0"/>
          <c:showSerName val="0"/>
          <c:showPercent val="0"/>
          <c:showBubbleSize val="0"/>
        </c:dLbls>
        <c:marker val="1"/>
        <c:smooth val="0"/>
        <c:axId val="452244224"/>
        <c:axId val="452245760"/>
      </c:lineChart>
      <c:dateAx>
        <c:axId val="45224422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1000">
                <a:latin typeface="Arial Narrow" panose="020B0606020202030204" pitchFamily="34" charset="0"/>
              </a:defRPr>
            </a:pPr>
            <a:endParaRPr lang="zh-CN"/>
          </a:p>
        </c:txPr>
        <c:crossAx val="452245760"/>
        <c:crosses val="autoZero"/>
        <c:auto val="0"/>
        <c:lblOffset val="0"/>
        <c:baseTimeUnit val="days"/>
        <c:majorUnit val="1"/>
        <c:majorTimeUnit val="months"/>
      </c:dateAx>
      <c:valAx>
        <c:axId val="45224576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1000">
                <a:solidFill>
                  <a:schemeClr val="tx1"/>
                </a:solidFill>
                <a:latin typeface="Arial Narrow" panose="020B0606020202030204" pitchFamily="34" charset="0"/>
              </a:defRPr>
            </a:pPr>
            <a:endParaRPr lang="zh-CN"/>
          </a:p>
        </c:txPr>
        <c:crossAx val="45224422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12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2018</c:v>
                </c:pt>
              </c:strCache>
            </c:strRef>
          </c:tx>
          <c:spPr>
            <a:ln w="19050" cap="rnd" cmpd="sng" algn="ctr">
              <a:solidFill>
                <a:schemeClr val="accent2">
                  <a:shade val="65000"/>
                </a:schemeClr>
              </a:solidFill>
              <a:prstDash val="solid"/>
              <a:round/>
            </a:ln>
            <a:effectLst/>
          </c:spPr>
          <c:marker>
            <c:symbol val="none"/>
          </c:marker>
          <c:cat>
            <c:numRef>
              <c:f>猪价!$G$2:$G$366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FCB2-447F-9114-9C6E384ED2E8}"/>
            </c:ext>
          </c:extLst>
        </c:ser>
        <c:ser>
          <c:idx val="2"/>
          <c:order val="1"/>
          <c:tx>
            <c:strRef>
              <c:f>猪价!$I$1</c:f>
              <c:strCache>
                <c:ptCount val="1"/>
                <c:pt idx="0">
                  <c:v>2019</c:v>
                </c:pt>
              </c:strCache>
            </c:strRef>
          </c:tx>
          <c:spPr>
            <a:ln w="19050" cap="rnd" cmpd="sng" algn="ctr">
              <a:solidFill>
                <a:schemeClr val="accent2">
                  <a:tint val="65000"/>
                </a:schemeClr>
              </a:solidFill>
              <a:prstDash val="solid"/>
              <a:round/>
            </a:ln>
            <a:effectLst/>
          </c:spPr>
          <c:marker>
            <c:symbol val="none"/>
          </c:marker>
          <c:cat>
            <c:numRef>
              <c:f>猪价!$G$2:$G$366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CB2-447F-9114-9C6E384ED2E8}"/>
            </c:ext>
          </c:extLst>
        </c:ser>
        <c:ser>
          <c:idx val="1"/>
          <c:order val="2"/>
          <c:tx>
            <c:strRef>
              <c:f>猪价!$J$1</c:f>
              <c:strCache>
                <c:ptCount val="1"/>
                <c:pt idx="0">
                  <c:v>2020</c:v>
                </c:pt>
              </c:strCache>
            </c:strRef>
          </c:tx>
          <c:spPr>
            <a:ln w="19050" cap="rnd" cmpd="sng" algn="ctr">
              <a:solidFill>
                <a:schemeClr val="accent2"/>
              </a:solidFill>
              <a:prstDash val="solid"/>
              <a:round/>
            </a:ln>
            <a:effectLst/>
          </c:spPr>
          <c:marker>
            <c:symbol val="none"/>
          </c:marker>
          <c:cat>
            <c:numRef>
              <c:f>猪价!$G$2:$G$366</c:f>
              <c:numCache>
                <c:formatCode>m"月"d"日"</c:formatCode>
                <c:ptCount val="365"/>
                <c:pt idx="0">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21.68</c:v>
                </c:pt>
                <c:pt idx="177">
                  <c:v>#N/A</c:v>
                </c:pt>
                <c:pt idx="178">
                  <c:v>#N/A</c:v>
                </c:pt>
                <c:pt idx="179">
                  <c:v>#N/A</c:v>
                </c:pt>
                <c:pt idx="180">
                  <c:v>#N/A</c:v>
                </c:pt>
                <c:pt idx="181">
                  <c:v>#N/A</c:v>
                </c:pt>
                <c:pt idx="182">
                  <c:v>#N/A</c:v>
                </c:pt>
                <c:pt idx="183">
                  <c:v>22.89</c:v>
                </c:pt>
                <c:pt idx="184">
                  <c:v>#N/A</c:v>
                </c:pt>
                <c:pt idx="185">
                  <c:v>#N/A</c:v>
                </c:pt>
                <c:pt idx="186">
                  <c:v>#N/A</c:v>
                </c:pt>
                <c:pt idx="187">
                  <c:v>#N/A</c:v>
                </c:pt>
                <c:pt idx="188">
                  <c:v>#N/A</c:v>
                </c:pt>
                <c:pt idx="189">
                  <c:v>#N/A</c:v>
                </c:pt>
                <c:pt idx="190">
                  <c:v>22.42</c:v>
                </c:pt>
                <c:pt idx="191">
                  <c:v>#N/A</c:v>
                </c:pt>
                <c:pt idx="192">
                  <c:v>#N/A</c:v>
                </c:pt>
                <c:pt idx="193">
                  <c:v>#N/A</c:v>
                </c:pt>
                <c:pt idx="194">
                  <c:v>#N/A</c:v>
                </c:pt>
                <c:pt idx="195">
                  <c:v>#N/A</c:v>
                </c:pt>
                <c:pt idx="196">
                  <c:v>#N/A</c:v>
                </c:pt>
                <c:pt idx="197">
                  <c:v>22.07</c:v>
                </c:pt>
                <c:pt idx="198">
                  <c:v>#N/A</c:v>
                </c:pt>
                <c:pt idx="199">
                  <c:v>#N/A</c:v>
                </c:pt>
                <c:pt idx="200">
                  <c:v>#N/A</c:v>
                </c:pt>
                <c:pt idx="201">
                  <c:v>#N/A</c:v>
                </c:pt>
                <c:pt idx="202">
                  <c:v>#N/A</c:v>
                </c:pt>
                <c:pt idx="203">
                  <c:v>#N/A</c:v>
                </c:pt>
                <c:pt idx="204">
                  <c:v>22.29</c:v>
                </c:pt>
                <c:pt idx="205">
                  <c:v>#N/A</c:v>
                </c:pt>
                <c:pt idx="206">
                  <c:v>#N/A</c:v>
                </c:pt>
                <c:pt idx="207">
                  <c:v>#N/A</c:v>
                </c:pt>
                <c:pt idx="208">
                  <c:v>#N/A</c:v>
                </c:pt>
                <c:pt idx="209">
                  <c:v>#N/A</c:v>
                </c:pt>
                <c:pt idx="210">
                  <c:v>#N/A</c:v>
                </c:pt>
                <c:pt idx="211">
                  <c:v>22.14</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FCB2-447F-9114-9C6E384ED2E8}"/>
            </c:ext>
          </c:extLst>
        </c:ser>
        <c:dLbls>
          <c:showLegendKey val="0"/>
          <c:showVal val="0"/>
          <c:showCatName val="0"/>
          <c:showSerName val="0"/>
          <c:showPercent val="0"/>
          <c:showBubbleSize val="0"/>
        </c:dLbls>
        <c:marker val="1"/>
        <c:smooth val="0"/>
        <c:axId val="469259392"/>
        <c:axId val="469260928"/>
      </c:lineChart>
      <c:dateAx>
        <c:axId val="46925939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69260928"/>
        <c:crosses val="autoZero"/>
        <c:auto val="0"/>
        <c:lblOffset val="0"/>
        <c:baseTimeUnit val="days"/>
        <c:majorUnit val="1"/>
        <c:majorTimeUnit val="months"/>
      </c:dateAx>
      <c:valAx>
        <c:axId val="46926092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69259392"/>
        <c:crosses val="autoZero"/>
        <c:crossBetween val="between"/>
      </c:valAx>
      <c:spPr>
        <a:solidFill>
          <a:schemeClr val="bg1"/>
        </a:solidFill>
        <a:ln>
          <a:noFill/>
        </a:ln>
        <a:effectLst/>
      </c:spPr>
    </c:plotArea>
    <c:legend>
      <c:legendPos val="r"/>
      <c:layout>
        <c:manualLayout>
          <c:xMode val="edge"/>
          <c:yMode val="edge"/>
          <c:x val="0.15225"/>
          <c:y val="2.3337707786526686E-3"/>
          <c:w val="0.73840416966633515"/>
          <c:h val="0.10697946938124375"/>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8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3.64538E-7</cdr:y>
    </cdr:from>
    <cdr:to>
      <cdr:x>0.08929</cdr:x>
      <cdr:y>0.07176</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08214" cy="196850"/>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1000" b="0" i="0" u="none" strike="noStrike" baseline="0">
              <a:solidFill>
                <a:srgbClr val="000000"/>
              </a:solidFill>
              <a:latin typeface="楷体" panose="02010609060101010101" pitchFamily="49" charset="-122"/>
              <a:ea typeface="楷体" panose="02010609060101010101" pitchFamily="49" charset="-122"/>
            </a:rPr>
            <a:t>万平米</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5.16668E-7</cdr:y>
    </cdr:from>
    <cdr:to>
      <cdr:x>0.13259</cdr:x>
      <cdr:y>0.09038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97565" cy="17492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67683-2DBB-4DB4-84CC-08F5B00C6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845</Words>
  <Characters>4821</Characters>
  <Application>Microsoft Office Word</Application>
  <DocSecurity>0</DocSecurity>
  <Lines>40</Lines>
  <Paragraphs>11</Paragraphs>
  <ScaleCrop>false</ScaleCrop>
  <Company>Microsoft</Company>
  <LinksUpToDate>false</LinksUpToDate>
  <CharactersWithSpaces>5655</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2021-08-02T02:37:00Z</dcterms:created>
  <dcterms:modified xsi:type="dcterms:W3CDTF">2021-08-02T02:55:00Z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