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7A" w:rsidRDefault="00F760C3">
      <w:pPr>
        <w:jc w:val="center"/>
        <w:rPr>
          <w:b/>
        </w:rPr>
      </w:pPr>
      <w:r>
        <w:rPr>
          <w:rFonts w:hint="eastAsia"/>
          <w:b/>
        </w:rPr>
        <w:t>富荣量化</w:t>
      </w:r>
      <w:r w:rsidR="00FB07A2">
        <w:rPr>
          <w:rFonts w:hint="eastAsia"/>
          <w:b/>
        </w:rPr>
        <w:t>：</w:t>
      </w:r>
      <w:r w:rsidR="00AA2D2E">
        <w:rPr>
          <w:rFonts w:hint="eastAsia"/>
          <w:b/>
        </w:rPr>
        <w:t>市场剧烈回调，风格极度分化</w:t>
      </w:r>
    </w:p>
    <w:p w:rsidR="00A1467A" w:rsidRPr="0095695E" w:rsidRDefault="00A1467A">
      <w:pPr>
        <w:ind w:firstLineChars="200" w:firstLine="480"/>
      </w:pPr>
    </w:p>
    <w:p w:rsidR="00D74A5C" w:rsidRDefault="00F760C3" w:rsidP="00E84F1E">
      <w:pPr>
        <w:ind w:firstLineChars="200" w:firstLine="480"/>
      </w:pPr>
      <w:r>
        <w:rPr>
          <w:rFonts w:hint="eastAsia"/>
          <w:lang w:eastAsia="zh-Hans"/>
        </w:rPr>
        <w:t>A</w:t>
      </w:r>
      <w:r w:rsidR="00FE7118">
        <w:rPr>
          <w:rFonts w:hint="eastAsia"/>
          <w:lang w:eastAsia="zh-Hans"/>
        </w:rPr>
        <w:t>股市场</w:t>
      </w:r>
      <w:r w:rsidR="00AA2D2E">
        <w:rPr>
          <w:rFonts w:hint="eastAsia"/>
        </w:rPr>
        <w:t>在7月最后一周出现超预期的剧烈回调</w:t>
      </w:r>
      <w:r w:rsidR="0095695E">
        <w:rPr>
          <w:rFonts w:hint="eastAsia"/>
        </w:rPr>
        <w:t>，市场风格进一步分化并达到极致。</w:t>
      </w:r>
      <w:r w:rsidR="00FB07A2">
        <w:rPr>
          <w:rFonts w:hint="eastAsia"/>
        </w:rPr>
        <w:t>上</w:t>
      </w:r>
      <w:r w:rsidR="0095695E">
        <w:rPr>
          <w:rFonts w:hint="eastAsia"/>
        </w:rPr>
        <w:t>周一、周二</w:t>
      </w:r>
      <w:r w:rsidR="007258F0">
        <w:rPr>
          <w:rFonts w:hint="eastAsia"/>
        </w:rPr>
        <w:t>巨大回撤</w:t>
      </w:r>
      <w:r w:rsidR="0095695E">
        <w:rPr>
          <w:rFonts w:hint="eastAsia"/>
        </w:rPr>
        <w:t>后，周三</w:t>
      </w:r>
      <w:proofErr w:type="gramStart"/>
      <w:r w:rsidR="0095695E">
        <w:rPr>
          <w:rFonts w:hint="eastAsia"/>
        </w:rPr>
        <w:t>周四走</w:t>
      </w:r>
      <w:proofErr w:type="gramEnd"/>
      <w:r w:rsidR="0095695E">
        <w:rPr>
          <w:rFonts w:hint="eastAsia"/>
        </w:rPr>
        <w:t>探底反弹的行情</w:t>
      </w:r>
      <w:r w:rsidR="007258F0">
        <w:rPr>
          <w:rFonts w:hint="eastAsia"/>
        </w:rPr>
        <w:t>，</w:t>
      </w:r>
      <w:r w:rsidR="0095695E">
        <w:rPr>
          <w:rFonts w:hint="eastAsia"/>
        </w:rPr>
        <w:t>大小</w:t>
      </w:r>
      <w:proofErr w:type="gramStart"/>
      <w:r w:rsidR="0095695E">
        <w:rPr>
          <w:rFonts w:hint="eastAsia"/>
        </w:rPr>
        <w:t>盘风格</w:t>
      </w:r>
      <w:proofErr w:type="gramEnd"/>
      <w:r w:rsidR="0095695E">
        <w:rPr>
          <w:rFonts w:hint="eastAsia"/>
        </w:rPr>
        <w:t>进一步分化。</w:t>
      </w:r>
      <w:r w:rsidR="007258F0">
        <w:rPr>
          <w:rFonts w:hint="eastAsia"/>
        </w:rPr>
        <w:t>从</w:t>
      </w:r>
      <w:r>
        <w:rPr>
          <w:rFonts w:hint="eastAsia"/>
          <w:lang w:eastAsia="zh-Hans"/>
        </w:rPr>
        <w:t>市场最终表现来看</w:t>
      </w:r>
      <w:r w:rsidR="00FB07A2">
        <w:rPr>
          <w:rFonts w:hint="eastAsia"/>
        </w:rPr>
        <w:t>，上</w:t>
      </w:r>
      <w:r>
        <w:rPr>
          <w:rFonts w:hint="eastAsia"/>
          <w:lang w:eastAsia="zh-Hans"/>
        </w:rPr>
        <w:t>周</w:t>
      </w:r>
      <w:proofErr w:type="gramStart"/>
      <w:r>
        <w:rPr>
          <w:rFonts w:hint="eastAsia"/>
          <w:lang w:eastAsia="zh-Hans"/>
        </w:rPr>
        <w:t>各宽基指数</w:t>
      </w:r>
      <w:proofErr w:type="gramEnd"/>
      <w:r>
        <w:rPr>
          <w:rFonts w:hint="eastAsia"/>
          <w:lang w:eastAsia="zh-Hans"/>
        </w:rPr>
        <w:t>表现如下</w:t>
      </w:r>
      <w:r>
        <w:rPr>
          <w:lang w:eastAsia="zh-Hans"/>
        </w:rPr>
        <w:t>（</w:t>
      </w:r>
      <w:r>
        <w:rPr>
          <w:rFonts w:hint="eastAsia"/>
          <w:lang w:eastAsia="zh-Hans"/>
        </w:rPr>
        <w:t>图</w:t>
      </w:r>
      <w:r>
        <w:rPr>
          <w:lang w:eastAsia="zh-Hans"/>
        </w:rPr>
        <w:t>1）：</w:t>
      </w:r>
      <w:r>
        <w:rPr>
          <w:rFonts w:hint="eastAsia"/>
          <w:lang w:eastAsia="zh-Hans"/>
        </w:rPr>
        <w:t>上证指数下跌</w:t>
      </w:r>
      <w:r w:rsidR="0095695E">
        <w:rPr>
          <w:lang w:eastAsia="zh-Hans"/>
        </w:rPr>
        <w:t>4.31</w:t>
      </w:r>
      <w:r>
        <w:rPr>
          <w:lang w:eastAsia="zh-Hans"/>
        </w:rPr>
        <w:t>%，</w:t>
      </w:r>
      <w:r>
        <w:rPr>
          <w:rFonts w:hint="eastAsia"/>
          <w:lang w:eastAsia="zh-Hans"/>
        </w:rPr>
        <w:t>深证成指</w:t>
      </w:r>
      <w:r w:rsidR="00FE7118">
        <w:rPr>
          <w:rFonts w:hint="eastAsia"/>
        </w:rPr>
        <w:t>下跌</w:t>
      </w:r>
      <w:r w:rsidR="0095695E">
        <w:rPr>
          <w:rFonts w:hint="eastAsia"/>
        </w:rPr>
        <w:t>3.7</w:t>
      </w:r>
      <w:r w:rsidR="00FB07A2">
        <w:rPr>
          <w:rFonts w:hint="eastAsia"/>
        </w:rPr>
        <w:t>0</w:t>
      </w:r>
      <w:r>
        <w:rPr>
          <w:lang w:eastAsia="zh-Hans"/>
        </w:rPr>
        <w:t>%</w:t>
      </w:r>
      <w:r w:rsidR="0095695E">
        <w:rPr>
          <w:lang w:eastAsia="zh-Hans"/>
        </w:rPr>
        <w:t>，</w:t>
      </w:r>
      <w:r>
        <w:rPr>
          <w:rFonts w:hint="eastAsia"/>
          <w:lang w:eastAsia="zh-Hans"/>
        </w:rPr>
        <w:t>沪深</w:t>
      </w:r>
      <w:r>
        <w:rPr>
          <w:lang w:eastAsia="zh-Hans"/>
        </w:rPr>
        <w:t>300</w:t>
      </w:r>
      <w:r>
        <w:rPr>
          <w:rFonts w:hint="eastAsia"/>
          <w:lang w:eastAsia="zh-Hans"/>
        </w:rPr>
        <w:t>指数下跌</w:t>
      </w:r>
      <w:r w:rsidR="0095695E">
        <w:rPr>
          <w:lang w:eastAsia="zh-Hans"/>
        </w:rPr>
        <w:t>5.46</w:t>
      </w:r>
      <w:r>
        <w:rPr>
          <w:lang w:eastAsia="zh-Hans"/>
        </w:rPr>
        <w:t>%，</w:t>
      </w:r>
      <w:r>
        <w:rPr>
          <w:rFonts w:hint="eastAsia"/>
          <w:lang w:eastAsia="zh-Hans"/>
        </w:rPr>
        <w:t>中证</w:t>
      </w:r>
      <w:r>
        <w:rPr>
          <w:lang w:eastAsia="zh-Hans"/>
        </w:rPr>
        <w:t>500</w:t>
      </w:r>
      <w:r w:rsidR="00FE7118">
        <w:rPr>
          <w:rFonts w:hint="eastAsia"/>
          <w:lang w:eastAsia="zh-Hans"/>
        </w:rPr>
        <w:t>指数</w:t>
      </w:r>
      <w:r w:rsidR="00FE7118">
        <w:rPr>
          <w:rFonts w:hint="eastAsia"/>
        </w:rPr>
        <w:t>下跌</w:t>
      </w:r>
      <w:r w:rsidR="0095695E">
        <w:rPr>
          <w:rFonts w:hint="eastAsia"/>
        </w:rPr>
        <w:t>3.13%</w:t>
      </w:r>
      <w:r>
        <w:rPr>
          <w:lang w:eastAsia="zh-Hans"/>
        </w:rPr>
        <w:t>，</w:t>
      </w:r>
      <w:r w:rsidR="00FE7118">
        <w:rPr>
          <w:rFonts w:hint="eastAsia"/>
          <w:lang w:eastAsia="zh-Hans"/>
        </w:rPr>
        <w:t>创业板指</w:t>
      </w:r>
      <w:r w:rsidR="00FE7118">
        <w:rPr>
          <w:rFonts w:hint="eastAsia"/>
        </w:rPr>
        <w:t>下跌</w:t>
      </w:r>
      <w:r w:rsidR="0095695E">
        <w:rPr>
          <w:rFonts w:hint="eastAsia"/>
        </w:rPr>
        <w:t>0.86%</w:t>
      </w:r>
      <w:r>
        <w:rPr>
          <w:lang w:eastAsia="zh-Hans"/>
        </w:rPr>
        <w:t>，</w:t>
      </w:r>
      <w:r w:rsidR="0095695E">
        <w:rPr>
          <w:rFonts w:hint="eastAsia"/>
        </w:rPr>
        <w:t>科创50</w:t>
      </w:r>
      <w:r w:rsidR="00D74A5C">
        <w:rPr>
          <w:rFonts w:hint="eastAsia"/>
        </w:rPr>
        <w:t>上涨1.77%。市场分化严重，代表大盘风格的上证50和沪深300跌幅惊人，而创业板指</w:t>
      </w:r>
      <w:proofErr w:type="gramStart"/>
      <w:r w:rsidR="00D74A5C">
        <w:rPr>
          <w:rFonts w:hint="eastAsia"/>
        </w:rPr>
        <w:t>和科创</w:t>
      </w:r>
      <w:proofErr w:type="gramEnd"/>
      <w:r w:rsidR="00D74A5C">
        <w:rPr>
          <w:rFonts w:hint="eastAsia"/>
        </w:rPr>
        <w:t>50在周一周二下跌后快速反弹，</w:t>
      </w:r>
      <w:proofErr w:type="gramStart"/>
      <w:r w:rsidR="00D74A5C">
        <w:rPr>
          <w:rFonts w:hint="eastAsia"/>
        </w:rPr>
        <w:t>其中科创</w:t>
      </w:r>
      <w:proofErr w:type="gramEnd"/>
      <w:r w:rsidR="00D74A5C">
        <w:rPr>
          <w:rFonts w:hint="eastAsia"/>
        </w:rPr>
        <w:t>50甚至走出年内新高。</w:t>
      </w:r>
      <w:r>
        <w:rPr>
          <w:rFonts w:hint="eastAsia"/>
          <w:lang w:eastAsia="zh-Hans"/>
        </w:rPr>
        <w:t>从行业来看</w:t>
      </w:r>
      <w:r>
        <w:rPr>
          <w:lang w:eastAsia="zh-Hans"/>
        </w:rPr>
        <w:t>，</w:t>
      </w:r>
      <w:r w:rsidR="00FB07A2">
        <w:rPr>
          <w:rFonts w:hint="eastAsia"/>
        </w:rPr>
        <w:t>上</w:t>
      </w:r>
      <w:r>
        <w:rPr>
          <w:rFonts w:hint="eastAsia"/>
          <w:lang w:eastAsia="zh-Hans"/>
        </w:rPr>
        <w:t>周</w:t>
      </w:r>
      <w:r w:rsidR="00D74A5C">
        <w:rPr>
          <w:rFonts w:hint="eastAsia"/>
        </w:rPr>
        <w:t>通信（</w:t>
      </w:r>
      <w:r w:rsidR="00D53762">
        <w:rPr>
          <w:rFonts w:hint="eastAsia"/>
        </w:rPr>
        <w:t>2.32</w:t>
      </w:r>
      <w:r w:rsidR="00D74A5C">
        <w:rPr>
          <w:rFonts w:hint="eastAsia"/>
        </w:rPr>
        <w:t>%）</w:t>
      </w:r>
      <w:r w:rsidR="007258F0">
        <w:rPr>
          <w:rFonts w:hint="eastAsia"/>
        </w:rPr>
        <w:t>、</w:t>
      </w:r>
      <w:r w:rsidR="00D53762">
        <w:rPr>
          <w:rFonts w:hint="eastAsia"/>
        </w:rPr>
        <w:t>有色金属</w:t>
      </w:r>
      <w:r w:rsidR="00D74A5C">
        <w:rPr>
          <w:rFonts w:hint="eastAsia"/>
        </w:rPr>
        <w:t>（</w:t>
      </w:r>
      <w:r w:rsidR="00D53762">
        <w:rPr>
          <w:rFonts w:hint="eastAsia"/>
        </w:rPr>
        <w:t>1.88</w:t>
      </w:r>
      <w:r w:rsidR="00D74A5C">
        <w:rPr>
          <w:rFonts w:hint="eastAsia"/>
        </w:rPr>
        <w:t>%），电子（</w:t>
      </w:r>
      <w:r w:rsidR="00D53762">
        <w:rPr>
          <w:rFonts w:hint="eastAsia"/>
        </w:rPr>
        <w:t>1.32</w:t>
      </w:r>
      <w:r w:rsidR="00D74A5C">
        <w:rPr>
          <w:rFonts w:hint="eastAsia"/>
        </w:rPr>
        <w:t>%）表现较好；</w:t>
      </w:r>
      <w:r w:rsidR="005A3D7C">
        <w:rPr>
          <w:rFonts w:hint="eastAsia"/>
        </w:rPr>
        <w:t>表现较为差异的行业为：</w:t>
      </w:r>
      <w:r w:rsidR="00D74A5C">
        <w:rPr>
          <w:rFonts w:hint="eastAsia"/>
        </w:rPr>
        <w:t>休闲服务</w:t>
      </w:r>
      <w:r w:rsidR="00211359">
        <w:rPr>
          <w:rFonts w:hint="eastAsia"/>
        </w:rPr>
        <w:t>（-13.10），食品饮料（-13.03%），</w:t>
      </w:r>
      <w:r w:rsidR="00D53762">
        <w:rPr>
          <w:rFonts w:hint="eastAsia"/>
        </w:rPr>
        <w:t>房地产</w:t>
      </w:r>
      <w:r w:rsidR="00211359">
        <w:rPr>
          <w:rFonts w:hint="eastAsia"/>
        </w:rPr>
        <w:t>（-</w:t>
      </w:r>
      <w:r w:rsidR="00D53762">
        <w:rPr>
          <w:rFonts w:hint="eastAsia"/>
        </w:rPr>
        <w:t>7.96</w:t>
      </w:r>
      <w:r w:rsidR="00211359">
        <w:rPr>
          <w:rFonts w:hint="eastAsia"/>
        </w:rPr>
        <w:t>%）</w:t>
      </w:r>
      <w:r w:rsidR="005A3D7C">
        <w:rPr>
          <w:rFonts w:hint="eastAsia"/>
        </w:rPr>
        <w:t>等偏向消费服务板块。</w:t>
      </w:r>
    </w:p>
    <w:p w:rsidR="00FB07A2" w:rsidRDefault="00FB07A2" w:rsidP="00E84F1E">
      <w:pPr>
        <w:ind w:firstLineChars="200" w:firstLine="480"/>
      </w:pPr>
    </w:p>
    <w:p w:rsidR="00FB07A2" w:rsidRDefault="00FB07A2" w:rsidP="00FB07A2">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A1467A" w:rsidRDefault="005A3D7C" w:rsidP="00F760C3">
      <w:r>
        <w:rPr>
          <w:noProof/>
        </w:rPr>
        <w:drawing>
          <wp:inline distT="0" distB="0" distL="0" distR="0">
            <wp:extent cx="5274310" cy="3956248"/>
            <wp:effectExtent l="0" t="0" r="2540" b="6350"/>
            <wp:docPr id="3" name="图片 3" descr="C:\Users\qiuzh\AppData\Roaming\Foxmail7\Temp-20372-20210802082217\fox(08-02-09-47-4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0372-20210802082217\fox(08-02-09-47-45)(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6248"/>
                    </a:xfrm>
                    <a:prstGeom prst="rect">
                      <a:avLst/>
                    </a:prstGeom>
                    <a:noFill/>
                    <a:ln>
                      <a:noFill/>
                    </a:ln>
                  </pic:spPr>
                </pic:pic>
              </a:graphicData>
            </a:graphic>
          </wp:inline>
        </w:drawing>
      </w:r>
    </w:p>
    <w:p w:rsidR="00F760C3" w:rsidRDefault="00F760C3" w:rsidP="00F760C3">
      <w:r>
        <w:rPr>
          <w:rFonts w:hint="eastAsia"/>
        </w:rPr>
        <w:t>数据：Wind；整理：富荣量化</w:t>
      </w:r>
    </w:p>
    <w:p w:rsidR="00A1467A" w:rsidRDefault="00A1467A">
      <w:pPr>
        <w:ind w:firstLineChars="200" w:firstLine="480"/>
        <w:rPr>
          <w:lang w:eastAsia="zh-Hans"/>
        </w:rPr>
      </w:pPr>
    </w:p>
    <w:p w:rsidR="00A1467A" w:rsidRDefault="00F760C3">
      <w:pPr>
        <w:ind w:firstLineChars="200" w:firstLine="480"/>
      </w:pPr>
      <w:r>
        <w:rPr>
          <w:rFonts w:hint="eastAsia"/>
        </w:rPr>
        <w:lastRenderedPageBreak/>
        <w:t>从资金流动来看（图2），</w:t>
      </w:r>
      <w:r w:rsidR="00FB07A2">
        <w:rPr>
          <w:rFonts w:hint="eastAsia"/>
        </w:rPr>
        <w:t>上</w:t>
      </w:r>
      <w:r>
        <w:rPr>
          <w:rFonts w:hint="eastAsia"/>
        </w:rPr>
        <w:t>周</w:t>
      </w:r>
      <w:r>
        <w:rPr>
          <w:rFonts w:hint="eastAsia"/>
          <w:lang w:eastAsia="zh-Hans"/>
        </w:rPr>
        <w:t>北向资金</w:t>
      </w:r>
      <w:bookmarkStart w:id="0" w:name="_GoBack"/>
      <w:bookmarkEnd w:id="0"/>
      <w:r w:rsidR="001D556F">
        <w:rPr>
          <w:rFonts w:hint="eastAsia"/>
        </w:rPr>
        <w:t>净流出不少</w:t>
      </w:r>
      <w:r>
        <w:rPr>
          <w:lang w:eastAsia="zh-Hans"/>
        </w:rPr>
        <w:t>，</w:t>
      </w:r>
      <w:r>
        <w:rPr>
          <w:rFonts w:hint="eastAsia"/>
          <w:lang w:eastAsia="zh-Hans"/>
        </w:rPr>
        <w:t>全周合计</w:t>
      </w:r>
      <w:r w:rsidR="00E84F1E">
        <w:rPr>
          <w:rFonts w:hint="eastAsia"/>
        </w:rPr>
        <w:t>流出</w:t>
      </w:r>
      <w:r w:rsidR="005A3D7C">
        <w:rPr>
          <w:rFonts w:hint="eastAsia"/>
        </w:rPr>
        <w:t>24.46</w:t>
      </w:r>
      <w:r>
        <w:rPr>
          <w:rFonts w:hint="eastAsia"/>
          <w:lang w:eastAsia="zh-Hans"/>
        </w:rPr>
        <w:t>亿</w:t>
      </w:r>
      <w:r>
        <w:rPr>
          <w:lang w:eastAsia="zh-Hans"/>
        </w:rPr>
        <w:t>，</w:t>
      </w:r>
      <w:r w:rsidR="00E84F1E">
        <w:rPr>
          <w:rFonts w:hint="eastAsia"/>
          <w:lang w:eastAsia="zh-Hans"/>
        </w:rPr>
        <w:t>其中沪股通流</w:t>
      </w:r>
      <w:r w:rsidR="00E84F1E">
        <w:rPr>
          <w:rFonts w:hint="eastAsia"/>
        </w:rPr>
        <w:t>出</w:t>
      </w:r>
      <w:r w:rsidR="005A3D7C">
        <w:rPr>
          <w:rFonts w:hint="eastAsia"/>
        </w:rPr>
        <w:t>66.07</w:t>
      </w:r>
      <w:r>
        <w:rPr>
          <w:rFonts w:hint="eastAsia"/>
          <w:lang w:eastAsia="zh-Hans"/>
        </w:rPr>
        <w:t>亿</w:t>
      </w:r>
      <w:r>
        <w:rPr>
          <w:lang w:eastAsia="zh-Hans"/>
        </w:rPr>
        <w:t>，</w:t>
      </w:r>
      <w:r>
        <w:rPr>
          <w:rFonts w:hint="eastAsia"/>
          <w:lang w:eastAsia="zh-Hans"/>
        </w:rPr>
        <w:t>深股通流入</w:t>
      </w:r>
      <w:r w:rsidR="005A3D7C">
        <w:rPr>
          <w:lang w:eastAsia="zh-Hans"/>
        </w:rPr>
        <w:t>41.62</w:t>
      </w:r>
      <w:r>
        <w:rPr>
          <w:rFonts w:hint="eastAsia"/>
          <w:lang w:eastAsia="zh-Hans"/>
        </w:rPr>
        <w:t>亿</w:t>
      </w:r>
      <w:r>
        <w:rPr>
          <w:lang w:eastAsia="zh-Hans"/>
        </w:rPr>
        <w:t>。</w:t>
      </w:r>
      <w:r>
        <w:rPr>
          <w:rFonts w:hint="eastAsia"/>
          <w:lang w:eastAsia="zh-Hans"/>
        </w:rPr>
        <w:t>从</w:t>
      </w:r>
      <w:r>
        <w:rPr>
          <w:rFonts w:hint="eastAsia"/>
        </w:rPr>
        <w:t>杠杆</w:t>
      </w:r>
      <w:r>
        <w:rPr>
          <w:rFonts w:hint="eastAsia"/>
          <w:lang w:eastAsia="zh-Hans"/>
        </w:rPr>
        <w:t>资金表现来看</w:t>
      </w:r>
      <w:r>
        <w:rPr>
          <w:lang w:eastAsia="zh-Hans"/>
        </w:rPr>
        <w:t>，</w:t>
      </w:r>
      <w:r w:rsidR="00FB07A2">
        <w:rPr>
          <w:rFonts w:hint="eastAsia"/>
        </w:rPr>
        <w:t>上</w:t>
      </w:r>
      <w:r>
        <w:rPr>
          <w:rFonts w:hint="eastAsia"/>
          <w:lang w:eastAsia="zh-Hans"/>
        </w:rPr>
        <w:t>周</w:t>
      </w:r>
      <w:r>
        <w:rPr>
          <w:rFonts w:hint="eastAsia"/>
        </w:rPr>
        <w:t>新增融资</w:t>
      </w:r>
      <w:r w:rsidR="005A3D7C">
        <w:rPr>
          <w:rFonts w:hint="eastAsia"/>
        </w:rPr>
        <w:t>总体下降较多</w:t>
      </w:r>
      <w:r w:rsidR="002734CF">
        <w:rPr>
          <w:rFonts w:hint="eastAsia"/>
        </w:rPr>
        <w:t>，杠杆资金情绪</w:t>
      </w:r>
      <w:r>
        <w:rPr>
          <w:rFonts w:hint="eastAsia"/>
        </w:rPr>
        <w:t>收敛</w:t>
      </w:r>
      <w:r w:rsidR="002734CF">
        <w:rPr>
          <w:rFonts w:hint="eastAsia"/>
        </w:rPr>
        <w:t>明显</w:t>
      </w:r>
      <w:r w:rsidR="00E84F1E">
        <w:rPr>
          <w:rFonts w:hint="eastAsia"/>
        </w:rPr>
        <w:t>。</w:t>
      </w:r>
    </w:p>
    <w:p w:rsidR="00FB07A2" w:rsidRDefault="00FB07A2">
      <w:pPr>
        <w:ind w:firstLineChars="200" w:firstLine="480"/>
      </w:pPr>
    </w:p>
    <w:p w:rsidR="00FB07A2" w:rsidRDefault="00FB07A2" w:rsidP="00FB07A2">
      <w:pPr>
        <w:jc w:val="center"/>
        <w:rPr>
          <w:lang w:eastAsia="zh-Hans"/>
        </w:rPr>
      </w:pPr>
      <w:r w:rsidRPr="00FB07A2">
        <w:rPr>
          <w:rFonts w:hint="eastAsia"/>
          <w:lang w:eastAsia="zh-Hans"/>
        </w:rPr>
        <w:t>图 2：北向资金与新增融资余额</w:t>
      </w:r>
    </w:p>
    <w:p w:rsidR="00A1467A" w:rsidRDefault="005A3D7C" w:rsidP="00F760C3">
      <w:r>
        <w:rPr>
          <w:noProof/>
        </w:rPr>
        <w:drawing>
          <wp:inline distT="0" distB="0" distL="0" distR="0" wp14:anchorId="1F888489" wp14:editId="6675B3F7">
            <wp:extent cx="5274310" cy="1675692"/>
            <wp:effectExtent l="0" t="0" r="254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675692"/>
                    </a:xfrm>
                    <a:prstGeom prst="rect">
                      <a:avLst/>
                    </a:prstGeom>
                  </pic:spPr>
                </pic:pic>
              </a:graphicData>
            </a:graphic>
          </wp:inline>
        </w:drawing>
      </w:r>
    </w:p>
    <w:p w:rsidR="00F760C3" w:rsidRDefault="00F760C3" w:rsidP="00F760C3">
      <w:r>
        <w:rPr>
          <w:rFonts w:hint="eastAsia"/>
        </w:rPr>
        <w:t>数据：Wind；整理：富</w:t>
      </w:r>
      <w:proofErr w:type="gramStart"/>
      <w:r>
        <w:rPr>
          <w:rFonts w:hint="eastAsia"/>
        </w:rPr>
        <w:t>荣基金</w:t>
      </w:r>
      <w:proofErr w:type="gramEnd"/>
      <w:r>
        <w:rPr>
          <w:rFonts w:hint="eastAsia"/>
        </w:rPr>
        <w:t>量化</w:t>
      </w:r>
    </w:p>
    <w:p w:rsidR="00F760C3" w:rsidRDefault="00F760C3">
      <w:pPr>
        <w:ind w:firstLineChars="200" w:firstLine="480"/>
      </w:pPr>
    </w:p>
    <w:p w:rsidR="002734CF" w:rsidRDefault="00F760C3" w:rsidP="00F760C3">
      <w:pPr>
        <w:ind w:firstLineChars="200" w:firstLine="480"/>
      </w:pPr>
      <w:r>
        <w:rPr>
          <w:rFonts w:hint="eastAsia"/>
        </w:rPr>
        <w:t>从市场波动率来看，</w:t>
      </w:r>
      <w:r w:rsidR="00FB07A2">
        <w:rPr>
          <w:rFonts w:hint="eastAsia"/>
        </w:rPr>
        <w:t>上</w:t>
      </w:r>
      <w:r w:rsidR="00E84F1E">
        <w:rPr>
          <w:rFonts w:hint="eastAsia"/>
        </w:rPr>
        <w:t>周期权隐含波动率</w:t>
      </w:r>
      <w:r w:rsidR="005A3D7C">
        <w:rPr>
          <w:rFonts w:hint="eastAsia"/>
        </w:rPr>
        <w:t>在周一周二市场快速下跌的时候迅速拉高，在周三后企稳，随后在高位震荡。买入认沽期权发挥了充分的对冲作用</w:t>
      </w:r>
      <w:r w:rsidR="00EE5498">
        <w:rPr>
          <w:rFonts w:hint="eastAsia"/>
        </w:rPr>
        <w:t>，随着市场不确定性加大，</w:t>
      </w:r>
      <w:r w:rsidR="005A3D7C">
        <w:rPr>
          <w:rFonts w:hint="eastAsia"/>
        </w:rPr>
        <w:t>波动率短期内可能维持在高位震荡</w:t>
      </w:r>
      <w:r w:rsidR="00EE5498">
        <w:rPr>
          <w:rFonts w:hint="eastAsia"/>
        </w:rPr>
        <w:t>，</w:t>
      </w:r>
      <w:r w:rsidR="005A3D7C">
        <w:rPr>
          <w:rFonts w:hint="eastAsia"/>
        </w:rPr>
        <w:t>随着市场企稳，投资者可以逐步卖出波动率以赚取波动率下降的收益</w:t>
      </w:r>
      <w:r w:rsidR="00EE5498">
        <w:rPr>
          <w:rFonts w:hint="eastAsia"/>
        </w:rPr>
        <w:t>。（图3）</w:t>
      </w:r>
    </w:p>
    <w:p w:rsidR="00FB07A2" w:rsidRDefault="00FB07A2" w:rsidP="00F760C3">
      <w:pPr>
        <w:ind w:firstLineChars="200" w:firstLine="480"/>
      </w:pPr>
    </w:p>
    <w:p w:rsidR="00FB07A2" w:rsidRDefault="00FB07A2" w:rsidP="00FB07A2">
      <w:pPr>
        <w:jc w:val="center"/>
      </w:pPr>
      <w:r>
        <w:rPr>
          <w:rFonts w:hint="eastAsia"/>
        </w:rPr>
        <w:t>图 3 ：沪深300波动率指数</w:t>
      </w:r>
    </w:p>
    <w:p w:rsidR="00F760C3" w:rsidRDefault="005A3D7C" w:rsidP="005A3D7C">
      <w:r>
        <w:rPr>
          <w:noProof/>
        </w:rPr>
        <w:lastRenderedPageBreak/>
        <w:drawing>
          <wp:inline distT="0" distB="0" distL="0" distR="0" wp14:anchorId="54E7DF09" wp14:editId="0AB8AF10">
            <wp:extent cx="5274310" cy="3763440"/>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763440"/>
                    </a:xfrm>
                    <a:prstGeom prst="rect">
                      <a:avLst/>
                    </a:prstGeom>
                  </pic:spPr>
                </pic:pic>
              </a:graphicData>
            </a:graphic>
          </wp:inline>
        </w:drawing>
      </w:r>
    </w:p>
    <w:p w:rsidR="00F760C3" w:rsidRDefault="00F760C3" w:rsidP="00F760C3">
      <w:r>
        <w:rPr>
          <w:rFonts w:hint="eastAsia"/>
        </w:rPr>
        <w:t>数据：Wind；计算：富荣量化</w:t>
      </w:r>
    </w:p>
    <w:p w:rsidR="00A1467A" w:rsidRDefault="00A1467A"/>
    <w:p w:rsidR="00A1467A" w:rsidRDefault="00A1467A"/>
    <w:p w:rsidR="00A1467A" w:rsidRDefault="00A1467A" w:rsidP="00FB07A2"/>
    <w:p w:rsidR="00FB07A2" w:rsidRDefault="00FB07A2" w:rsidP="00FB07A2">
      <w:r w:rsidRPr="00FB07A2">
        <w:rPr>
          <w:rFonts w:hint="eastAsia"/>
        </w:rPr>
        <w:t>风险提示：</w:t>
      </w:r>
      <w:r w:rsidRPr="00FB07A2">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FB07A2">
        <w:t>作出</w:t>
      </w:r>
      <w:proofErr w:type="gramEnd"/>
      <w:r w:rsidRPr="00FB07A2">
        <w:t>调整。2、本报告中的资料、观点和预测等仅供参考，在任何时候均不构成对任何人的个人推荐。市场有风险，投资需谨慎。</w:t>
      </w:r>
    </w:p>
    <w:sectPr w:rsidR="00FB07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2359" w:rsidRDefault="00D32359" w:rsidP="00184D65">
      <w:pPr>
        <w:spacing w:line="240" w:lineRule="auto"/>
      </w:pPr>
      <w:r>
        <w:separator/>
      </w:r>
    </w:p>
  </w:endnote>
  <w:endnote w:type="continuationSeparator" w:id="0">
    <w:p w:rsidR="00D32359" w:rsidRDefault="00D32359" w:rsidP="00184D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2359" w:rsidRDefault="00D32359" w:rsidP="00184D65">
      <w:pPr>
        <w:spacing w:line="240" w:lineRule="auto"/>
      </w:pPr>
      <w:r>
        <w:separator/>
      </w:r>
    </w:p>
  </w:footnote>
  <w:footnote w:type="continuationSeparator" w:id="0">
    <w:p w:rsidR="00D32359" w:rsidRDefault="00D32359" w:rsidP="00184D65">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3F6B89"/>
    <w:rsid w:val="FFC34C89"/>
    <w:rsid w:val="0000012D"/>
    <w:rsid w:val="00023027"/>
    <w:rsid w:val="00035595"/>
    <w:rsid w:val="00070AA2"/>
    <w:rsid w:val="00074AEA"/>
    <w:rsid w:val="00161CBB"/>
    <w:rsid w:val="00184D65"/>
    <w:rsid w:val="0018534E"/>
    <w:rsid w:val="001867FC"/>
    <w:rsid w:val="001D19B6"/>
    <w:rsid w:val="001D556F"/>
    <w:rsid w:val="001D6061"/>
    <w:rsid w:val="0020342A"/>
    <w:rsid w:val="002062DE"/>
    <w:rsid w:val="00211359"/>
    <w:rsid w:val="002129BA"/>
    <w:rsid w:val="002416ED"/>
    <w:rsid w:val="002563D9"/>
    <w:rsid w:val="002734CF"/>
    <w:rsid w:val="002A093A"/>
    <w:rsid w:val="002B15CF"/>
    <w:rsid w:val="002C4C07"/>
    <w:rsid w:val="002C7EF7"/>
    <w:rsid w:val="002E17CD"/>
    <w:rsid w:val="002E2618"/>
    <w:rsid w:val="00374124"/>
    <w:rsid w:val="00386DFB"/>
    <w:rsid w:val="003B1CAC"/>
    <w:rsid w:val="003B5122"/>
    <w:rsid w:val="003D637F"/>
    <w:rsid w:val="003F6050"/>
    <w:rsid w:val="004157F5"/>
    <w:rsid w:val="00444648"/>
    <w:rsid w:val="00454A3A"/>
    <w:rsid w:val="004A5394"/>
    <w:rsid w:val="004E3614"/>
    <w:rsid w:val="004E52FE"/>
    <w:rsid w:val="00525A53"/>
    <w:rsid w:val="00531B02"/>
    <w:rsid w:val="005A2D48"/>
    <w:rsid w:val="005A3D7C"/>
    <w:rsid w:val="005C4905"/>
    <w:rsid w:val="005C760F"/>
    <w:rsid w:val="006965D2"/>
    <w:rsid w:val="006B1D85"/>
    <w:rsid w:val="006C7CF6"/>
    <w:rsid w:val="006E639C"/>
    <w:rsid w:val="007258F0"/>
    <w:rsid w:val="0073379B"/>
    <w:rsid w:val="00747B9D"/>
    <w:rsid w:val="007528BE"/>
    <w:rsid w:val="00756EC7"/>
    <w:rsid w:val="007D5907"/>
    <w:rsid w:val="007D7875"/>
    <w:rsid w:val="007F6A29"/>
    <w:rsid w:val="00810078"/>
    <w:rsid w:val="00830122"/>
    <w:rsid w:val="00830C71"/>
    <w:rsid w:val="00830D24"/>
    <w:rsid w:val="008540B7"/>
    <w:rsid w:val="008916E0"/>
    <w:rsid w:val="00893C6A"/>
    <w:rsid w:val="00896001"/>
    <w:rsid w:val="008A74C1"/>
    <w:rsid w:val="008B1754"/>
    <w:rsid w:val="008B27E8"/>
    <w:rsid w:val="008B4D1A"/>
    <w:rsid w:val="008D03D4"/>
    <w:rsid w:val="008F60FD"/>
    <w:rsid w:val="00907C93"/>
    <w:rsid w:val="0095695E"/>
    <w:rsid w:val="00981BC3"/>
    <w:rsid w:val="00987C63"/>
    <w:rsid w:val="009953B9"/>
    <w:rsid w:val="009A6EBC"/>
    <w:rsid w:val="009D02A8"/>
    <w:rsid w:val="00A07990"/>
    <w:rsid w:val="00A1467A"/>
    <w:rsid w:val="00A47AFD"/>
    <w:rsid w:val="00A51293"/>
    <w:rsid w:val="00A61347"/>
    <w:rsid w:val="00A842A3"/>
    <w:rsid w:val="00A90927"/>
    <w:rsid w:val="00AA2D2E"/>
    <w:rsid w:val="00AD037A"/>
    <w:rsid w:val="00B14C31"/>
    <w:rsid w:val="00B5310C"/>
    <w:rsid w:val="00B551D4"/>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32359"/>
    <w:rsid w:val="00D46833"/>
    <w:rsid w:val="00D53762"/>
    <w:rsid w:val="00D74A5C"/>
    <w:rsid w:val="00DD21CB"/>
    <w:rsid w:val="00DD26E5"/>
    <w:rsid w:val="00DD2E6A"/>
    <w:rsid w:val="00DD6213"/>
    <w:rsid w:val="00DF6F9A"/>
    <w:rsid w:val="00E23413"/>
    <w:rsid w:val="00E619FD"/>
    <w:rsid w:val="00E62551"/>
    <w:rsid w:val="00E84F1E"/>
    <w:rsid w:val="00E86C8A"/>
    <w:rsid w:val="00E87750"/>
    <w:rsid w:val="00E94CFB"/>
    <w:rsid w:val="00EA7100"/>
    <w:rsid w:val="00EB7D3C"/>
    <w:rsid w:val="00EE5498"/>
    <w:rsid w:val="00EF2A7A"/>
    <w:rsid w:val="00EF75F8"/>
    <w:rsid w:val="00F1138A"/>
    <w:rsid w:val="00F13186"/>
    <w:rsid w:val="00F64709"/>
    <w:rsid w:val="00F760C3"/>
    <w:rsid w:val="00FA2748"/>
    <w:rsid w:val="00FB07A2"/>
    <w:rsid w:val="00FB18F7"/>
    <w:rsid w:val="00FC0454"/>
    <w:rsid w:val="00FC5D34"/>
    <w:rsid w:val="00FD6898"/>
    <w:rsid w:val="00FE711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133</Words>
  <Characters>763</Characters>
  <Application>Microsoft Office Word</Application>
  <DocSecurity>0</DocSecurity>
  <Lines>6</Lines>
  <Paragraphs>1</Paragraphs>
  <ScaleCrop>false</ScaleCrop>
  <Company>微软中国</Company>
  <LinksUpToDate>false</LinksUpToDate>
  <CharactersWithSpaces>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5</cp:revision>
  <dcterms:created xsi:type="dcterms:W3CDTF">2021-08-02T01:59:00Z</dcterms:created>
  <dcterms:modified xsi:type="dcterms:W3CDTF">2021-08-02T07:26:00Z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