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AE04533" w14:textId="77777777" w:rsidR="00960960" w:rsidRPr="004C3E2B" w:rsidRDefault="001357FD" w:rsidP="009A2BA0">
      <w:pPr>
        <w:spacing w:beforeLines="100" w:before="312"/>
        <w:jc w:val="center"/>
        <w:rPr>
          <w:rFonts w:ascii="楷体" w:eastAsia="楷体" w:hAnsi="楷体"/>
          <w:b/>
          <w:sz w:val="44"/>
          <w:szCs w:val="44"/>
        </w:rPr>
      </w:pPr>
      <w:r w:rsidRPr="004C3E2B">
        <w:rPr>
          <w:rFonts w:ascii="楷体" w:eastAsia="楷体" w:hAnsi="楷体" w:hint="eastAsia"/>
          <w:b/>
          <w:sz w:val="44"/>
          <w:szCs w:val="44"/>
        </w:rPr>
        <w:t>富荣基金</w:t>
      </w:r>
      <w:r w:rsidR="00960960" w:rsidRPr="004C3E2B">
        <w:rPr>
          <w:rFonts w:ascii="楷体" w:eastAsia="楷体" w:hAnsi="楷体" w:hint="eastAsia"/>
          <w:b/>
          <w:sz w:val="44"/>
          <w:szCs w:val="44"/>
        </w:rPr>
        <w:t>固定收益</w:t>
      </w:r>
      <w:r w:rsidR="00F24889" w:rsidRPr="004C3E2B">
        <w:rPr>
          <w:rFonts w:ascii="楷体" w:eastAsia="楷体" w:hAnsi="楷体" w:hint="eastAsia"/>
          <w:b/>
          <w:sz w:val="44"/>
          <w:szCs w:val="44"/>
        </w:rPr>
        <w:t>周报</w:t>
      </w:r>
    </w:p>
    <w:p w14:paraId="08CBB8BB" w14:textId="42319B98" w:rsidR="00832986" w:rsidRPr="00500BB1" w:rsidRDefault="00832986" w:rsidP="00E543BE">
      <w:pPr>
        <w:widowControl/>
        <w:jc w:val="center"/>
        <w:rPr>
          <w:rFonts w:ascii="楷体" w:eastAsia="楷体" w:hAnsi="楷体"/>
          <w:sz w:val="28"/>
          <w:szCs w:val="28"/>
          <w:highlight w:val="yellow"/>
        </w:rPr>
      </w:pPr>
      <w:r w:rsidRPr="009600F4">
        <w:rPr>
          <w:rFonts w:ascii="楷体" w:eastAsia="楷体" w:hAnsi="楷体" w:hint="eastAsia"/>
          <w:sz w:val="28"/>
          <w:szCs w:val="28"/>
        </w:rPr>
        <w:t>——</w:t>
      </w:r>
      <w:r w:rsidR="00BC1DA3">
        <w:rPr>
          <w:rFonts w:ascii="楷体" w:eastAsia="楷体" w:hAnsi="楷体" w:hint="eastAsia"/>
          <w:sz w:val="28"/>
          <w:szCs w:val="28"/>
        </w:rPr>
        <w:t>出口边际走弱</w:t>
      </w:r>
      <w:r w:rsidR="00CD02EA" w:rsidRPr="009600F4">
        <w:rPr>
          <w:rFonts w:ascii="楷体" w:eastAsia="楷体" w:hAnsi="楷体" w:hint="eastAsia"/>
          <w:sz w:val="28"/>
          <w:szCs w:val="28"/>
        </w:rPr>
        <w:t>，</w:t>
      </w:r>
      <w:r w:rsidR="00BC1DA3">
        <w:rPr>
          <w:rFonts w:ascii="楷体" w:eastAsia="楷体" w:hAnsi="楷体" w:hint="eastAsia"/>
          <w:sz w:val="28"/>
          <w:szCs w:val="28"/>
        </w:rPr>
        <w:t>下半年仍有韧性</w:t>
      </w:r>
      <w:r w:rsidR="00BC1DA3" w:rsidRPr="00500BB1">
        <w:rPr>
          <w:rFonts w:ascii="楷体" w:eastAsia="楷体" w:hAnsi="楷体"/>
          <w:sz w:val="28"/>
          <w:szCs w:val="28"/>
          <w:highlight w:val="yellow"/>
        </w:rPr>
        <w:t xml:space="preserve"> </w:t>
      </w:r>
    </w:p>
    <w:p w14:paraId="1B2C4A22" w14:textId="5FDE3D1C" w:rsidR="005E5CB1" w:rsidRPr="003B6164" w:rsidRDefault="005E5CB1" w:rsidP="005E5CB1">
      <w:pPr>
        <w:pStyle w:val="Header1"/>
        <w:spacing w:before="240"/>
        <w:rPr>
          <w:rFonts w:ascii="华文楷体" w:hAnsi="华文楷体"/>
          <w:b w:val="0"/>
          <w:color w:val="auto"/>
          <w:sz w:val="24"/>
          <w:szCs w:val="24"/>
        </w:rPr>
      </w:pPr>
      <w:r w:rsidRPr="003B6164">
        <w:rPr>
          <w:rFonts w:hint="eastAsia"/>
          <w:color w:val="C45911" w:themeColor="accent2" w:themeShade="BF"/>
        </w:rPr>
        <w:t>一、</w:t>
      </w:r>
      <w:r w:rsidR="008F4A92" w:rsidRPr="003B6164">
        <w:rPr>
          <w:rFonts w:hint="eastAsia"/>
          <w:color w:val="C45911" w:themeColor="accent2" w:themeShade="BF"/>
        </w:rPr>
        <w:t>本周</w:t>
      </w:r>
      <w:r w:rsidR="007A1586" w:rsidRPr="007A1586">
        <w:rPr>
          <w:rFonts w:hint="eastAsia"/>
          <w:color w:val="C45911" w:themeColor="accent2" w:themeShade="BF"/>
        </w:rPr>
        <w:t>专题</w:t>
      </w:r>
      <w:r w:rsidR="008F4A92" w:rsidRPr="003B6164">
        <w:rPr>
          <w:rFonts w:hint="eastAsia"/>
          <w:color w:val="C45911" w:themeColor="accent2" w:themeShade="BF"/>
        </w:rPr>
        <w:t>：</w:t>
      </w:r>
      <w:r w:rsidR="004242D8" w:rsidRPr="003B6164">
        <w:rPr>
          <w:color w:val="C45911" w:themeColor="accent2" w:themeShade="BF"/>
        </w:rPr>
        <w:t xml:space="preserve"> </w:t>
      </w:r>
    </w:p>
    <w:p w14:paraId="084ECEB3" w14:textId="77777777" w:rsidR="002D3316" w:rsidRDefault="002D3316" w:rsidP="002D3316">
      <w:pPr>
        <w:pStyle w:val="Header1"/>
        <w:spacing w:before="240"/>
        <w:ind w:firstLine="480"/>
        <w:rPr>
          <w:rFonts w:ascii="华文楷体" w:hAnsi="华文楷体"/>
          <w:b w:val="0"/>
          <w:color w:val="auto"/>
          <w:sz w:val="24"/>
          <w:szCs w:val="24"/>
        </w:rPr>
      </w:pPr>
      <w:r w:rsidRPr="002D3316">
        <w:rPr>
          <w:rFonts w:ascii="华文楷体" w:hAnsi="华文楷体" w:hint="eastAsia"/>
          <w:b w:val="0"/>
          <w:color w:val="auto"/>
          <w:sz w:val="24"/>
          <w:szCs w:val="24"/>
        </w:rPr>
        <w:t>7月进出口数据边际走弱，略低于市场预期。</w:t>
      </w:r>
    </w:p>
    <w:p w14:paraId="1802E769" w14:textId="42747239" w:rsidR="002D3316" w:rsidRDefault="002D3316" w:rsidP="002D3316">
      <w:pPr>
        <w:pStyle w:val="Header1"/>
        <w:spacing w:before="240"/>
        <w:ind w:firstLine="480"/>
        <w:rPr>
          <w:rFonts w:ascii="华文楷体" w:hAnsi="华文楷体"/>
          <w:b w:val="0"/>
          <w:color w:val="auto"/>
          <w:sz w:val="24"/>
          <w:szCs w:val="24"/>
        </w:rPr>
      </w:pPr>
      <w:r w:rsidRPr="002D3316">
        <w:rPr>
          <w:rFonts w:ascii="华文楷体" w:hAnsi="华文楷体" w:hint="eastAsia"/>
          <w:b w:val="0"/>
          <w:color w:val="auto"/>
          <w:sz w:val="24"/>
          <w:szCs w:val="24"/>
        </w:rPr>
        <w:t>（1）出口方面，7月（以美元计）出口同比增长19.3%，略低于预期的20.8%，前值32.2%，两年复合同比增长12.9%；从结构上看，对美国的出口依然明显偏强，7月环比增长5.7%；对欧出口大致持平整体；对日、对东盟出口分别环比下行2.5%、1.3%，或与当地疫情反弹有关。</w:t>
      </w:r>
    </w:p>
    <w:p w14:paraId="71D28A3A" w14:textId="2E193494" w:rsidR="002D3316" w:rsidRPr="002D3316" w:rsidRDefault="002D3316" w:rsidP="002D3316">
      <w:pPr>
        <w:pStyle w:val="Header1"/>
        <w:spacing w:before="240"/>
        <w:ind w:firstLine="480"/>
        <w:rPr>
          <w:rFonts w:ascii="华文楷体" w:hAnsi="华文楷体"/>
          <w:b w:val="0"/>
          <w:color w:val="auto"/>
          <w:sz w:val="24"/>
          <w:szCs w:val="24"/>
        </w:rPr>
      </w:pPr>
      <w:r w:rsidRPr="002D3316">
        <w:rPr>
          <w:rFonts w:ascii="华文楷体" w:hAnsi="华文楷体" w:hint="eastAsia"/>
          <w:b w:val="0"/>
          <w:color w:val="auto"/>
          <w:sz w:val="24"/>
          <w:szCs w:val="24"/>
        </w:rPr>
        <w:t>（2）进口方面，7月（以美元计）进口同比增长28.1%，略低于预期的31.8%，前值36.7%。一方面，价格上随着大宗商品度过涨幅最快阶段，价格因素对进口金额的提</w:t>
      </w:r>
      <w:proofErr w:type="gramStart"/>
      <w:r w:rsidRPr="002D3316">
        <w:rPr>
          <w:rFonts w:ascii="华文楷体" w:hAnsi="华文楷体" w:hint="eastAsia"/>
          <w:b w:val="0"/>
          <w:color w:val="auto"/>
          <w:sz w:val="24"/>
          <w:szCs w:val="24"/>
        </w:rPr>
        <w:t>振开始</w:t>
      </w:r>
      <w:proofErr w:type="gramEnd"/>
      <w:r w:rsidRPr="002D3316">
        <w:rPr>
          <w:rFonts w:ascii="华文楷体" w:hAnsi="华文楷体" w:hint="eastAsia"/>
          <w:b w:val="0"/>
          <w:color w:val="auto"/>
          <w:sz w:val="24"/>
          <w:szCs w:val="24"/>
        </w:rPr>
        <w:t>减弱。另一方面，结构上农产品、集成电路、汽车及其零部件进口环比降幅明显。</w:t>
      </w:r>
    </w:p>
    <w:p w14:paraId="45B3A384" w14:textId="605C026D" w:rsidR="00D54D20" w:rsidRDefault="002D3316" w:rsidP="002D3316">
      <w:pPr>
        <w:pStyle w:val="Header1"/>
        <w:spacing w:before="240"/>
        <w:ind w:firstLine="480"/>
        <w:rPr>
          <w:rFonts w:ascii="华文楷体" w:hAnsi="华文楷体"/>
          <w:b w:val="0"/>
          <w:color w:val="auto"/>
          <w:sz w:val="24"/>
          <w:szCs w:val="24"/>
          <w:highlight w:val="yellow"/>
        </w:rPr>
      </w:pPr>
      <w:r w:rsidRPr="002D3316">
        <w:rPr>
          <w:rFonts w:ascii="华文楷体" w:hAnsi="华文楷体" w:hint="eastAsia"/>
          <w:b w:val="0"/>
          <w:color w:val="auto"/>
          <w:sz w:val="24"/>
          <w:szCs w:val="24"/>
        </w:rPr>
        <w:t>（3）整体看，尽管在去年高基数影响下出口高点已过，但7月的超预期下行一定程度上受delta变种病毒扰动影响，下半年全球经济恢复的整体趋势仍在持续，</w:t>
      </w:r>
      <w:r w:rsidR="00496AF1">
        <w:rPr>
          <w:rFonts w:ascii="华文楷体" w:hAnsi="华文楷体" w:hint="eastAsia"/>
          <w:b w:val="0"/>
          <w:color w:val="auto"/>
          <w:sz w:val="24"/>
          <w:szCs w:val="24"/>
        </w:rPr>
        <w:t>需求</w:t>
      </w:r>
      <w:proofErr w:type="gramStart"/>
      <w:r w:rsidR="00496AF1">
        <w:rPr>
          <w:rFonts w:ascii="华文楷体" w:hAnsi="华文楷体" w:hint="eastAsia"/>
          <w:b w:val="0"/>
          <w:color w:val="auto"/>
          <w:sz w:val="24"/>
          <w:szCs w:val="24"/>
        </w:rPr>
        <w:t>端整体</w:t>
      </w:r>
      <w:proofErr w:type="gramEnd"/>
      <w:r w:rsidR="00496AF1">
        <w:rPr>
          <w:rFonts w:ascii="华文楷体" w:hAnsi="华文楷体" w:hint="eastAsia"/>
          <w:b w:val="0"/>
          <w:color w:val="auto"/>
          <w:sz w:val="24"/>
          <w:szCs w:val="24"/>
        </w:rPr>
        <w:t>向好，</w:t>
      </w:r>
      <w:r w:rsidRPr="002D3316">
        <w:rPr>
          <w:rFonts w:ascii="华文楷体" w:hAnsi="华文楷体" w:hint="eastAsia"/>
          <w:b w:val="0"/>
          <w:color w:val="auto"/>
          <w:sz w:val="24"/>
          <w:szCs w:val="24"/>
        </w:rPr>
        <w:t>出口在回落中韧性仍强。</w:t>
      </w:r>
    </w:p>
    <w:p w14:paraId="7EEDEF05" w14:textId="3D32E894" w:rsidR="00E0626C" w:rsidRPr="007353FF" w:rsidRDefault="005E5CB1" w:rsidP="009A2BA0">
      <w:pPr>
        <w:pStyle w:val="Header1"/>
        <w:spacing w:before="240"/>
        <w:rPr>
          <w:color w:val="C45911" w:themeColor="accent2" w:themeShade="BF"/>
        </w:rPr>
      </w:pPr>
      <w:r w:rsidRPr="007353FF">
        <w:rPr>
          <w:rFonts w:hint="eastAsia"/>
          <w:color w:val="C45911" w:themeColor="accent2" w:themeShade="BF"/>
        </w:rPr>
        <w:t>二</w:t>
      </w:r>
      <w:r w:rsidR="00E0626C" w:rsidRPr="007353FF">
        <w:rPr>
          <w:rFonts w:hint="eastAsia"/>
          <w:color w:val="C45911" w:themeColor="accent2" w:themeShade="BF"/>
        </w:rPr>
        <w:t>、上周回顾</w:t>
      </w:r>
    </w:p>
    <w:p w14:paraId="704BC20A" w14:textId="651144BD" w:rsidR="00E0626C" w:rsidRPr="007A1586" w:rsidRDefault="00E0626C" w:rsidP="009A2BA0">
      <w:pPr>
        <w:pStyle w:val="Header2"/>
        <w:rPr>
          <w:sz w:val="28"/>
          <w:szCs w:val="21"/>
        </w:rPr>
      </w:pPr>
      <w:r w:rsidRPr="00500BB1">
        <w:rPr>
          <w:rFonts w:hint="eastAsia"/>
          <w:sz w:val="28"/>
          <w:szCs w:val="21"/>
          <w:lang w:eastAsia="zh-CN"/>
        </w:rPr>
        <w:t>1</w:t>
      </w:r>
      <w:r w:rsidRPr="00500BB1">
        <w:rPr>
          <w:rFonts w:hint="eastAsia"/>
          <w:sz w:val="28"/>
          <w:szCs w:val="21"/>
          <w:lang w:eastAsia="zh-CN"/>
        </w:rPr>
        <w:t>、</w:t>
      </w:r>
      <w:r w:rsidRPr="00CD2B4D">
        <w:rPr>
          <w:rFonts w:hint="eastAsia"/>
          <w:sz w:val="28"/>
          <w:szCs w:val="21"/>
        </w:rPr>
        <w:t>利率债</w:t>
      </w:r>
    </w:p>
    <w:p w14:paraId="33F356F9" w14:textId="67A3B161" w:rsidR="00A917BC" w:rsidRPr="00500BB1" w:rsidRDefault="002D3316" w:rsidP="007A1586">
      <w:pPr>
        <w:pStyle w:val="Header1"/>
        <w:spacing w:before="240"/>
        <w:ind w:firstLine="480"/>
        <w:rPr>
          <w:rFonts w:ascii="华文楷体" w:hAnsi="华文楷体"/>
          <w:sz w:val="24"/>
          <w:szCs w:val="24"/>
          <w:highlight w:val="yellow"/>
        </w:rPr>
      </w:pPr>
      <w:r w:rsidRPr="002D3316">
        <w:rPr>
          <w:rFonts w:ascii="华文楷体" w:hAnsi="华文楷体" w:hint="eastAsia"/>
          <w:b w:val="0"/>
          <w:color w:val="auto"/>
          <w:sz w:val="24"/>
          <w:szCs w:val="24"/>
        </w:rPr>
        <w:t>国内疫情进一步扩散，政治局会议定调提</w:t>
      </w:r>
      <w:proofErr w:type="gramStart"/>
      <w:r w:rsidRPr="002D3316">
        <w:rPr>
          <w:rFonts w:ascii="华文楷体" w:hAnsi="华文楷体" w:hint="eastAsia"/>
          <w:b w:val="0"/>
          <w:color w:val="auto"/>
          <w:sz w:val="24"/>
          <w:szCs w:val="24"/>
        </w:rPr>
        <w:t>振市场</w:t>
      </w:r>
      <w:proofErr w:type="gramEnd"/>
      <w:r w:rsidRPr="002D3316">
        <w:rPr>
          <w:rFonts w:ascii="华文楷体" w:hAnsi="华文楷体" w:hint="eastAsia"/>
          <w:b w:val="0"/>
          <w:color w:val="auto"/>
          <w:sz w:val="24"/>
          <w:szCs w:val="24"/>
        </w:rPr>
        <w:t>情绪，对债市构成利多，尽管8月利率债发行压力不容小觑，但10年国债活跃</w:t>
      </w:r>
      <w:proofErr w:type="gramStart"/>
      <w:r w:rsidRPr="002D3316">
        <w:rPr>
          <w:rFonts w:ascii="华文楷体" w:hAnsi="华文楷体" w:hint="eastAsia"/>
          <w:b w:val="0"/>
          <w:color w:val="auto"/>
          <w:sz w:val="24"/>
          <w:szCs w:val="24"/>
        </w:rPr>
        <w:t>券</w:t>
      </w:r>
      <w:proofErr w:type="gramEnd"/>
      <w:r w:rsidRPr="002D3316">
        <w:rPr>
          <w:rFonts w:ascii="华文楷体" w:hAnsi="华文楷体" w:hint="eastAsia"/>
          <w:b w:val="0"/>
          <w:color w:val="auto"/>
          <w:sz w:val="24"/>
          <w:szCs w:val="24"/>
        </w:rPr>
        <w:t>全周仍下行3bp，已是连续7周下行。全周1Y、5Y、10Y国债中债估值分别变动+1.7BP、-2.4BP和-2.2BP，10-1Y国债利差下行4bp。</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B41E24" w14:paraId="26C17AB1" w14:textId="77777777" w:rsidTr="00202D86">
        <w:trPr>
          <w:jc w:val="center"/>
        </w:trPr>
        <w:tc>
          <w:tcPr>
            <w:tcW w:w="4939" w:type="dxa"/>
            <w:vAlign w:val="center"/>
          </w:tcPr>
          <w:p w14:paraId="6C73AA55" w14:textId="11937E54" w:rsidR="00E0626C" w:rsidRPr="00B41E24" w:rsidRDefault="00E0626C" w:rsidP="00BA168E">
            <w:pPr>
              <w:pStyle w:val="ChartHeading"/>
              <w:jc w:val="both"/>
            </w:pPr>
            <w:r w:rsidRPr="00B41E24">
              <w:rPr>
                <w:rFonts w:hint="eastAsia"/>
              </w:rPr>
              <w:t>图表</w:t>
            </w:r>
            <w:r w:rsidRPr="00B41E24">
              <w:t xml:space="preserve">. </w:t>
            </w:r>
            <w:r w:rsidRPr="00B41E24">
              <w:rPr>
                <w:rFonts w:hint="eastAsia"/>
              </w:rPr>
              <w:t>国债收益率曲线和变化</w:t>
            </w:r>
          </w:p>
        </w:tc>
        <w:tc>
          <w:tcPr>
            <w:tcW w:w="4938" w:type="dxa"/>
            <w:vAlign w:val="center"/>
          </w:tcPr>
          <w:p w14:paraId="2C5A7EDC" w14:textId="7D7F9BC1" w:rsidR="00E0626C" w:rsidRPr="00B41E24" w:rsidRDefault="00E0626C" w:rsidP="009A2BA0">
            <w:pPr>
              <w:pStyle w:val="ChartHeading"/>
              <w:jc w:val="both"/>
            </w:pPr>
            <w:r w:rsidRPr="00B41E24">
              <w:rPr>
                <w:rFonts w:hint="eastAsia"/>
              </w:rPr>
              <w:t>图表</w:t>
            </w:r>
            <w:r w:rsidRPr="00B41E24">
              <w:t xml:space="preserve">. </w:t>
            </w:r>
            <w:r w:rsidRPr="00B41E24">
              <w:rPr>
                <w:rFonts w:hint="eastAsia"/>
              </w:rPr>
              <w:t>国开债收益率曲线和变化</w:t>
            </w:r>
          </w:p>
        </w:tc>
      </w:tr>
      <w:tr w:rsidR="00E0626C" w:rsidRPr="00B41E24" w14:paraId="1094FBBD" w14:textId="77777777" w:rsidTr="002D3316">
        <w:tblPrEx>
          <w:tblCellMar>
            <w:left w:w="108" w:type="dxa"/>
            <w:right w:w="108" w:type="dxa"/>
          </w:tblCellMar>
        </w:tblPrEx>
        <w:trPr>
          <w:trHeight w:val="2854"/>
          <w:jc w:val="center"/>
        </w:trPr>
        <w:tc>
          <w:tcPr>
            <w:tcW w:w="4939" w:type="dxa"/>
            <w:vAlign w:val="center"/>
          </w:tcPr>
          <w:p w14:paraId="678C97B0" w14:textId="5B3BBBC2" w:rsidR="00E0626C" w:rsidRPr="00B41E24" w:rsidRDefault="002D3316" w:rsidP="002104B2">
            <w:pPr>
              <w:rPr>
                <w:noProof/>
              </w:rPr>
            </w:pPr>
            <w:r>
              <w:rPr>
                <w:noProof/>
              </w:rPr>
              <w:drawing>
                <wp:inline distT="0" distB="0" distL="0" distR="0" wp14:anchorId="1D9EE8A8" wp14:editId="74502D13">
                  <wp:extent cx="2999105" cy="1776095"/>
                  <wp:effectExtent l="0" t="0" r="0" b="0"/>
                  <wp:docPr id="2" name="图表 2">
                    <a:extLst xmlns:a="http://schemas.openxmlformats.org/drawingml/2006/main">
                      <a:ext uri="{FF2B5EF4-FFF2-40B4-BE49-F238E27FC236}">
                        <a16:creationId xmlns:a16="http://schemas.microsoft.com/office/drawing/2014/main" id="{00000000-0008-0000-00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tc>
        <w:tc>
          <w:tcPr>
            <w:tcW w:w="4938" w:type="dxa"/>
            <w:vAlign w:val="center"/>
          </w:tcPr>
          <w:p w14:paraId="17A42E68" w14:textId="324B93E5" w:rsidR="00E0626C" w:rsidRPr="00B41E24" w:rsidRDefault="002D3316" w:rsidP="009A2BA0">
            <w:pPr>
              <w:jc w:val="center"/>
              <w:rPr>
                <w:noProof/>
                <w:szCs w:val="18"/>
              </w:rPr>
            </w:pPr>
            <w:r>
              <w:rPr>
                <w:noProof/>
              </w:rPr>
              <w:drawing>
                <wp:inline distT="0" distB="0" distL="0" distR="0" wp14:anchorId="18757410" wp14:editId="6CF2424E">
                  <wp:extent cx="2998470" cy="1811655"/>
                  <wp:effectExtent l="0" t="0" r="0" b="0"/>
                  <wp:docPr id="7" name="图表 7">
                    <a:extLst xmlns:a="http://schemas.openxmlformats.org/drawingml/2006/main">
                      <a:ext uri="{FF2B5EF4-FFF2-40B4-BE49-F238E27FC236}">
                        <a16:creationId xmlns:a16="http://schemas.microsoft.com/office/drawing/2014/main" id="{00000000-0008-0000-00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r>
      <w:tr w:rsidR="00E0626C" w:rsidRPr="00500BB1" w14:paraId="70E50E5B" w14:textId="77777777" w:rsidTr="00202D86">
        <w:trPr>
          <w:trHeight w:val="64"/>
          <w:jc w:val="center"/>
        </w:trPr>
        <w:tc>
          <w:tcPr>
            <w:tcW w:w="4939" w:type="dxa"/>
            <w:vAlign w:val="center"/>
          </w:tcPr>
          <w:p w14:paraId="3E8A3EBA" w14:textId="77777777" w:rsidR="00E0626C" w:rsidRPr="00B41E24" w:rsidRDefault="00E0626C" w:rsidP="009A2BA0">
            <w:pPr>
              <w:pStyle w:val="Source"/>
              <w:jc w:val="both"/>
              <w:rPr>
                <w:kern w:val="0"/>
              </w:rPr>
            </w:pPr>
            <w:r w:rsidRPr="00B41E24">
              <w:rPr>
                <w:rFonts w:hint="eastAsia"/>
                <w:kern w:val="0"/>
              </w:rPr>
              <w:t>资料来源：万得，富荣基金</w:t>
            </w:r>
          </w:p>
        </w:tc>
        <w:tc>
          <w:tcPr>
            <w:tcW w:w="4938" w:type="dxa"/>
            <w:vAlign w:val="center"/>
          </w:tcPr>
          <w:p w14:paraId="589540D5" w14:textId="77777777" w:rsidR="00E0626C" w:rsidRPr="00B41E24" w:rsidRDefault="00E0626C" w:rsidP="009A2BA0">
            <w:pPr>
              <w:pStyle w:val="Source"/>
              <w:jc w:val="both"/>
              <w:rPr>
                <w:kern w:val="0"/>
              </w:rPr>
            </w:pPr>
            <w:r w:rsidRPr="00B41E24">
              <w:rPr>
                <w:rFonts w:hint="eastAsia"/>
                <w:kern w:val="0"/>
              </w:rPr>
              <w:t>资料来源：万得，富荣基金</w:t>
            </w:r>
          </w:p>
        </w:tc>
      </w:tr>
    </w:tbl>
    <w:p w14:paraId="1E64B73D" w14:textId="1D9B94CF" w:rsidR="00E0626C" w:rsidRPr="00500BB1" w:rsidRDefault="00E0626C" w:rsidP="009A2BA0">
      <w:pPr>
        <w:pStyle w:val="Body-text"/>
        <w:spacing w:after="0"/>
        <w:rPr>
          <w:highlight w:val="yellow"/>
          <w:lang w:eastAsia="zh-CN"/>
        </w:rPr>
      </w:pPr>
    </w:p>
    <w:p w14:paraId="18D67482" w14:textId="1CC7DD47" w:rsidR="00E0626C" w:rsidRPr="00CD2B4D" w:rsidRDefault="007A1586" w:rsidP="009A2BA0">
      <w:pPr>
        <w:pStyle w:val="Header2"/>
        <w:rPr>
          <w:rFonts w:eastAsia="PMingLiU"/>
          <w:sz w:val="28"/>
          <w:szCs w:val="21"/>
        </w:rPr>
      </w:pPr>
      <w:r>
        <w:rPr>
          <w:sz w:val="28"/>
          <w:szCs w:val="21"/>
          <w:lang w:eastAsia="zh-CN"/>
        </w:rPr>
        <w:t>2</w:t>
      </w:r>
      <w:r w:rsidR="00E0626C" w:rsidRPr="00CD2B4D">
        <w:rPr>
          <w:rFonts w:hint="eastAsia"/>
          <w:sz w:val="28"/>
          <w:szCs w:val="21"/>
          <w:lang w:eastAsia="zh-CN"/>
        </w:rPr>
        <w:t>、</w:t>
      </w:r>
      <w:r w:rsidR="00E0626C" w:rsidRPr="00CD2B4D">
        <w:rPr>
          <w:rFonts w:hint="eastAsia"/>
          <w:sz w:val="28"/>
          <w:szCs w:val="21"/>
        </w:rPr>
        <w:t>信用债</w:t>
      </w:r>
    </w:p>
    <w:p w14:paraId="33FDD8BC" w14:textId="798A1484" w:rsidR="00D97370" w:rsidRPr="00F10CFD" w:rsidRDefault="002D3316" w:rsidP="002D3316">
      <w:pPr>
        <w:pStyle w:val="Body-text"/>
        <w:spacing w:after="240"/>
        <w:ind w:firstLineChars="200" w:firstLine="480"/>
        <w:rPr>
          <w:rFonts w:ascii="华文楷体" w:hAnsi="华文楷体"/>
          <w:color w:val="FF0000"/>
          <w:sz w:val="24"/>
          <w:szCs w:val="24"/>
          <w:highlight w:val="yellow"/>
          <w:lang w:eastAsia="zh-CN"/>
        </w:rPr>
      </w:pPr>
      <w:r w:rsidRPr="002D3316">
        <w:rPr>
          <w:rFonts w:ascii="华文楷体" w:hAnsi="华文楷体" w:hint="eastAsia"/>
          <w:sz w:val="24"/>
          <w:szCs w:val="24"/>
          <w:lang w:eastAsia="zh-CN"/>
        </w:rPr>
        <w:lastRenderedPageBreak/>
        <w:t>信用</w:t>
      </w:r>
      <w:proofErr w:type="gramStart"/>
      <w:r w:rsidRPr="002D3316">
        <w:rPr>
          <w:rFonts w:ascii="华文楷体" w:hAnsi="华文楷体" w:hint="eastAsia"/>
          <w:sz w:val="24"/>
          <w:szCs w:val="24"/>
          <w:lang w:eastAsia="zh-CN"/>
        </w:rPr>
        <w:t>债情绪</w:t>
      </w:r>
      <w:proofErr w:type="gramEnd"/>
      <w:r w:rsidRPr="002D3316">
        <w:rPr>
          <w:rFonts w:ascii="华文楷体" w:hAnsi="华文楷体" w:hint="eastAsia"/>
          <w:sz w:val="24"/>
          <w:szCs w:val="24"/>
          <w:lang w:eastAsia="zh-CN"/>
        </w:rPr>
        <w:t>继续回暖</w:t>
      </w:r>
      <w:r w:rsidR="00B52CEC">
        <w:rPr>
          <w:rFonts w:ascii="华文楷体" w:hAnsi="华文楷体" w:hint="eastAsia"/>
          <w:sz w:val="24"/>
          <w:szCs w:val="24"/>
          <w:lang w:eastAsia="zh-CN"/>
        </w:rPr>
        <w:t>，</w:t>
      </w:r>
      <w:r w:rsidR="00B52CEC" w:rsidRPr="00B52CEC">
        <w:rPr>
          <w:rFonts w:ascii="华文楷体" w:hAnsi="华文楷体" w:hint="eastAsia"/>
          <w:sz w:val="24"/>
          <w:szCs w:val="24"/>
          <w:lang w:eastAsia="zh-CN"/>
        </w:rPr>
        <w:t>不同期限等级信用债估值多下行2~7BP</w:t>
      </w:r>
      <w:r w:rsidRPr="002D3316">
        <w:rPr>
          <w:rFonts w:ascii="华文楷体" w:hAnsi="华文楷体" w:hint="eastAsia"/>
          <w:sz w:val="24"/>
          <w:szCs w:val="24"/>
          <w:lang w:eastAsia="zh-CN"/>
        </w:rPr>
        <w:t>。1Y期限</w:t>
      </w:r>
      <w:proofErr w:type="gramStart"/>
      <w:r w:rsidRPr="002D3316">
        <w:rPr>
          <w:rFonts w:ascii="华文楷体" w:hAnsi="华文楷体" w:hint="eastAsia"/>
          <w:sz w:val="24"/>
          <w:szCs w:val="24"/>
          <w:lang w:eastAsia="zh-CN"/>
        </w:rPr>
        <w:t>短融变化</w:t>
      </w:r>
      <w:proofErr w:type="gramEnd"/>
      <w:r w:rsidRPr="002D3316">
        <w:rPr>
          <w:rFonts w:ascii="华文楷体" w:hAnsi="华文楷体" w:hint="eastAsia"/>
          <w:sz w:val="24"/>
          <w:szCs w:val="24"/>
          <w:lang w:eastAsia="zh-CN"/>
        </w:rPr>
        <w:t>-6~-3BP，3年AAA企业</w:t>
      </w:r>
      <w:proofErr w:type="gramStart"/>
      <w:r w:rsidRPr="002D3316">
        <w:rPr>
          <w:rFonts w:ascii="华文楷体" w:hAnsi="华文楷体" w:hint="eastAsia"/>
          <w:sz w:val="24"/>
          <w:szCs w:val="24"/>
          <w:lang w:eastAsia="zh-CN"/>
        </w:rPr>
        <w:t>债变化</w:t>
      </w:r>
      <w:proofErr w:type="gramEnd"/>
      <w:r w:rsidRPr="002D3316">
        <w:rPr>
          <w:rFonts w:ascii="华文楷体" w:hAnsi="华文楷体" w:hint="eastAsia"/>
          <w:sz w:val="24"/>
          <w:szCs w:val="24"/>
          <w:lang w:eastAsia="zh-CN"/>
        </w:rPr>
        <w:t>-5~-2BP，5Y企业</w:t>
      </w:r>
      <w:proofErr w:type="gramStart"/>
      <w:r w:rsidRPr="002D3316">
        <w:rPr>
          <w:rFonts w:ascii="华文楷体" w:hAnsi="华文楷体" w:hint="eastAsia"/>
          <w:sz w:val="24"/>
          <w:szCs w:val="24"/>
          <w:lang w:eastAsia="zh-CN"/>
        </w:rPr>
        <w:t>债变化</w:t>
      </w:r>
      <w:proofErr w:type="gramEnd"/>
      <w:r w:rsidRPr="002D3316">
        <w:rPr>
          <w:rFonts w:ascii="华文楷体" w:hAnsi="华文楷体" w:hint="eastAsia"/>
          <w:sz w:val="24"/>
          <w:szCs w:val="24"/>
          <w:lang w:eastAsia="zh-CN"/>
        </w:rPr>
        <w:t xml:space="preserve">-4~-2BP左右， </w:t>
      </w:r>
      <w:proofErr w:type="gramStart"/>
      <w:r w:rsidRPr="002D3316">
        <w:rPr>
          <w:rFonts w:ascii="华文楷体" w:hAnsi="华文楷体" w:hint="eastAsia"/>
          <w:sz w:val="24"/>
          <w:szCs w:val="24"/>
          <w:lang w:eastAsia="zh-CN"/>
        </w:rPr>
        <w:t>城投债</w:t>
      </w:r>
      <w:proofErr w:type="gramEnd"/>
      <w:r w:rsidRPr="002D3316">
        <w:rPr>
          <w:rFonts w:ascii="华文楷体" w:hAnsi="华文楷体" w:hint="eastAsia"/>
          <w:sz w:val="24"/>
          <w:szCs w:val="24"/>
          <w:lang w:eastAsia="zh-CN"/>
        </w:rPr>
        <w:t>3Y期限品种变化-10~-2BP，5Y品种变化-10~-3BP，7Y品种变化-7~-3BP左右。具体来看收益率分位数，1Y品种收益率分位数在8%~11%以内；3Y品种收益率分位数在4%~8%区间。5Y及7Y等中长期</w:t>
      </w:r>
      <w:proofErr w:type="gramStart"/>
      <w:r w:rsidRPr="002D3316">
        <w:rPr>
          <w:rFonts w:ascii="华文楷体" w:hAnsi="华文楷体" w:hint="eastAsia"/>
          <w:sz w:val="24"/>
          <w:szCs w:val="24"/>
          <w:lang w:eastAsia="zh-CN"/>
        </w:rPr>
        <w:t>限品种</w:t>
      </w:r>
      <w:proofErr w:type="gramEnd"/>
      <w:r w:rsidRPr="002D3316">
        <w:rPr>
          <w:rFonts w:ascii="华文楷体" w:hAnsi="华文楷体" w:hint="eastAsia"/>
          <w:sz w:val="24"/>
          <w:szCs w:val="24"/>
          <w:lang w:eastAsia="zh-CN"/>
        </w:rPr>
        <w:t>处于3%~7%分位数。</w:t>
      </w:r>
      <w:r w:rsidRPr="002D3316">
        <w:rPr>
          <w:rFonts w:ascii="华文楷体" w:hAnsi="华文楷体" w:hint="eastAsia"/>
          <w:sz w:val="24"/>
          <w:szCs w:val="24"/>
          <w:lang w:eastAsia="zh-CN"/>
        </w:rPr>
        <w:tab/>
      </w:r>
    </w:p>
    <w:tbl>
      <w:tblPr>
        <w:tblW w:w="9713" w:type="dxa"/>
        <w:jc w:val="center"/>
        <w:tblCellMar>
          <w:left w:w="0" w:type="dxa"/>
          <w:right w:w="0" w:type="dxa"/>
        </w:tblCellMar>
        <w:tblLook w:val="01E0" w:firstRow="1" w:lastRow="1" w:firstColumn="1" w:lastColumn="1" w:noHBand="0" w:noVBand="0"/>
      </w:tblPr>
      <w:tblGrid>
        <w:gridCol w:w="9864"/>
      </w:tblGrid>
      <w:tr w:rsidR="00E0626C" w:rsidRPr="00B41E24" w14:paraId="5602CC82" w14:textId="77777777" w:rsidTr="00220902">
        <w:trPr>
          <w:trHeight w:val="360"/>
          <w:jc w:val="center"/>
        </w:trPr>
        <w:tc>
          <w:tcPr>
            <w:tcW w:w="9713" w:type="dxa"/>
            <w:vAlign w:val="center"/>
          </w:tcPr>
          <w:p w14:paraId="1C0DBC70" w14:textId="4A8BBE5E" w:rsidR="00E0626C" w:rsidRPr="00B41E24" w:rsidRDefault="00E0626C" w:rsidP="009A2BA0">
            <w:pPr>
              <w:pStyle w:val="ChartHeading"/>
              <w:jc w:val="both"/>
            </w:pPr>
            <w:r w:rsidRPr="00B41E24">
              <w:rPr>
                <w:rFonts w:hint="eastAsia"/>
              </w:rPr>
              <w:t>图表</w:t>
            </w:r>
            <w:r w:rsidRPr="00B41E24">
              <w:t xml:space="preserve">. </w:t>
            </w:r>
            <w:r w:rsidR="00F966B6" w:rsidRPr="00B41E24">
              <w:rPr>
                <w:rFonts w:hint="eastAsia"/>
              </w:rPr>
              <w:t>信用债收益率、利差变化情况</w:t>
            </w:r>
          </w:p>
        </w:tc>
      </w:tr>
      <w:tr w:rsidR="00E0626C" w:rsidRPr="00B41E24" w14:paraId="1114B583" w14:textId="77777777" w:rsidTr="007A1586">
        <w:tblPrEx>
          <w:tblCellMar>
            <w:left w:w="108" w:type="dxa"/>
            <w:right w:w="108" w:type="dxa"/>
          </w:tblCellMar>
        </w:tblPrEx>
        <w:trPr>
          <w:trHeight w:val="74"/>
          <w:jc w:val="center"/>
        </w:trPr>
        <w:tc>
          <w:tcPr>
            <w:tcW w:w="9713" w:type="dxa"/>
            <w:vAlign w:val="center"/>
          </w:tcPr>
          <w:tbl>
            <w:tblPr>
              <w:tblW w:w="9638" w:type="dxa"/>
              <w:tblLook w:val="04A0" w:firstRow="1" w:lastRow="0" w:firstColumn="1" w:lastColumn="0" w:noHBand="0" w:noVBand="1"/>
            </w:tblPr>
            <w:tblGrid>
              <w:gridCol w:w="1309"/>
              <w:gridCol w:w="740"/>
              <w:gridCol w:w="920"/>
              <w:gridCol w:w="920"/>
              <w:gridCol w:w="920"/>
              <w:gridCol w:w="1149"/>
              <w:gridCol w:w="920"/>
              <w:gridCol w:w="920"/>
              <w:gridCol w:w="920"/>
              <w:gridCol w:w="920"/>
            </w:tblGrid>
            <w:tr w:rsidR="002D3316" w:rsidRPr="00B41E24" w14:paraId="15070232" w14:textId="77777777" w:rsidTr="007A1586">
              <w:trPr>
                <w:trHeight w:val="310"/>
              </w:trPr>
              <w:tc>
                <w:tcPr>
                  <w:tcW w:w="1309" w:type="dxa"/>
                  <w:tcBorders>
                    <w:top w:val="nil"/>
                    <w:left w:val="nil"/>
                    <w:bottom w:val="single" w:sz="12" w:space="0" w:color="FFFFFF"/>
                    <w:right w:val="single" w:sz="8" w:space="0" w:color="FFFFFF"/>
                  </w:tcBorders>
                  <w:shd w:val="clear" w:color="000000" w:fill="F79646"/>
                  <w:noWrap/>
                  <w:vAlign w:val="center"/>
                  <w:hideMark/>
                </w:tcPr>
                <w:p w14:paraId="413AFE14" w14:textId="3307A007" w:rsidR="002D3316" w:rsidRPr="00B41E24" w:rsidRDefault="002D3316" w:rsidP="002D3316">
                  <w:pPr>
                    <w:widowControl/>
                    <w:jc w:val="center"/>
                    <w:rPr>
                      <w:rFonts w:ascii="楷体" w:eastAsia="楷体" w:hAnsi="楷体" w:cs="宋体"/>
                      <w:b/>
                      <w:bCs/>
                      <w:color w:val="FFFFFF"/>
                      <w:kern w:val="0"/>
                      <w:sz w:val="20"/>
                      <w:szCs w:val="20"/>
                    </w:rPr>
                  </w:pPr>
                  <w:r>
                    <w:rPr>
                      <w:rFonts w:ascii="楷体" w:eastAsia="楷体" w:hAnsi="楷体" w:hint="eastAsia"/>
                      <w:b/>
                      <w:bCs/>
                      <w:color w:val="FFFFFF"/>
                      <w:sz w:val="20"/>
                      <w:szCs w:val="20"/>
                    </w:rPr>
                    <w:t>收益率(%)</w:t>
                  </w:r>
                </w:p>
              </w:tc>
              <w:tc>
                <w:tcPr>
                  <w:tcW w:w="740" w:type="dxa"/>
                  <w:tcBorders>
                    <w:top w:val="nil"/>
                    <w:left w:val="nil"/>
                    <w:bottom w:val="single" w:sz="12" w:space="0" w:color="FFFFFF"/>
                    <w:right w:val="single" w:sz="8" w:space="0" w:color="FFFFFF"/>
                  </w:tcBorders>
                  <w:shd w:val="clear" w:color="000000" w:fill="F79646"/>
                  <w:noWrap/>
                  <w:vAlign w:val="center"/>
                  <w:hideMark/>
                </w:tcPr>
                <w:p w14:paraId="0F3218AA" w14:textId="0D04C1D8" w:rsidR="002D3316" w:rsidRPr="00B41E24" w:rsidRDefault="002D3316" w:rsidP="002D3316">
                  <w:pPr>
                    <w:widowControl/>
                    <w:jc w:val="center"/>
                    <w:rPr>
                      <w:rFonts w:ascii="楷体" w:eastAsia="楷体" w:hAnsi="楷体" w:cs="宋体"/>
                      <w:b/>
                      <w:bCs/>
                      <w:color w:val="FFFFFF"/>
                      <w:kern w:val="0"/>
                      <w:sz w:val="20"/>
                      <w:szCs w:val="20"/>
                    </w:rPr>
                  </w:pPr>
                  <w:r>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0FE8EB9B" w14:textId="65406C3B" w:rsidR="002D3316" w:rsidRPr="00B41E24" w:rsidRDefault="002D3316" w:rsidP="002D3316">
                  <w:pPr>
                    <w:widowControl/>
                    <w:jc w:val="center"/>
                    <w:rPr>
                      <w:rFonts w:ascii="楷体" w:eastAsia="楷体" w:hAnsi="楷体"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75A35579" w14:textId="5094A550" w:rsidR="002D3316" w:rsidRPr="00B41E24" w:rsidRDefault="002D3316" w:rsidP="002D3316">
                  <w:pPr>
                    <w:widowControl/>
                    <w:jc w:val="center"/>
                    <w:rPr>
                      <w:rFonts w:ascii="楷体" w:eastAsia="楷体" w:hAnsi="楷体"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612FDB1" w14:textId="4109B462" w:rsidR="002D3316" w:rsidRPr="00B41E24" w:rsidRDefault="002D3316" w:rsidP="002D3316">
                  <w:pPr>
                    <w:widowControl/>
                    <w:jc w:val="center"/>
                    <w:rPr>
                      <w:rFonts w:ascii="楷体" w:eastAsia="楷体" w:hAnsi="楷体" w:cs="宋体"/>
                      <w:b/>
                      <w:bCs/>
                      <w:color w:val="FFFFFF"/>
                      <w:kern w:val="0"/>
                      <w:sz w:val="20"/>
                      <w:szCs w:val="20"/>
                    </w:rPr>
                  </w:pPr>
                  <w:r>
                    <w:rPr>
                      <w:rFonts w:ascii="楷体" w:eastAsia="楷体" w:hAnsi="楷体" w:hint="eastAsia"/>
                      <w:b/>
                      <w:bCs/>
                      <w:color w:val="FFFFFF"/>
                      <w:sz w:val="20"/>
                      <w:szCs w:val="20"/>
                    </w:rPr>
                    <w:t>AA-</w:t>
                  </w:r>
                </w:p>
              </w:tc>
              <w:tc>
                <w:tcPr>
                  <w:tcW w:w="1149" w:type="dxa"/>
                  <w:tcBorders>
                    <w:top w:val="nil"/>
                    <w:left w:val="nil"/>
                    <w:bottom w:val="single" w:sz="12" w:space="0" w:color="FFFFFF"/>
                    <w:right w:val="single" w:sz="8" w:space="0" w:color="FFFFFF"/>
                  </w:tcBorders>
                  <w:shd w:val="clear" w:color="000000" w:fill="F79646"/>
                  <w:noWrap/>
                  <w:vAlign w:val="center"/>
                  <w:hideMark/>
                </w:tcPr>
                <w:p w14:paraId="719B3728" w14:textId="10056497" w:rsidR="002D3316" w:rsidRPr="00B41E24" w:rsidRDefault="002D3316" w:rsidP="002D3316">
                  <w:pPr>
                    <w:widowControl/>
                    <w:jc w:val="center"/>
                    <w:rPr>
                      <w:rFonts w:ascii="楷体" w:eastAsia="楷体" w:hAnsi="楷体" w:cs="宋体"/>
                      <w:b/>
                      <w:bCs/>
                      <w:color w:val="FFFFFF"/>
                      <w:kern w:val="0"/>
                      <w:sz w:val="20"/>
                      <w:szCs w:val="20"/>
                    </w:rPr>
                  </w:pPr>
                  <w:r>
                    <w:rPr>
                      <w:rFonts w:ascii="楷体" w:eastAsia="楷体" w:hAnsi="楷体" w:hint="eastAsia"/>
                      <w:b/>
                      <w:bCs/>
                      <w:color w:val="FFFFFF"/>
                      <w:sz w:val="20"/>
                      <w:szCs w:val="20"/>
                    </w:rPr>
                    <w:t>息差</w:t>
                  </w:r>
                </w:p>
              </w:tc>
              <w:tc>
                <w:tcPr>
                  <w:tcW w:w="920" w:type="dxa"/>
                  <w:tcBorders>
                    <w:top w:val="nil"/>
                    <w:left w:val="nil"/>
                    <w:bottom w:val="single" w:sz="12" w:space="0" w:color="FFFFFF"/>
                    <w:right w:val="single" w:sz="8" w:space="0" w:color="FFFFFF"/>
                  </w:tcBorders>
                  <w:shd w:val="clear" w:color="000000" w:fill="F79646"/>
                  <w:noWrap/>
                  <w:vAlign w:val="center"/>
                  <w:hideMark/>
                </w:tcPr>
                <w:p w14:paraId="6A9FDAC9" w14:textId="6087D5C6" w:rsidR="002D3316" w:rsidRPr="00B41E24" w:rsidRDefault="002D3316" w:rsidP="002D3316">
                  <w:pPr>
                    <w:widowControl/>
                    <w:jc w:val="center"/>
                    <w:rPr>
                      <w:rFonts w:ascii="楷体" w:eastAsia="楷体" w:hAnsi="楷体" w:cs="宋体"/>
                      <w:b/>
                      <w:bCs/>
                      <w:color w:val="FFFFFF"/>
                      <w:kern w:val="0"/>
                      <w:sz w:val="20"/>
                      <w:szCs w:val="20"/>
                    </w:rPr>
                  </w:pPr>
                  <w:r>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1994889" w14:textId="493BCE7A" w:rsidR="002D3316" w:rsidRPr="00B41E24" w:rsidRDefault="002D3316" w:rsidP="002D3316">
                  <w:pPr>
                    <w:widowControl/>
                    <w:jc w:val="center"/>
                    <w:rPr>
                      <w:rFonts w:ascii="楷体" w:eastAsia="楷体" w:hAnsi="楷体"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40805862" w14:textId="6DF1C922" w:rsidR="002D3316" w:rsidRPr="00B41E24" w:rsidRDefault="002D3316" w:rsidP="002D3316">
                  <w:pPr>
                    <w:widowControl/>
                    <w:jc w:val="center"/>
                    <w:rPr>
                      <w:rFonts w:ascii="楷体" w:eastAsia="楷体" w:hAnsi="楷体"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6CB6C50" w14:textId="687E44FD" w:rsidR="002D3316" w:rsidRPr="00B41E24" w:rsidRDefault="002D3316" w:rsidP="002D3316">
                  <w:pPr>
                    <w:widowControl/>
                    <w:jc w:val="center"/>
                    <w:rPr>
                      <w:rFonts w:ascii="楷体" w:eastAsia="楷体" w:hAnsi="楷体" w:cs="宋体"/>
                      <w:b/>
                      <w:bCs/>
                      <w:color w:val="FFFFFF"/>
                      <w:kern w:val="0"/>
                      <w:sz w:val="20"/>
                      <w:szCs w:val="20"/>
                    </w:rPr>
                  </w:pPr>
                  <w:r>
                    <w:rPr>
                      <w:rFonts w:ascii="楷体" w:eastAsia="楷体" w:hAnsi="楷体" w:hint="eastAsia"/>
                      <w:b/>
                      <w:bCs/>
                      <w:color w:val="FFFFFF"/>
                      <w:sz w:val="20"/>
                      <w:szCs w:val="20"/>
                    </w:rPr>
                    <w:t>AA-</w:t>
                  </w:r>
                </w:p>
              </w:tc>
            </w:tr>
            <w:tr w:rsidR="002D3316" w:rsidRPr="00B41E24" w14:paraId="759A3C98" w14:textId="77777777" w:rsidTr="007A1586">
              <w:trPr>
                <w:trHeight w:val="321"/>
              </w:trPr>
              <w:tc>
                <w:tcPr>
                  <w:tcW w:w="1309" w:type="dxa"/>
                  <w:tcBorders>
                    <w:top w:val="nil"/>
                    <w:left w:val="nil"/>
                    <w:bottom w:val="single" w:sz="8" w:space="0" w:color="FFFFFF"/>
                    <w:right w:val="single" w:sz="8" w:space="0" w:color="FFFFFF"/>
                  </w:tcBorders>
                  <w:shd w:val="clear" w:color="000000" w:fill="FCD5B4"/>
                  <w:noWrap/>
                  <w:vAlign w:val="center"/>
                  <w:hideMark/>
                </w:tcPr>
                <w:p w14:paraId="48EBF66E" w14:textId="0A6A12CC"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CP</w:t>
                  </w:r>
                </w:p>
              </w:tc>
              <w:tc>
                <w:tcPr>
                  <w:tcW w:w="740" w:type="dxa"/>
                  <w:tcBorders>
                    <w:top w:val="nil"/>
                    <w:left w:val="nil"/>
                    <w:bottom w:val="single" w:sz="8" w:space="0" w:color="FFFFFF"/>
                    <w:right w:val="single" w:sz="8" w:space="0" w:color="FFFFFF"/>
                  </w:tcBorders>
                  <w:shd w:val="clear" w:color="000000" w:fill="FCD5B4"/>
                  <w:noWrap/>
                  <w:vAlign w:val="center"/>
                  <w:hideMark/>
                </w:tcPr>
                <w:p w14:paraId="1F59B1A1" w14:textId="5174B61C"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2.66 </w:t>
                  </w:r>
                </w:p>
              </w:tc>
              <w:tc>
                <w:tcPr>
                  <w:tcW w:w="920" w:type="dxa"/>
                  <w:tcBorders>
                    <w:top w:val="nil"/>
                    <w:left w:val="nil"/>
                    <w:bottom w:val="single" w:sz="8" w:space="0" w:color="FFFFFF"/>
                    <w:right w:val="single" w:sz="8" w:space="0" w:color="FFFFFF"/>
                  </w:tcBorders>
                  <w:shd w:val="clear" w:color="000000" w:fill="FCD5B4"/>
                  <w:noWrap/>
                  <w:vAlign w:val="center"/>
                  <w:hideMark/>
                </w:tcPr>
                <w:p w14:paraId="4F0034E5" w14:textId="63B967B9"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2.76 </w:t>
                  </w:r>
                </w:p>
              </w:tc>
              <w:tc>
                <w:tcPr>
                  <w:tcW w:w="920" w:type="dxa"/>
                  <w:tcBorders>
                    <w:top w:val="nil"/>
                    <w:left w:val="nil"/>
                    <w:bottom w:val="single" w:sz="8" w:space="0" w:color="FFFFFF"/>
                    <w:right w:val="single" w:sz="8" w:space="0" w:color="FFFFFF"/>
                  </w:tcBorders>
                  <w:shd w:val="clear" w:color="000000" w:fill="FCD5B4"/>
                  <w:noWrap/>
                  <w:vAlign w:val="center"/>
                  <w:hideMark/>
                </w:tcPr>
                <w:p w14:paraId="55FA1300" w14:textId="066B9654"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3.00 </w:t>
                  </w:r>
                </w:p>
              </w:tc>
              <w:tc>
                <w:tcPr>
                  <w:tcW w:w="920" w:type="dxa"/>
                  <w:tcBorders>
                    <w:top w:val="nil"/>
                    <w:left w:val="nil"/>
                    <w:bottom w:val="single" w:sz="8" w:space="0" w:color="FFFFFF"/>
                    <w:right w:val="single" w:sz="8" w:space="0" w:color="FFFFFF"/>
                  </w:tcBorders>
                  <w:shd w:val="clear" w:color="000000" w:fill="FCD5B4"/>
                  <w:noWrap/>
                  <w:vAlign w:val="center"/>
                  <w:hideMark/>
                </w:tcPr>
                <w:p w14:paraId="75B7D0B9" w14:textId="1424C755"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5.26 </w:t>
                  </w:r>
                </w:p>
              </w:tc>
              <w:tc>
                <w:tcPr>
                  <w:tcW w:w="1149" w:type="dxa"/>
                  <w:tcBorders>
                    <w:top w:val="nil"/>
                    <w:left w:val="nil"/>
                    <w:bottom w:val="single" w:sz="8" w:space="0" w:color="FFFFFF"/>
                    <w:right w:val="single" w:sz="8" w:space="0" w:color="FFFFFF"/>
                  </w:tcBorders>
                  <w:shd w:val="clear" w:color="000000" w:fill="FCD5B4"/>
                  <w:noWrap/>
                  <w:vAlign w:val="center"/>
                  <w:hideMark/>
                </w:tcPr>
                <w:p w14:paraId="27CF2E5D" w14:textId="2A33AA33"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523261A7" w14:textId="15A4523E"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0.51 </w:t>
                  </w:r>
                </w:p>
              </w:tc>
              <w:tc>
                <w:tcPr>
                  <w:tcW w:w="920" w:type="dxa"/>
                  <w:tcBorders>
                    <w:top w:val="nil"/>
                    <w:left w:val="nil"/>
                    <w:bottom w:val="single" w:sz="8" w:space="0" w:color="FFFFFF"/>
                    <w:right w:val="single" w:sz="8" w:space="0" w:color="FFFFFF"/>
                  </w:tcBorders>
                  <w:shd w:val="clear" w:color="000000" w:fill="FCD5B4"/>
                  <w:noWrap/>
                  <w:vAlign w:val="center"/>
                  <w:hideMark/>
                </w:tcPr>
                <w:p w14:paraId="71D92286" w14:textId="33942AEE"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0.61 </w:t>
                  </w:r>
                </w:p>
              </w:tc>
              <w:tc>
                <w:tcPr>
                  <w:tcW w:w="920" w:type="dxa"/>
                  <w:tcBorders>
                    <w:top w:val="nil"/>
                    <w:left w:val="nil"/>
                    <w:bottom w:val="single" w:sz="8" w:space="0" w:color="FFFFFF"/>
                    <w:right w:val="single" w:sz="8" w:space="0" w:color="FFFFFF"/>
                  </w:tcBorders>
                  <w:shd w:val="clear" w:color="000000" w:fill="FCD5B4"/>
                  <w:noWrap/>
                  <w:vAlign w:val="center"/>
                  <w:hideMark/>
                </w:tcPr>
                <w:p w14:paraId="320E6D3C" w14:textId="662BDAB7"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0.85 </w:t>
                  </w:r>
                </w:p>
              </w:tc>
              <w:tc>
                <w:tcPr>
                  <w:tcW w:w="920" w:type="dxa"/>
                  <w:tcBorders>
                    <w:top w:val="nil"/>
                    <w:left w:val="nil"/>
                    <w:bottom w:val="single" w:sz="8" w:space="0" w:color="FFFFFF"/>
                    <w:right w:val="single" w:sz="8" w:space="0" w:color="FFFFFF"/>
                  </w:tcBorders>
                  <w:shd w:val="clear" w:color="000000" w:fill="FCD5B4"/>
                  <w:noWrap/>
                  <w:vAlign w:val="center"/>
                  <w:hideMark/>
                </w:tcPr>
                <w:p w14:paraId="6E8168B1" w14:textId="3275E857"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3.11 </w:t>
                  </w:r>
                </w:p>
              </w:tc>
            </w:tr>
            <w:tr w:rsidR="002D3316" w:rsidRPr="00B41E24" w14:paraId="3A66D0A6" w14:textId="77777777" w:rsidTr="007A1586">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39137B72" w14:textId="0CA296A5"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MTN3Y</w:t>
                  </w:r>
                </w:p>
              </w:tc>
              <w:tc>
                <w:tcPr>
                  <w:tcW w:w="740" w:type="dxa"/>
                  <w:tcBorders>
                    <w:top w:val="nil"/>
                    <w:left w:val="nil"/>
                    <w:bottom w:val="single" w:sz="8" w:space="0" w:color="FFFFFF"/>
                    <w:right w:val="single" w:sz="8" w:space="0" w:color="FFFFFF"/>
                  </w:tcBorders>
                  <w:shd w:val="clear" w:color="000000" w:fill="FDE9D9"/>
                  <w:noWrap/>
                  <w:vAlign w:val="center"/>
                  <w:hideMark/>
                </w:tcPr>
                <w:p w14:paraId="3B73915E" w14:textId="62CDCA9D"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3.02 </w:t>
                  </w:r>
                </w:p>
              </w:tc>
              <w:tc>
                <w:tcPr>
                  <w:tcW w:w="920" w:type="dxa"/>
                  <w:tcBorders>
                    <w:top w:val="nil"/>
                    <w:left w:val="nil"/>
                    <w:bottom w:val="single" w:sz="8" w:space="0" w:color="FFFFFF"/>
                    <w:right w:val="single" w:sz="8" w:space="0" w:color="FFFFFF"/>
                  </w:tcBorders>
                  <w:shd w:val="clear" w:color="000000" w:fill="FDE9D9"/>
                  <w:noWrap/>
                  <w:vAlign w:val="center"/>
                  <w:hideMark/>
                </w:tcPr>
                <w:p w14:paraId="5B9C8B87" w14:textId="165211ED"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3.18 </w:t>
                  </w:r>
                </w:p>
              </w:tc>
              <w:tc>
                <w:tcPr>
                  <w:tcW w:w="920" w:type="dxa"/>
                  <w:tcBorders>
                    <w:top w:val="nil"/>
                    <w:left w:val="nil"/>
                    <w:bottom w:val="single" w:sz="8" w:space="0" w:color="FFFFFF"/>
                    <w:right w:val="single" w:sz="8" w:space="0" w:color="FFFFFF"/>
                  </w:tcBorders>
                  <w:shd w:val="clear" w:color="000000" w:fill="FDE9D9"/>
                  <w:noWrap/>
                  <w:vAlign w:val="center"/>
                  <w:hideMark/>
                </w:tcPr>
                <w:p w14:paraId="1FA1A5B8" w14:textId="741CFB69"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3.66 </w:t>
                  </w:r>
                </w:p>
              </w:tc>
              <w:tc>
                <w:tcPr>
                  <w:tcW w:w="920" w:type="dxa"/>
                  <w:tcBorders>
                    <w:top w:val="nil"/>
                    <w:left w:val="nil"/>
                    <w:bottom w:val="single" w:sz="8" w:space="0" w:color="FFFFFF"/>
                    <w:right w:val="single" w:sz="8" w:space="0" w:color="FFFFFF"/>
                  </w:tcBorders>
                  <w:shd w:val="clear" w:color="000000" w:fill="FDE9D9"/>
                  <w:noWrap/>
                  <w:vAlign w:val="center"/>
                  <w:hideMark/>
                </w:tcPr>
                <w:p w14:paraId="175F37FF" w14:textId="0C015869"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5.92 </w:t>
                  </w:r>
                </w:p>
              </w:tc>
              <w:tc>
                <w:tcPr>
                  <w:tcW w:w="1149" w:type="dxa"/>
                  <w:tcBorders>
                    <w:top w:val="nil"/>
                    <w:left w:val="nil"/>
                    <w:bottom w:val="single" w:sz="8" w:space="0" w:color="FFFFFF"/>
                    <w:right w:val="single" w:sz="8" w:space="0" w:color="FFFFFF"/>
                  </w:tcBorders>
                  <w:shd w:val="clear" w:color="000000" w:fill="FDE9D9"/>
                  <w:noWrap/>
                  <w:vAlign w:val="center"/>
                  <w:hideMark/>
                </w:tcPr>
                <w:p w14:paraId="3AF3F54C" w14:textId="4337CB0F"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3C163F46" w14:textId="19A4044F"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0.46 </w:t>
                  </w:r>
                </w:p>
              </w:tc>
              <w:tc>
                <w:tcPr>
                  <w:tcW w:w="920" w:type="dxa"/>
                  <w:tcBorders>
                    <w:top w:val="nil"/>
                    <w:left w:val="nil"/>
                    <w:bottom w:val="single" w:sz="8" w:space="0" w:color="FFFFFF"/>
                    <w:right w:val="single" w:sz="8" w:space="0" w:color="FFFFFF"/>
                  </w:tcBorders>
                  <w:shd w:val="clear" w:color="000000" w:fill="FDE9D9"/>
                  <w:noWrap/>
                  <w:vAlign w:val="center"/>
                  <w:hideMark/>
                </w:tcPr>
                <w:p w14:paraId="3C863207" w14:textId="4CCD2F2A"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0.62 </w:t>
                  </w:r>
                </w:p>
              </w:tc>
              <w:tc>
                <w:tcPr>
                  <w:tcW w:w="920" w:type="dxa"/>
                  <w:tcBorders>
                    <w:top w:val="nil"/>
                    <w:left w:val="nil"/>
                    <w:bottom w:val="single" w:sz="8" w:space="0" w:color="FFFFFF"/>
                    <w:right w:val="single" w:sz="8" w:space="0" w:color="FFFFFF"/>
                  </w:tcBorders>
                  <w:shd w:val="clear" w:color="000000" w:fill="FDE9D9"/>
                  <w:noWrap/>
                  <w:vAlign w:val="center"/>
                  <w:hideMark/>
                </w:tcPr>
                <w:p w14:paraId="033A08F8" w14:textId="2401F53A"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1.10 </w:t>
                  </w:r>
                </w:p>
              </w:tc>
              <w:tc>
                <w:tcPr>
                  <w:tcW w:w="920" w:type="dxa"/>
                  <w:tcBorders>
                    <w:top w:val="nil"/>
                    <w:left w:val="nil"/>
                    <w:bottom w:val="single" w:sz="8" w:space="0" w:color="FFFFFF"/>
                    <w:right w:val="single" w:sz="8" w:space="0" w:color="FFFFFF"/>
                  </w:tcBorders>
                  <w:shd w:val="clear" w:color="000000" w:fill="FDE9D9"/>
                  <w:noWrap/>
                  <w:vAlign w:val="center"/>
                  <w:hideMark/>
                </w:tcPr>
                <w:p w14:paraId="6476BE13" w14:textId="25960A94"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3.36 </w:t>
                  </w:r>
                </w:p>
              </w:tc>
            </w:tr>
            <w:tr w:rsidR="002D3316" w:rsidRPr="00B41E24" w14:paraId="1D6AAB92" w14:textId="77777777" w:rsidTr="007A1586">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155F3072" w14:textId="66290739"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MTN5Y</w:t>
                  </w:r>
                </w:p>
              </w:tc>
              <w:tc>
                <w:tcPr>
                  <w:tcW w:w="740" w:type="dxa"/>
                  <w:tcBorders>
                    <w:top w:val="nil"/>
                    <w:left w:val="nil"/>
                    <w:bottom w:val="single" w:sz="8" w:space="0" w:color="FFFFFF"/>
                    <w:right w:val="single" w:sz="8" w:space="0" w:color="FFFFFF"/>
                  </w:tcBorders>
                  <w:shd w:val="clear" w:color="000000" w:fill="FCD5B4"/>
                  <w:noWrap/>
                  <w:vAlign w:val="center"/>
                  <w:hideMark/>
                </w:tcPr>
                <w:p w14:paraId="7FD24B78" w14:textId="5ACCC0C0"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3.33 </w:t>
                  </w:r>
                </w:p>
              </w:tc>
              <w:tc>
                <w:tcPr>
                  <w:tcW w:w="920" w:type="dxa"/>
                  <w:tcBorders>
                    <w:top w:val="nil"/>
                    <w:left w:val="nil"/>
                    <w:bottom w:val="single" w:sz="8" w:space="0" w:color="FFFFFF"/>
                    <w:right w:val="single" w:sz="8" w:space="0" w:color="FFFFFF"/>
                  </w:tcBorders>
                  <w:shd w:val="clear" w:color="000000" w:fill="FCD5B4"/>
                  <w:noWrap/>
                  <w:vAlign w:val="center"/>
                  <w:hideMark/>
                </w:tcPr>
                <w:p w14:paraId="41A6346D" w14:textId="5DCBD997"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3.54 </w:t>
                  </w:r>
                </w:p>
              </w:tc>
              <w:tc>
                <w:tcPr>
                  <w:tcW w:w="920" w:type="dxa"/>
                  <w:tcBorders>
                    <w:top w:val="nil"/>
                    <w:left w:val="nil"/>
                    <w:bottom w:val="single" w:sz="8" w:space="0" w:color="FFFFFF"/>
                    <w:right w:val="single" w:sz="8" w:space="0" w:color="FFFFFF"/>
                  </w:tcBorders>
                  <w:shd w:val="clear" w:color="000000" w:fill="FCD5B4"/>
                  <w:noWrap/>
                  <w:vAlign w:val="center"/>
                  <w:hideMark/>
                </w:tcPr>
                <w:p w14:paraId="203620ED" w14:textId="4AF27D17"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4.14 </w:t>
                  </w:r>
                </w:p>
              </w:tc>
              <w:tc>
                <w:tcPr>
                  <w:tcW w:w="920" w:type="dxa"/>
                  <w:tcBorders>
                    <w:top w:val="nil"/>
                    <w:left w:val="nil"/>
                    <w:bottom w:val="single" w:sz="8" w:space="0" w:color="FFFFFF"/>
                    <w:right w:val="single" w:sz="8" w:space="0" w:color="FFFFFF"/>
                  </w:tcBorders>
                  <w:shd w:val="clear" w:color="000000" w:fill="FCD5B4"/>
                  <w:noWrap/>
                  <w:vAlign w:val="center"/>
                  <w:hideMark/>
                </w:tcPr>
                <w:p w14:paraId="5799EA14" w14:textId="7A9F2BBC"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6.40 </w:t>
                  </w:r>
                </w:p>
              </w:tc>
              <w:tc>
                <w:tcPr>
                  <w:tcW w:w="1149" w:type="dxa"/>
                  <w:tcBorders>
                    <w:top w:val="nil"/>
                    <w:left w:val="nil"/>
                    <w:bottom w:val="single" w:sz="8" w:space="0" w:color="FFFFFF"/>
                    <w:right w:val="single" w:sz="8" w:space="0" w:color="FFFFFF"/>
                  </w:tcBorders>
                  <w:shd w:val="clear" w:color="000000" w:fill="FCD5B4"/>
                  <w:noWrap/>
                  <w:vAlign w:val="center"/>
                  <w:hideMark/>
                </w:tcPr>
                <w:p w14:paraId="46B5F421" w14:textId="707DAB79"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4D638149" w14:textId="42D179A5"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0.66 </w:t>
                  </w:r>
                </w:p>
              </w:tc>
              <w:tc>
                <w:tcPr>
                  <w:tcW w:w="920" w:type="dxa"/>
                  <w:tcBorders>
                    <w:top w:val="nil"/>
                    <w:left w:val="nil"/>
                    <w:bottom w:val="single" w:sz="8" w:space="0" w:color="FFFFFF"/>
                    <w:right w:val="single" w:sz="8" w:space="0" w:color="FFFFFF"/>
                  </w:tcBorders>
                  <w:shd w:val="clear" w:color="000000" w:fill="FCD5B4"/>
                  <w:noWrap/>
                  <w:vAlign w:val="center"/>
                  <w:hideMark/>
                </w:tcPr>
                <w:p w14:paraId="7D63AB8D" w14:textId="6FA6CFDE"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0.88 </w:t>
                  </w:r>
                </w:p>
              </w:tc>
              <w:tc>
                <w:tcPr>
                  <w:tcW w:w="920" w:type="dxa"/>
                  <w:tcBorders>
                    <w:top w:val="nil"/>
                    <w:left w:val="nil"/>
                    <w:bottom w:val="single" w:sz="8" w:space="0" w:color="FFFFFF"/>
                    <w:right w:val="single" w:sz="8" w:space="0" w:color="FFFFFF"/>
                  </w:tcBorders>
                  <w:shd w:val="clear" w:color="000000" w:fill="FCD5B4"/>
                  <w:noWrap/>
                  <w:vAlign w:val="center"/>
                  <w:hideMark/>
                </w:tcPr>
                <w:p w14:paraId="73B93ED9" w14:textId="1A94FB4F"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1.48 </w:t>
                  </w:r>
                </w:p>
              </w:tc>
              <w:tc>
                <w:tcPr>
                  <w:tcW w:w="920" w:type="dxa"/>
                  <w:tcBorders>
                    <w:top w:val="nil"/>
                    <w:left w:val="nil"/>
                    <w:bottom w:val="single" w:sz="8" w:space="0" w:color="FFFFFF"/>
                    <w:right w:val="single" w:sz="8" w:space="0" w:color="FFFFFF"/>
                  </w:tcBorders>
                  <w:shd w:val="clear" w:color="000000" w:fill="FCD5B4"/>
                  <w:noWrap/>
                  <w:vAlign w:val="center"/>
                  <w:hideMark/>
                </w:tcPr>
                <w:p w14:paraId="24AD0A23" w14:textId="388E0759"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3.74 </w:t>
                  </w:r>
                </w:p>
              </w:tc>
            </w:tr>
            <w:tr w:rsidR="002D3316" w:rsidRPr="00B41E24" w14:paraId="3DB9FAE2" w14:textId="77777777" w:rsidTr="007A1586">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2044C520" w14:textId="51F25DD4"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企业债3Y</w:t>
                  </w:r>
                </w:p>
              </w:tc>
              <w:tc>
                <w:tcPr>
                  <w:tcW w:w="740" w:type="dxa"/>
                  <w:tcBorders>
                    <w:top w:val="nil"/>
                    <w:left w:val="nil"/>
                    <w:bottom w:val="single" w:sz="8" w:space="0" w:color="FFFFFF"/>
                    <w:right w:val="single" w:sz="8" w:space="0" w:color="FFFFFF"/>
                  </w:tcBorders>
                  <w:shd w:val="clear" w:color="000000" w:fill="FDE9D9"/>
                  <w:noWrap/>
                  <w:vAlign w:val="center"/>
                  <w:hideMark/>
                </w:tcPr>
                <w:p w14:paraId="094B223D" w14:textId="446EBB59"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3.01 </w:t>
                  </w:r>
                </w:p>
              </w:tc>
              <w:tc>
                <w:tcPr>
                  <w:tcW w:w="920" w:type="dxa"/>
                  <w:tcBorders>
                    <w:top w:val="nil"/>
                    <w:left w:val="nil"/>
                    <w:bottom w:val="single" w:sz="8" w:space="0" w:color="FFFFFF"/>
                    <w:right w:val="single" w:sz="8" w:space="0" w:color="FFFFFF"/>
                  </w:tcBorders>
                  <w:shd w:val="clear" w:color="000000" w:fill="FDE9D9"/>
                  <w:noWrap/>
                  <w:vAlign w:val="center"/>
                  <w:hideMark/>
                </w:tcPr>
                <w:p w14:paraId="226D27D3" w14:textId="5877187B"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3.22 </w:t>
                  </w:r>
                </w:p>
              </w:tc>
              <w:tc>
                <w:tcPr>
                  <w:tcW w:w="920" w:type="dxa"/>
                  <w:tcBorders>
                    <w:top w:val="nil"/>
                    <w:left w:val="nil"/>
                    <w:bottom w:val="single" w:sz="8" w:space="0" w:color="FFFFFF"/>
                    <w:right w:val="single" w:sz="8" w:space="0" w:color="FFFFFF"/>
                  </w:tcBorders>
                  <w:shd w:val="clear" w:color="000000" w:fill="FDE9D9"/>
                  <w:noWrap/>
                  <w:vAlign w:val="center"/>
                  <w:hideMark/>
                </w:tcPr>
                <w:p w14:paraId="509D7CD4" w14:textId="65BB1717"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3.71 </w:t>
                  </w:r>
                </w:p>
              </w:tc>
              <w:tc>
                <w:tcPr>
                  <w:tcW w:w="920" w:type="dxa"/>
                  <w:tcBorders>
                    <w:top w:val="nil"/>
                    <w:left w:val="nil"/>
                    <w:bottom w:val="single" w:sz="8" w:space="0" w:color="FFFFFF"/>
                    <w:right w:val="single" w:sz="8" w:space="0" w:color="FFFFFF"/>
                  </w:tcBorders>
                  <w:shd w:val="clear" w:color="000000" w:fill="FDE9D9"/>
                  <w:noWrap/>
                  <w:vAlign w:val="center"/>
                  <w:hideMark/>
                </w:tcPr>
                <w:p w14:paraId="44CAAD2D" w14:textId="05F3E626"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5.98 </w:t>
                  </w:r>
                </w:p>
              </w:tc>
              <w:tc>
                <w:tcPr>
                  <w:tcW w:w="1149" w:type="dxa"/>
                  <w:tcBorders>
                    <w:top w:val="nil"/>
                    <w:left w:val="nil"/>
                    <w:bottom w:val="single" w:sz="8" w:space="0" w:color="FFFFFF"/>
                    <w:right w:val="single" w:sz="8" w:space="0" w:color="FFFFFF"/>
                  </w:tcBorders>
                  <w:shd w:val="clear" w:color="000000" w:fill="FDE9D9"/>
                  <w:noWrap/>
                  <w:vAlign w:val="center"/>
                  <w:hideMark/>
                </w:tcPr>
                <w:p w14:paraId="2E628139" w14:textId="01ECB006"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14043470" w14:textId="04424755"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0.45 </w:t>
                  </w:r>
                </w:p>
              </w:tc>
              <w:tc>
                <w:tcPr>
                  <w:tcW w:w="920" w:type="dxa"/>
                  <w:tcBorders>
                    <w:top w:val="nil"/>
                    <w:left w:val="nil"/>
                    <w:bottom w:val="single" w:sz="8" w:space="0" w:color="FFFFFF"/>
                    <w:right w:val="single" w:sz="8" w:space="0" w:color="FFFFFF"/>
                  </w:tcBorders>
                  <w:shd w:val="clear" w:color="000000" w:fill="FDE9D9"/>
                  <w:noWrap/>
                  <w:vAlign w:val="center"/>
                  <w:hideMark/>
                </w:tcPr>
                <w:p w14:paraId="005C602B" w14:textId="771CBE5E"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0.66 </w:t>
                  </w:r>
                </w:p>
              </w:tc>
              <w:tc>
                <w:tcPr>
                  <w:tcW w:w="920" w:type="dxa"/>
                  <w:tcBorders>
                    <w:top w:val="nil"/>
                    <w:left w:val="nil"/>
                    <w:bottom w:val="single" w:sz="8" w:space="0" w:color="FFFFFF"/>
                    <w:right w:val="single" w:sz="8" w:space="0" w:color="FFFFFF"/>
                  </w:tcBorders>
                  <w:shd w:val="clear" w:color="000000" w:fill="FDE9D9"/>
                  <w:noWrap/>
                  <w:vAlign w:val="center"/>
                  <w:hideMark/>
                </w:tcPr>
                <w:p w14:paraId="72E1FCED" w14:textId="79B8F2AE"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1.15 </w:t>
                  </w:r>
                </w:p>
              </w:tc>
              <w:tc>
                <w:tcPr>
                  <w:tcW w:w="920" w:type="dxa"/>
                  <w:tcBorders>
                    <w:top w:val="nil"/>
                    <w:left w:val="nil"/>
                    <w:bottom w:val="single" w:sz="8" w:space="0" w:color="FFFFFF"/>
                    <w:right w:val="single" w:sz="8" w:space="0" w:color="FFFFFF"/>
                  </w:tcBorders>
                  <w:shd w:val="clear" w:color="000000" w:fill="FDE9D9"/>
                  <w:noWrap/>
                  <w:vAlign w:val="center"/>
                  <w:hideMark/>
                </w:tcPr>
                <w:p w14:paraId="62B10FDA" w14:textId="6E6B4F90"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3.42 </w:t>
                  </w:r>
                </w:p>
              </w:tc>
            </w:tr>
            <w:tr w:rsidR="002D3316" w:rsidRPr="00B41E24" w14:paraId="6E6959B5" w14:textId="77777777" w:rsidTr="007A1586">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22DA7E07" w14:textId="7259A602"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企业债5Y</w:t>
                  </w:r>
                </w:p>
              </w:tc>
              <w:tc>
                <w:tcPr>
                  <w:tcW w:w="740" w:type="dxa"/>
                  <w:tcBorders>
                    <w:top w:val="nil"/>
                    <w:left w:val="nil"/>
                    <w:bottom w:val="single" w:sz="8" w:space="0" w:color="FFFFFF"/>
                    <w:right w:val="single" w:sz="8" w:space="0" w:color="FFFFFF"/>
                  </w:tcBorders>
                  <w:shd w:val="clear" w:color="000000" w:fill="FCD5B4"/>
                  <w:noWrap/>
                  <w:vAlign w:val="center"/>
                  <w:hideMark/>
                </w:tcPr>
                <w:p w14:paraId="3321A8C9" w14:textId="3A021100"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3.31 </w:t>
                  </w:r>
                </w:p>
              </w:tc>
              <w:tc>
                <w:tcPr>
                  <w:tcW w:w="920" w:type="dxa"/>
                  <w:tcBorders>
                    <w:top w:val="nil"/>
                    <w:left w:val="nil"/>
                    <w:bottom w:val="single" w:sz="8" w:space="0" w:color="FFFFFF"/>
                    <w:right w:val="single" w:sz="8" w:space="0" w:color="FFFFFF"/>
                  </w:tcBorders>
                  <w:shd w:val="clear" w:color="000000" w:fill="FCD5B4"/>
                  <w:noWrap/>
                  <w:vAlign w:val="center"/>
                  <w:hideMark/>
                </w:tcPr>
                <w:p w14:paraId="2D55037C" w14:textId="15FB51A5"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3.56 </w:t>
                  </w:r>
                </w:p>
              </w:tc>
              <w:tc>
                <w:tcPr>
                  <w:tcW w:w="920" w:type="dxa"/>
                  <w:tcBorders>
                    <w:top w:val="nil"/>
                    <w:left w:val="nil"/>
                    <w:bottom w:val="single" w:sz="8" w:space="0" w:color="FFFFFF"/>
                    <w:right w:val="single" w:sz="8" w:space="0" w:color="FFFFFF"/>
                  </w:tcBorders>
                  <w:shd w:val="clear" w:color="000000" w:fill="FCD5B4"/>
                  <w:noWrap/>
                  <w:vAlign w:val="center"/>
                  <w:hideMark/>
                </w:tcPr>
                <w:p w14:paraId="31736512" w14:textId="44C06CFD"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4.20 </w:t>
                  </w:r>
                </w:p>
              </w:tc>
              <w:tc>
                <w:tcPr>
                  <w:tcW w:w="920" w:type="dxa"/>
                  <w:tcBorders>
                    <w:top w:val="nil"/>
                    <w:left w:val="nil"/>
                    <w:bottom w:val="single" w:sz="8" w:space="0" w:color="FFFFFF"/>
                    <w:right w:val="single" w:sz="8" w:space="0" w:color="FFFFFF"/>
                  </w:tcBorders>
                  <w:shd w:val="clear" w:color="000000" w:fill="FCD5B4"/>
                  <w:noWrap/>
                  <w:vAlign w:val="center"/>
                  <w:hideMark/>
                </w:tcPr>
                <w:p w14:paraId="32F91FC8" w14:textId="2315892B"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6.47 </w:t>
                  </w:r>
                </w:p>
              </w:tc>
              <w:tc>
                <w:tcPr>
                  <w:tcW w:w="1149" w:type="dxa"/>
                  <w:tcBorders>
                    <w:top w:val="nil"/>
                    <w:left w:val="nil"/>
                    <w:bottom w:val="single" w:sz="8" w:space="0" w:color="FFFFFF"/>
                    <w:right w:val="single" w:sz="8" w:space="0" w:color="FFFFFF"/>
                  </w:tcBorders>
                  <w:shd w:val="clear" w:color="000000" w:fill="FCD5B4"/>
                  <w:noWrap/>
                  <w:vAlign w:val="center"/>
                  <w:hideMark/>
                </w:tcPr>
                <w:p w14:paraId="1A4516FF" w14:textId="72E9833B"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678FF838" w14:textId="0C9CEE80"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0.65 </w:t>
                  </w:r>
                </w:p>
              </w:tc>
              <w:tc>
                <w:tcPr>
                  <w:tcW w:w="920" w:type="dxa"/>
                  <w:tcBorders>
                    <w:top w:val="nil"/>
                    <w:left w:val="nil"/>
                    <w:bottom w:val="single" w:sz="8" w:space="0" w:color="FFFFFF"/>
                    <w:right w:val="single" w:sz="8" w:space="0" w:color="FFFFFF"/>
                  </w:tcBorders>
                  <w:shd w:val="clear" w:color="000000" w:fill="FCD5B4"/>
                  <w:noWrap/>
                  <w:vAlign w:val="center"/>
                  <w:hideMark/>
                </w:tcPr>
                <w:p w14:paraId="19327668" w14:textId="04F1D0D1"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0.89 </w:t>
                  </w:r>
                </w:p>
              </w:tc>
              <w:tc>
                <w:tcPr>
                  <w:tcW w:w="920" w:type="dxa"/>
                  <w:tcBorders>
                    <w:top w:val="nil"/>
                    <w:left w:val="nil"/>
                    <w:bottom w:val="single" w:sz="8" w:space="0" w:color="FFFFFF"/>
                    <w:right w:val="single" w:sz="8" w:space="0" w:color="FFFFFF"/>
                  </w:tcBorders>
                  <w:shd w:val="clear" w:color="000000" w:fill="FCD5B4"/>
                  <w:noWrap/>
                  <w:vAlign w:val="center"/>
                  <w:hideMark/>
                </w:tcPr>
                <w:p w14:paraId="3FF52323" w14:textId="1B94DE79"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1.53 </w:t>
                  </w:r>
                </w:p>
              </w:tc>
              <w:tc>
                <w:tcPr>
                  <w:tcW w:w="920" w:type="dxa"/>
                  <w:tcBorders>
                    <w:top w:val="nil"/>
                    <w:left w:val="nil"/>
                    <w:bottom w:val="single" w:sz="8" w:space="0" w:color="FFFFFF"/>
                    <w:right w:val="single" w:sz="8" w:space="0" w:color="FFFFFF"/>
                  </w:tcBorders>
                  <w:shd w:val="clear" w:color="000000" w:fill="FCD5B4"/>
                  <w:noWrap/>
                  <w:vAlign w:val="center"/>
                  <w:hideMark/>
                </w:tcPr>
                <w:p w14:paraId="3A51C7C3" w14:textId="3A9A644A"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3.80 </w:t>
                  </w:r>
                </w:p>
              </w:tc>
            </w:tr>
            <w:tr w:rsidR="002D3316" w:rsidRPr="00B41E24" w14:paraId="10282E85" w14:textId="77777777" w:rsidTr="007A1586">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5AA354BC" w14:textId="1BE33ABE"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企业债7Y</w:t>
                  </w:r>
                </w:p>
              </w:tc>
              <w:tc>
                <w:tcPr>
                  <w:tcW w:w="740" w:type="dxa"/>
                  <w:tcBorders>
                    <w:top w:val="nil"/>
                    <w:left w:val="nil"/>
                    <w:bottom w:val="single" w:sz="8" w:space="0" w:color="FFFFFF"/>
                    <w:right w:val="single" w:sz="8" w:space="0" w:color="FFFFFF"/>
                  </w:tcBorders>
                  <w:shd w:val="clear" w:color="000000" w:fill="FDE9D9"/>
                  <w:noWrap/>
                  <w:vAlign w:val="center"/>
                  <w:hideMark/>
                </w:tcPr>
                <w:p w14:paraId="46F6A45C" w14:textId="060221B5"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3.55 </w:t>
                  </w:r>
                </w:p>
              </w:tc>
              <w:tc>
                <w:tcPr>
                  <w:tcW w:w="920" w:type="dxa"/>
                  <w:tcBorders>
                    <w:top w:val="nil"/>
                    <w:left w:val="nil"/>
                    <w:bottom w:val="single" w:sz="8" w:space="0" w:color="FFFFFF"/>
                    <w:right w:val="single" w:sz="8" w:space="0" w:color="FFFFFF"/>
                  </w:tcBorders>
                  <w:shd w:val="clear" w:color="000000" w:fill="FDE9D9"/>
                  <w:noWrap/>
                  <w:vAlign w:val="center"/>
                  <w:hideMark/>
                </w:tcPr>
                <w:p w14:paraId="7F0C451E" w14:textId="4927CD48"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3.80 </w:t>
                  </w:r>
                </w:p>
              </w:tc>
              <w:tc>
                <w:tcPr>
                  <w:tcW w:w="920" w:type="dxa"/>
                  <w:tcBorders>
                    <w:top w:val="nil"/>
                    <w:left w:val="nil"/>
                    <w:bottom w:val="single" w:sz="8" w:space="0" w:color="FFFFFF"/>
                    <w:right w:val="single" w:sz="8" w:space="0" w:color="FFFFFF"/>
                  </w:tcBorders>
                  <w:shd w:val="clear" w:color="000000" w:fill="FDE9D9"/>
                  <w:noWrap/>
                  <w:vAlign w:val="center"/>
                  <w:hideMark/>
                </w:tcPr>
                <w:p w14:paraId="14C49F17" w14:textId="391E851F"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4.44 </w:t>
                  </w:r>
                </w:p>
              </w:tc>
              <w:tc>
                <w:tcPr>
                  <w:tcW w:w="920" w:type="dxa"/>
                  <w:tcBorders>
                    <w:top w:val="nil"/>
                    <w:left w:val="nil"/>
                    <w:bottom w:val="single" w:sz="8" w:space="0" w:color="FFFFFF"/>
                    <w:right w:val="single" w:sz="8" w:space="0" w:color="FFFFFF"/>
                  </w:tcBorders>
                  <w:shd w:val="clear" w:color="000000" w:fill="FDE9D9"/>
                  <w:noWrap/>
                  <w:vAlign w:val="center"/>
                  <w:hideMark/>
                </w:tcPr>
                <w:p w14:paraId="5617ED53" w14:textId="25284A39"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6.71 </w:t>
                  </w:r>
                </w:p>
              </w:tc>
              <w:tc>
                <w:tcPr>
                  <w:tcW w:w="1149" w:type="dxa"/>
                  <w:tcBorders>
                    <w:top w:val="nil"/>
                    <w:left w:val="nil"/>
                    <w:bottom w:val="single" w:sz="8" w:space="0" w:color="FFFFFF"/>
                    <w:right w:val="single" w:sz="8" w:space="0" w:color="FFFFFF"/>
                  </w:tcBorders>
                  <w:shd w:val="clear" w:color="000000" w:fill="FDE9D9"/>
                  <w:noWrap/>
                  <w:vAlign w:val="center"/>
                  <w:hideMark/>
                </w:tcPr>
                <w:p w14:paraId="6EF87D4A" w14:textId="3D85173E"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4DEB6E8D" w14:textId="73066F51"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0.73 </w:t>
                  </w:r>
                </w:p>
              </w:tc>
              <w:tc>
                <w:tcPr>
                  <w:tcW w:w="920" w:type="dxa"/>
                  <w:tcBorders>
                    <w:top w:val="nil"/>
                    <w:left w:val="nil"/>
                    <w:bottom w:val="single" w:sz="8" w:space="0" w:color="FFFFFF"/>
                    <w:right w:val="single" w:sz="8" w:space="0" w:color="FFFFFF"/>
                  </w:tcBorders>
                  <w:shd w:val="clear" w:color="000000" w:fill="FDE9D9"/>
                  <w:noWrap/>
                  <w:vAlign w:val="center"/>
                  <w:hideMark/>
                </w:tcPr>
                <w:p w14:paraId="5BFCFC00" w14:textId="0F8A0F76"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0.98 </w:t>
                  </w:r>
                </w:p>
              </w:tc>
              <w:tc>
                <w:tcPr>
                  <w:tcW w:w="920" w:type="dxa"/>
                  <w:tcBorders>
                    <w:top w:val="nil"/>
                    <w:left w:val="nil"/>
                    <w:bottom w:val="single" w:sz="8" w:space="0" w:color="FFFFFF"/>
                    <w:right w:val="single" w:sz="8" w:space="0" w:color="FFFFFF"/>
                  </w:tcBorders>
                  <w:shd w:val="clear" w:color="000000" w:fill="FDE9D9"/>
                  <w:noWrap/>
                  <w:vAlign w:val="center"/>
                  <w:hideMark/>
                </w:tcPr>
                <w:p w14:paraId="135C719B" w14:textId="4C2D9FDA"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1.62 </w:t>
                  </w:r>
                </w:p>
              </w:tc>
              <w:tc>
                <w:tcPr>
                  <w:tcW w:w="920" w:type="dxa"/>
                  <w:tcBorders>
                    <w:top w:val="nil"/>
                    <w:left w:val="nil"/>
                    <w:bottom w:val="single" w:sz="8" w:space="0" w:color="FFFFFF"/>
                    <w:right w:val="single" w:sz="8" w:space="0" w:color="FFFFFF"/>
                  </w:tcBorders>
                  <w:shd w:val="clear" w:color="000000" w:fill="FDE9D9"/>
                  <w:noWrap/>
                  <w:vAlign w:val="center"/>
                  <w:hideMark/>
                </w:tcPr>
                <w:p w14:paraId="5C7F0679" w14:textId="5C116CDD"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3.89 </w:t>
                  </w:r>
                </w:p>
              </w:tc>
            </w:tr>
            <w:tr w:rsidR="002D3316" w:rsidRPr="00B41E24" w14:paraId="4B34B1BF" w14:textId="77777777" w:rsidTr="007A1586">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708D60A2" w14:textId="07A5654F" w:rsidR="002D3316" w:rsidRPr="00B41E24" w:rsidRDefault="002D3316" w:rsidP="002D3316">
                  <w:pPr>
                    <w:widowControl/>
                    <w:jc w:val="center"/>
                    <w:rPr>
                      <w:rFonts w:ascii="楷体" w:eastAsia="楷体" w:hAnsi="楷体"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3Y</w:t>
                  </w:r>
                </w:p>
              </w:tc>
              <w:tc>
                <w:tcPr>
                  <w:tcW w:w="740" w:type="dxa"/>
                  <w:tcBorders>
                    <w:top w:val="nil"/>
                    <w:left w:val="nil"/>
                    <w:bottom w:val="single" w:sz="8" w:space="0" w:color="FFFFFF"/>
                    <w:right w:val="single" w:sz="8" w:space="0" w:color="FFFFFF"/>
                  </w:tcBorders>
                  <w:shd w:val="clear" w:color="000000" w:fill="FCD5B4"/>
                  <w:noWrap/>
                  <w:vAlign w:val="center"/>
                  <w:hideMark/>
                </w:tcPr>
                <w:p w14:paraId="7AC10927" w14:textId="10BB89F1"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3.06 </w:t>
                  </w:r>
                </w:p>
              </w:tc>
              <w:tc>
                <w:tcPr>
                  <w:tcW w:w="920" w:type="dxa"/>
                  <w:tcBorders>
                    <w:top w:val="nil"/>
                    <w:left w:val="nil"/>
                    <w:bottom w:val="single" w:sz="8" w:space="0" w:color="FFFFFF"/>
                    <w:right w:val="single" w:sz="8" w:space="0" w:color="FFFFFF"/>
                  </w:tcBorders>
                  <w:shd w:val="clear" w:color="000000" w:fill="FCD5B4"/>
                  <w:noWrap/>
                  <w:vAlign w:val="center"/>
                  <w:hideMark/>
                </w:tcPr>
                <w:p w14:paraId="5A89295C" w14:textId="0BF67C67"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3.21 </w:t>
                  </w:r>
                </w:p>
              </w:tc>
              <w:tc>
                <w:tcPr>
                  <w:tcW w:w="920" w:type="dxa"/>
                  <w:tcBorders>
                    <w:top w:val="nil"/>
                    <w:left w:val="nil"/>
                    <w:bottom w:val="single" w:sz="8" w:space="0" w:color="FFFFFF"/>
                    <w:right w:val="single" w:sz="8" w:space="0" w:color="FFFFFF"/>
                  </w:tcBorders>
                  <w:shd w:val="clear" w:color="000000" w:fill="FCD5B4"/>
                  <w:noWrap/>
                  <w:vAlign w:val="center"/>
                  <w:hideMark/>
                </w:tcPr>
                <w:p w14:paraId="5B048291" w14:textId="06C2B39F"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3.35 </w:t>
                  </w:r>
                </w:p>
              </w:tc>
              <w:tc>
                <w:tcPr>
                  <w:tcW w:w="920" w:type="dxa"/>
                  <w:tcBorders>
                    <w:top w:val="nil"/>
                    <w:left w:val="nil"/>
                    <w:bottom w:val="single" w:sz="8" w:space="0" w:color="FFFFFF"/>
                    <w:right w:val="single" w:sz="8" w:space="0" w:color="FFFFFF"/>
                  </w:tcBorders>
                  <w:shd w:val="clear" w:color="000000" w:fill="FCD5B4"/>
                  <w:noWrap/>
                  <w:vAlign w:val="center"/>
                  <w:hideMark/>
                </w:tcPr>
                <w:p w14:paraId="5711CDD7" w14:textId="7DB54877"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5.98 </w:t>
                  </w:r>
                </w:p>
              </w:tc>
              <w:tc>
                <w:tcPr>
                  <w:tcW w:w="1149" w:type="dxa"/>
                  <w:tcBorders>
                    <w:top w:val="nil"/>
                    <w:left w:val="nil"/>
                    <w:bottom w:val="single" w:sz="8" w:space="0" w:color="FFFFFF"/>
                    <w:right w:val="single" w:sz="8" w:space="0" w:color="FFFFFF"/>
                  </w:tcBorders>
                  <w:shd w:val="clear" w:color="000000" w:fill="FCD5B4"/>
                  <w:noWrap/>
                  <w:vAlign w:val="center"/>
                  <w:hideMark/>
                </w:tcPr>
                <w:p w14:paraId="611290CA" w14:textId="4B8BD023" w:rsidR="002D3316" w:rsidRPr="00B41E24" w:rsidRDefault="002D3316" w:rsidP="002D3316">
                  <w:pPr>
                    <w:widowControl/>
                    <w:jc w:val="center"/>
                    <w:rPr>
                      <w:rFonts w:ascii="楷体" w:eastAsia="楷体" w:hAnsi="楷体"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20496D80" w14:textId="5C10A4EF"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0.51 </w:t>
                  </w:r>
                </w:p>
              </w:tc>
              <w:tc>
                <w:tcPr>
                  <w:tcW w:w="920" w:type="dxa"/>
                  <w:tcBorders>
                    <w:top w:val="nil"/>
                    <w:left w:val="nil"/>
                    <w:bottom w:val="single" w:sz="8" w:space="0" w:color="FFFFFF"/>
                    <w:right w:val="single" w:sz="8" w:space="0" w:color="FFFFFF"/>
                  </w:tcBorders>
                  <w:shd w:val="clear" w:color="000000" w:fill="FCD5B4"/>
                  <w:noWrap/>
                  <w:vAlign w:val="center"/>
                  <w:hideMark/>
                </w:tcPr>
                <w:p w14:paraId="3BFA925B" w14:textId="25DE12C8"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0.66 </w:t>
                  </w:r>
                </w:p>
              </w:tc>
              <w:tc>
                <w:tcPr>
                  <w:tcW w:w="920" w:type="dxa"/>
                  <w:tcBorders>
                    <w:top w:val="nil"/>
                    <w:left w:val="nil"/>
                    <w:bottom w:val="single" w:sz="8" w:space="0" w:color="FFFFFF"/>
                    <w:right w:val="single" w:sz="8" w:space="0" w:color="FFFFFF"/>
                  </w:tcBorders>
                  <w:shd w:val="clear" w:color="000000" w:fill="FCD5B4"/>
                  <w:noWrap/>
                  <w:vAlign w:val="center"/>
                  <w:hideMark/>
                </w:tcPr>
                <w:p w14:paraId="16CD7225" w14:textId="6ECB84F9"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0.80 </w:t>
                  </w:r>
                </w:p>
              </w:tc>
              <w:tc>
                <w:tcPr>
                  <w:tcW w:w="920" w:type="dxa"/>
                  <w:tcBorders>
                    <w:top w:val="nil"/>
                    <w:left w:val="nil"/>
                    <w:bottom w:val="single" w:sz="8" w:space="0" w:color="FFFFFF"/>
                    <w:right w:val="single" w:sz="8" w:space="0" w:color="FFFFFF"/>
                  </w:tcBorders>
                  <w:shd w:val="clear" w:color="000000" w:fill="FCD5B4"/>
                  <w:noWrap/>
                  <w:vAlign w:val="center"/>
                  <w:hideMark/>
                </w:tcPr>
                <w:p w14:paraId="62A0BB0C" w14:textId="2DD6C137"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3.43 </w:t>
                  </w:r>
                </w:p>
              </w:tc>
            </w:tr>
            <w:tr w:rsidR="002D3316" w:rsidRPr="00B41E24" w14:paraId="410B429A" w14:textId="77777777" w:rsidTr="007A1586">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3F93C5ED" w14:textId="1AF2DE21" w:rsidR="002D3316" w:rsidRPr="00B41E24" w:rsidRDefault="002D3316" w:rsidP="002D3316">
                  <w:pPr>
                    <w:widowControl/>
                    <w:jc w:val="center"/>
                    <w:rPr>
                      <w:rFonts w:ascii="楷体" w:eastAsia="楷体" w:hAnsi="楷体"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5Y</w:t>
                  </w:r>
                </w:p>
              </w:tc>
              <w:tc>
                <w:tcPr>
                  <w:tcW w:w="740" w:type="dxa"/>
                  <w:tcBorders>
                    <w:top w:val="nil"/>
                    <w:left w:val="nil"/>
                    <w:bottom w:val="single" w:sz="8" w:space="0" w:color="FFFFFF"/>
                    <w:right w:val="single" w:sz="8" w:space="0" w:color="FFFFFF"/>
                  </w:tcBorders>
                  <w:shd w:val="clear" w:color="000000" w:fill="FDE9D9"/>
                  <w:noWrap/>
                  <w:vAlign w:val="center"/>
                  <w:hideMark/>
                </w:tcPr>
                <w:p w14:paraId="231CF143" w14:textId="2A002A5C"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3.34 </w:t>
                  </w:r>
                </w:p>
              </w:tc>
              <w:tc>
                <w:tcPr>
                  <w:tcW w:w="920" w:type="dxa"/>
                  <w:tcBorders>
                    <w:top w:val="nil"/>
                    <w:left w:val="nil"/>
                    <w:bottom w:val="single" w:sz="8" w:space="0" w:color="FFFFFF"/>
                    <w:right w:val="single" w:sz="8" w:space="0" w:color="FFFFFF"/>
                  </w:tcBorders>
                  <w:shd w:val="clear" w:color="000000" w:fill="FDE9D9"/>
                  <w:noWrap/>
                  <w:vAlign w:val="center"/>
                  <w:hideMark/>
                </w:tcPr>
                <w:p w14:paraId="28605ADA" w14:textId="51FA47FC"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3.53 </w:t>
                  </w:r>
                </w:p>
              </w:tc>
              <w:tc>
                <w:tcPr>
                  <w:tcW w:w="920" w:type="dxa"/>
                  <w:tcBorders>
                    <w:top w:val="nil"/>
                    <w:left w:val="nil"/>
                    <w:bottom w:val="single" w:sz="8" w:space="0" w:color="FFFFFF"/>
                    <w:right w:val="single" w:sz="8" w:space="0" w:color="FFFFFF"/>
                  </w:tcBorders>
                  <w:shd w:val="clear" w:color="000000" w:fill="FDE9D9"/>
                  <w:noWrap/>
                  <w:vAlign w:val="center"/>
                  <w:hideMark/>
                </w:tcPr>
                <w:p w14:paraId="138A29ED" w14:textId="1C913173"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3.96 </w:t>
                  </w:r>
                </w:p>
              </w:tc>
              <w:tc>
                <w:tcPr>
                  <w:tcW w:w="920" w:type="dxa"/>
                  <w:tcBorders>
                    <w:top w:val="nil"/>
                    <w:left w:val="nil"/>
                    <w:bottom w:val="single" w:sz="8" w:space="0" w:color="FFFFFF"/>
                    <w:right w:val="single" w:sz="8" w:space="0" w:color="FFFFFF"/>
                  </w:tcBorders>
                  <w:shd w:val="clear" w:color="000000" w:fill="FDE9D9"/>
                  <w:noWrap/>
                  <w:vAlign w:val="center"/>
                  <w:hideMark/>
                </w:tcPr>
                <w:p w14:paraId="36771C93" w14:textId="17713AB3"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6.90 </w:t>
                  </w:r>
                </w:p>
              </w:tc>
              <w:tc>
                <w:tcPr>
                  <w:tcW w:w="1149" w:type="dxa"/>
                  <w:tcBorders>
                    <w:top w:val="nil"/>
                    <w:left w:val="nil"/>
                    <w:bottom w:val="single" w:sz="8" w:space="0" w:color="FFFFFF"/>
                    <w:right w:val="single" w:sz="8" w:space="0" w:color="FFFFFF"/>
                  </w:tcBorders>
                  <w:shd w:val="clear" w:color="000000" w:fill="FDE9D9"/>
                  <w:noWrap/>
                  <w:vAlign w:val="center"/>
                  <w:hideMark/>
                </w:tcPr>
                <w:p w14:paraId="12900514" w14:textId="1B9FA3F8" w:rsidR="002D3316" w:rsidRPr="00B41E24" w:rsidRDefault="002D3316" w:rsidP="002D3316">
                  <w:pPr>
                    <w:widowControl/>
                    <w:jc w:val="center"/>
                    <w:rPr>
                      <w:rFonts w:ascii="楷体" w:eastAsia="楷体" w:hAnsi="楷体"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3A1F834B" w14:textId="0E9BD59B"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0.67 </w:t>
                  </w:r>
                </w:p>
              </w:tc>
              <w:tc>
                <w:tcPr>
                  <w:tcW w:w="920" w:type="dxa"/>
                  <w:tcBorders>
                    <w:top w:val="nil"/>
                    <w:left w:val="nil"/>
                    <w:bottom w:val="single" w:sz="8" w:space="0" w:color="FFFFFF"/>
                    <w:right w:val="single" w:sz="8" w:space="0" w:color="FFFFFF"/>
                  </w:tcBorders>
                  <w:shd w:val="clear" w:color="000000" w:fill="FDE9D9"/>
                  <w:noWrap/>
                  <w:vAlign w:val="center"/>
                  <w:hideMark/>
                </w:tcPr>
                <w:p w14:paraId="65FCA278" w14:textId="3ECFE65C"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0.86 </w:t>
                  </w:r>
                </w:p>
              </w:tc>
              <w:tc>
                <w:tcPr>
                  <w:tcW w:w="920" w:type="dxa"/>
                  <w:tcBorders>
                    <w:top w:val="nil"/>
                    <w:left w:val="nil"/>
                    <w:bottom w:val="single" w:sz="8" w:space="0" w:color="FFFFFF"/>
                    <w:right w:val="single" w:sz="8" w:space="0" w:color="FFFFFF"/>
                  </w:tcBorders>
                  <w:shd w:val="clear" w:color="000000" w:fill="FDE9D9"/>
                  <w:noWrap/>
                  <w:vAlign w:val="center"/>
                  <w:hideMark/>
                </w:tcPr>
                <w:p w14:paraId="27F1C7B6" w14:textId="50C32038"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1.30 </w:t>
                  </w:r>
                </w:p>
              </w:tc>
              <w:tc>
                <w:tcPr>
                  <w:tcW w:w="920" w:type="dxa"/>
                  <w:tcBorders>
                    <w:top w:val="nil"/>
                    <w:left w:val="nil"/>
                    <w:bottom w:val="single" w:sz="8" w:space="0" w:color="FFFFFF"/>
                    <w:right w:val="single" w:sz="8" w:space="0" w:color="FFFFFF"/>
                  </w:tcBorders>
                  <w:shd w:val="clear" w:color="000000" w:fill="FDE9D9"/>
                  <w:noWrap/>
                  <w:vAlign w:val="center"/>
                  <w:hideMark/>
                </w:tcPr>
                <w:p w14:paraId="01875D19" w14:textId="6F01D7B2"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4.24 </w:t>
                  </w:r>
                </w:p>
              </w:tc>
            </w:tr>
            <w:tr w:rsidR="002D3316" w:rsidRPr="00B41E24" w14:paraId="3E035994" w14:textId="77777777" w:rsidTr="007A1586">
              <w:trPr>
                <w:trHeight w:val="310"/>
              </w:trPr>
              <w:tc>
                <w:tcPr>
                  <w:tcW w:w="1309" w:type="dxa"/>
                  <w:tcBorders>
                    <w:top w:val="nil"/>
                    <w:left w:val="nil"/>
                    <w:bottom w:val="nil"/>
                    <w:right w:val="nil"/>
                  </w:tcBorders>
                  <w:shd w:val="clear" w:color="000000" w:fill="FCD5B4"/>
                  <w:noWrap/>
                  <w:vAlign w:val="center"/>
                  <w:hideMark/>
                </w:tcPr>
                <w:p w14:paraId="6806E277" w14:textId="45CB89BF" w:rsidR="002D3316" w:rsidRPr="00B41E24" w:rsidRDefault="002D3316" w:rsidP="002D3316">
                  <w:pPr>
                    <w:widowControl/>
                    <w:jc w:val="center"/>
                    <w:rPr>
                      <w:rFonts w:ascii="楷体" w:eastAsia="楷体" w:hAnsi="楷体"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7Y</w:t>
                  </w:r>
                </w:p>
              </w:tc>
              <w:tc>
                <w:tcPr>
                  <w:tcW w:w="740" w:type="dxa"/>
                  <w:tcBorders>
                    <w:top w:val="nil"/>
                    <w:left w:val="nil"/>
                    <w:bottom w:val="single" w:sz="8" w:space="0" w:color="FFFFFF"/>
                    <w:right w:val="single" w:sz="8" w:space="0" w:color="FFFFFF"/>
                  </w:tcBorders>
                  <w:shd w:val="clear" w:color="000000" w:fill="FCD5B4"/>
                  <w:noWrap/>
                  <w:vAlign w:val="center"/>
                  <w:hideMark/>
                </w:tcPr>
                <w:p w14:paraId="6B2AD056" w14:textId="67413D90"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3.59 </w:t>
                  </w:r>
                </w:p>
              </w:tc>
              <w:tc>
                <w:tcPr>
                  <w:tcW w:w="920" w:type="dxa"/>
                  <w:tcBorders>
                    <w:top w:val="nil"/>
                    <w:left w:val="nil"/>
                    <w:bottom w:val="single" w:sz="8" w:space="0" w:color="FFFFFF"/>
                    <w:right w:val="single" w:sz="8" w:space="0" w:color="FFFFFF"/>
                  </w:tcBorders>
                  <w:shd w:val="clear" w:color="000000" w:fill="FCD5B4"/>
                  <w:noWrap/>
                  <w:vAlign w:val="center"/>
                  <w:hideMark/>
                </w:tcPr>
                <w:p w14:paraId="64875CAA" w14:textId="53CB5216"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3.84 </w:t>
                  </w:r>
                </w:p>
              </w:tc>
              <w:tc>
                <w:tcPr>
                  <w:tcW w:w="920" w:type="dxa"/>
                  <w:tcBorders>
                    <w:top w:val="nil"/>
                    <w:left w:val="nil"/>
                    <w:bottom w:val="single" w:sz="8" w:space="0" w:color="FFFFFF"/>
                    <w:right w:val="single" w:sz="8" w:space="0" w:color="FFFFFF"/>
                  </w:tcBorders>
                  <w:shd w:val="clear" w:color="000000" w:fill="FCD5B4"/>
                  <w:noWrap/>
                  <w:vAlign w:val="center"/>
                  <w:hideMark/>
                </w:tcPr>
                <w:p w14:paraId="37FAD57A" w14:textId="6C1414C3"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4.34 </w:t>
                  </w:r>
                </w:p>
              </w:tc>
              <w:tc>
                <w:tcPr>
                  <w:tcW w:w="920" w:type="dxa"/>
                  <w:tcBorders>
                    <w:top w:val="nil"/>
                    <w:left w:val="nil"/>
                    <w:bottom w:val="single" w:sz="8" w:space="0" w:color="FFFFFF"/>
                    <w:right w:val="single" w:sz="8" w:space="0" w:color="FFFFFF"/>
                  </w:tcBorders>
                  <w:shd w:val="clear" w:color="000000" w:fill="FCD5B4"/>
                  <w:noWrap/>
                  <w:vAlign w:val="center"/>
                  <w:hideMark/>
                </w:tcPr>
                <w:p w14:paraId="2CDC7C7E" w14:textId="547D6D8B"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7.28 </w:t>
                  </w:r>
                </w:p>
              </w:tc>
              <w:tc>
                <w:tcPr>
                  <w:tcW w:w="1149" w:type="dxa"/>
                  <w:tcBorders>
                    <w:top w:val="nil"/>
                    <w:left w:val="nil"/>
                    <w:bottom w:val="nil"/>
                    <w:right w:val="nil"/>
                  </w:tcBorders>
                  <w:shd w:val="clear" w:color="000000" w:fill="FCD5B4"/>
                  <w:noWrap/>
                  <w:vAlign w:val="center"/>
                  <w:hideMark/>
                </w:tcPr>
                <w:p w14:paraId="21A0B914" w14:textId="3AA18E75" w:rsidR="002D3316" w:rsidRPr="00B41E24" w:rsidRDefault="002D3316" w:rsidP="002D3316">
                  <w:pPr>
                    <w:widowControl/>
                    <w:jc w:val="center"/>
                    <w:rPr>
                      <w:rFonts w:ascii="楷体" w:eastAsia="楷体" w:hAnsi="楷体"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2DE8FCCC" w14:textId="356CFB86"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0.77 </w:t>
                  </w:r>
                </w:p>
              </w:tc>
              <w:tc>
                <w:tcPr>
                  <w:tcW w:w="920" w:type="dxa"/>
                  <w:tcBorders>
                    <w:top w:val="nil"/>
                    <w:left w:val="nil"/>
                    <w:bottom w:val="single" w:sz="8" w:space="0" w:color="FFFFFF"/>
                    <w:right w:val="single" w:sz="8" w:space="0" w:color="FFFFFF"/>
                  </w:tcBorders>
                  <w:shd w:val="clear" w:color="000000" w:fill="FCD5B4"/>
                  <w:noWrap/>
                  <w:vAlign w:val="center"/>
                  <w:hideMark/>
                </w:tcPr>
                <w:p w14:paraId="5E36F15A" w14:textId="070EC033"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1.02 </w:t>
                  </w:r>
                </w:p>
              </w:tc>
              <w:tc>
                <w:tcPr>
                  <w:tcW w:w="920" w:type="dxa"/>
                  <w:tcBorders>
                    <w:top w:val="nil"/>
                    <w:left w:val="nil"/>
                    <w:bottom w:val="single" w:sz="8" w:space="0" w:color="FFFFFF"/>
                    <w:right w:val="single" w:sz="8" w:space="0" w:color="FFFFFF"/>
                  </w:tcBorders>
                  <w:shd w:val="clear" w:color="000000" w:fill="FCD5B4"/>
                  <w:noWrap/>
                  <w:vAlign w:val="center"/>
                  <w:hideMark/>
                </w:tcPr>
                <w:p w14:paraId="7CD60254" w14:textId="230404FD"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1.52 </w:t>
                  </w:r>
                </w:p>
              </w:tc>
              <w:tc>
                <w:tcPr>
                  <w:tcW w:w="920" w:type="dxa"/>
                  <w:tcBorders>
                    <w:top w:val="nil"/>
                    <w:left w:val="nil"/>
                    <w:bottom w:val="single" w:sz="8" w:space="0" w:color="FFFFFF"/>
                    <w:right w:val="single" w:sz="8" w:space="0" w:color="FFFFFF"/>
                  </w:tcBorders>
                  <w:shd w:val="clear" w:color="000000" w:fill="FCD5B4"/>
                  <w:noWrap/>
                  <w:vAlign w:val="center"/>
                  <w:hideMark/>
                </w:tcPr>
                <w:p w14:paraId="39243B4A" w14:textId="7326BAC5"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4.46 </w:t>
                  </w:r>
                </w:p>
              </w:tc>
            </w:tr>
            <w:tr w:rsidR="002D3316" w:rsidRPr="00B41E24" w14:paraId="7406B1F6" w14:textId="77777777" w:rsidTr="007A1586">
              <w:trPr>
                <w:trHeight w:val="160"/>
              </w:trPr>
              <w:tc>
                <w:tcPr>
                  <w:tcW w:w="1309" w:type="dxa"/>
                  <w:tcBorders>
                    <w:top w:val="nil"/>
                    <w:left w:val="nil"/>
                    <w:bottom w:val="nil"/>
                    <w:right w:val="nil"/>
                  </w:tcBorders>
                  <w:shd w:val="clear" w:color="auto" w:fill="auto"/>
                  <w:noWrap/>
                  <w:vAlign w:val="center"/>
                  <w:hideMark/>
                </w:tcPr>
                <w:p w14:paraId="2190587C" w14:textId="77777777" w:rsidR="002D3316" w:rsidRPr="00B41E24" w:rsidRDefault="002D3316" w:rsidP="002D3316">
                  <w:pPr>
                    <w:widowControl/>
                    <w:jc w:val="center"/>
                    <w:rPr>
                      <w:rFonts w:eastAsia="等线" w:cs="Calibri"/>
                      <w:color w:val="000000"/>
                      <w:kern w:val="0"/>
                      <w:szCs w:val="21"/>
                    </w:rPr>
                  </w:pPr>
                </w:p>
              </w:tc>
              <w:tc>
                <w:tcPr>
                  <w:tcW w:w="740" w:type="dxa"/>
                  <w:tcBorders>
                    <w:top w:val="nil"/>
                    <w:left w:val="nil"/>
                    <w:bottom w:val="nil"/>
                    <w:right w:val="nil"/>
                  </w:tcBorders>
                  <w:shd w:val="clear" w:color="auto" w:fill="auto"/>
                  <w:noWrap/>
                  <w:vAlign w:val="center"/>
                  <w:hideMark/>
                </w:tcPr>
                <w:p w14:paraId="399F5F18" w14:textId="77777777" w:rsidR="002D3316" w:rsidRPr="00B41E24" w:rsidRDefault="002D3316" w:rsidP="002D3316">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320FF196" w14:textId="77777777" w:rsidR="002D3316" w:rsidRPr="00B41E24" w:rsidRDefault="002D3316" w:rsidP="002D3316">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28B3E77A" w14:textId="77777777" w:rsidR="002D3316" w:rsidRPr="00B41E24" w:rsidRDefault="002D3316" w:rsidP="002D3316">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18C400F3" w14:textId="77777777" w:rsidR="002D3316" w:rsidRPr="00B41E24" w:rsidRDefault="002D3316" w:rsidP="002D3316">
                  <w:pPr>
                    <w:widowControl/>
                    <w:jc w:val="center"/>
                    <w:rPr>
                      <w:rFonts w:ascii="Times New Roman" w:eastAsia="Times New Roman" w:hAnsi="Times New Roman"/>
                      <w:kern w:val="0"/>
                      <w:sz w:val="20"/>
                      <w:szCs w:val="20"/>
                    </w:rPr>
                  </w:pPr>
                </w:p>
              </w:tc>
              <w:tc>
                <w:tcPr>
                  <w:tcW w:w="1149" w:type="dxa"/>
                  <w:tcBorders>
                    <w:top w:val="nil"/>
                    <w:left w:val="nil"/>
                    <w:bottom w:val="nil"/>
                    <w:right w:val="nil"/>
                  </w:tcBorders>
                  <w:shd w:val="clear" w:color="auto" w:fill="auto"/>
                  <w:noWrap/>
                  <w:vAlign w:val="center"/>
                  <w:hideMark/>
                </w:tcPr>
                <w:p w14:paraId="326524A6" w14:textId="77777777" w:rsidR="002D3316" w:rsidRPr="00B41E24" w:rsidRDefault="002D3316" w:rsidP="002D3316">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6D3BBAE2" w14:textId="77777777" w:rsidR="002D3316" w:rsidRPr="00B41E24" w:rsidRDefault="002D3316" w:rsidP="002D3316">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277D745A" w14:textId="77777777" w:rsidR="002D3316" w:rsidRPr="00B41E24" w:rsidRDefault="002D3316" w:rsidP="002D3316">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12E56B1A" w14:textId="77777777" w:rsidR="002D3316" w:rsidRPr="00B41E24" w:rsidRDefault="002D3316" w:rsidP="002D3316">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064A8616" w14:textId="77777777" w:rsidR="002D3316" w:rsidRPr="00B41E24" w:rsidRDefault="002D3316" w:rsidP="002D3316">
                  <w:pPr>
                    <w:widowControl/>
                    <w:jc w:val="center"/>
                    <w:rPr>
                      <w:rFonts w:ascii="Times New Roman" w:eastAsia="Times New Roman" w:hAnsi="Times New Roman"/>
                      <w:kern w:val="0"/>
                      <w:sz w:val="20"/>
                      <w:szCs w:val="20"/>
                    </w:rPr>
                  </w:pPr>
                </w:p>
              </w:tc>
            </w:tr>
            <w:tr w:rsidR="002D3316" w:rsidRPr="00B41E24" w14:paraId="67AF4F87" w14:textId="77777777" w:rsidTr="007A1586">
              <w:trPr>
                <w:trHeight w:val="74"/>
              </w:trPr>
              <w:tc>
                <w:tcPr>
                  <w:tcW w:w="1309" w:type="dxa"/>
                  <w:tcBorders>
                    <w:top w:val="nil"/>
                    <w:left w:val="nil"/>
                    <w:bottom w:val="single" w:sz="12" w:space="0" w:color="FFFFFF"/>
                    <w:right w:val="single" w:sz="8" w:space="0" w:color="FFFFFF"/>
                  </w:tcBorders>
                  <w:shd w:val="clear" w:color="000000" w:fill="F79646"/>
                  <w:noWrap/>
                  <w:vAlign w:val="center"/>
                  <w:hideMark/>
                </w:tcPr>
                <w:p w14:paraId="3FE61E82" w14:textId="0D4052E8" w:rsidR="002D3316" w:rsidRPr="00B41E24" w:rsidRDefault="002D3316" w:rsidP="002D3316">
                  <w:pPr>
                    <w:widowControl/>
                    <w:jc w:val="center"/>
                    <w:rPr>
                      <w:rFonts w:ascii="楷体" w:eastAsia="楷体" w:hAnsi="楷体" w:cs="宋体"/>
                      <w:b/>
                      <w:bCs/>
                      <w:color w:val="FFFFFF"/>
                      <w:kern w:val="0"/>
                      <w:sz w:val="20"/>
                      <w:szCs w:val="20"/>
                    </w:rPr>
                  </w:pPr>
                  <w:proofErr w:type="gramStart"/>
                  <w:r>
                    <w:rPr>
                      <w:rFonts w:ascii="楷体" w:eastAsia="楷体" w:hAnsi="楷体" w:hint="eastAsia"/>
                      <w:b/>
                      <w:bCs/>
                      <w:color w:val="FFFFFF"/>
                      <w:sz w:val="20"/>
                      <w:szCs w:val="20"/>
                    </w:rPr>
                    <w:t>周变化</w:t>
                  </w:r>
                  <w:proofErr w:type="gramEnd"/>
                  <w:r>
                    <w:rPr>
                      <w:rFonts w:ascii="楷体" w:eastAsia="楷体" w:hAnsi="楷体" w:hint="eastAsia"/>
                      <w:b/>
                      <w:bCs/>
                      <w:color w:val="FFFFFF"/>
                      <w:sz w:val="20"/>
                      <w:szCs w:val="20"/>
                    </w:rPr>
                    <w:t>(BP)</w:t>
                  </w:r>
                </w:p>
              </w:tc>
              <w:tc>
                <w:tcPr>
                  <w:tcW w:w="740" w:type="dxa"/>
                  <w:tcBorders>
                    <w:top w:val="nil"/>
                    <w:left w:val="nil"/>
                    <w:bottom w:val="single" w:sz="12" w:space="0" w:color="FFFFFF"/>
                    <w:right w:val="single" w:sz="8" w:space="0" w:color="FFFFFF"/>
                  </w:tcBorders>
                  <w:shd w:val="clear" w:color="000000" w:fill="F79646"/>
                  <w:noWrap/>
                  <w:vAlign w:val="center"/>
                  <w:hideMark/>
                </w:tcPr>
                <w:p w14:paraId="7A2D29AE" w14:textId="1A7E113E" w:rsidR="002D3316" w:rsidRPr="00B41E24" w:rsidRDefault="002D3316" w:rsidP="002D3316">
                  <w:pPr>
                    <w:widowControl/>
                    <w:jc w:val="center"/>
                    <w:rPr>
                      <w:rFonts w:ascii="楷体" w:eastAsia="楷体" w:hAnsi="楷体" w:cs="宋体"/>
                      <w:b/>
                      <w:bCs/>
                      <w:color w:val="FFFFFF"/>
                      <w:kern w:val="0"/>
                      <w:sz w:val="20"/>
                      <w:szCs w:val="20"/>
                    </w:rPr>
                  </w:pPr>
                  <w:r>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31A4EADA" w14:textId="48BE7D33" w:rsidR="002D3316" w:rsidRPr="00B41E24" w:rsidRDefault="002D3316" w:rsidP="002D3316">
                  <w:pPr>
                    <w:widowControl/>
                    <w:jc w:val="center"/>
                    <w:rPr>
                      <w:rFonts w:ascii="楷体" w:eastAsia="楷体" w:hAnsi="楷体"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ED283BD" w14:textId="0072C34E" w:rsidR="002D3316" w:rsidRPr="00B41E24" w:rsidRDefault="002D3316" w:rsidP="002D3316">
                  <w:pPr>
                    <w:widowControl/>
                    <w:jc w:val="center"/>
                    <w:rPr>
                      <w:rFonts w:ascii="楷体" w:eastAsia="楷体" w:hAnsi="楷体"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0D14BBA3" w14:textId="235BC8C5" w:rsidR="002D3316" w:rsidRPr="00B41E24" w:rsidRDefault="002D3316" w:rsidP="002D3316">
                  <w:pPr>
                    <w:widowControl/>
                    <w:jc w:val="center"/>
                    <w:rPr>
                      <w:rFonts w:ascii="楷体" w:eastAsia="楷体" w:hAnsi="楷体" w:cs="宋体"/>
                      <w:b/>
                      <w:bCs/>
                      <w:color w:val="FFFFFF"/>
                      <w:kern w:val="0"/>
                      <w:sz w:val="20"/>
                      <w:szCs w:val="20"/>
                    </w:rPr>
                  </w:pPr>
                  <w:r>
                    <w:rPr>
                      <w:rFonts w:ascii="楷体" w:eastAsia="楷体" w:hAnsi="楷体" w:hint="eastAsia"/>
                      <w:b/>
                      <w:bCs/>
                      <w:color w:val="FFFFFF"/>
                      <w:sz w:val="20"/>
                      <w:szCs w:val="20"/>
                    </w:rPr>
                    <w:t>AA-</w:t>
                  </w:r>
                </w:p>
              </w:tc>
              <w:tc>
                <w:tcPr>
                  <w:tcW w:w="1149" w:type="dxa"/>
                  <w:tcBorders>
                    <w:top w:val="nil"/>
                    <w:left w:val="nil"/>
                    <w:bottom w:val="single" w:sz="12" w:space="0" w:color="FFFFFF"/>
                    <w:right w:val="single" w:sz="8" w:space="0" w:color="FFFFFF"/>
                  </w:tcBorders>
                  <w:shd w:val="clear" w:color="000000" w:fill="F79646"/>
                  <w:noWrap/>
                  <w:vAlign w:val="center"/>
                  <w:hideMark/>
                </w:tcPr>
                <w:p w14:paraId="6F6F04C0" w14:textId="00D75805" w:rsidR="002D3316" w:rsidRPr="00B41E24" w:rsidRDefault="002D3316" w:rsidP="002D3316">
                  <w:pPr>
                    <w:widowControl/>
                    <w:jc w:val="center"/>
                    <w:rPr>
                      <w:rFonts w:ascii="楷体" w:eastAsia="楷体" w:hAnsi="楷体" w:cs="宋体"/>
                      <w:b/>
                      <w:bCs/>
                      <w:color w:val="FFFFFF"/>
                      <w:kern w:val="0"/>
                      <w:sz w:val="20"/>
                      <w:szCs w:val="20"/>
                    </w:rPr>
                  </w:pPr>
                  <w:r>
                    <w:rPr>
                      <w:rFonts w:ascii="楷体" w:eastAsia="楷体" w:hAnsi="楷体" w:hint="eastAsia"/>
                      <w:b/>
                      <w:bCs/>
                      <w:color w:val="FFFFFF"/>
                      <w:sz w:val="20"/>
                      <w:szCs w:val="20"/>
                    </w:rPr>
                    <w:t>息差</w:t>
                  </w:r>
                </w:p>
              </w:tc>
              <w:tc>
                <w:tcPr>
                  <w:tcW w:w="920" w:type="dxa"/>
                  <w:tcBorders>
                    <w:top w:val="nil"/>
                    <w:left w:val="nil"/>
                    <w:bottom w:val="single" w:sz="12" w:space="0" w:color="FFFFFF"/>
                    <w:right w:val="single" w:sz="8" w:space="0" w:color="FFFFFF"/>
                  </w:tcBorders>
                  <w:shd w:val="clear" w:color="000000" w:fill="F79646"/>
                  <w:noWrap/>
                  <w:vAlign w:val="center"/>
                  <w:hideMark/>
                </w:tcPr>
                <w:p w14:paraId="11161DDB" w14:textId="38D727EA" w:rsidR="002D3316" w:rsidRPr="00B41E24" w:rsidRDefault="002D3316" w:rsidP="002D3316">
                  <w:pPr>
                    <w:widowControl/>
                    <w:jc w:val="center"/>
                    <w:rPr>
                      <w:rFonts w:ascii="楷体" w:eastAsia="楷体" w:hAnsi="楷体" w:cs="宋体"/>
                      <w:b/>
                      <w:bCs/>
                      <w:color w:val="FFFFFF"/>
                      <w:kern w:val="0"/>
                      <w:sz w:val="20"/>
                      <w:szCs w:val="20"/>
                    </w:rPr>
                  </w:pPr>
                  <w:r>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88427D0" w14:textId="2957BF86" w:rsidR="002D3316" w:rsidRPr="00B41E24" w:rsidRDefault="002D3316" w:rsidP="002D3316">
                  <w:pPr>
                    <w:widowControl/>
                    <w:jc w:val="center"/>
                    <w:rPr>
                      <w:rFonts w:ascii="楷体" w:eastAsia="楷体" w:hAnsi="楷体"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20F81475" w14:textId="164DC445" w:rsidR="002D3316" w:rsidRPr="00B41E24" w:rsidRDefault="002D3316" w:rsidP="002D3316">
                  <w:pPr>
                    <w:widowControl/>
                    <w:jc w:val="center"/>
                    <w:rPr>
                      <w:rFonts w:ascii="楷体" w:eastAsia="楷体" w:hAnsi="楷体"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68358154" w14:textId="089C56B4" w:rsidR="002D3316" w:rsidRPr="00B41E24" w:rsidRDefault="002D3316" w:rsidP="002D3316">
                  <w:pPr>
                    <w:widowControl/>
                    <w:jc w:val="center"/>
                    <w:rPr>
                      <w:rFonts w:ascii="楷体" w:eastAsia="楷体" w:hAnsi="楷体" w:cs="宋体"/>
                      <w:b/>
                      <w:bCs/>
                      <w:color w:val="FFFFFF"/>
                      <w:kern w:val="0"/>
                      <w:sz w:val="20"/>
                      <w:szCs w:val="20"/>
                    </w:rPr>
                  </w:pPr>
                  <w:r>
                    <w:rPr>
                      <w:rFonts w:ascii="楷体" w:eastAsia="楷体" w:hAnsi="楷体" w:hint="eastAsia"/>
                      <w:b/>
                      <w:bCs/>
                      <w:color w:val="FFFFFF"/>
                      <w:sz w:val="20"/>
                      <w:szCs w:val="20"/>
                    </w:rPr>
                    <w:t>AA-</w:t>
                  </w:r>
                </w:p>
              </w:tc>
            </w:tr>
            <w:tr w:rsidR="002D3316" w:rsidRPr="00B41E24" w14:paraId="691FA2FB" w14:textId="77777777" w:rsidTr="007A1586">
              <w:trPr>
                <w:trHeight w:val="321"/>
              </w:trPr>
              <w:tc>
                <w:tcPr>
                  <w:tcW w:w="1309" w:type="dxa"/>
                  <w:tcBorders>
                    <w:top w:val="nil"/>
                    <w:left w:val="nil"/>
                    <w:bottom w:val="single" w:sz="8" w:space="0" w:color="FFFFFF"/>
                    <w:right w:val="single" w:sz="8" w:space="0" w:color="FFFFFF"/>
                  </w:tcBorders>
                  <w:shd w:val="clear" w:color="000000" w:fill="FCD5B4"/>
                  <w:noWrap/>
                  <w:vAlign w:val="center"/>
                  <w:hideMark/>
                </w:tcPr>
                <w:p w14:paraId="4B8AC9FB" w14:textId="35430DFA"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CP</w:t>
                  </w:r>
                </w:p>
              </w:tc>
              <w:tc>
                <w:tcPr>
                  <w:tcW w:w="740" w:type="dxa"/>
                  <w:tcBorders>
                    <w:top w:val="nil"/>
                    <w:left w:val="nil"/>
                    <w:bottom w:val="single" w:sz="8" w:space="0" w:color="FFFFFF"/>
                    <w:right w:val="single" w:sz="8" w:space="0" w:color="FFFFFF"/>
                  </w:tcBorders>
                  <w:shd w:val="clear" w:color="000000" w:fill="FCD5B4"/>
                  <w:noWrap/>
                  <w:vAlign w:val="center"/>
                  <w:hideMark/>
                </w:tcPr>
                <w:p w14:paraId="26737727" w14:textId="761611E5"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-4.0 </w:t>
                  </w:r>
                </w:p>
              </w:tc>
              <w:tc>
                <w:tcPr>
                  <w:tcW w:w="920" w:type="dxa"/>
                  <w:tcBorders>
                    <w:top w:val="nil"/>
                    <w:left w:val="nil"/>
                    <w:bottom w:val="single" w:sz="8" w:space="0" w:color="FFFFFF"/>
                    <w:right w:val="single" w:sz="8" w:space="0" w:color="FFFFFF"/>
                  </w:tcBorders>
                  <w:shd w:val="clear" w:color="000000" w:fill="FCD5B4"/>
                  <w:noWrap/>
                  <w:vAlign w:val="center"/>
                  <w:hideMark/>
                </w:tcPr>
                <w:p w14:paraId="36AEEC42" w14:textId="329FF586"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-4.0 </w:t>
                  </w:r>
                </w:p>
              </w:tc>
              <w:tc>
                <w:tcPr>
                  <w:tcW w:w="920" w:type="dxa"/>
                  <w:tcBorders>
                    <w:top w:val="nil"/>
                    <w:left w:val="nil"/>
                    <w:bottom w:val="single" w:sz="8" w:space="0" w:color="FFFFFF"/>
                    <w:right w:val="single" w:sz="8" w:space="0" w:color="FFFFFF"/>
                  </w:tcBorders>
                  <w:shd w:val="clear" w:color="000000" w:fill="FCD5B4"/>
                  <w:noWrap/>
                  <w:vAlign w:val="center"/>
                  <w:hideMark/>
                </w:tcPr>
                <w:p w14:paraId="6FAA78B0" w14:textId="7C64ED2A"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-6.0 </w:t>
                  </w:r>
                </w:p>
              </w:tc>
              <w:tc>
                <w:tcPr>
                  <w:tcW w:w="920" w:type="dxa"/>
                  <w:tcBorders>
                    <w:top w:val="nil"/>
                    <w:left w:val="nil"/>
                    <w:bottom w:val="single" w:sz="8" w:space="0" w:color="FFFFFF"/>
                    <w:right w:val="single" w:sz="8" w:space="0" w:color="FFFFFF"/>
                  </w:tcBorders>
                  <w:shd w:val="clear" w:color="000000" w:fill="FCD5B4"/>
                  <w:noWrap/>
                  <w:vAlign w:val="center"/>
                  <w:hideMark/>
                </w:tcPr>
                <w:p w14:paraId="79E4FA89" w14:textId="505CEA79"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-3.0 </w:t>
                  </w:r>
                </w:p>
              </w:tc>
              <w:tc>
                <w:tcPr>
                  <w:tcW w:w="1149" w:type="dxa"/>
                  <w:tcBorders>
                    <w:top w:val="nil"/>
                    <w:left w:val="nil"/>
                    <w:bottom w:val="single" w:sz="8" w:space="0" w:color="FFFFFF"/>
                    <w:right w:val="single" w:sz="8" w:space="0" w:color="FFFFFF"/>
                  </w:tcBorders>
                  <w:shd w:val="clear" w:color="000000" w:fill="FCD5B4"/>
                  <w:noWrap/>
                  <w:vAlign w:val="center"/>
                  <w:hideMark/>
                </w:tcPr>
                <w:p w14:paraId="606C4AAF" w14:textId="559DF5B4"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357A1196" w14:textId="0612F299"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-5.7 </w:t>
                  </w:r>
                </w:p>
              </w:tc>
              <w:tc>
                <w:tcPr>
                  <w:tcW w:w="920" w:type="dxa"/>
                  <w:tcBorders>
                    <w:top w:val="nil"/>
                    <w:left w:val="nil"/>
                    <w:bottom w:val="single" w:sz="8" w:space="0" w:color="FFFFFF"/>
                    <w:right w:val="single" w:sz="8" w:space="0" w:color="FFFFFF"/>
                  </w:tcBorders>
                  <w:shd w:val="clear" w:color="000000" w:fill="FCD5B4"/>
                  <w:noWrap/>
                  <w:vAlign w:val="center"/>
                  <w:hideMark/>
                </w:tcPr>
                <w:p w14:paraId="2701848E" w14:textId="103FB253"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-5.7 </w:t>
                  </w:r>
                </w:p>
              </w:tc>
              <w:tc>
                <w:tcPr>
                  <w:tcW w:w="920" w:type="dxa"/>
                  <w:tcBorders>
                    <w:top w:val="nil"/>
                    <w:left w:val="nil"/>
                    <w:bottom w:val="single" w:sz="8" w:space="0" w:color="FFFFFF"/>
                    <w:right w:val="single" w:sz="8" w:space="0" w:color="FFFFFF"/>
                  </w:tcBorders>
                  <w:shd w:val="clear" w:color="000000" w:fill="FCD5B4"/>
                  <w:noWrap/>
                  <w:vAlign w:val="center"/>
                  <w:hideMark/>
                </w:tcPr>
                <w:p w14:paraId="004705FE" w14:textId="43D45772"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-7.7 </w:t>
                  </w:r>
                </w:p>
              </w:tc>
              <w:tc>
                <w:tcPr>
                  <w:tcW w:w="920" w:type="dxa"/>
                  <w:tcBorders>
                    <w:top w:val="nil"/>
                    <w:left w:val="nil"/>
                    <w:bottom w:val="single" w:sz="8" w:space="0" w:color="FFFFFF"/>
                    <w:right w:val="single" w:sz="8" w:space="0" w:color="FFFFFF"/>
                  </w:tcBorders>
                  <w:shd w:val="clear" w:color="000000" w:fill="FCD5B4"/>
                  <w:noWrap/>
                  <w:vAlign w:val="center"/>
                  <w:hideMark/>
                </w:tcPr>
                <w:p w14:paraId="3FBDA2E9" w14:textId="5683245A"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-4.7 </w:t>
                  </w:r>
                </w:p>
              </w:tc>
            </w:tr>
            <w:tr w:rsidR="002D3316" w:rsidRPr="00B41E24" w14:paraId="497D4922" w14:textId="77777777" w:rsidTr="007A1586">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7DBC5358" w14:textId="786C0B25"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MTN3Y</w:t>
                  </w:r>
                </w:p>
              </w:tc>
              <w:tc>
                <w:tcPr>
                  <w:tcW w:w="740" w:type="dxa"/>
                  <w:tcBorders>
                    <w:top w:val="nil"/>
                    <w:left w:val="nil"/>
                    <w:bottom w:val="single" w:sz="8" w:space="0" w:color="FFFFFF"/>
                    <w:right w:val="single" w:sz="8" w:space="0" w:color="FFFFFF"/>
                  </w:tcBorders>
                  <w:shd w:val="clear" w:color="000000" w:fill="FDE9D9"/>
                  <w:noWrap/>
                  <w:vAlign w:val="center"/>
                  <w:hideMark/>
                </w:tcPr>
                <w:p w14:paraId="3CD640D8" w14:textId="3452DF8A"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-7.2 </w:t>
                  </w:r>
                </w:p>
              </w:tc>
              <w:tc>
                <w:tcPr>
                  <w:tcW w:w="920" w:type="dxa"/>
                  <w:tcBorders>
                    <w:top w:val="nil"/>
                    <w:left w:val="nil"/>
                    <w:bottom w:val="single" w:sz="8" w:space="0" w:color="FFFFFF"/>
                    <w:right w:val="single" w:sz="8" w:space="0" w:color="FFFFFF"/>
                  </w:tcBorders>
                  <w:shd w:val="clear" w:color="000000" w:fill="FDE9D9"/>
                  <w:noWrap/>
                  <w:vAlign w:val="center"/>
                  <w:hideMark/>
                </w:tcPr>
                <w:p w14:paraId="02826B46" w14:textId="1121D20B"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-4.2 </w:t>
                  </w:r>
                </w:p>
              </w:tc>
              <w:tc>
                <w:tcPr>
                  <w:tcW w:w="920" w:type="dxa"/>
                  <w:tcBorders>
                    <w:top w:val="nil"/>
                    <w:left w:val="nil"/>
                    <w:bottom w:val="single" w:sz="8" w:space="0" w:color="FFFFFF"/>
                    <w:right w:val="single" w:sz="8" w:space="0" w:color="FFFFFF"/>
                  </w:tcBorders>
                  <w:shd w:val="clear" w:color="000000" w:fill="FDE9D9"/>
                  <w:noWrap/>
                  <w:vAlign w:val="center"/>
                  <w:hideMark/>
                </w:tcPr>
                <w:p w14:paraId="605A16DF" w14:textId="2AD8427C"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-5.2 </w:t>
                  </w:r>
                </w:p>
              </w:tc>
              <w:tc>
                <w:tcPr>
                  <w:tcW w:w="920" w:type="dxa"/>
                  <w:tcBorders>
                    <w:top w:val="nil"/>
                    <w:left w:val="nil"/>
                    <w:bottom w:val="single" w:sz="8" w:space="0" w:color="FFFFFF"/>
                    <w:right w:val="single" w:sz="8" w:space="0" w:color="FFFFFF"/>
                  </w:tcBorders>
                  <w:shd w:val="clear" w:color="000000" w:fill="FDE9D9"/>
                  <w:noWrap/>
                  <w:vAlign w:val="center"/>
                  <w:hideMark/>
                </w:tcPr>
                <w:p w14:paraId="7B2C5CED" w14:textId="25F8B1BD"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-1.2 </w:t>
                  </w:r>
                </w:p>
              </w:tc>
              <w:tc>
                <w:tcPr>
                  <w:tcW w:w="1149" w:type="dxa"/>
                  <w:tcBorders>
                    <w:top w:val="nil"/>
                    <w:left w:val="nil"/>
                    <w:bottom w:val="single" w:sz="8" w:space="0" w:color="FFFFFF"/>
                    <w:right w:val="single" w:sz="8" w:space="0" w:color="FFFFFF"/>
                  </w:tcBorders>
                  <w:shd w:val="clear" w:color="000000" w:fill="FDE9D9"/>
                  <w:noWrap/>
                  <w:vAlign w:val="center"/>
                  <w:hideMark/>
                </w:tcPr>
                <w:p w14:paraId="6FF5E0DD" w14:textId="0EAF9F22"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46C0665C" w14:textId="678A7B7C"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-9.0 </w:t>
                  </w:r>
                </w:p>
              </w:tc>
              <w:tc>
                <w:tcPr>
                  <w:tcW w:w="920" w:type="dxa"/>
                  <w:tcBorders>
                    <w:top w:val="nil"/>
                    <w:left w:val="nil"/>
                    <w:bottom w:val="single" w:sz="8" w:space="0" w:color="FFFFFF"/>
                    <w:right w:val="single" w:sz="8" w:space="0" w:color="FFFFFF"/>
                  </w:tcBorders>
                  <w:shd w:val="clear" w:color="000000" w:fill="FDE9D9"/>
                  <w:noWrap/>
                  <w:vAlign w:val="center"/>
                  <w:hideMark/>
                </w:tcPr>
                <w:p w14:paraId="5E23BCCC" w14:textId="717F67B6"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-6.0 </w:t>
                  </w:r>
                </w:p>
              </w:tc>
              <w:tc>
                <w:tcPr>
                  <w:tcW w:w="920" w:type="dxa"/>
                  <w:tcBorders>
                    <w:top w:val="nil"/>
                    <w:left w:val="nil"/>
                    <w:bottom w:val="single" w:sz="8" w:space="0" w:color="FFFFFF"/>
                    <w:right w:val="single" w:sz="8" w:space="0" w:color="FFFFFF"/>
                  </w:tcBorders>
                  <w:shd w:val="clear" w:color="000000" w:fill="FDE9D9"/>
                  <w:noWrap/>
                  <w:vAlign w:val="center"/>
                  <w:hideMark/>
                </w:tcPr>
                <w:p w14:paraId="1C0ED519" w14:textId="73859E55"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-7.0 </w:t>
                  </w:r>
                </w:p>
              </w:tc>
              <w:tc>
                <w:tcPr>
                  <w:tcW w:w="920" w:type="dxa"/>
                  <w:tcBorders>
                    <w:top w:val="nil"/>
                    <w:left w:val="nil"/>
                    <w:bottom w:val="single" w:sz="8" w:space="0" w:color="FFFFFF"/>
                    <w:right w:val="single" w:sz="8" w:space="0" w:color="FFFFFF"/>
                  </w:tcBorders>
                  <w:shd w:val="clear" w:color="000000" w:fill="FDE9D9"/>
                  <w:noWrap/>
                  <w:vAlign w:val="center"/>
                  <w:hideMark/>
                </w:tcPr>
                <w:p w14:paraId="0011E4A5" w14:textId="0034D7E5"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-3.0 </w:t>
                  </w:r>
                </w:p>
              </w:tc>
            </w:tr>
            <w:tr w:rsidR="002D3316" w:rsidRPr="00B41E24" w14:paraId="0CE9EDD9" w14:textId="77777777" w:rsidTr="007A1586">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666B8A39" w14:textId="0C2747FF"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MTN5Y</w:t>
                  </w:r>
                </w:p>
              </w:tc>
              <w:tc>
                <w:tcPr>
                  <w:tcW w:w="740" w:type="dxa"/>
                  <w:tcBorders>
                    <w:top w:val="nil"/>
                    <w:left w:val="nil"/>
                    <w:bottom w:val="single" w:sz="8" w:space="0" w:color="FFFFFF"/>
                    <w:right w:val="single" w:sz="8" w:space="0" w:color="FFFFFF"/>
                  </w:tcBorders>
                  <w:shd w:val="clear" w:color="000000" w:fill="FCD5B4"/>
                  <w:noWrap/>
                  <w:vAlign w:val="center"/>
                  <w:hideMark/>
                </w:tcPr>
                <w:p w14:paraId="46A29143" w14:textId="0CFDD335"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-3.7 </w:t>
                  </w:r>
                </w:p>
              </w:tc>
              <w:tc>
                <w:tcPr>
                  <w:tcW w:w="920" w:type="dxa"/>
                  <w:tcBorders>
                    <w:top w:val="nil"/>
                    <w:left w:val="nil"/>
                    <w:bottom w:val="single" w:sz="8" w:space="0" w:color="FFFFFF"/>
                    <w:right w:val="single" w:sz="8" w:space="0" w:color="FFFFFF"/>
                  </w:tcBorders>
                  <w:shd w:val="clear" w:color="000000" w:fill="FCD5B4"/>
                  <w:noWrap/>
                  <w:vAlign w:val="center"/>
                  <w:hideMark/>
                </w:tcPr>
                <w:p w14:paraId="65AB8809" w14:textId="06A7BB65"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-1.7 </w:t>
                  </w:r>
                </w:p>
              </w:tc>
              <w:tc>
                <w:tcPr>
                  <w:tcW w:w="920" w:type="dxa"/>
                  <w:tcBorders>
                    <w:top w:val="nil"/>
                    <w:left w:val="nil"/>
                    <w:bottom w:val="single" w:sz="8" w:space="0" w:color="FFFFFF"/>
                    <w:right w:val="single" w:sz="8" w:space="0" w:color="FFFFFF"/>
                  </w:tcBorders>
                  <w:shd w:val="clear" w:color="000000" w:fill="FCD5B4"/>
                  <w:noWrap/>
                  <w:vAlign w:val="center"/>
                  <w:hideMark/>
                </w:tcPr>
                <w:p w14:paraId="008EB32A" w14:textId="297E4240"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-2.7 </w:t>
                  </w:r>
                </w:p>
              </w:tc>
              <w:tc>
                <w:tcPr>
                  <w:tcW w:w="920" w:type="dxa"/>
                  <w:tcBorders>
                    <w:top w:val="nil"/>
                    <w:left w:val="nil"/>
                    <w:bottom w:val="single" w:sz="8" w:space="0" w:color="FFFFFF"/>
                    <w:right w:val="single" w:sz="8" w:space="0" w:color="FFFFFF"/>
                  </w:tcBorders>
                  <w:shd w:val="clear" w:color="000000" w:fill="FCD5B4"/>
                  <w:noWrap/>
                  <w:vAlign w:val="center"/>
                  <w:hideMark/>
                </w:tcPr>
                <w:p w14:paraId="7D7C0954" w14:textId="4B559704"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1.3 </w:t>
                  </w:r>
                </w:p>
              </w:tc>
              <w:tc>
                <w:tcPr>
                  <w:tcW w:w="1149" w:type="dxa"/>
                  <w:tcBorders>
                    <w:top w:val="nil"/>
                    <w:left w:val="nil"/>
                    <w:bottom w:val="single" w:sz="8" w:space="0" w:color="FFFFFF"/>
                    <w:right w:val="single" w:sz="8" w:space="0" w:color="FFFFFF"/>
                  </w:tcBorders>
                  <w:shd w:val="clear" w:color="000000" w:fill="FCD5B4"/>
                  <w:noWrap/>
                  <w:vAlign w:val="center"/>
                  <w:hideMark/>
                </w:tcPr>
                <w:p w14:paraId="1A7EC8C4" w14:textId="6EB85989"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0CE8BFC7" w14:textId="5D30ECFB"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-1.3 </w:t>
                  </w:r>
                </w:p>
              </w:tc>
              <w:tc>
                <w:tcPr>
                  <w:tcW w:w="920" w:type="dxa"/>
                  <w:tcBorders>
                    <w:top w:val="nil"/>
                    <w:left w:val="nil"/>
                    <w:bottom w:val="single" w:sz="8" w:space="0" w:color="FFFFFF"/>
                    <w:right w:val="single" w:sz="8" w:space="0" w:color="FFFFFF"/>
                  </w:tcBorders>
                  <w:shd w:val="clear" w:color="000000" w:fill="FCD5B4"/>
                  <w:noWrap/>
                  <w:vAlign w:val="center"/>
                  <w:hideMark/>
                </w:tcPr>
                <w:p w14:paraId="5811EE16" w14:textId="5BEDEE18"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0.7 </w:t>
                  </w:r>
                </w:p>
              </w:tc>
              <w:tc>
                <w:tcPr>
                  <w:tcW w:w="920" w:type="dxa"/>
                  <w:tcBorders>
                    <w:top w:val="nil"/>
                    <w:left w:val="nil"/>
                    <w:bottom w:val="single" w:sz="8" w:space="0" w:color="FFFFFF"/>
                    <w:right w:val="single" w:sz="8" w:space="0" w:color="FFFFFF"/>
                  </w:tcBorders>
                  <w:shd w:val="clear" w:color="000000" w:fill="FCD5B4"/>
                  <w:noWrap/>
                  <w:vAlign w:val="center"/>
                  <w:hideMark/>
                </w:tcPr>
                <w:p w14:paraId="42E7B60E" w14:textId="4C5F0729"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-0.3 </w:t>
                  </w:r>
                </w:p>
              </w:tc>
              <w:tc>
                <w:tcPr>
                  <w:tcW w:w="920" w:type="dxa"/>
                  <w:tcBorders>
                    <w:top w:val="nil"/>
                    <w:left w:val="nil"/>
                    <w:bottom w:val="single" w:sz="8" w:space="0" w:color="FFFFFF"/>
                    <w:right w:val="single" w:sz="8" w:space="0" w:color="FFFFFF"/>
                  </w:tcBorders>
                  <w:shd w:val="clear" w:color="000000" w:fill="FCD5B4"/>
                  <w:noWrap/>
                  <w:vAlign w:val="center"/>
                  <w:hideMark/>
                </w:tcPr>
                <w:p w14:paraId="4E401EC9" w14:textId="1AB0214A"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3.7 </w:t>
                  </w:r>
                </w:p>
              </w:tc>
            </w:tr>
            <w:tr w:rsidR="002D3316" w:rsidRPr="00B41E24" w14:paraId="4B96FC1F" w14:textId="77777777" w:rsidTr="007A1586">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055655BC" w14:textId="19CBBEC8"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企业债3Y</w:t>
                  </w:r>
                </w:p>
              </w:tc>
              <w:tc>
                <w:tcPr>
                  <w:tcW w:w="740" w:type="dxa"/>
                  <w:tcBorders>
                    <w:top w:val="nil"/>
                    <w:left w:val="nil"/>
                    <w:bottom w:val="single" w:sz="8" w:space="0" w:color="FFFFFF"/>
                    <w:right w:val="single" w:sz="8" w:space="0" w:color="FFFFFF"/>
                  </w:tcBorders>
                  <w:shd w:val="clear" w:color="000000" w:fill="FDE9D9"/>
                  <w:noWrap/>
                  <w:vAlign w:val="center"/>
                  <w:hideMark/>
                </w:tcPr>
                <w:p w14:paraId="5C23ADBD" w14:textId="3F46FDC8"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-4.2 </w:t>
                  </w:r>
                </w:p>
              </w:tc>
              <w:tc>
                <w:tcPr>
                  <w:tcW w:w="920" w:type="dxa"/>
                  <w:tcBorders>
                    <w:top w:val="nil"/>
                    <w:left w:val="nil"/>
                    <w:bottom w:val="single" w:sz="8" w:space="0" w:color="FFFFFF"/>
                    <w:right w:val="single" w:sz="8" w:space="0" w:color="FFFFFF"/>
                  </w:tcBorders>
                  <w:shd w:val="clear" w:color="000000" w:fill="FDE9D9"/>
                  <w:noWrap/>
                  <w:vAlign w:val="center"/>
                  <w:hideMark/>
                </w:tcPr>
                <w:p w14:paraId="5FCD1E73" w14:textId="2C912924"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-2.2 </w:t>
                  </w:r>
                </w:p>
              </w:tc>
              <w:tc>
                <w:tcPr>
                  <w:tcW w:w="920" w:type="dxa"/>
                  <w:tcBorders>
                    <w:top w:val="nil"/>
                    <w:left w:val="nil"/>
                    <w:bottom w:val="single" w:sz="8" w:space="0" w:color="FFFFFF"/>
                    <w:right w:val="single" w:sz="8" w:space="0" w:color="FFFFFF"/>
                  </w:tcBorders>
                  <w:shd w:val="clear" w:color="000000" w:fill="FDE9D9"/>
                  <w:noWrap/>
                  <w:vAlign w:val="center"/>
                  <w:hideMark/>
                </w:tcPr>
                <w:p w14:paraId="5B16061B" w14:textId="655CCA63"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-4.2 </w:t>
                  </w:r>
                </w:p>
              </w:tc>
              <w:tc>
                <w:tcPr>
                  <w:tcW w:w="920" w:type="dxa"/>
                  <w:tcBorders>
                    <w:top w:val="nil"/>
                    <w:left w:val="nil"/>
                    <w:bottom w:val="single" w:sz="8" w:space="0" w:color="FFFFFF"/>
                    <w:right w:val="single" w:sz="8" w:space="0" w:color="FFFFFF"/>
                  </w:tcBorders>
                  <w:shd w:val="clear" w:color="000000" w:fill="FDE9D9"/>
                  <w:noWrap/>
                  <w:vAlign w:val="center"/>
                  <w:hideMark/>
                </w:tcPr>
                <w:p w14:paraId="76F51BF6" w14:textId="608976F8"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-5.2 </w:t>
                  </w:r>
                </w:p>
              </w:tc>
              <w:tc>
                <w:tcPr>
                  <w:tcW w:w="1149" w:type="dxa"/>
                  <w:tcBorders>
                    <w:top w:val="nil"/>
                    <w:left w:val="nil"/>
                    <w:bottom w:val="single" w:sz="8" w:space="0" w:color="FFFFFF"/>
                    <w:right w:val="single" w:sz="8" w:space="0" w:color="FFFFFF"/>
                  </w:tcBorders>
                  <w:shd w:val="clear" w:color="000000" w:fill="FDE9D9"/>
                  <w:noWrap/>
                  <w:vAlign w:val="center"/>
                  <w:hideMark/>
                </w:tcPr>
                <w:p w14:paraId="343EAA9F" w14:textId="3AB6E10C"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63247225" w14:textId="1A569AD6"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-6.0 </w:t>
                  </w:r>
                </w:p>
              </w:tc>
              <w:tc>
                <w:tcPr>
                  <w:tcW w:w="920" w:type="dxa"/>
                  <w:tcBorders>
                    <w:top w:val="nil"/>
                    <w:left w:val="nil"/>
                    <w:bottom w:val="single" w:sz="8" w:space="0" w:color="FFFFFF"/>
                    <w:right w:val="single" w:sz="8" w:space="0" w:color="FFFFFF"/>
                  </w:tcBorders>
                  <w:shd w:val="clear" w:color="000000" w:fill="FDE9D9"/>
                  <w:noWrap/>
                  <w:vAlign w:val="center"/>
                  <w:hideMark/>
                </w:tcPr>
                <w:p w14:paraId="083BF439" w14:textId="27808064"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-4.0 </w:t>
                  </w:r>
                </w:p>
              </w:tc>
              <w:tc>
                <w:tcPr>
                  <w:tcW w:w="920" w:type="dxa"/>
                  <w:tcBorders>
                    <w:top w:val="nil"/>
                    <w:left w:val="nil"/>
                    <w:bottom w:val="single" w:sz="8" w:space="0" w:color="FFFFFF"/>
                    <w:right w:val="single" w:sz="8" w:space="0" w:color="FFFFFF"/>
                  </w:tcBorders>
                  <w:shd w:val="clear" w:color="000000" w:fill="FDE9D9"/>
                  <w:noWrap/>
                  <w:vAlign w:val="center"/>
                  <w:hideMark/>
                </w:tcPr>
                <w:p w14:paraId="7F14EF11" w14:textId="76085BEE"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-6.0 </w:t>
                  </w:r>
                </w:p>
              </w:tc>
              <w:tc>
                <w:tcPr>
                  <w:tcW w:w="920" w:type="dxa"/>
                  <w:tcBorders>
                    <w:top w:val="nil"/>
                    <w:left w:val="nil"/>
                    <w:bottom w:val="single" w:sz="8" w:space="0" w:color="FFFFFF"/>
                    <w:right w:val="single" w:sz="8" w:space="0" w:color="FFFFFF"/>
                  </w:tcBorders>
                  <w:shd w:val="clear" w:color="000000" w:fill="FDE9D9"/>
                  <w:noWrap/>
                  <w:vAlign w:val="center"/>
                  <w:hideMark/>
                </w:tcPr>
                <w:p w14:paraId="61246080" w14:textId="727AF8BE"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-7.0 </w:t>
                  </w:r>
                </w:p>
              </w:tc>
            </w:tr>
            <w:tr w:rsidR="002D3316" w:rsidRPr="00B41E24" w14:paraId="445C2E7B" w14:textId="77777777" w:rsidTr="007A1586">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7A530122" w14:textId="532BE220"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企业债5Y</w:t>
                  </w:r>
                </w:p>
              </w:tc>
              <w:tc>
                <w:tcPr>
                  <w:tcW w:w="740" w:type="dxa"/>
                  <w:tcBorders>
                    <w:top w:val="nil"/>
                    <w:left w:val="nil"/>
                    <w:bottom w:val="single" w:sz="8" w:space="0" w:color="FFFFFF"/>
                    <w:right w:val="single" w:sz="8" w:space="0" w:color="FFFFFF"/>
                  </w:tcBorders>
                  <w:shd w:val="clear" w:color="000000" w:fill="FCD5B4"/>
                  <w:noWrap/>
                  <w:vAlign w:val="center"/>
                  <w:hideMark/>
                </w:tcPr>
                <w:p w14:paraId="5D5F6751" w14:textId="6333E8CB"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-2.5 </w:t>
                  </w:r>
                </w:p>
              </w:tc>
              <w:tc>
                <w:tcPr>
                  <w:tcW w:w="920" w:type="dxa"/>
                  <w:tcBorders>
                    <w:top w:val="nil"/>
                    <w:left w:val="nil"/>
                    <w:bottom w:val="single" w:sz="8" w:space="0" w:color="FFFFFF"/>
                    <w:right w:val="single" w:sz="8" w:space="0" w:color="FFFFFF"/>
                  </w:tcBorders>
                  <w:shd w:val="clear" w:color="000000" w:fill="FCD5B4"/>
                  <w:noWrap/>
                  <w:vAlign w:val="center"/>
                  <w:hideMark/>
                </w:tcPr>
                <w:p w14:paraId="300B72E8" w14:textId="36F124D5"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-1.5 </w:t>
                  </w:r>
                </w:p>
              </w:tc>
              <w:tc>
                <w:tcPr>
                  <w:tcW w:w="920" w:type="dxa"/>
                  <w:tcBorders>
                    <w:top w:val="nil"/>
                    <w:left w:val="nil"/>
                    <w:bottom w:val="single" w:sz="8" w:space="0" w:color="FFFFFF"/>
                    <w:right w:val="single" w:sz="8" w:space="0" w:color="FFFFFF"/>
                  </w:tcBorders>
                  <w:shd w:val="clear" w:color="000000" w:fill="FCD5B4"/>
                  <w:noWrap/>
                  <w:vAlign w:val="center"/>
                  <w:hideMark/>
                </w:tcPr>
                <w:p w14:paraId="4243F803" w14:textId="27438239"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-2.5 </w:t>
                  </w:r>
                </w:p>
              </w:tc>
              <w:tc>
                <w:tcPr>
                  <w:tcW w:w="920" w:type="dxa"/>
                  <w:tcBorders>
                    <w:top w:val="nil"/>
                    <w:left w:val="nil"/>
                    <w:bottom w:val="single" w:sz="8" w:space="0" w:color="FFFFFF"/>
                    <w:right w:val="single" w:sz="8" w:space="0" w:color="FFFFFF"/>
                  </w:tcBorders>
                  <w:shd w:val="clear" w:color="000000" w:fill="FCD5B4"/>
                  <w:noWrap/>
                  <w:vAlign w:val="center"/>
                  <w:hideMark/>
                </w:tcPr>
                <w:p w14:paraId="448E5ABD" w14:textId="45E8877B"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-3.5 </w:t>
                  </w:r>
                </w:p>
              </w:tc>
              <w:tc>
                <w:tcPr>
                  <w:tcW w:w="1149" w:type="dxa"/>
                  <w:tcBorders>
                    <w:top w:val="nil"/>
                    <w:left w:val="nil"/>
                    <w:bottom w:val="single" w:sz="8" w:space="0" w:color="FFFFFF"/>
                    <w:right w:val="single" w:sz="8" w:space="0" w:color="FFFFFF"/>
                  </w:tcBorders>
                  <w:shd w:val="clear" w:color="000000" w:fill="FCD5B4"/>
                  <w:noWrap/>
                  <w:vAlign w:val="center"/>
                  <w:hideMark/>
                </w:tcPr>
                <w:p w14:paraId="243BE1B9" w14:textId="64A9F37C"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284F409D" w14:textId="71AA35C5"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-0.1 </w:t>
                  </w:r>
                </w:p>
              </w:tc>
              <w:tc>
                <w:tcPr>
                  <w:tcW w:w="920" w:type="dxa"/>
                  <w:tcBorders>
                    <w:top w:val="nil"/>
                    <w:left w:val="nil"/>
                    <w:bottom w:val="single" w:sz="8" w:space="0" w:color="FFFFFF"/>
                    <w:right w:val="single" w:sz="8" w:space="0" w:color="FFFFFF"/>
                  </w:tcBorders>
                  <w:shd w:val="clear" w:color="000000" w:fill="FCD5B4"/>
                  <w:noWrap/>
                  <w:vAlign w:val="center"/>
                  <w:hideMark/>
                </w:tcPr>
                <w:p w14:paraId="036E88AD" w14:textId="37F1F56C" w:rsidR="002D3316" w:rsidRPr="00B41E24" w:rsidRDefault="002D3316" w:rsidP="002D3316">
                  <w:pPr>
                    <w:widowControl/>
                    <w:jc w:val="center"/>
                    <w:rPr>
                      <w:rFonts w:eastAsia="等线" w:cs="Calibri"/>
                      <w:color w:val="000000"/>
                      <w:kern w:val="0"/>
                      <w:szCs w:val="21"/>
                    </w:rPr>
                  </w:pPr>
                  <w:r>
                    <w:rPr>
                      <w:rFonts w:eastAsia="等线" w:cs="Calibri"/>
                      <w:color w:val="000000"/>
                      <w:szCs w:val="21"/>
                    </w:rPr>
                    <w:t xml:space="preserve">0.9 </w:t>
                  </w:r>
                </w:p>
              </w:tc>
              <w:tc>
                <w:tcPr>
                  <w:tcW w:w="920" w:type="dxa"/>
                  <w:tcBorders>
                    <w:top w:val="nil"/>
                    <w:left w:val="nil"/>
                    <w:bottom w:val="single" w:sz="8" w:space="0" w:color="FFFFFF"/>
                    <w:right w:val="single" w:sz="8" w:space="0" w:color="FFFFFF"/>
                  </w:tcBorders>
                  <w:shd w:val="clear" w:color="000000" w:fill="FCD5B4"/>
                  <w:noWrap/>
                  <w:vAlign w:val="center"/>
                  <w:hideMark/>
                </w:tcPr>
                <w:p w14:paraId="427E0CD2" w14:textId="1E8CE3E9"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-0.1 </w:t>
                  </w:r>
                </w:p>
              </w:tc>
              <w:tc>
                <w:tcPr>
                  <w:tcW w:w="920" w:type="dxa"/>
                  <w:tcBorders>
                    <w:top w:val="nil"/>
                    <w:left w:val="nil"/>
                    <w:bottom w:val="single" w:sz="8" w:space="0" w:color="FFFFFF"/>
                    <w:right w:val="single" w:sz="8" w:space="0" w:color="FFFFFF"/>
                  </w:tcBorders>
                  <w:shd w:val="clear" w:color="000000" w:fill="FCD5B4"/>
                  <w:noWrap/>
                  <w:vAlign w:val="center"/>
                  <w:hideMark/>
                </w:tcPr>
                <w:p w14:paraId="78BEA210" w14:textId="6E93438E"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-1.1 </w:t>
                  </w:r>
                </w:p>
              </w:tc>
            </w:tr>
            <w:tr w:rsidR="002D3316" w:rsidRPr="00B41E24" w14:paraId="3191787A" w14:textId="77777777" w:rsidTr="007A1586">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1F700977" w14:textId="1145BF7B"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企业债7Y</w:t>
                  </w:r>
                </w:p>
              </w:tc>
              <w:tc>
                <w:tcPr>
                  <w:tcW w:w="740" w:type="dxa"/>
                  <w:tcBorders>
                    <w:top w:val="nil"/>
                    <w:left w:val="nil"/>
                    <w:bottom w:val="single" w:sz="8" w:space="0" w:color="FFFFFF"/>
                    <w:right w:val="single" w:sz="8" w:space="0" w:color="FFFFFF"/>
                  </w:tcBorders>
                  <w:shd w:val="clear" w:color="000000" w:fill="FDE9D9"/>
                  <w:noWrap/>
                  <w:vAlign w:val="center"/>
                  <w:hideMark/>
                </w:tcPr>
                <w:p w14:paraId="2827D979" w14:textId="2228F399"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-3.4 </w:t>
                  </w:r>
                </w:p>
              </w:tc>
              <w:tc>
                <w:tcPr>
                  <w:tcW w:w="920" w:type="dxa"/>
                  <w:tcBorders>
                    <w:top w:val="nil"/>
                    <w:left w:val="nil"/>
                    <w:bottom w:val="single" w:sz="8" w:space="0" w:color="FFFFFF"/>
                    <w:right w:val="single" w:sz="8" w:space="0" w:color="FFFFFF"/>
                  </w:tcBorders>
                  <w:shd w:val="clear" w:color="000000" w:fill="FDE9D9"/>
                  <w:noWrap/>
                  <w:vAlign w:val="center"/>
                  <w:hideMark/>
                </w:tcPr>
                <w:p w14:paraId="1BCEB620" w14:textId="1B54BA8C"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-2.4 </w:t>
                  </w:r>
                </w:p>
              </w:tc>
              <w:tc>
                <w:tcPr>
                  <w:tcW w:w="920" w:type="dxa"/>
                  <w:tcBorders>
                    <w:top w:val="nil"/>
                    <w:left w:val="nil"/>
                    <w:bottom w:val="single" w:sz="8" w:space="0" w:color="FFFFFF"/>
                    <w:right w:val="single" w:sz="8" w:space="0" w:color="FFFFFF"/>
                  </w:tcBorders>
                  <w:shd w:val="clear" w:color="000000" w:fill="FDE9D9"/>
                  <w:noWrap/>
                  <w:vAlign w:val="center"/>
                  <w:hideMark/>
                </w:tcPr>
                <w:p w14:paraId="642DA1D2" w14:textId="3FFC09AA"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-3.4 </w:t>
                  </w:r>
                </w:p>
              </w:tc>
              <w:tc>
                <w:tcPr>
                  <w:tcW w:w="920" w:type="dxa"/>
                  <w:tcBorders>
                    <w:top w:val="nil"/>
                    <w:left w:val="nil"/>
                    <w:bottom w:val="single" w:sz="8" w:space="0" w:color="FFFFFF"/>
                    <w:right w:val="single" w:sz="8" w:space="0" w:color="FFFFFF"/>
                  </w:tcBorders>
                  <w:shd w:val="clear" w:color="000000" w:fill="FDE9D9"/>
                  <w:noWrap/>
                  <w:vAlign w:val="center"/>
                  <w:hideMark/>
                </w:tcPr>
                <w:p w14:paraId="45A5D7F8" w14:textId="2CDBEEEC"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-4.4 </w:t>
                  </w:r>
                </w:p>
              </w:tc>
              <w:tc>
                <w:tcPr>
                  <w:tcW w:w="1149" w:type="dxa"/>
                  <w:tcBorders>
                    <w:top w:val="nil"/>
                    <w:left w:val="nil"/>
                    <w:bottom w:val="single" w:sz="8" w:space="0" w:color="FFFFFF"/>
                    <w:right w:val="single" w:sz="8" w:space="0" w:color="FFFFFF"/>
                  </w:tcBorders>
                  <w:shd w:val="clear" w:color="000000" w:fill="FDE9D9"/>
                  <w:noWrap/>
                  <w:vAlign w:val="center"/>
                  <w:hideMark/>
                </w:tcPr>
                <w:p w14:paraId="065B2767" w14:textId="4B2C697B"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720359E1" w14:textId="430CC2C5"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-2.6 </w:t>
                  </w:r>
                </w:p>
              </w:tc>
              <w:tc>
                <w:tcPr>
                  <w:tcW w:w="920" w:type="dxa"/>
                  <w:tcBorders>
                    <w:top w:val="nil"/>
                    <w:left w:val="nil"/>
                    <w:bottom w:val="single" w:sz="8" w:space="0" w:color="FFFFFF"/>
                    <w:right w:val="single" w:sz="8" w:space="0" w:color="FFFFFF"/>
                  </w:tcBorders>
                  <w:shd w:val="clear" w:color="000000" w:fill="FDE9D9"/>
                  <w:noWrap/>
                  <w:vAlign w:val="center"/>
                  <w:hideMark/>
                </w:tcPr>
                <w:p w14:paraId="059C072D" w14:textId="13466309"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-1.6 </w:t>
                  </w:r>
                </w:p>
              </w:tc>
              <w:tc>
                <w:tcPr>
                  <w:tcW w:w="920" w:type="dxa"/>
                  <w:tcBorders>
                    <w:top w:val="nil"/>
                    <w:left w:val="nil"/>
                    <w:bottom w:val="single" w:sz="8" w:space="0" w:color="FFFFFF"/>
                    <w:right w:val="single" w:sz="8" w:space="0" w:color="FFFFFF"/>
                  </w:tcBorders>
                  <w:shd w:val="clear" w:color="000000" w:fill="FDE9D9"/>
                  <w:noWrap/>
                  <w:vAlign w:val="center"/>
                  <w:hideMark/>
                </w:tcPr>
                <w:p w14:paraId="4DCBF554" w14:textId="7C0780D0"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-2.6 </w:t>
                  </w:r>
                </w:p>
              </w:tc>
              <w:tc>
                <w:tcPr>
                  <w:tcW w:w="920" w:type="dxa"/>
                  <w:tcBorders>
                    <w:top w:val="nil"/>
                    <w:left w:val="nil"/>
                    <w:bottom w:val="single" w:sz="8" w:space="0" w:color="FFFFFF"/>
                    <w:right w:val="single" w:sz="8" w:space="0" w:color="FFFFFF"/>
                  </w:tcBorders>
                  <w:shd w:val="clear" w:color="000000" w:fill="FDE9D9"/>
                  <w:noWrap/>
                  <w:vAlign w:val="center"/>
                  <w:hideMark/>
                </w:tcPr>
                <w:p w14:paraId="248F8942" w14:textId="73D311C2"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-3.6 </w:t>
                  </w:r>
                </w:p>
              </w:tc>
            </w:tr>
            <w:tr w:rsidR="002D3316" w:rsidRPr="00B41E24" w14:paraId="30D8B86F" w14:textId="77777777" w:rsidTr="007A1586">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34C7AF72" w14:textId="2980BD7B" w:rsidR="002D3316" w:rsidRPr="00B41E24" w:rsidRDefault="002D3316" w:rsidP="002D3316">
                  <w:pPr>
                    <w:widowControl/>
                    <w:jc w:val="center"/>
                    <w:rPr>
                      <w:rFonts w:ascii="楷体" w:eastAsia="楷体" w:hAnsi="楷体"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3Y</w:t>
                  </w:r>
                </w:p>
              </w:tc>
              <w:tc>
                <w:tcPr>
                  <w:tcW w:w="740" w:type="dxa"/>
                  <w:tcBorders>
                    <w:top w:val="nil"/>
                    <w:left w:val="nil"/>
                    <w:bottom w:val="single" w:sz="8" w:space="0" w:color="FFFFFF"/>
                    <w:right w:val="single" w:sz="8" w:space="0" w:color="FFFFFF"/>
                  </w:tcBorders>
                  <w:shd w:val="clear" w:color="000000" w:fill="FCD5B4"/>
                  <w:noWrap/>
                  <w:vAlign w:val="center"/>
                  <w:hideMark/>
                </w:tcPr>
                <w:p w14:paraId="6BA27B0F" w14:textId="3E611823"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-5.1 </w:t>
                  </w:r>
                </w:p>
              </w:tc>
              <w:tc>
                <w:tcPr>
                  <w:tcW w:w="920" w:type="dxa"/>
                  <w:tcBorders>
                    <w:top w:val="nil"/>
                    <w:left w:val="nil"/>
                    <w:bottom w:val="single" w:sz="8" w:space="0" w:color="FFFFFF"/>
                    <w:right w:val="single" w:sz="8" w:space="0" w:color="FFFFFF"/>
                  </w:tcBorders>
                  <w:shd w:val="clear" w:color="000000" w:fill="FCD5B4"/>
                  <w:noWrap/>
                  <w:vAlign w:val="center"/>
                  <w:hideMark/>
                </w:tcPr>
                <w:p w14:paraId="5357D5B3" w14:textId="31020BB7"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-2.1 </w:t>
                  </w:r>
                </w:p>
              </w:tc>
              <w:tc>
                <w:tcPr>
                  <w:tcW w:w="920" w:type="dxa"/>
                  <w:tcBorders>
                    <w:top w:val="nil"/>
                    <w:left w:val="nil"/>
                    <w:bottom w:val="single" w:sz="8" w:space="0" w:color="FFFFFF"/>
                    <w:right w:val="single" w:sz="8" w:space="0" w:color="FFFFFF"/>
                  </w:tcBorders>
                  <w:shd w:val="clear" w:color="000000" w:fill="FCD5B4"/>
                  <w:noWrap/>
                  <w:vAlign w:val="center"/>
                  <w:hideMark/>
                </w:tcPr>
                <w:p w14:paraId="6BAE198E" w14:textId="25034A86"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-6.1 </w:t>
                  </w:r>
                </w:p>
              </w:tc>
              <w:tc>
                <w:tcPr>
                  <w:tcW w:w="920" w:type="dxa"/>
                  <w:tcBorders>
                    <w:top w:val="nil"/>
                    <w:left w:val="nil"/>
                    <w:bottom w:val="single" w:sz="8" w:space="0" w:color="FFFFFF"/>
                    <w:right w:val="single" w:sz="8" w:space="0" w:color="FFFFFF"/>
                  </w:tcBorders>
                  <w:shd w:val="clear" w:color="000000" w:fill="FCD5B4"/>
                  <w:noWrap/>
                  <w:vAlign w:val="center"/>
                  <w:hideMark/>
                </w:tcPr>
                <w:p w14:paraId="11173B26" w14:textId="090D593F"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-10.1 </w:t>
                  </w:r>
                </w:p>
              </w:tc>
              <w:tc>
                <w:tcPr>
                  <w:tcW w:w="1149" w:type="dxa"/>
                  <w:tcBorders>
                    <w:top w:val="nil"/>
                    <w:left w:val="nil"/>
                    <w:bottom w:val="single" w:sz="8" w:space="0" w:color="FFFFFF"/>
                    <w:right w:val="single" w:sz="8" w:space="0" w:color="FFFFFF"/>
                  </w:tcBorders>
                  <w:shd w:val="clear" w:color="000000" w:fill="FCD5B4"/>
                  <w:noWrap/>
                  <w:vAlign w:val="center"/>
                  <w:hideMark/>
                </w:tcPr>
                <w:p w14:paraId="4344DD46" w14:textId="1A264585" w:rsidR="002D3316" w:rsidRPr="00B41E24" w:rsidRDefault="002D3316" w:rsidP="002D3316">
                  <w:pPr>
                    <w:widowControl/>
                    <w:jc w:val="center"/>
                    <w:rPr>
                      <w:rFonts w:ascii="楷体" w:eastAsia="楷体" w:hAnsi="楷体"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43E9904F" w14:textId="116D4CFB"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-6.9 </w:t>
                  </w:r>
                </w:p>
              </w:tc>
              <w:tc>
                <w:tcPr>
                  <w:tcW w:w="920" w:type="dxa"/>
                  <w:tcBorders>
                    <w:top w:val="nil"/>
                    <w:left w:val="nil"/>
                    <w:bottom w:val="single" w:sz="8" w:space="0" w:color="FFFFFF"/>
                    <w:right w:val="single" w:sz="8" w:space="0" w:color="FFFFFF"/>
                  </w:tcBorders>
                  <w:shd w:val="clear" w:color="000000" w:fill="FCD5B4"/>
                  <w:noWrap/>
                  <w:vAlign w:val="center"/>
                  <w:hideMark/>
                </w:tcPr>
                <w:p w14:paraId="72520448" w14:textId="0BB7D8D9"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-3.9 </w:t>
                  </w:r>
                </w:p>
              </w:tc>
              <w:tc>
                <w:tcPr>
                  <w:tcW w:w="920" w:type="dxa"/>
                  <w:tcBorders>
                    <w:top w:val="nil"/>
                    <w:left w:val="nil"/>
                    <w:bottom w:val="single" w:sz="8" w:space="0" w:color="FFFFFF"/>
                    <w:right w:val="single" w:sz="8" w:space="0" w:color="FFFFFF"/>
                  </w:tcBorders>
                  <w:shd w:val="clear" w:color="000000" w:fill="FCD5B4"/>
                  <w:noWrap/>
                  <w:vAlign w:val="center"/>
                  <w:hideMark/>
                </w:tcPr>
                <w:p w14:paraId="4F7B3956" w14:textId="49FC51F6"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-7.9 </w:t>
                  </w:r>
                </w:p>
              </w:tc>
              <w:tc>
                <w:tcPr>
                  <w:tcW w:w="920" w:type="dxa"/>
                  <w:tcBorders>
                    <w:top w:val="nil"/>
                    <w:left w:val="nil"/>
                    <w:bottom w:val="single" w:sz="8" w:space="0" w:color="FFFFFF"/>
                    <w:right w:val="single" w:sz="8" w:space="0" w:color="FFFFFF"/>
                  </w:tcBorders>
                  <w:shd w:val="clear" w:color="000000" w:fill="FCD5B4"/>
                  <w:noWrap/>
                  <w:vAlign w:val="center"/>
                  <w:hideMark/>
                </w:tcPr>
                <w:p w14:paraId="455389C2" w14:textId="2BB2715E"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-11.9 </w:t>
                  </w:r>
                </w:p>
              </w:tc>
            </w:tr>
            <w:tr w:rsidR="002D3316" w:rsidRPr="00B41E24" w14:paraId="6A7B0CBC" w14:textId="77777777" w:rsidTr="007A1586">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052855D1" w14:textId="4B5FB139" w:rsidR="002D3316" w:rsidRPr="00B41E24" w:rsidRDefault="002D3316" w:rsidP="002D3316">
                  <w:pPr>
                    <w:widowControl/>
                    <w:jc w:val="center"/>
                    <w:rPr>
                      <w:rFonts w:ascii="楷体" w:eastAsia="楷体" w:hAnsi="楷体"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5Y</w:t>
                  </w:r>
                </w:p>
              </w:tc>
              <w:tc>
                <w:tcPr>
                  <w:tcW w:w="740" w:type="dxa"/>
                  <w:tcBorders>
                    <w:top w:val="nil"/>
                    <w:left w:val="nil"/>
                    <w:bottom w:val="single" w:sz="8" w:space="0" w:color="FFFFFF"/>
                    <w:right w:val="single" w:sz="8" w:space="0" w:color="FFFFFF"/>
                  </w:tcBorders>
                  <w:shd w:val="clear" w:color="000000" w:fill="FDE9D9"/>
                  <w:noWrap/>
                  <w:vAlign w:val="center"/>
                  <w:hideMark/>
                </w:tcPr>
                <w:p w14:paraId="7770DE15" w14:textId="04E0F341"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-6.2 </w:t>
                  </w:r>
                </w:p>
              </w:tc>
              <w:tc>
                <w:tcPr>
                  <w:tcW w:w="920" w:type="dxa"/>
                  <w:tcBorders>
                    <w:top w:val="nil"/>
                    <w:left w:val="nil"/>
                    <w:bottom w:val="single" w:sz="8" w:space="0" w:color="FFFFFF"/>
                    <w:right w:val="single" w:sz="8" w:space="0" w:color="FFFFFF"/>
                  </w:tcBorders>
                  <w:shd w:val="clear" w:color="000000" w:fill="FDE9D9"/>
                  <w:noWrap/>
                  <w:vAlign w:val="center"/>
                  <w:hideMark/>
                </w:tcPr>
                <w:p w14:paraId="4004BD72" w14:textId="7D1CCF5A"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-3.2 </w:t>
                  </w:r>
                </w:p>
              </w:tc>
              <w:tc>
                <w:tcPr>
                  <w:tcW w:w="920" w:type="dxa"/>
                  <w:tcBorders>
                    <w:top w:val="nil"/>
                    <w:left w:val="nil"/>
                    <w:bottom w:val="single" w:sz="8" w:space="0" w:color="FFFFFF"/>
                    <w:right w:val="single" w:sz="8" w:space="0" w:color="FFFFFF"/>
                  </w:tcBorders>
                  <w:shd w:val="clear" w:color="000000" w:fill="FDE9D9"/>
                  <w:noWrap/>
                  <w:vAlign w:val="center"/>
                  <w:hideMark/>
                </w:tcPr>
                <w:p w14:paraId="10E494F6" w14:textId="508E7FFF"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-9.2 </w:t>
                  </w:r>
                </w:p>
              </w:tc>
              <w:tc>
                <w:tcPr>
                  <w:tcW w:w="920" w:type="dxa"/>
                  <w:tcBorders>
                    <w:top w:val="nil"/>
                    <w:left w:val="nil"/>
                    <w:bottom w:val="single" w:sz="8" w:space="0" w:color="FFFFFF"/>
                    <w:right w:val="single" w:sz="8" w:space="0" w:color="FFFFFF"/>
                  </w:tcBorders>
                  <w:shd w:val="clear" w:color="000000" w:fill="FDE9D9"/>
                  <w:noWrap/>
                  <w:vAlign w:val="center"/>
                  <w:hideMark/>
                </w:tcPr>
                <w:p w14:paraId="2C334CFA" w14:textId="44A54D05"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-10.2 </w:t>
                  </w:r>
                </w:p>
              </w:tc>
              <w:tc>
                <w:tcPr>
                  <w:tcW w:w="1149" w:type="dxa"/>
                  <w:tcBorders>
                    <w:top w:val="nil"/>
                    <w:left w:val="nil"/>
                    <w:bottom w:val="single" w:sz="8" w:space="0" w:color="FFFFFF"/>
                    <w:right w:val="single" w:sz="8" w:space="0" w:color="FFFFFF"/>
                  </w:tcBorders>
                  <w:shd w:val="clear" w:color="000000" w:fill="FDE9D9"/>
                  <w:noWrap/>
                  <w:vAlign w:val="center"/>
                  <w:hideMark/>
                </w:tcPr>
                <w:p w14:paraId="471CE1B8" w14:textId="564F6A20" w:rsidR="002D3316" w:rsidRPr="00B41E24" w:rsidRDefault="002D3316" w:rsidP="002D3316">
                  <w:pPr>
                    <w:widowControl/>
                    <w:jc w:val="center"/>
                    <w:rPr>
                      <w:rFonts w:ascii="楷体" w:eastAsia="楷体" w:hAnsi="楷体"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3A0C33F3" w14:textId="0B9BE6A8"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-3.8 </w:t>
                  </w:r>
                </w:p>
              </w:tc>
              <w:tc>
                <w:tcPr>
                  <w:tcW w:w="920" w:type="dxa"/>
                  <w:tcBorders>
                    <w:top w:val="nil"/>
                    <w:left w:val="nil"/>
                    <w:bottom w:val="single" w:sz="8" w:space="0" w:color="FFFFFF"/>
                    <w:right w:val="single" w:sz="8" w:space="0" w:color="FFFFFF"/>
                  </w:tcBorders>
                  <w:shd w:val="clear" w:color="000000" w:fill="FDE9D9"/>
                  <w:noWrap/>
                  <w:vAlign w:val="center"/>
                  <w:hideMark/>
                </w:tcPr>
                <w:p w14:paraId="0131BE88" w14:textId="654A3A90"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-0.8 </w:t>
                  </w:r>
                </w:p>
              </w:tc>
              <w:tc>
                <w:tcPr>
                  <w:tcW w:w="920" w:type="dxa"/>
                  <w:tcBorders>
                    <w:top w:val="nil"/>
                    <w:left w:val="nil"/>
                    <w:bottom w:val="single" w:sz="8" w:space="0" w:color="FFFFFF"/>
                    <w:right w:val="single" w:sz="8" w:space="0" w:color="FFFFFF"/>
                  </w:tcBorders>
                  <w:shd w:val="clear" w:color="000000" w:fill="FDE9D9"/>
                  <w:noWrap/>
                  <w:vAlign w:val="center"/>
                  <w:hideMark/>
                </w:tcPr>
                <w:p w14:paraId="6C67254B" w14:textId="30BC7EE8"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-6.8 </w:t>
                  </w:r>
                </w:p>
              </w:tc>
              <w:tc>
                <w:tcPr>
                  <w:tcW w:w="920" w:type="dxa"/>
                  <w:tcBorders>
                    <w:top w:val="nil"/>
                    <w:left w:val="nil"/>
                    <w:bottom w:val="single" w:sz="8" w:space="0" w:color="FFFFFF"/>
                    <w:right w:val="single" w:sz="8" w:space="0" w:color="FFFFFF"/>
                  </w:tcBorders>
                  <w:shd w:val="clear" w:color="000000" w:fill="FDE9D9"/>
                  <w:noWrap/>
                  <w:vAlign w:val="center"/>
                  <w:hideMark/>
                </w:tcPr>
                <w:p w14:paraId="4C0EAFCC" w14:textId="77F9F76B"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-7.8 </w:t>
                  </w:r>
                </w:p>
              </w:tc>
            </w:tr>
            <w:tr w:rsidR="002D3316" w:rsidRPr="00B41E24" w14:paraId="3B417DAA" w14:textId="77777777" w:rsidTr="007A1586">
              <w:trPr>
                <w:trHeight w:val="310"/>
              </w:trPr>
              <w:tc>
                <w:tcPr>
                  <w:tcW w:w="1309" w:type="dxa"/>
                  <w:tcBorders>
                    <w:top w:val="nil"/>
                    <w:left w:val="nil"/>
                    <w:bottom w:val="nil"/>
                    <w:right w:val="nil"/>
                  </w:tcBorders>
                  <w:shd w:val="clear" w:color="000000" w:fill="FCD5B4"/>
                  <w:noWrap/>
                  <w:vAlign w:val="center"/>
                  <w:hideMark/>
                </w:tcPr>
                <w:p w14:paraId="0DA46A28" w14:textId="4B39A287" w:rsidR="002D3316" w:rsidRPr="00B41E24" w:rsidRDefault="002D3316" w:rsidP="002D3316">
                  <w:pPr>
                    <w:widowControl/>
                    <w:jc w:val="center"/>
                    <w:rPr>
                      <w:rFonts w:ascii="楷体" w:eastAsia="楷体" w:hAnsi="楷体"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7Y</w:t>
                  </w:r>
                </w:p>
              </w:tc>
              <w:tc>
                <w:tcPr>
                  <w:tcW w:w="740" w:type="dxa"/>
                  <w:tcBorders>
                    <w:top w:val="nil"/>
                    <w:left w:val="nil"/>
                    <w:bottom w:val="single" w:sz="8" w:space="0" w:color="FFFFFF"/>
                    <w:right w:val="single" w:sz="8" w:space="0" w:color="FFFFFF"/>
                  </w:tcBorders>
                  <w:shd w:val="clear" w:color="000000" w:fill="FCD5B4"/>
                  <w:noWrap/>
                  <w:vAlign w:val="center"/>
                  <w:hideMark/>
                </w:tcPr>
                <w:p w14:paraId="77893C8C" w14:textId="5C46EBC7"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-6.8 </w:t>
                  </w:r>
                </w:p>
              </w:tc>
              <w:tc>
                <w:tcPr>
                  <w:tcW w:w="920" w:type="dxa"/>
                  <w:tcBorders>
                    <w:top w:val="nil"/>
                    <w:left w:val="nil"/>
                    <w:bottom w:val="single" w:sz="8" w:space="0" w:color="FFFFFF"/>
                    <w:right w:val="single" w:sz="8" w:space="0" w:color="FFFFFF"/>
                  </w:tcBorders>
                  <w:shd w:val="clear" w:color="000000" w:fill="FCD5B4"/>
                  <w:noWrap/>
                  <w:vAlign w:val="center"/>
                  <w:hideMark/>
                </w:tcPr>
                <w:p w14:paraId="66E4B3A7" w14:textId="75924EA3"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-2.8 </w:t>
                  </w:r>
                </w:p>
              </w:tc>
              <w:tc>
                <w:tcPr>
                  <w:tcW w:w="920" w:type="dxa"/>
                  <w:tcBorders>
                    <w:top w:val="nil"/>
                    <w:left w:val="nil"/>
                    <w:bottom w:val="single" w:sz="8" w:space="0" w:color="FFFFFF"/>
                    <w:right w:val="single" w:sz="8" w:space="0" w:color="FFFFFF"/>
                  </w:tcBorders>
                  <w:shd w:val="clear" w:color="000000" w:fill="FCD5B4"/>
                  <w:noWrap/>
                  <w:vAlign w:val="center"/>
                  <w:hideMark/>
                </w:tcPr>
                <w:p w14:paraId="6ECD03FA" w14:textId="0BC5ECB5"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-2.8 </w:t>
                  </w:r>
                </w:p>
              </w:tc>
              <w:tc>
                <w:tcPr>
                  <w:tcW w:w="920" w:type="dxa"/>
                  <w:tcBorders>
                    <w:top w:val="nil"/>
                    <w:left w:val="nil"/>
                    <w:bottom w:val="single" w:sz="8" w:space="0" w:color="FFFFFF"/>
                    <w:right w:val="single" w:sz="8" w:space="0" w:color="FFFFFF"/>
                  </w:tcBorders>
                  <w:shd w:val="clear" w:color="000000" w:fill="FCD5B4"/>
                  <w:noWrap/>
                  <w:vAlign w:val="center"/>
                  <w:hideMark/>
                </w:tcPr>
                <w:p w14:paraId="4A1E86C1" w14:textId="5402F649"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-5.8 </w:t>
                  </w:r>
                </w:p>
              </w:tc>
              <w:tc>
                <w:tcPr>
                  <w:tcW w:w="1149" w:type="dxa"/>
                  <w:tcBorders>
                    <w:top w:val="nil"/>
                    <w:left w:val="nil"/>
                    <w:bottom w:val="nil"/>
                    <w:right w:val="nil"/>
                  </w:tcBorders>
                  <w:shd w:val="clear" w:color="000000" w:fill="FCD5B4"/>
                  <w:noWrap/>
                  <w:vAlign w:val="center"/>
                  <w:hideMark/>
                </w:tcPr>
                <w:p w14:paraId="10247A8D" w14:textId="2B8F38E1" w:rsidR="002D3316" w:rsidRPr="00B41E24" w:rsidRDefault="002D3316" w:rsidP="002D3316">
                  <w:pPr>
                    <w:widowControl/>
                    <w:jc w:val="center"/>
                    <w:rPr>
                      <w:rFonts w:ascii="楷体" w:eastAsia="楷体" w:hAnsi="楷体"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627E1DEE" w14:textId="1981A56B"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-6.0 </w:t>
                  </w:r>
                </w:p>
              </w:tc>
              <w:tc>
                <w:tcPr>
                  <w:tcW w:w="920" w:type="dxa"/>
                  <w:tcBorders>
                    <w:top w:val="nil"/>
                    <w:left w:val="nil"/>
                    <w:bottom w:val="single" w:sz="8" w:space="0" w:color="FFFFFF"/>
                    <w:right w:val="single" w:sz="8" w:space="0" w:color="FFFFFF"/>
                  </w:tcBorders>
                  <w:shd w:val="clear" w:color="000000" w:fill="FCD5B4"/>
                  <w:noWrap/>
                  <w:vAlign w:val="center"/>
                  <w:hideMark/>
                </w:tcPr>
                <w:p w14:paraId="1B4F21D5" w14:textId="133E87CA"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-2.0 </w:t>
                  </w:r>
                </w:p>
              </w:tc>
              <w:tc>
                <w:tcPr>
                  <w:tcW w:w="920" w:type="dxa"/>
                  <w:tcBorders>
                    <w:top w:val="nil"/>
                    <w:left w:val="nil"/>
                    <w:bottom w:val="single" w:sz="8" w:space="0" w:color="FFFFFF"/>
                    <w:right w:val="single" w:sz="8" w:space="0" w:color="FFFFFF"/>
                  </w:tcBorders>
                  <w:shd w:val="clear" w:color="000000" w:fill="FCD5B4"/>
                  <w:noWrap/>
                  <w:vAlign w:val="center"/>
                  <w:hideMark/>
                </w:tcPr>
                <w:p w14:paraId="45D1B136" w14:textId="59993DE0"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-2.0 </w:t>
                  </w:r>
                </w:p>
              </w:tc>
              <w:tc>
                <w:tcPr>
                  <w:tcW w:w="920" w:type="dxa"/>
                  <w:tcBorders>
                    <w:top w:val="nil"/>
                    <w:left w:val="nil"/>
                    <w:bottom w:val="single" w:sz="8" w:space="0" w:color="FFFFFF"/>
                    <w:right w:val="single" w:sz="8" w:space="0" w:color="FFFFFF"/>
                  </w:tcBorders>
                  <w:shd w:val="clear" w:color="000000" w:fill="FCD5B4"/>
                  <w:noWrap/>
                  <w:vAlign w:val="center"/>
                  <w:hideMark/>
                </w:tcPr>
                <w:p w14:paraId="18882D60" w14:textId="6163C327" w:rsidR="002D3316" w:rsidRPr="00B41E24" w:rsidRDefault="002D3316" w:rsidP="002D3316">
                  <w:pPr>
                    <w:widowControl/>
                    <w:jc w:val="center"/>
                    <w:rPr>
                      <w:rFonts w:eastAsia="等线" w:cs="Calibri"/>
                      <w:color w:val="000000"/>
                      <w:kern w:val="0"/>
                      <w:szCs w:val="21"/>
                    </w:rPr>
                  </w:pPr>
                  <w:r>
                    <w:rPr>
                      <w:rFonts w:eastAsia="等线" w:cs="Calibri"/>
                      <w:color w:val="FF0000"/>
                      <w:szCs w:val="21"/>
                    </w:rPr>
                    <w:t xml:space="preserve">-5.0 </w:t>
                  </w:r>
                </w:p>
              </w:tc>
            </w:tr>
            <w:tr w:rsidR="002D3316" w:rsidRPr="00B41E24" w14:paraId="42AE38BD" w14:textId="77777777" w:rsidTr="007A1586">
              <w:trPr>
                <w:trHeight w:val="160"/>
              </w:trPr>
              <w:tc>
                <w:tcPr>
                  <w:tcW w:w="1309" w:type="dxa"/>
                  <w:tcBorders>
                    <w:top w:val="nil"/>
                    <w:left w:val="nil"/>
                    <w:bottom w:val="nil"/>
                    <w:right w:val="nil"/>
                  </w:tcBorders>
                  <w:shd w:val="clear" w:color="auto" w:fill="auto"/>
                  <w:noWrap/>
                  <w:vAlign w:val="center"/>
                  <w:hideMark/>
                </w:tcPr>
                <w:p w14:paraId="5A7EA8AA" w14:textId="77777777" w:rsidR="002D3316" w:rsidRPr="00B41E24" w:rsidRDefault="002D3316" w:rsidP="002D3316">
                  <w:pPr>
                    <w:widowControl/>
                    <w:jc w:val="center"/>
                    <w:rPr>
                      <w:rFonts w:eastAsia="等线" w:cs="Calibri"/>
                      <w:color w:val="000000"/>
                      <w:kern w:val="0"/>
                      <w:szCs w:val="21"/>
                    </w:rPr>
                  </w:pPr>
                </w:p>
              </w:tc>
              <w:tc>
                <w:tcPr>
                  <w:tcW w:w="740" w:type="dxa"/>
                  <w:tcBorders>
                    <w:top w:val="nil"/>
                    <w:left w:val="nil"/>
                    <w:bottom w:val="nil"/>
                    <w:right w:val="nil"/>
                  </w:tcBorders>
                  <w:shd w:val="clear" w:color="auto" w:fill="auto"/>
                  <w:noWrap/>
                  <w:vAlign w:val="center"/>
                  <w:hideMark/>
                </w:tcPr>
                <w:p w14:paraId="48196DA8" w14:textId="77777777" w:rsidR="002D3316" w:rsidRPr="00B41E24" w:rsidRDefault="002D3316" w:rsidP="002D3316">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12908F17" w14:textId="77777777" w:rsidR="002D3316" w:rsidRPr="00B41E24" w:rsidRDefault="002D3316" w:rsidP="002D3316">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4ECE1CA7" w14:textId="77777777" w:rsidR="002D3316" w:rsidRPr="00B41E24" w:rsidRDefault="002D3316" w:rsidP="002D3316">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542E0E74" w14:textId="77777777" w:rsidR="002D3316" w:rsidRPr="00B41E24" w:rsidRDefault="002D3316" w:rsidP="002D3316">
                  <w:pPr>
                    <w:widowControl/>
                    <w:jc w:val="center"/>
                    <w:rPr>
                      <w:rFonts w:ascii="Times New Roman" w:eastAsia="Times New Roman" w:hAnsi="Times New Roman"/>
                      <w:kern w:val="0"/>
                      <w:sz w:val="20"/>
                      <w:szCs w:val="20"/>
                    </w:rPr>
                  </w:pPr>
                </w:p>
              </w:tc>
              <w:tc>
                <w:tcPr>
                  <w:tcW w:w="1149" w:type="dxa"/>
                  <w:tcBorders>
                    <w:top w:val="nil"/>
                    <w:left w:val="nil"/>
                    <w:bottom w:val="nil"/>
                    <w:right w:val="nil"/>
                  </w:tcBorders>
                  <w:shd w:val="clear" w:color="auto" w:fill="auto"/>
                  <w:noWrap/>
                  <w:vAlign w:val="center"/>
                  <w:hideMark/>
                </w:tcPr>
                <w:p w14:paraId="05ED658A" w14:textId="77777777" w:rsidR="002D3316" w:rsidRPr="00B41E24" w:rsidRDefault="002D3316" w:rsidP="002D3316">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7F5D1A19" w14:textId="77777777" w:rsidR="002D3316" w:rsidRPr="00B41E24" w:rsidRDefault="002D3316" w:rsidP="002D3316">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31BF2F6A" w14:textId="77777777" w:rsidR="002D3316" w:rsidRPr="00B41E24" w:rsidRDefault="002D3316" w:rsidP="002D3316">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0E8AB294" w14:textId="77777777" w:rsidR="002D3316" w:rsidRPr="00B41E24" w:rsidRDefault="002D3316" w:rsidP="002D3316">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79F18CA9" w14:textId="77777777" w:rsidR="002D3316" w:rsidRPr="00B41E24" w:rsidRDefault="002D3316" w:rsidP="002D3316">
                  <w:pPr>
                    <w:widowControl/>
                    <w:jc w:val="center"/>
                    <w:rPr>
                      <w:rFonts w:ascii="Times New Roman" w:eastAsia="Times New Roman" w:hAnsi="Times New Roman"/>
                      <w:kern w:val="0"/>
                      <w:sz w:val="20"/>
                      <w:szCs w:val="20"/>
                    </w:rPr>
                  </w:pPr>
                </w:p>
              </w:tc>
            </w:tr>
            <w:tr w:rsidR="002D3316" w:rsidRPr="00B41E24" w14:paraId="2463192E" w14:textId="77777777" w:rsidTr="007A1586">
              <w:trPr>
                <w:trHeight w:val="310"/>
              </w:trPr>
              <w:tc>
                <w:tcPr>
                  <w:tcW w:w="1309" w:type="dxa"/>
                  <w:tcBorders>
                    <w:top w:val="nil"/>
                    <w:left w:val="nil"/>
                    <w:bottom w:val="single" w:sz="12" w:space="0" w:color="FFFFFF"/>
                    <w:right w:val="single" w:sz="8" w:space="0" w:color="FFFFFF"/>
                  </w:tcBorders>
                  <w:shd w:val="clear" w:color="000000" w:fill="F79646"/>
                  <w:noWrap/>
                  <w:vAlign w:val="center"/>
                  <w:hideMark/>
                </w:tcPr>
                <w:p w14:paraId="30C3828D" w14:textId="569C94B6" w:rsidR="002D3316" w:rsidRPr="00B41E24" w:rsidRDefault="002D3316" w:rsidP="002D3316">
                  <w:pPr>
                    <w:widowControl/>
                    <w:jc w:val="center"/>
                    <w:rPr>
                      <w:rFonts w:ascii="楷体" w:eastAsia="楷体" w:hAnsi="楷体" w:cs="宋体"/>
                      <w:b/>
                      <w:bCs/>
                      <w:color w:val="FFFFFF"/>
                      <w:kern w:val="0"/>
                      <w:sz w:val="20"/>
                      <w:szCs w:val="20"/>
                    </w:rPr>
                  </w:pPr>
                  <w:r>
                    <w:rPr>
                      <w:rFonts w:ascii="楷体" w:eastAsia="楷体" w:hAnsi="楷体" w:hint="eastAsia"/>
                      <w:b/>
                      <w:bCs/>
                      <w:color w:val="FFFFFF"/>
                      <w:sz w:val="20"/>
                      <w:szCs w:val="20"/>
                    </w:rPr>
                    <w:t>收益率分位</w:t>
                  </w:r>
                </w:p>
              </w:tc>
              <w:tc>
                <w:tcPr>
                  <w:tcW w:w="740" w:type="dxa"/>
                  <w:tcBorders>
                    <w:top w:val="nil"/>
                    <w:left w:val="nil"/>
                    <w:bottom w:val="single" w:sz="12" w:space="0" w:color="FFFFFF"/>
                    <w:right w:val="single" w:sz="8" w:space="0" w:color="FFFFFF"/>
                  </w:tcBorders>
                  <w:shd w:val="clear" w:color="000000" w:fill="F79646"/>
                  <w:noWrap/>
                  <w:vAlign w:val="center"/>
                  <w:hideMark/>
                </w:tcPr>
                <w:p w14:paraId="57743789" w14:textId="74C691D6" w:rsidR="002D3316" w:rsidRPr="00B41E24" w:rsidRDefault="002D3316" w:rsidP="002D3316">
                  <w:pPr>
                    <w:widowControl/>
                    <w:jc w:val="center"/>
                    <w:rPr>
                      <w:rFonts w:ascii="楷体" w:eastAsia="楷体" w:hAnsi="楷体" w:cs="宋体"/>
                      <w:b/>
                      <w:bCs/>
                      <w:color w:val="FFFFFF"/>
                      <w:kern w:val="0"/>
                      <w:sz w:val="20"/>
                      <w:szCs w:val="20"/>
                    </w:rPr>
                  </w:pPr>
                  <w:r>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20835438" w14:textId="20229D15" w:rsidR="002D3316" w:rsidRPr="00B41E24" w:rsidRDefault="002D3316" w:rsidP="002D3316">
                  <w:pPr>
                    <w:widowControl/>
                    <w:jc w:val="center"/>
                    <w:rPr>
                      <w:rFonts w:ascii="楷体" w:eastAsia="楷体" w:hAnsi="楷体"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6942ACD3" w14:textId="3AC7ED50" w:rsidR="002D3316" w:rsidRPr="00B41E24" w:rsidRDefault="002D3316" w:rsidP="002D3316">
                  <w:pPr>
                    <w:widowControl/>
                    <w:jc w:val="center"/>
                    <w:rPr>
                      <w:rFonts w:ascii="楷体" w:eastAsia="楷体" w:hAnsi="楷体"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3DED1B9B" w14:textId="35BA904D" w:rsidR="002D3316" w:rsidRPr="00B41E24" w:rsidRDefault="002D3316" w:rsidP="002D3316">
                  <w:pPr>
                    <w:widowControl/>
                    <w:jc w:val="center"/>
                    <w:rPr>
                      <w:rFonts w:ascii="楷体" w:eastAsia="楷体" w:hAnsi="楷体" w:cs="宋体"/>
                      <w:b/>
                      <w:bCs/>
                      <w:color w:val="FFFFFF"/>
                      <w:kern w:val="0"/>
                      <w:sz w:val="20"/>
                      <w:szCs w:val="20"/>
                    </w:rPr>
                  </w:pPr>
                  <w:r>
                    <w:rPr>
                      <w:rFonts w:ascii="楷体" w:eastAsia="楷体" w:hAnsi="楷体" w:hint="eastAsia"/>
                      <w:b/>
                      <w:bCs/>
                      <w:color w:val="FFFFFF"/>
                      <w:sz w:val="20"/>
                      <w:szCs w:val="20"/>
                    </w:rPr>
                    <w:t>AA-</w:t>
                  </w:r>
                </w:p>
              </w:tc>
              <w:tc>
                <w:tcPr>
                  <w:tcW w:w="1149" w:type="dxa"/>
                  <w:tcBorders>
                    <w:top w:val="nil"/>
                    <w:left w:val="nil"/>
                    <w:bottom w:val="single" w:sz="12" w:space="0" w:color="FFFFFF"/>
                    <w:right w:val="single" w:sz="8" w:space="0" w:color="FFFFFF"/>
                  </w:tcBorders>
                  <w:shd w:val="clear" w:color="000000" w:fill="F79646"/>
                  <w:noWrap/>
                  <w:vAlign w:val="center"/>
                  <w:hideMark/>
                </w:tcPr>
                <w:p w14:paraId="4C48D3F0" w14:textId="69ED2D9E" w:rsidR="002D3316" w:rsidRPr="00B41E24" w:rsidRDefault="002D3316" w:rsidP="002D3316">
                  <w:pPr>
                    <w:widowControl/>
                    <w:jc w:val="center"/>
                    <w:rPr>
                      <w:rFonts w:ascii="楷体" w:eastAsia="楷体" w:hAnsi="楷体" w:cs="宋体"/>
                      <w:b/>
                      <w:bCs/>
                      <w:color w:val="FFFFFF"/>
                      <w:kern w:val="0"/>
                      <w:sz w:val="20"/>
                      <w:szCs w:val="20"/>
                    </w:rPr>
                  </w:pPr>
                  <w:r>
                    <w:rPr>
                      <w:rFonts w:ascii="楷体" w:eastAsia="楷体" w:hAnsi="楷体" w:hint="eastAsia"/>
                      <w:b/>
                      <w:bCs/>
                      <w:color w:val="FFFFFF"/>
                      <w:sz w:val="20"/>
                      <w:szCs w:val="20"/>
                    </w:rPr>
                    <w:t>息差</w:t>
                  </w:r>
                </w:p>
              </w:tc>
              <w:tc>
                <w:tcPr>
                  <w:tcW w:w="920" w:type="dxa"/>
                  <w:tcBorders>
                    <w:top w:val="nil"/>
                    <w:left w:val="nil"/>
                    <w:bottom w:val="single" w:sz="12" w:space="0" w:color="FFFFFF"/>
                    <w:right w:val="single" w:sz="8" w:space="0" w:color="FFFFFF"/>
                  </w:tcBorders>
                  <w:shd w:val="clear" w:color="000000" w:fill="F79646"/>
                  <w:noWrap/>
                  <w:vAlign w:val="center"/>
                  <w:hideMark/>
                </w:tcPr>
                <w:p w14:paraId="20F774BB" w14:textId="3DECFDC7" w:rsidR="002D3316" w:rsidRPr="00B41E24" w:rsidRDefault="002D3316" w:rsidP="002D3316">
                  <w:pPr>
                    <w:widowControl/>
                    <w:jc w:val="center"/>
                    <w:rPr>
                      <w:rFonts w:ascii="楷体" w:eastAsia="楷体" w:hAnsi="楷体" w:cs="宋体"/>
                      <w:b/>
                      <w:bCs/>
                      <w:color w:val="FFFFFF"/>
                      <w:kern w:val="0"/>
                      <w:sz w:val="20"/>
                      <w:szCs w:val="20"/>
                    </w:rPr>
                  </w:pPr>
                  <w:r>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5045FBE8" w14:textId="28018A82" w:rsidR="002D3316" w:rsidRPr="00B41E24" w:rsidRDefault="002D3316" w:rsidP="002D3316">
                  <w:pPr>
                    <w:widowControl/>
                    <w:jc w:val="center"/>
                    <w:rPr>
                      <w:rFonts w:ascii="楷体" w:eastAsia="楷体" w:hAnsi="楷体"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27DDC22F" w14:textId="41F9F613" w:rsidR="002D3316" w:rsidRPr="00B41E24" w:rsidRDefault="002D3316" w:rsidP="002D3316">
                  <w:pPr>
                    <w:widowControl/>
                    <w:jc w:val="center"/>
                    <w:rPr>
                      <w:rFonts w:ascii="楷体" w:eastAsia="楷体" w:hAnsi="楷体"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016F42D2" w14:textId="27B0091C" w:rsidR="002D3316" w:rsidRPr="00B41E24" w:rsidRDefault="002D3316" w:rsidP="002D3316">
                  <w:pPr>
                    <w:widowControl/>
                    <w:jc w:val="center"/>
                    <w:rPr>
                      <w:rFonts w:ascii="楷体" w:eastAsia="楷体" w:hAnsi="楷体" w:cs="宋体"/>
                      <w:b/>
                      <w:bCs/>
                      <w:color w:val="FFFFFF"/>
                      <w:kern w:val="0"/>
                      <w:sz w:val="20"/>
                      <w:szCs w:val="20"/>
                    </w:rPr>
                  </w:pPr>
                  <w:r>
                    <w:rPr>
                      <w:rFonts w:ascii="楷体" w:eastAsia="楷体" w:hAnsi="楷体" w:hint="eastAsia"/>
                      <w:b/>
                      <w:bCs/>
                      <w:color w:val="FFFFFF"/>
                      <w:sz w:val="20"/>
                      <w:szCs w:val="20"/>
                    </w:rPr>
                    <w:t>AA-</w:t>
                  </w:r>
                </w:p>
              </w:tc>
            </w:tr>
            <w:tr w:rsidR="002D3316" w:rsidRPr="00B41E24" w14:paraId="6BCEED0C" w14:textId="77777777" w:rsidTr="007A1586">
              <w:trPr>
                <w:trHeight w:val="321"/>
              </w:trPr>
              <w:tc>
                <w:tcPr>
                  <w:tcW w:w="1309" w:type="dxa"/>
                  <w:tcBorders>
                    <w:top w:val="nil"/>
                    <w:left w:val="nil"/>
                    <w:bottom w:val="single" w:sz="8" w:space="0" w:color="FFFFFF"/>
                    <w:right w:val="single" w:sz="8" w:space="0" w:color="FFFFFF"/>
                  </w:tcBorders>
                  <w:shd w:val="clear" w:color="000000" w:fill="FCD5B4"/>
                  <w:noWrap/>
                  <w:vAlign w:val="center"/>
                  <w:hideMark/>
                </w:tcPr>
                <w:p w14:paraId="08C9B79B" w14:textId="4B509AE3"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CP</w:t>
                  </w:r>
                </w:p>
              </w:tc>
              <w:tc>
                <w:tcPr>
                  <w:tcW w:w="740" w:type="dxa"/>
                  <w:tcBorders>
                    <w:top w:val="nil"/>
                    <w:left w:val="nil"/>
                    <w:bottom w:val="single" w:sz="8" w:space="0" w:color="FFFFFF"/>
                    <w:right w:val="single" w:sz="8" w:space="0" w:color="FFFFFF"/>
                  </w:tcBorders>
                  <w:shd w:val="clear" w:color="000000" w:fill="FCD5B4"/>
                  <w:noWrap/>
                  <w:vAlign w:val="center"/>
                  <w:hideMark/>
                </w:tcPr>
                <w:p w14:paraId="3D9575A3" w14:textId="7AE8882D" w:rsidR="002D3316" w:rsidRPr="00B41E24" w:rsidRDefault="002D3316" w:rsidP="002D3316">
                  <w:pPr>
                    <w:widowControl/>
                    <w:jc w:val="center"/>
                    <w:rPr>
                      <w:rFonts w:eastAsia="等线" w:cs="Calibri"/>
                      <w:color w:val="000000"/>
                      <w:kern w:val="0"/>
                      <w:szCs w:val="21"/>
                    </w:rPr>
                  </w:pPr>
                  <w:r>
                    <w:rPr>
                      <w:rFonts w:eastAsia="等线" w:cs="Calibri"/>
                      <w:color w:val="000000"/>
                      <w:szCs w:val="21"/>
                    </w:rPr>
                    <w:t>11%</w:t>
                  </w:r>
                </w:p>
              </w:tc>
              <w:tc>
                <w:tcPr>
                  <w:tcW w:w="920" w:type="dxa"/>
                  <w:tcBorders>
                    <w:top w:val="nil"/>
                    <w:left w:val="nil"/>
                    <w:bottom w:val="single" w:sz="8" w:space="0" w:color="FFFFFF"/>
                    <w:right w:val="single" w:sz="8" w:space="0" w:color="FFFFFF"/>
                  </w:tcBorders>
                  <w:shd w:val="clear" w:color="000000" w:fill="FCD5B4"/>
                  <w:noWrap/>
                  <w:vAlign w:val="center"/>
                  <w:hideMark/>
                </w:tcPr>
                <w:p w14:paraId="29CEB283" w14:textId="037FCC5B" w:rsidR="002D3316" w:rsidRPr="00B41E24" w:rsidRDefault="002D3316" w:rsidP="002D3316">
                  <w:pPr>
                    <w:widowControl/>
                    <w:jc w:val="center"/>
                    <w:rPr>
                      <w:rFonts w:eastAsia="等线" w:cs="Calibri"/>
                      <w:color w:val="000000"/>
                      <w:kern w:val="0"/>
                      <w:szCs w:val="21"/>
                    </w:rPr>
                  </w:pPr>
                  <w:r>
                    <w:rPr>
                      <w:rFonts w:eastAsia="等线" w:cs="Calibri"/>
                      <w:color w:val="000000"/>
                      <w:szCs w:val="21"/>
                    </w:rPr>
                    <w:t>8%</w:t>
                  </w:r>
                </w:p>
              </w:tc>
              <w:tc>
                <w:tcPr>
                  <w:tcW w:w="920" w:type="dxa"/>
                  <w:tcBorders>
                    <w:top w:val="nil"/>
                    <w:left w:val="nil"/>
                    <w:bottom w:val="single" w:sz="8" w:space="0" w:color="FFFFFF"/>
                    <w:right w:val="single" w:sz="8" w:space="0" w:color="FFFFFF"/>
                  </w:tcBorders>
                  <w:shd w:val="clear" w:color="000000" w:fill="FCD5B4"/>
                  <w:noWrap/>
                  <w:vAlign w:val="center"/>
                  <w:hideMark/>
                </w:tcPr>
                <w:p w14:paraId="79A327E6" w14:textId="273EFC67" w:rsidR="002D3316" w:rsidRPr="00B41E24" w:rsidRDefault="002D3316" w:rsidP="002D3316">
                  <w:pPr>
                    <w:widowControl/>
                    <w:jc w:val="center"/>
                    <w:rPr>
                      <w:rFonts w:eastAsia="等线" w:cs="Calibri"/>
                      <w:color w:val="000000"/>
                      <w:kern w:val="0"/>
                      <w:szCs w:val="21"/>
                    </w:rPr>
                  </w:pPr>
                  <w:r>
                    <w:rPr>
                      <w:rFonts w:eastAsia="等线" w:cs="Calibri"/>
                      <w:color w:val="000000"/>
                      <w:szCs w:val="21"/>
                    </w:rPr>
                    <w:t>9%</w:t>
                  </w:r>
                </w:p>
              </w:tc>
              <w:tc>
                <w:tcPr>
                  <w:tcW w:w="920" w:type="dxa"/>
                  <w:tcBorders>
                    <w:top w:val="nil"/>
                    <w:left w:val="nil"/>
                    <w:bottom w:val="single" w:sz="8" w:space="0" w:color="FFFFFF"/>
                    <w:right w:val="single" w:sz="8" w:space="0" w:color="FFFFFF"/>
                  </w:tcBorders>
                  <w:shd w:val="clear" w:color="000000" w:fill="FCD5B4"/>
                  <w:noWrap/>
                  <w:vAlign w:val="center"/>
                  <w:hideMark/>
                </w:tcPr>
                <w:p w14:paraId="033E9A5E" w14:textId="7A180924" w:rsidR="002D3316" w:rsidRPr="00B41E24" w:rsidRDefault="002D3316" w:rsidP="002D3316">
                  <w:pPr>
                    <w:widowControl/>
                    <w:jc w:val="center"/>
                    <w:rPr>
                      <w:rFonts w:eastAsia="等线" w:cs="Calibri"/>
                      <w:color w:val="000000"/>
                      <w:kern w:val="0"/>
                      <w:szCs w:val="21"/>
                    </w:rPr>
                  </w:pPr>
                  <w:r>
                    <w:rPr>
                      <w:rFonts w:eastAsia="等线" w:cs="Calibri"/>
                      <w:color w:val="000000"/>
                      <w:szCs w:val="21"/>
                    </w:rPr>
                    <w:t>42%</w:t>
                  </w:r>
                </w:p>
              </w:tc>
              <w:tc>
                <w:tcPr>
                  <w:tcW w:w="1149" w:type="dxa"/>
                  <w:tcBorders>
                    <w:top w:val="nil"/>
                    <w:left w:val="nil"/>
                    <w:bottom w:val="single" w:sz="8" w:space="0" w:color="FFFFFF"/>
                    <w:right w:val="single" w:sz="8" w:space="0" w:color="FFFFFF"/>
                  </w:tcBorders>
                  <w:shd w:val="clear" w:color="000000" w:fill="FCD5B4"/>
                  <w:noWrap/>
                  <w:vAlign w:val="center"/>
                  <w:hideMark/>
                </w:tcPr>
                <w:p w14:paraId="13B4CCB6" w14:textId="7A8B290A"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1A1E1D51" w14:textId="22884F6B" w:rsidR="002D3316" w:rsidRPr="00B41E24" w:rsidRDefault="002D3316" w:rsidP="002D3316">
                  <w:pPr>
                    <w:widowControl/>
                    <w:jc w:val="center"/>
                    <w:rPr>
                      <w:rFonts w:eastAsia="等线" w:cs="Calibri"/>
                      <w:color w:val="000000"/>
                      <w:kern w:val="0"/>
                      <w:szCs w:val="21"/>
                    </w:rPr>
                  </w:pPr>
                  <w:r>
                    <w:rPr>
                      <w:rFonts w:eastAsia="等线" w:cs="Calibri"/>
                      <w:color w:val="000000"/>
                      <w:szCs w:val="21"/>
                    </w:rPr>
                    <w:t>4%</w:t>
                  </w:r>
                </w:p>
              </w:tc>
              <w:tc>
                <w:tcPr>
                  <w:tcW w:w="920" w:type="dxa"/>
                  <w:tcBorders>
                    <w:top w:val="nil"/>
                    <w:left w:val="nil"/>
                    <w:bottom w:val="single" w:sz="8" w:space="0" w:color="FFFFFF"/>
                    <w:right w:val="single" w:sz="8" w:space="0" w:color="FFFFFF"/>
                  </w:tcBorders>
                  <w:shd w:val="clear" w:color="000000" w:fill="FCD5B4"/>
                  <w:noWrap/>
                  <w:vAlign w:val="center"/>
                  <w:hideMark/>
                </w:tcPr>
                <w:p w14:paraId="10576394" w14:textId="6C26F455" w:rsidR="002D3316" w:rsidRPr="00B41E24" w:rsidRDefault="002D3316" w:rsidP="002D3316">
                  <w:pPr>
                    <w:widowControl/>
                    <w:jc w:val="center"/>
                    <w:rPr>
                      <w:rFonts w:eastAsia="等线" w:cs="Calibri"/>
                      <w:color w:val="000000"/>
                      <w:kern w:val="0"/>
                      <w:szCs w:val="21"/>
                    </w:rPr>
                  </w:pPr>
                  <w:r>
                    <w:rPr>
                      <w:rFonts w:eastAsia="等线" w:cs="Calibri"/>
                      <w:color w:val="000000"/>
                      <w:szCs w:val="21"/>
                    </w:rPr>
                    <w:t>0%</w:t>
                  </w:r>
                </w:p>
              </w:tc>
              <w:tc>
                <w:tcPr>
                  <w:tcW w:w="920" w:type="dxa"/>
                  <w:tcBorders>
                    <w:top w:val="nil"/>
                    <w:left w:val="nil"/>
                    <w:bottom w:val="single" w:sz="8" w:space="0" w:color="FFFFFF"/>
                    <w:right w:val="single" w:sz="8" w:space="0" w:color="FFFFFF"/>
                  </w:tcBorders>
                  <w:shd w:val="clear" w:color="000000" w:fill="FCD5B4"/>
                  <w:noWrap/>
                  <w:vAlign w:val="center"/>
                  <w:hideMark/>
                </w:tcPr>
                <w:p w14:paraId="0393CC42" w14:textId="7D709CF6" w:rsidR="002D3316" w:rsidRPr="00B41E24" w:rsidRDefault="002D3316" w:rsidP="002D3316">
                  <w:pPr>
                    <w:widowControl/>
                    <w:jc w:val="center"/>
                    <w:rPr>
                      <w:rFonts w:eastAsia="等线" w:cs="Calibri"/>
                      <w:color w:val="000000"/>
                      <w:kern w:val="0"/>
                      <w:szCs w:val="21"/>
                    </w:rPr>
                  </w:pPr>
                  <w:r>
                    <w:rPr>
                      <w:rFonts w:eastAsia="等线" w:cs="Calibri"/>
                      <w:color w:val="000000"/>
                      <w:szCs w:val="21"/>
                    </w:rPr>
                    <w:t>4%</w:t>
                  </w:r>
                </w:p>
              </w:tc>
              <w:tc>
                <w:tcPr>
                  <w:tcW w:w="920" w:type="dxa"/>
                  <w:tcBorders>
                    <w:top w:val="nil"/>
                    <w:left w:val="nil"/>
                    <w:bottom w:val="single" w:sz="8" w:space="0" w:color="FFFFFF"/>
                    <w:right w:val="single" w:sz="8" w:space="0" w:color="FFFFFF"/>
                  </w:tcBorders>
                  <w:shd w:val="clear" w:color="000000" w:fill="FCD5B4"/>
                  <w:noWrap/>
                  <w:vAlign w:val="center"/>
                  <w:hideMark/>
                </w:tcPr>
                <w:p w14:paraId="580FA8E3" w14:textId="68B58B93" w:rsidR="002D3316" w:rsidRPr="00B41E24" w:rsidRDefault="002D3316" w:rsidP="002D3316">
                  <w:pPr>
                    <w:widowControl/>
                    <w:jc w:val="center"/>
                    <w:rPr>
                      <w:rFonts w:eastAsia="等线" w:cs="Calibri"/>
                      <w:color w:val="000000"/>
                      <w:kern w:val="0"/>
                      <w:szCs w:val="21"/>
                    </w:rPr>
                  </w:pPr>
                  <w:r>
                    <w:rPr>
                      <w:rFonts w:eastAsia="等线" w:cs="Calibri"/>
                      <w:color w:val="000000"/>
                      <w:szCs w:val="21"/>
                    </w:rPr>
                    <w:t>66%</w:t>
                  </w:r>
                </w:p>
              </w:tc>
            </w:tr>
            <w:tr w:rsidR="002D3316" w:rsidRPr="00B41E24" w14:paraId="3DF945E2" w14:textId="77777777" w:rsidTr="007A1586">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7C68C45D" w14:textId="18289280"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MTN3Y</w:t>
                  </w:r>
                </w:p>
              </w:tc>
              <w:tc>
                <w:tcPr>
                  <w:tcW w:w="740" w:type="dxa"/>
                  <w:tcBorders>
                    <w:top w:val="nil"/>
                    <w:left w:val="nil"/>
                    <w:bottom w:val="single" w:sz="8" w:space="0" w:color="FFFFFF"/>
                    <w:right w:val="single" w:sz="8" w:space="0" w:color="FFFFFF"/>
                  </w:tcBorders>
                  <w:shd w:val="clear" w:color="000000" w:fill="FDE9D9"/>
                  <w:noWrap/>
                  <w:vAlign w:val="center"/>
                  <w:hideMark/>
                </w:tcPr>
                <w:p w14:paraId="5A423046" w14:textId="0A6D0C06" w:rsidR="002D3316" w:rsidRPr="00B41E24" w:rsidRDefault="002D3316" w:rsidP="002D3316">
                  <w:pPr>
                    <w:widowControl/>
                    <w:jc w:val="center"/>
                    <w:rPr>
                      <w:rFonts w:eastAsia="等线" w:cs="Calibri"/>
                      <w:color w:val="000000"/>
                      <w:kern w:val="0"/>
                      <w:szCs w:val="21"/>
                    </w:rPr>
                  </w:pPr>
                  <w:r>
                    <w:rPr>
                      <w:rFonts w:eastAsia="等线" w:cs="Calibri"/>
                      <w:color w:val="000000"/>
                      <w:szCs w:val="21"/>
                    </w:rPr>
                    <w:t>8%</w:t>
                  </w:r>
                </w:p>
              </w:tc>
              <w:tc>
                <w:tcPr>
                  <w:tcW w:w="920" w:type="dxa"/>
                  <w:tcBorders>
                    <w:top w:val="nil"/>
                    <w:left w:val="nil"/>
                    <w:bottom w:val="single" w:sz="8" w:space="0" w:color="FFFFFF"/>
                    <w:right w:val="single" w:sz="8" w:space="0" w:color="FFFFFF"/>
                  </w:tcBorders>
                  <w:shd w:val="clear" w:color="000000" w:fill="FDE9D9"/>
                  <w:noWrap/>
                  <w:vAlign w:val="center"/>
                  <w:hideMark/>
                </w:tcPr>
                <w:p w14:paraId="3842DD73" w14:textId="17D43064" w:rsidR="002D3316" w:rsidRPr="00B41E24" w:rsidRDefault="002D3316" w:rsidP="002D3316">
                  <w:pPr>
                    <w:widowControl/>
                    <w:jc w:val="center"/>
                    <w:rPr>
                      <w:rFonts w:eastAsia="等线" w:cs="Calibri"/>
                      <w:color w:val="000000"/>
                      <w:kern w:val="0"/>
                      <w:szCs w:val="21"/>
                    </w:rPr>
                  </w:pPr>
                  <w:r>
                    <w:rPr>
                      <w:rFonts w:eastAsia="等线" w:cs="Calibri"/>
                      <w:color w:val="000000"/>
                      <w:szCs w:val="21"/>
                    </w:rPr>
                    <w:t>5%</w:t>
                  </w:r>
                </w:p>
              </w:tc>
              <w:tc>
                <w:tcPr>
                  <w:tcW w:w="920" w:type="dxa"/>
                  <w:tcBorders>
                    <w:top w:val="nil"/>
                    <w:left w:val="nil"/>
                    <w:bottom w:val="single" w:sz="8" w:space="0" w:color="FFFFFF"/>
                    <w:right w:val="single" w:sz="8" w:space="0" w:color="FFFFFF"/>
                  </w:tcBorders>
                  <w:shd w:val="clear" w:color="000000" w:fill="FDE9D9"/>
                  <w:noWrap/>
                  <w:vAlign w:val="center"/>
                  <w:hideMark/>
                </w:tcPr>
                <w:p w14:paraId="78364D74" w14:textId="3C5ADDBA" w:rsidR="002D3316" w:rsidRPr="00B41E24" w:rsidRDefault="002D3316" w:rsidP="002D3316">
                  <w:pPr>
                    <w:widowControl/>
                    <w:jc w:val="center"/>
                    <w:rPr>
                      <w:rFonts w:eastAsia="等线" w:cs="Calibri"/>
                      <w:color w:val="000000"/>
                      <w:kern w:val="0"/>
                      <w:szCs w:val="21"/>
                    </w:rPr>
                  </w:pPr>
                  <w:r>
                    <w:rPr>
                      <w:rFonts w:eastAsia="等线" w:cs="Calibri"/>
                      <w:color w:val="000000"/>
                      <w:szCs w:val="21"/>
                    </w:rPr>
                    <w:t>6%</w:t>
                  </w:r>
                </w:p>
              </w:tc>
              <w:tc>
                <w:tcPr>
                  <w:tcW w:w="920" w:type="dxa"/>
                  <w:tcBorders>
                    <w:top w:val="nil"/>
                    <w:left w:val="nil"/>
                    <w:bottom w:val="single" w:sz="8" w:space="0" w:color="FFFFFF"/>
                    <w:right w:val="single" w:sz="8" w:space="0" w:color="FFFFFF"/>
                  </w:tcBorders>
                  <w:shd w:val="clear" w:color="000000" w:fill="FDE9D9"/>
                  <w:noWrap/>
                  <w:vAlign w:val="center"/>
                  <w:hideMark/>
                </w:tcPr>
                <w:p w14:paraId="564662AF" w14:textId="5CD90A9B" w:rsidR="002D3316" w:rsidRPr="00B41E24" w:rsidRDefault="002D3316" w:rsidP="002D3316">
                  <w:pPr>
                    <w:widowControl/>
                    <w:jc w:val="center"/>
                    <w:rPr>
                      <w:rFonts w:eastAsia="等线" w:cs="Calibri"/>
                      <w:color w:val="000000"/>
                      <w:kern w:val="0"/>
                      <w:szCs w:val="21"/>
                    </w:rPr>
                  </w:pPr>
                  <w:r>
                    <w:rPr>
                      <w:rFonts w:eastAsia="等线" w:cs="Calibri"/>
                      <w:color w:val="000000"/>
                      <w:szCs w:val="21"/>
                    </w:rPr>
                    <w:t>36%</w:t>
                  </w:r>
                </w:p>
              </w:tc>
              <w:tc>
                <w:tcPr>
                  <w:tcW w:w="1149" w:type="dxa"/>
                  <w:tcBorders>
                    <w:top w:val="nil"/>
                    <w:left w:val="nil"/>
                    <w:bottom w:val="single" w:sz="8" w:space="0" w:color="FFFFFF"/>
                    <w:right w:val="single" w:sz="8" w:space="0" w:color="FFFFFF"/>
                  </w:tcBorders>
                  <w:shd w:val="clear" w:color="000000" w:fill="FDE9D9"/>
                  <w:noWrap/>
                  <w:vAlign w:val="center"/>
                  <w:hideMark/>
                </w:tcPr>
                <w:p w14:paraId="6544C40A" w14:textId="6A47091B"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1A21A620" w14:textId="0E91FE62" w:rsidR="002D3316" w:rsidRPr="00B41E24" w:rsidRDefault="002D3316" w:rsidP="002D3316">
                  <w:pPr>
                    <w:widowControl/>
                    <w:jc w:val="center"/>
                    <w:rPr>
                      <w:rFonts w:eastAsia="等线" w:cs="Calibri"/>
                      <w:color w:val="000000"/>
                      <w:kern w:val="0"/>
                      <w:szCs w:val="21"/>
                    </w:rPr>
                  </w:pPr>
                  <w:r>
                    <w:rPr>
                      <w:rFonts w:eastAsia="等线" w:cs="Calibri"/>
                      <w:color w:val="000000"/>
                      <w:szCs w:val="21"/>
                    </w:rPr>
                    <w:t>0%</w:t>
                  </w:r>
                </w:p>
              </w:tc>
              <w:tc>
                <w:tcPr>
                  <w:tcW w:w="920" w:type="dxa"/>
                  <w:tcBorders>
                    <w:top w:val="nil"/>
                    <w:left w:val="nil"/>
                    <w:bottom w:val="single" w:sz="8" w:space="0" w:color="FFFFFF"/>
                    <w:right w:val="single" w:sz="8" w:space="0" w:color="FFFFFF"/>
                  </w:tcBorders>
                  <w:shd w:val="clear" w:color="000000" w:fill="FDE9D9"/>
                  <w:noWrap/>
                  <w:vAlign w:val="center"/>
                  <w:hideMark/>
                </w:tcPr>
                <w:p w14:paraId="17EEE215" w14:textId="402312B4" w:rsidR="002D3316" w:rsidRPr="00B41E24" w:rsidRDefault="002D3316" w:rsidP="002D3316">
                  <w:pPr>
                    <w:widowControl/>
                    <w:jc w:val="center"/>
                    <w:rPr>
                      <w:rFonts w:eastAsia="等线" w:cs="Calibri"/>
                      <w:color w:val="000000"/>
                      <w:kern w:val="0"/>
                      <w:szCs w:val="21"/>
                    </w:rPr>
                  </w:pPr>
                  <w:r>
                    <w:rPr>
                      <w:rFonts w:eastAsia="等线" w:cs="Calibri"/>
                      <w:color w:val="000000"/>
                      <w:szCs w:val="21"/>
                    </w:rPr>
                    <w:t>0%</w:t>
                  </w:r>
                </w:p>
              </w:tc>
              <w:tc>
                <w:tcPr>
                  <w:tcW w:w="920" w:type="dxa"/>
                  <w:tcBorders>
                    <w:top w:val="nil"/>
                    <w:left w:val="nil"/>
                    <w:bottom w:val="single" w:sz="8" w:space="0" w:color="FFFFFF"/>
                    <w:right w:val="single" w:sz="8" w:space="0" w:color="FFFFFF"/>
                  </w:tcBorders>
                  <w:shd w:val="clear" w:color="000000" w:fill="FDE9D9"/>
                  <w:noWrap/>
                  <w:vAlign w:val="center"/>
                  <w:hideMark/>
                </w:tcPr>
                <w:p w14:paraId="42640BE8" w14:textId="116FFE10" w:rsidR="002D3316" w:rsidRPr="00B41E24" w:rsidRDefault="002D3316" w:rsidP="002D3316">
                  <w:pPr>
                    <w:widowControl/>
                    <w:jc w:val="center"/>
                    <w:rPr>
                      <w:rFonts w:eastAsia="等线" w:cs="Calibri"/>
                      <w:color w:val="000000"/>
                      <w:kern w:val="0"/>
                      <w:szCs w:val="21"/>
                    </w:rPr>
                  </w:pPr>
                  <w:r>
                    <w:rPr>
                      <w:rFonts w:eastAsia="等线" w:cs="Calibri"/>
                      <w:color w:val="000000"/>
                      <w:szCs w:val="21"/>
                    </w:rPr>
                    <w:t>7%</w:t>
                  </w:r>
                </w:p>
              </w:tc>
              <w:tc>
                <w:tcPr>
                  <w:tcW w:w="920" w:type="dxa"/>
                  <w:tcBorders>
                    <w:top w:val="nil"/>
                    <w:left w:val="nil"/>
                    <w:bottom w:val="single" w:sz="8" w:space="0" w:color="FFFFFF"/>
                    <w:right w:val="single" w:sz="8" w:space="0" w:color="FFFFFF"/>
                  </w:tcBorders>
                  <w:shd w:val="clear" w:color="000000" w:fill="FDE9D9"/>
                  <w:noWrap/>
                  <w:vAlign w:val="center"/>
                  <w:hideMark/>
                </w:tcPr>
                <w:p w14:paraId="132999AD" w14:textId="10AFB52F" w:rsidR="002D3316" w:rsidRPr="00B41E24" w:rsidRDefault="002D3316" w:rsidP="002D3316">
                  <w:pPr>
                    <w:widowControl/>
                    <w:jc w:val="center"/>
                    <w:rPr>
                      <w:rFonts w:eastAsia="等线" w:cs="Calibri"/>
                      <w:color w:val="000000"/>
                      <w:kern w:val="0"/>
                      <w:szCs w:val="21"/>
                    </w:rPr>
                  </w:pPr>
                  <w:r>
                    <w:rPr>
                      <w:rFonts w:eastAsia="等线" w:cs="Calibri"/>
                      <w:color w:val="000000"/>
                      <w:szCs w:val="21"/>
                    </w:rPr>
                    <w:t>59%</w:t>
                  </w:r>
                </w:p>
              </w:tc>
            </w:tr>
            <w:tr w:rsidR="002D3316" w:rsidRPr="00B41E24" w14:paraId="311BF477" w14:textId="77777777" w:rsidTr="007A1586">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1EFAC63F" w14:textId="3F6B1B20"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MTN5Y</w:t>
                  </w:r>
                </w:p>
              </w:tc>
              <w:tc>
                <w:tcPr>
                  <w:tcW w:w="740" w:type="dxa"/>
                  <w:tcBorders>
                    <w:top w:val="nil"/>
                    <w:left w:val="nil"/>
                    <w:bottom w:val="single" w:sz="8" w:space="0" w:color="FFFFFF"/>
                    <w:right w:val="single" w:sz="8" w:space="0" w:color="FFFFFF"/>
                  </w:tcBorders>
                  <w:shd w:val="clear" w:color="000000" w:fill="FCD5B4"/>
                  <w:noWrap/>
                  <w:vAlign w:val="center"/>
                  <w:hideMark/>
                </w:tcPr>
                <w:p w14:paraId="15941BE2" w14:textId="109FBB54" w:rsidR="002D3316" w:rsidRPr="00B41E24" w:rsidRDefault="002D3316" w:rsidP="002D3316">
                  <w:pPr>
                    <w:widowControl/>
                    <w:jc w:val="center"/>
                    <w:rPr>
                      <w:rFonts w:eastAsia="等线" w:cs="Calibri"/>
                      <w:color w:val="000000"/>
                      <w:kern w:val="0"/>
                      <w:szCs w:val="21"/>
                    </w:rPr>
                  </w:pPr>
                  <w:r>
                    <w:rPr>
                      <w:rFonts w:eastAsia="等线" w:cs="Calibri"/>
                      <w:color w:val="000000"/>
                      <w:szCs w:val="21"/>
                    </w:rPr>
                    <w:t>6%</w:t>
                  </w:r>
                </w:p>
              </w:tc>
              <w:tc>
                <w:tcPr>
                  <w:tcW w:w="920" w:type="dxa"/>
                  <w:tcBorders>
                    <w:top w:val="nil"/>
                    <w:left w:val="nil"/>
                    <w:bottom w:val="single" w:sz="8" w:space="0" w:color="FFFFFF"/>
                    <w:right w:val="single" w:sz="8" w:space="0" w:color="FFFFFF"/>
                  </w:tcBorders>
                  <w:shd w:val="clear" w:color="000000" w:fill="FCD5B4"/>
                  <w:noWrap/>
                  <w:vAlign w:val="center"/>
                  <w:hideMark/>
                </w:tcPr>
                <w:p w14:paraId="6DFE5B08" w14:textId="3751B02D" w:rsidR="002D3316" w:rsidRPr="00B41E24" w:rsidRDefault="002D3316" w:rsidP="002D3316">
                  <w:pPr>
                    <w:widowControl/>
                    <w:jc w:val="center"/>
                    <w:rPr>
                      <w:rFonts w:eastAsia="等线" w:cs="Calibri"/>
                      <w:color w:val="000000"/>
                      <w:kern w:val="0"/>
                      <w:szCs w:val="21"/>
                    </w:rPr>
                  </w:pPr>
                  <w:r>
                    <w:rPr>
                      <w:rFonts w:eastAsia="等线" w:cs="Calibri"/>
                      <w:color w:val="000000"/>
                      <w:szCs w:val="21"/>
                    </w:rPr>
                    <w:t>4%</w:t>
                  </w:r>
                </w:p>
              </w:tc>
              <w:tc>
                <w:tcPr>
                  <w:tcW w:w="920" w:type="dxa"/>
                  <w:tcBorders>
                    <w:top w:val="nil"/>
                    <w:left w:val="nil"/>
                    <w:bottom w:val="single" w:sz="8" w:space="0" w:color="FFFFFF"/>
                    <w:right w:val="single" w:sz="8" w:space="0" w:color="FFFFFF"/>
                  </w:tcBorders>
                  <w:shd w:val="clear" w:color="000000" w:fill="FCD5B4"/>
                  <w:noWrap/>
                  <w:vAlign w:val="center"/>
                  <w:hideMark/>
                </w:tcPr>
                <w:p w14:paraId="51F72902" w14:textId="63C1FA0E" w:rsidR="002D3316" w:rsidRPr="00B41E24" w:rsidRDefault="002D3316" w:rsidP="002D3316">
                  <w:pPr>
                    <w:widowControl/>
                    <w:jc w:val="center"/>
                    <w:rPr>
                      <w:rFonts w:eastAsia="等线" w:cs="Calibri"/>
                      <w:color w:val="000000"/>
                      <w:kern w:val="0"/>
                      <w:szCs w:val="21"/>
                    </w:rPr>
                  </w:pPr>
                  <w:r>
                    <w:rPr>
                      <w:rFonts w:eastAsia="等线" w:cs="Calibri"/>
                      <w:color w:val="000000"/>
                      <w:szCs w:val="21"/>
                    </w:rPr>
                    <w:t>5%</w:t>
                  </w:r>
                </w:p>
              </w:tc>
              <w:tc>
                <w:tcPr>
                  <w:tcW w:w="920" w:type="dxa"/>
                  <w:tcBorders>
                    <w:top w:val="nil"/>
                    <w:left w:val="nil"/>
                    <w:bottom w:val="single" w:sz="8" w:space="0" w:color="FFFFFF"/>
                    <w:right w:val="single" w:sz="8" w:space="0" w:color="FFFFFF"/>
                  </w:tcBorders>
                  <w:shd w:val="clear" w:color="000000" w:fill="FCD5B4"/>
                  <w:noWrap/>
                  <w:vAlign w:val="center"/>
                  <w:hideMark/>
                </w:tcPr>
                <w:p w14:paraId="11ED092C" w14:textId="364FAAEF" w:rsidR="002D3316" w:rsidRPr="00B41E24" w:rsidRDefault="002D3316" w:rsidP="002D3316">
                  <w:pPr>
                    <w:widowControl/>
                    <w:jc w:val="center"/>
                    <w:rPr>
                      <w:rFonts w:eastAsia="等线" w:cs="Calibri"/>
                      <w:color w:val="000000"/>
                      <w:kern w:val="0"/>
                      <w:szCs w:val="21"/>
                    </w:rPr>
                  </w:pPr>
                  <w:r>
                    <w:rPr>
                      <w:rFonts w:eastAsia="等线" w:cs="Calibri"/>
                      <w:color w:val="000000"/>
                      <w:szCs w:val="21"/>
                    </w:rPr>
                    <w:t>39%</w:t>
                  </w:r>
                </w:p>
              </w:tc>
              <w:tc>
                <w:tcPr>
                  <w:tcW w:w="1149" w:type="dxa"/>
                  <w:tcBorders>
                    <w:top w:val="nil"/>
                    <w:left w:val="nil"/>
                    <w:bottom w:val="single" w:sz="8" w:space="0" w:color="FFFFFF"/>
                    <w:right w:val="single" w:sz="8" w:space="0" w:color="FFFFFF"/>
                  </w:tcBorders>
                  <w:shd w:val="clear" w:color="000000" w:fill="FCD5B4"/>
                  <w:noWrap/>
                  <w:vAlign w:val="center"/>
                  <w:hideMark/>
                </w:tcPr>
                <w:p w14:paraId="4D858F7C" w14:textId="7FDC6A67"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17DE7239" w14:textId="5E27F668" w:rsidR="002D3316" w:rsidRPr="00B41E24" w:rsidRDefault="002D3316" w:rsidP="002D3316">
                  <w:pPr>
                    <w:widowControl/>
                    <w:jc w:val="center"/>
                    <w:rPr>
                      <w:rFonts w:eastAsia="等线" w:cs="Calibri"/>
                      <w:color w:val="000000"/>
                      <w:kern w:val="0"/>
                      <w:szCs w:val="21"/>
                    </w:rPr>
                  </w:pPr>
                  <w:r>
                    <w:rPr>
                      <w:rFonts w:eastAsia="等线" w:cs="Calibri"/>
                      <w:color w:val="000000"/>
                      <w:szCs w:val="21"/>
                    </w:rPr>
                    <w:t>4%</w:t>
                  </w:r>
                </w:p>
              </w:tc>
              <w:tc>
                <w:tcPr>
                  <w:tcW w:w="920" w:type="dxa"/>
                  <w:tcBorders>
                    <w:top w:val="nil"/>
                    <w:left w:val="nil"/>
                    <w:bottom w:val="single" w:sz="8" w:space="0" w:color="FFFFFF"/>
                    <w:right w:val="single" w:sz="8" w:space="0" w:color="FFFFFF"/>
                  </w:tcBorders>
                  <w:shd w:val="clear" w:color="000000" w:fill="FCD5B4"/>
                  <w:noWrap/>
                  <w:vAlign w:val="center"/>
                  <w:hideMark/>
                </w:tcPr>
                <w:p w14:paraId="4BD0B6F1" w14:textId="258F3753" w:rsidR="002D3316" w:rsidRPr="00B41E24" w:rsidRDefault="002D3316" w:rsidP="002D3316">
                  <w:pPr>
                    <w:widowControl/>
                    <w:jc w:val="center"/>
                    <w:rPr>
                      <w:rFonts w:eastAsia="等线" w:cs="Calibri"/>
                      <w:color w:val="000000"/>
                      <w:kern w:val="0"/>
                      <w:szCs w:val="21"/>
                    </w:rPr>
                  </w:pPr>
                  <w:r>
                    <w:rPr>
                      <w:rFonts w:eastAsia="等线" w:cs="Calibri"/>
                      <w:color w:val="000000"/>
                      <w:szCs w:val="21"/>
                    </w:rPr>
                    <w:t>1%</w:t>
                  </w:r>
                </w:p>
              </w:tc>
              <w:tc>
                <w:tcPr>
                  <w:tcW w:w="920" w:type="dxa"/>
                  <w:tcBorders>
                    <w:top w:val="nil"/>
                    <w:left w:val="nil"/>
                    <w:bottom w:val="single" w:sz="8" w:space="0" w:color="FFFFFF"/>
                    <w:right w:val="single" w:sz="8" w:space="0" w:color="FFFFFF"/>
                  </w:tcBorders>
                  <w:shd w:val="clear" w:color="000000" w:fill="FCD5B4"/>
                  <w:noWrap/>
                  <w:vAlign w:val="center"/>
                  <w:hideMark/>
                </w:tcPr>
                <w:p w14:paraId="21072B45" w14:textId="70FBB2DB" w:rsidR="002D3316" w:rsidRPr="00B41E24" w:rsidRDefault="002D3316" w:rsidP="002D3316">
                  <w:pPr>
                    <w:widowControl/>
                    <w:jc w:val="center"/>
                    <w:rPr>
                      <w:rFonts w:eastAsia="等线" w:cs="Calibri"/>
                      <w:color w:val="000000"/>
                      <w:kern w:val="0"/>
                      <w:szCs w:val="21"/>
                    </w:rPr>
                  </w:pPr>
                  <w:r>
                    <w:rPr>
                      <w:rFonts w:eastAsia="等线" w:cs="Calibri"/>
                      <w:color w:val="000000"/>
                      <w:szCs w:val="21"/>
                    </w:rPr>
                    <w:t>7%</w:t>
                  </w:r>
                </w:p>
              </w:tc>
              <w:tc>
                <w:tcPr>
                  <w:tcW w:w="920" w:type="dxa"/>
                  <w:tcBorders>
                    <w:top w:val="nil"/>
                    <w:left w:val="nil"/>
                    <w:bottom w:val="single" w:sz="8" w:space="0" w:color="FFFFFF"/>
                    <w:right w:val="single" w:sz="8" w:space="0" w:color="FFFFFF"/>
                  </w:tcBorders>
                  <w:shd w:val="clear" w:color="000000" w:fill="FCD5B4"/>
                  <w:noWrap/>
                  <w:vAlign w:val="center"/>
                  <w:hideMark/>
                </w:tcPr>
                <w:p w14:paraId="2B13C93D" w14:textId="1B798C23" w:rsidR="002D3316" w:rsidRPr="00B41E24" w:rsidRDefault="002D3316" w:rsidP="002D3316">
                  <w:pPr>
                    <w:widowControl/>
                    <w:jc w:val="center"/>
                    <w:rPr>
                      <w:rFonts w:eastAsia="等线" w:cs="Calibri"/>
                      <w:color w:val="000000"/>
                      <w:kern w:val="0"/>
                      <w:szCs w:val="21"/>
                    </w:rPr>
                  </w:pPr>
                  <w:r>
                    <w:rPr>
                      <w:rFonts w:eastAsia="等线" w:cs="Calibri"/>
                      <w:color w:val="000000"/>
                      <w:szCs w:val="21"/>
                    </w:rPr>
                    <w:t>66%</w:t>
                  </w:r>
                </w:p>
              </w:tc>
            </w:tr>
            <w:tr w:rsidR="002D3316" w:rsidRPr="00B41E24" w14:paraId="61191F62" w14:textId="77777777" w:rsidTr="007A1586">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187E41C4" w14:textId="61FEC08C"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企业债3Y</w:t>
                  </w:r>
                </w:p>
              </w:tc>
              <w:tc>
                <w:tcPr>
                  <w:tcW w:w="740" w:type="dxa"/>
                  <w:tcBorders>
                    <w:top w:val="nil"/>
                    <w:left w:val="nil"/>
                    <w:bottom w:val="single" w:sz="8" w:space="0" w:color="FFFFFF"/>
                    <w:right w:val="single" w:sz="8" w:space="0" w:color="FFFFFF"/>
                  </w:tcBorders>
                  <w:shd w:val="clear" w:color="000000" w:fill="FDE9D9"/>
                  <w:noWrap/>
                  <w:vAlign w:val="center"/>
                  <w:hideMark/>
                </w:tcPr>
                <w:p w14:paraId="3EADA916" w14:textId="406F2B8B" w:rsidR="002D3316" w:rsidRPr="00B41E24" w:rsidRDefault="002D3316" w:rsidP="002D3316">
                  <w:pPr>
                    <w:widowControl/>
                    <w:jc w:val="center"/>
                    <w:rPr>
                      <w:rFonts w:eastAsia="等线" w:cs="Calibri"/>
                      <w:color w:val="000000"/>
                      <w:kern w:val="0"/>
                      <w:szCs w:val="21"/>
                    </w:rPr>
                  </w:pPr>
                  <w:r>
                    <w:rPr>
                      <w:rFonts w:eastAsia="等线" w:cs="Calibri"/>
                      <w:color w:val="000000"/>
                      <w:szCs w:val="21"/>
                    </w:rPr>
                    <w:t>8%</w:t>
                  </w:r>
                </w:p>
              </w:tc>
              <w:tc>
                <w:tcPr>
                  <w:tcW w:w="920" w:type="dxa"/>
                  <w:tcBorders>
                    <w:top w:val="nil"/>
                    <w:left w:val="nil"/>
                    <w:bottom w:val="single" w:sz="8" w:space="0" w:color="FFFFFF"/>
                    <w:right w:val="single" w:sz="8" w:space="0" w:color="FFFFFF"/>
                  </w:tcBorders>
                  <w:shd w:val="clear" w:color="000000" w:fill="FDE9D9"/>
                  <w:noWrap/>
                  <w:vAlign w:val="center"/>
                  <w:hideMark/>
                </w:tcPr>
                <w:p w14:paraId="273C8344" w14:textId="373716A3" w:rsidR="002D3316" w:rsidRPr="00B41E24" w:rsidRDefault="002D3316" w:rsidP="002D3316">
                  <w:pPr>
                    <w:widowControl/>
                    <w:jc w:val="center"/>
                    <w:rPr>
                      <w:rFonts w:eastAsia="等线" w:cs="Calibri"/>
                      <w:color w:val="000000"/>
                      <w:kern w:val="0"/>
                      <w:szCs w:val="21"/>
                    </w:rPr>
                  </w:pPr>
                  <w:r>
                    <w:rPr>
                      <w:rFonts w:eastAsia="等线" w:cs="Calibri"/>
                      <w:color w:val="000000"/>
                      <w:szCs w:val="21"/>
                    </w:rPr>
                    <w:t>4%</w:t>
                  </w:r>
                </w:p>
              </w:tc>
              <w:tc>
                <w:tcPr>
                  <w:tcW w:w="920" w:type="dxa"/>
                  <w:tcBorders>
                    <w:top w:val="nil"/>
                    <w:left w:val="nil"/>
                    <w:bottom w:val="single" w:sz="8" w:space="0" w:color="FFFFFF"/>
                    <w:right w:val="single" w:sz="8" w:space="0" w:color="FFFFFF"/>
                  </w:tcBorders>
                  <w:shd w:val="clear" w:color="000000" w:fill="FDE9D9"/>
                  <w:noWrap/>
                  <w:vAlign w:val="center"/>
                  <w:hideMark/>
                </w:tcPr>
                <w:p w14:paraId="57848C1D" w14:textId="6DA252C6" w:rsidR="002D3316" w:rsidRPr="00B41E24" w:rsidRDefault="002D3316" w:rsidP="002D3316">
                  <w:pPr>
                    <w:widowControl/>
                    <w:jc w:val="center"/>
                    <w:rPr>
                      <w:rFonts w:eastAsia="等线" w:cs="Calibri"/>
                      <w:color w:val="000000"/>
                      <w:kern w:val="0"/>
                      <w:szCs w:val="21"/>
                    </w:rPr>
                  </w:pPr>
                  <w:r>
                    <w:rPr>
                      <w:rFonts w:eastAsia="等线" w:cs="Calibri"/>
                      <w:color w:val="000000"/>
                      <w:szCs w:val="21"/>
                    </w:rPr>
                    <w:t>8%</w:t>
                  </w:r>
                </w:p>
              </w:tc>
              <w:tc>
                <w:tcPr>
                  <w:tcW w:w="920" w:type="dxa"/>
                  <w:tcBorders>
                    <w:top w:val="nil"/>
                    <w:left w:val="nil"/>
                    <w:bottom w:val="single" w:sz="8" w:space="0" w:color="FFFFFF"/>
                    <w:right w:val="single" w:sz="8" w:space="0" w:color="FFFFFF"/>
                  </w:tcBorders>
                  <w:shd w:val="clear" w:color="000000" w:fill="FDE9D9"/>
                  <w:noWrap/>
                  <w:vAlign w:val="center"/>
                  <w:hideMark/>
                </w:tcPr>
                <w:p w14:paraId="13000828" w14:textId="68B7C0DB" w:rsidR="002D3316" w:rsidRPr="00B41E24" w:rsidRDefault="002D3316" w:rsidP="002D3316">
                  <w:pPr>
                    <w:widowControl/>
                    <w:jc w:val="center"/>
                    <w:rPr>
                      <w:rFonts w:eastAsia="等线" w:cs="Calibri"/>
                      <w:color w:val="000000"/>
                      <w:kern w:val="0"/>
                      <w:szCs w:val="21"/>
                    </w:rPr>
                  </w:pPr>
                  <w:r>
                    <w:rPr>
                      <w:rFonts w:eastAsia="等线" w:cs="Calibri"/>
                      <w:color w:val="000000"/>
                      <w:szCs w:val="21"/>
                    </w:rPr>
                    <w:t>37%</w:t>
                  </w:r>
                </w:p>
              </w:tc>
              <w:tc>
                <w:tcPr>
                  <w:tcW w:w="1149" w:type="dxa"/>
                  <w:tcBorders>
                    <w:top w:val="nil"/>
                    <w:left w:val="nil"/>
                    <w:bottom w:val="single" w:sz="8" w:space="0" w:color="FFFFFF"/>
                    <w:right w:val="single" w:sz="8" w:space="0" w:color="FFFFFF"/>
                  </w:tcBorders>
                  <w:shd w:val="clear" w:color="000000" w:fill="FDE9D9"/>
                  <w:noWrap/>
                  <w:vAlign w:val="center"/>
                  <w:hideMark/>
                </w:tcPr>
                <w:p w14:paraId="0345B549" w14:textId="63FE0F82"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24486153" w14:textId="09DEA47C" w:rsidR="002D3316" w:rsidRPr="00B41E24" w:rsidRDefault="002D3316" w:rsidP="002D3316">
                  <w:pPr>
                    <w:widowControl/>
                    <w:jc w:val="center"/>
                    <w:rPr>
                      <w:rFonts w:eastAsia="等线" w:cs="Calibri"/>
                      <w:color w:val="000000"/>
                      <w:kern w:val="0"/>
                      <w:szCs w:val="21"/>
                    </w:rPr>
                  </w:pPr>
                  <w:r>
                    <w:rPr>
                      <w:rFonts w:eastAsia="等线" w:cs="Calibri"/>
                      <w:color w:val="000000"/>
                      <w:szCs w:val="21"/>
                    </w:rPr>
                    <w:t>0%</w:t>
                  </w:r>
                </w:p>
              </w:tc>
              <w:tc>
                <w:tcPr>
                  <w:tcW w:w="920" w:type="dxa"/>
                  <w:tcBorders>
                    <w:top w:val="nil"/>
                    <w:left w:val="nil"/>
                    <w:bottom w:val="single" w:sz="8" w:space="0" w:color="FFFFFF"/>
                    <w:right w:val="single" w:sz="8" w:space="0" w:color="FFFFFF"/>
                  </w:tcBorders>
                  <w:shd w:val="clear" w:color="000000" w:fill="FDE9D9"/>
                  <w:noWrap/>
                  <w:vAlign w:val="center"/>
                  <w:hideMark/>
                </w:tcPr>
                <w:p w14:paraId="07CA82A7" w14:textId="16A34040" w:rsidR="002D3316" w:rsidRPr="00B41E24" w:rsidRDefault="002D3316" w:rsidP="002D3316">
                  <w:pPr>
                    <w:widowControl/>
                    <w:jc w:val="center"/>
                    <w:rPr>
                      <w:rFonts w:eastAsia="等线" w:cs="Calibri"/>
                      <w:color w:val="000000"/>
                      <w:kern w:val="0"/>
                      <w:szCs w:val="21"/>
                    </w:rPr>
                  </w:pPr>
                  <w:r>
                    <w:rPr>
                      <w:rFonts w:eastAsia="等线" w:cs="Calibri"/>
                      <w:color w:val="000000"/>
                      <w:szCs w:val="21"/>
                    </w:rPr>
                    <w:t>0%</w:t>
                  </w:r>
                </w:p>
              </w:tc>
              <w:tc>
                <w:tcPr>
                  <w:tcW w:w="920" w:type="dxa"/>
                  <w:tcBorders>
                    <w:top w:val="nil"/>
                    <w:left w:val="nil"/>
                    <w:bottom w:val="single" w:sz="8" w:space="0" w:color="FFFFFF"/>
                    <w:right w:val="single" w:sz="8" w:space="0" w:color="FFFFFF"/>
                  </w:tcBorders>
                  <w:shd w:val="clear" w:color="000000" w:fill="FDE9D9"/>
                  <w:noWrap/>
                  <w:vAlign w:val="center"/>
                  <w:hideMark/>
                </w:tcPr>
                <w:p w14:paraId="7F02EE72" w14:textId="4D60169B" w:rsidR="002D3316" w:rsidRPr="00B41E24" w:rsidRDefault="002D3316" w:rsidP="002D3316">
                  <w:pPr>
                    <w:widowControl/>
                    <w:jc w:val="center"/>
                    <w:rPr>
                      <w:rFonts w:eastAsia="等线" w:cs="Calibri"/>
                      <w:color w:val="000000"/>
                      <w:kern w:val="0"/>
                      <w:szCs w:val="21"/>
                    </w:rPr>
                  </w:pPr>
                  <w:r>
                    <w:rPr>
                      <w:rFonts w:eastAsia="等线" w:cs="Calibri"/>
                      <w:color w:val="000000"/>
                      <w:szCs w:val="21"/>
                    </w:rPr>
                    <w:t>10%</w:t>
                  </w:r>
                </w:p>
              </w:tc>
              <w:tc>
                <w:tcPr>
                  <w:tcW w:w="920" w:type="dxa"/>
                  <w:tcBorders>
                    <w:top w:val="nil"/>
                    <w:left w:val="nil"/>
                    <w:bottom w:val="single" w:sz="8" w:space="0" w:color="FFFFFF"/>
                    <w:right w:val="single" w:sz="8" w:space="0" w:color="FFFFFF"/>
                  </w:tcBorders>
                  <w:shd w:val="clear" w:color="000000" w:fill="FDE9D9"/>
                  <w:noWrap/>
                  <w:vAlign w:val="center"/>
                  <w:hideMark/>
                </w:tcPr>
                <w:p w14:paraId="2E828AF2" w14:textId="6B931BF5" w:rsidR="002D3316" w:rsidRPr="00B41E24" w:rsidRDefault="002D3316" w:rsidP="002D3316">
                  <w:pPr>
                    <w:widowControl/>
                    <w:jc w:val="center"/>
                    <w:rPr>
                      <w:rFonts w:eastAsia="等线" w:cs="Calibri"/>
                      <w:color w:val="000000"/>
                      <w:kern w:val="0"/>
                      <w:szCs w:val="21"/>
                    </w:rPr>
                  </w:pPr>
                  <w:r>
                    <w:rPr>
                      <w:rFonts w:eastAsia="等线" w:cs="Calibri"/>
                      <w:color w:val="000000"/>
                      <w:szCs w:val="21"/>
                    </w:rPr>
                    <w:t>63%</w:t>
                  </w:r>
                </w:p>
              </w:tc>
            </w:tr>
            <w:tr w:rsidR="002D3316" w:rsidRPr="00B41E24" w14:paraId="60838313" w14:textId="77777777" w:rsidTr="007A1586">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1BD5D8A8" w14:textId="13DFEF74"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企业债5Y</w:t>
                  </w:r>
                </w:p>
              </w:tc>
              <w:tc>
                <w:tcPr>
                  <w:tcW w:w="740" w:type="dxa"/>
                  <w:tcBorders>
                    <w:top w:val="nil"/>
                    <w:left w:val="nil"/>
                    <w:bottom w:val="single" w:sz="8" w:space="0" w:color="FFFFFF"/>
                    <w:right w:val="single" w:sz="8" w:space="0" w:color="FFFFFF"/>
                  </w:tcBorders>
                  <w:shd w:val="clear" w:color="000000" w:fill="FCD5B4"/>
                  <w:noWrap/>
                  <w:vAlign w:val="center"/>
                  <w:hideMark/>
                </w:tcPr>
                <w:p w14:paraId="75E567A4" w14:textId="2AC66EF6" w:rsidR="002D3316" w:rsidRPr="00B41E24" w:rsidRDefault="002D3316" w:rsidP="002D3316">
                  <w:pPr>
                    <w:widowControl/>
                    <w:jc w:val="center"/>
                    <w:rPr>
                      <w:rFonts w:eastAsia="等线" w:cs="Calibri"/>
                      <w:color w:val="000000"/>
                      <w:kern w:val="0"/>
                      <w:szCs w:val="21"/>
                    </w:rPr>
                  </w:pPr>
                  <w:r>
                    <w:rPr>
                      <w:rFonts w:eastAsia="等线" w:cs="Calibri"/>
                      <w:color w:val="000000"/>
                      <w:szCs w:val="21"/>
                    </w:rPr>
                    <w:t>6%</w:t>
                  </w:r>
                </w:p>
              </w:tc>
              <w:tc>
                <w:tcPr>
                  <w:tcW w:w="920" w:type="dxa"/>
                  <w:tcBorders>
                    <w:top w:val="nil"/>
                    <w:left w:val="nil"/>
                    <w:bottom w:val="single" w:sz="8" w:space="0" w:color="FFFFFF"/>
                    <w:right w:val="single" w:sz="8" w:space="0" w:color="FFFFFF"/>
                  </w:tcBorders>
                  <w:shd w:val="clear" w:color="000000" w:fill="FCD5B4"/>
                  <w:noWrap/>
                  <w:vAlign w:val="center"/>
                  <w:hideMark/>
                </w:tcPr>
                <w:p w14:paraId="7CC5EAC5" w14:textId="01AD1A52" w:rsidR="002D3316" w:rsidRPr="00B41E24" w:rsidRDefault="002D3316" w:rsidP="002D3316">
                  <w:pPr>
                    <w:widowControl/>
                    <w:jc w:val="center"/>
                    <w:rPr>
                      <w:rFonts w:eastAsia="等线" w:cs="Calibri"/>
                      <w:color w:val="000000"/>
                      <w:kern w:val="0"/>
                      <w:szCs w:val="21"/>
                    </w:rPr>
                  </w:pPr>
                  <w:r>
                    <w:rPr>
                      <w:rFonts w:eastAsia="等线" w:cs="Calibri"/>
                      <w:color w:val="000000"/>
                      <w:szCs w:val="21"/>
                    </w:rPr>
                    <w:t>4%</w:t>
                  </w:r>
                </w:p>
              </w:tc>
              <w:tc>
                <w:tcPr>
                  <w:tcW w:w="920" w:type="dxa"/>
                  <w:tcBorders>
                    <w:top w:val="nil"/>
                    <w:left w:val="nil"/>
                    <w:bottom w:val="single" w:sz="8" w:space="0" w:color="FFFFFF"/>
                    <w:right w:val="single" w:sz="8" w:space="0" w:color="FFFFFF"/>
                  </w:tcBorders>
                  <w:shd w:val="clear" w:color="000000" w:fill="FCD5B4"/>
                  <w:noWrap/>
                  <w:vAlign w:val="center"/>
                  <w:hideMark/>
                </w:tcPr>
                <w:p w14:paraId="4FCC92DC" w14:textId="2D2A65FD" w:rsidR="002D3316" w:rsidRPr="00B41E24" w:rsidRDefault="002D3316" w:rsidP="002D3316">
                  <w:pPr>
                    <w:widowControl/>
                    <w:jc w:val="center"/>
                    <w:rPr>
                      <w:rFonts w:eastAsia="等线" w:cs="Calibri"/>
                      <w:color w:val="000000"/>
                      <w:kern w:val="0"/>
                      <w:szCs w:val="21"/>
                    </w:rPr>
                  </w:pPr>
                  <w:r>
                    <w:rPr>
                      <w:rFonts w:eastAsia="等线" w:cs="Calibri"/>
                      <w:color w:val="000000"/>
                      <w:szCs w:val="21"/>
                    </w:rPr>
                    <w:t>6%</w:t>
                  </w:r>
                </w:p>
              </w:tc>
              <w:tc>
                <w:tcPr>
                  <w:tcW w:w="920" w:type="dxa"/>
                  <w:tcBorders>
                    <w:top w:val="nil"/>
                    <w:left w:val="nil"/>
                    <w:bottom w:val="single" w:sz="8" w:space="0" w:color="FFFFFF"/>
                    <w:right w:val="single" w:sz="8" w:space="0" w:color="FFFFFF"/>
                  </w:tcBorders>
                  <w:shd w:val="clear" w:color="000000" w:fill="FCD5B4"/>
                  <w:noWrap/>
                  <w:vAlign w:val="center"/>
                  <w:hideMark/>
                </w:tcPr>
                <w:p w14:paraId="762ACF2C" w14:textId="2247485B" w:rsidR="002D3316" w:rsidRPr="00B41E24" w:rsidRDefault="002D3316" w:rsidP="002D3316">
                  <w:pPr>
                    <w:widowControl/>
                    <w:jc w:val="center"/>
                    <w:rPr>
                      <w:rFonts w:eastAsia="等线" w:cs="Calibri"/>
                      <w:color w:val="000000"/>
                      <w:kern w:val="0"/>
                      <w:szCs w:val="21"/>
                    </w:rPr>
                  </w:pPr>
                  <w:r>
                    <w:rPr>
                      <w:rFonts w:eastAsia="等线" w:cs="Calibri"/>
                      <w:color w:val="000000"/>
                      <w:szCs w:val="21"/>
                    </w:rPr>
                    <w:t>39%</w:t>
                  </w:r>
                </w:p>
              </w:tc>
              <w:tc>
                <w:tcPr>
                  <w:tcW w:w="1149" w:type="dxa"/>
                  <w:tcBorders>
                    <w:top w:val="nil"/>
                    <w:left w:val="nil"/>
                    <w:bottom w:val="single" w:sz="8" w:space="0" w:color="FFFFFF"/>
                    <w:right w:val="single" w:sz="8" w:space="0" w:color="FFFFFF"/>
                  </w:tcBorders>
                  <w:shd w:val="clear" w:color="000000" w:fill="FCD5B4"/>
                  <w:noWrap/>
                  <w:vAlign w:val="center"/>
                  <w:hideMark/>
                </w:tcPr>
                <w:p w14:paraId="635AAF3D" w14:textId="22C92F13"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29019280" w14:textId="2BDDE81D" w:rsidR="002D3316" w:rsidRPr="00B41E24" w:rsidRDefault="002D3316" w:rsidP="002D3316">
                  <w:pPr>
                    <w:widowControl/>
                    <w:jc w:val="center"/>
                    <w:rPr>
                      <w:rFonts w:eastAsia="等线" w:cs="Calibri"/>
                      <w:color w:val="000000"/>
                      <w:kern w:val="0"/>
                      <w:szCs w:val="21"/>
                    </w:rPr>
                  </w:pPr>
                  <w:r>
                    <w:rPr>
                      <w:rFonts w:eastAsia="等线" w:cs="Calibri"/>
                      <w:color w:val="000000"/>
                      <w:szCs w:val="21"/>
                    </w:rPr>
                    <w:t>4%</w:t>
                  </w:r>
                </w:p>
              </w:tc>
              <w:tc>
                <w:tcPr>
                  <w:tcW w:w="920" w:type="dxa"/>
                  <w:tcBorders>
                    <w:top w:val="nil"/>
                    <w:left w:val="nil"/>
                    <w:bottom w:val="single" w:sz="8" w:space="0" w:color="FFFFFF"/>
                    <w:right w:val="single" w:sz="8" w:space="0" w:color="FFFFFF"/>
                  </w:tcBorders>
                  <w:shd w:val="clear" w:color="000000" w:fill="FCD5B4"/>
                  <w:noWrap/>
                  <w:vAlign w:val="center"/>
                  <w:hideMark/>
                </w:tcPr>
                <w:p w14:paraId="3C5DFC16" w14:textId="574474D8" w:rsidR="002D3316" w:rsidRPr="00B41E24" w:rsidRDefault="002D3316" w:rsidP="002D3316">
                  <w:pPr>
                    <w:widowControl/>
                    <w:jc w:val="center"/>
                    <w:rPr>
                      <w:rFonts w:eastAsia="等线" w:cs="Calibri"/>
                      <w:color w:val="000000"/>
                      <w:kern w:val="0"/>
                      <w:szCs w:val="21"/>
                    </w:rPr>
                  </w:pPr>
                  <w:r>
                    <w:rPr>
                      <w:rFonts w:eastAsia="等线" w:cs="Calibri"/>
                      <w:color w:val="000000"/>
                      <w:szCs w:val="21"/>
                    </w:rPr>
                    <w:t>1%</w:t>
                  </w:r>
                </w:p>
              </w:tc>
              <w:tc>
                <w:tcPr>
                  <w:tcW w:w="920" w:type="dxa"/>
                  <w:tcBorders>
                    <w:top w:val="nil"/>
                    <w:left w:val="nil"/>
                    <w:bottom w:val="single" w:sz="8" w:space="0" w:color="FFFFFF"/>
                    <w:right w:val="single" w:sz="8" w:space="0" w:color="FFFFFF"/>
                  </w:tcBorders>
                  <w:shd w:val="clear" w:color="000000" w:fill="FCD5B4"/>
                  <w:noWrap/>
                  <w:vAlign w:val="center"/>
                  <w:hideMark/>
                </w:tcPr>
                <w:p w14:paraId="7C9CABAF" w14:textId="4DC876E2" w:rsidR="002D3316" w:rsidRPr="00B41E24" w:rsidRDefault="002D3316" w:rsidP="002D3316">
                  <w:pPr>
                    <w:widowControl/>
                    <w:jc w:val="center"/>
                    <w:rPr>
                      <w:rFonts w:eastAsia="等线" w:cs="Calibri"/>
                      <w:color w:val="000000"/>
                      <w:kern w:val="0"/>
                      <w:szCs w:val="21"/>
                    </w:rPr>
                  </w:pPr>
                  <w:r>
                    <w:rPr>
                      <w:rFonts w:eastAsia="等线" w:cs="Calibri"/>
                      <w:color w:val="000000"/>
                      <w:szCs w:val="21"/>
                    </w:rPr>
                    <w:t>14%</w:t>
                  </w:r>
                </w:p>
              </w:tc>
              <w:tc>
                <w:tcPr>
                  <w:tcW w:w="920" w:type="dxa"/>
                  <w:tcBorders>
                    <w:top w:val="nil"/>
                    <w:left w:val="nil"/>
                    <w:bottom w:val="single" w:sz="8" w:space="0" w:color="FFFFFF"/>
                    <w:right w:val="single" w:sz="8" w:space="0" w:color="FFFFFF"/>
                  </w:tcBorders>
                  <w:shd w:val="clear" w:color="000000" w:fill="FCD5B4"/>
                  <w:noWrap/>
                  <w:vAlign w:val="center"/>
                  <w:hideMark/>
                </w:tcPr>
                <w:p w14:paraId="217354A8" w14:textId="08B5EF1E" w:rsidR="002D3316" w:rsidRPr="00B41E24" w:rsidRDefault="002D3316" w:rsidP="002D3316">
                  <w:pPr>
                    <w:widowControl/>
                    <w:jc w:val="center"/>
                    <w:rPr>
                      <w:rFonts w:eastAsia="等线" w:cs="Calibri"/>
                      <w:color w:val="000000"/>
                      <w:kern w:val="0"/>
                      <w:szCs w:val="21"/>
                    </w:rPr>
                  </w:pPr>
                  <w:r>
                    <w:rPr>
                      <w:rFonts w:eastAsia="等线" w:cs="Calibri"/>
                      <w:color w:val="000000"/>
                      <w:szCs w:val="21"/>
                    </w:rPr>
                    <w:t>70%</w:t>
                  </w:r>
                </w:p>
              </w:tc>
            </w:tr>
            <w:tr w:rsidR="002D3316" w:rsidRPr="00B41E24" w14:paraId="2C298517" w14:textId="77777777" w:rsidTr="007A1586">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30486C22" w14:textId="79E0A536"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企业债7Y</w:t>
                  </w:r>
                </w:p>
              </w:tc>
              <w:tc>
                <w:tcPr>
                  <w:tcW w:w="740" w:type="dxa"/>
                  <w:tcBorders>
                    <w:top w:val="nil"/>
                    <w:left w:val="nil"/>
                    <w:bottom w:val="single" w:sz="8" w:space="0" w:color="FFFFFF"/>
                    <w:right w:val="single" w:sz="8" w:space="0" w:color="FFFFFF"/>
                  </w:tcBorders>
                  <w:shd w:val="clear" w:color="000000" w:fill="FDE9D9"/>
                  <w:noWrap/>
                  <w:vAlign w:val="center"/>
                  <w:hideMark/>
                </w:tcPr>
                <w:p w14:paraId="65693455" w14:textId="3A35A93E" w:rsidR="002D3316" w:rsidRPr="00B41E24" w:rsidRDefault="002D3316" w:rsidP="002D3316">
                  <w:pPr>
                    <w:widowControl/>
                    <w:jc w:val="center"/>
                    <w:rPr>
                      <w:rFonts w:eastAsia="等线" w:cs="Calibri"/>
                      <w:color w:val="000000"/>
                      <w:kern w:val="0"/>
                      <w:szCs w:val="21"/>
                    </w:rPr>
                  </w:pPr>
                  <w:r>
                    <w:rPr>
                      <w:rFonts w:eastAsia="等线" w:cs="Calibri"/>
                      <w:color w:val="000000"/>
                      <w:szCs w:val="21"/>
                    </w:rPr>
                    <w:t>5%</w:t>
                  </w:r>
                </w:p>
              </w:tc>
              <w:tc>
                <w:tcPr>
                  <w:tcW w:w="920" w:type="dxa"/>
                  <w:tcBorders>
                    <w:top w:val="nil"/>
                    <w:left w:val="nil"/>
                    <w:bottom w:val="single" w:sz="8" w:space="0" w:color="FFFFFF"/>
                    <w:right w:val="single" w:sz="8" w:space="0" w:color="FFFFFF"/>
                  </w:tcBorders>
                  <w:shd w:val="clear" w:color="000000" w:fill="FDE9D9"/>
                  <w:noWrap/>
                  <w:vAlign w:val="center"/>
                  <w:hideMark/>
                </w:tcPr>
                <w:p w14:paraId="100994DF" w14:textId="239E2F62" w:rsidR="002D3316" w:rsidRPr="00B41E24" w:rsidRDefault="002D3316" w:rsidP="002D3316">
                  <w:pPr>
                    <w:widowControl/>
                    <w:jc w:val="center"/>
                    <w:rPr>
                      <w:rFonts w:eastAsia="等线" w:cs="Calibri"/>
                      <w:color w:val="000000"/>
                      <w:kern w:val="0"/>
                      <w:szCs w:val="21"/>
                    </w:rPr>
                  </w:pPr>
                  <w:r>
                    <w:rPr>
                      <w:rFonts w:eastAsia="等线" w:cs="Calibri"/>
                      <w:color w:val="000000"/>
                      <w:szCs w:val="21"/>
                    </w:rPr>
                    <w:t>3%</w:t>
                  </w:r>
                </w:p>
              </w:tc>
              <w:tc>
                <w:tcPr>
                  <w:tcW w:w="920" w:type="dxa"/>
                  <w:tcBorders>
                    <w:top w:val="nil"/>
                    <w:left w:val="nil"/>
                    <w:bottom w:val="single" w:sz="8" w:space="0" w:color="FFFFFF"/>
                    <w:right w:val="single" w:sz="8" w:space="0" w:color="FFFFFF"/>
                  </w:tcBorders>
                  <w:shd w:val="clear" w:color="000000" w:fill="FDE9D9"/>
                  <w:noWrap/>
                  <w:vAlign w:val="center"/>
                  <w:hideMark/>
                </w:tcPr>
                <w:p w14:paraId="5AA0E961" w14:textId="57E7F46D" w:rsidR="002D3316" w:rsidRPr="00B41E24" w:rsidRDefault="002D3316" w:rsidP="002D3316">
                  <w:pPr>
                    <w:widowControl/>
                    <w:jc w:val="center"/>
                    <w:rPr>
                      <w:rFonts w:eastAsia="等线" w:cs="Calibri"/>
                      <w:color w:val="000000"/>
                      <w:kern w:val="0"/>
                      <w:szCs w:val="21"/>
                    </w:rPr>
                  </w:pPr>
                  <w:r>
                    <w:rPr>
                      <w:rFonts w:eastAsia="等线" w:cs="Calibri"/>
                      <w:color w:val="000000"/>
                      <w:szCs w:val="21"/>
                    </w:rPr>
                    <w:t>4%</w:t>
                  </w:r>
                </w:p>
              </w:tc>
              <w:tc>
                <w:tcPr>
                  <w:tcW w:w="920" w:type="dxa"/>
                  <w:tcBorders>
                    <w:top w:val="nil"/>
                    <w:left w:val="nil"/>
                    <w:bottom w:val="single" w:sz="8" w:space="0" w:color="FFFFFF"/>
                    <w:right w:val="single" w:sz="8" w:space="0" w:color="FFFFFF"/>
                  </w:tcBorders>
                  <w:shd w:val="clear" w:color="000000" w:fill="FDE9D9"/>
                  <w:noWrap/>
                  <w:vAlign w:val="center"/>
                  <w:hideMark/>
                </w:tcPr>
                <w:p w14:paraId="6A261B2F" w14:textId="19C3638F" w:rsidR="002D3316" w:rsidRPr="00B41E24" w:rsidRDefault="002D3316" w:rsidP="002D3316">
                  <w:pPr>
                    <w:widowControl/>
                    <w:jc w:val="center"/>
                    <w:rPr>
                      <w:rFonts w:eastAsia="等线" w:cs="Calibri"/>
                      <w:color w:val="000000"/>
                      <w:kern w:val="0"/>
                      <w:szCs w:val="21"/>
                    </w:rPr>
                  </w:pPr>
                  <w:r>
                    <w:rPr>
                      <w:rFonts w:eastAsia="等线" w:cs="Calibri"/>
                      <w:color w:val="000000"/>
                      <w:szCs w:val="21"/>
                    </w:rPr>
                    <w:t>28%</w:t>
                  </w:r>
                </w:p>
              </w:tc>
              <w:tc>
                <w:tcPr>
                  <w:tcW w:w="1149" w:type="dxa"/>
                  <w:tcBorders>
                    <w:top w:val="nil"/>
                    <w:left w:val="nil"/>
                    <w:bottom w:val="single" w:sz="8" w:space="0" w:color="FFFFFF"/>
                    <w:right w:val="single" w:sz="8" w:space="0" w:color="FFFFFF"/>
                  </w:tcBorders>
                  <w:shd w:val="clear" w:color="000000" w:fill="FDE9D9"/>
                  <w:noWrap/>
                  <w:vAlign w:val="center"/>
                  <w:hideMark/>
                </w:tcPr>
                <w:p w14:paraId="52EDB7F5" w14:textId="639A6936" w:rsidR="002D3316" w:rsidRPr="00B41E24" w:rsidRDefault="002D3316" w:rsidP="002D3316">
                  <w:pPr>
                    <w:widowControl/>
                    <w:jc w:val="center"/>
                    <w:rPr>
                      <w:rFonts w:ascii="楷体" w:eastAsia="楷体" w:hAnsi="楷体" w:cs="宋体"/>
                      <w:color w:val="000000"/>
                      <w:kern w:val="0"/>
                      <w:sz w:val="20"/>
                      <w:szCs w:val="20"/>
                    </w:rPr>
                  </w:pPr>
                  <w:r>
                    <w:rPr>
                      <w:rFonts w:ascii="楷体" w:eastAsia="楷体" w:hAnsi="楷体" w:hint="eastAsia"/>
                      <w:color w:val="00000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04B722B3" w14:textId="18BFD27D" w:rsidR="002D3316" w:rsidRPr="00B41E24" w:rsidRDefault="002D3316" w:rsidP="002D3316">
                  <w:pPr>
                    <w:widowControl/>
                    <w:jc w:val="center"/>
                    <w:rPr>
                      <w:rFonts w:eastAsia="等线" w:cs="Calibri"/>
                      <w:color w:val="000000"/>
                      <w:kern w:val="0"/>
                      <w:szCs w:val="21"/>
                    </w:rPr>
                  </w:pPr>
                  <w:r>
                    <w:rPr>
                      <w:rFonts w:eastAsia="等线" w:cs="Calibri"/>
                      <w:color w:val="000000"/>
                      <w:szCs w:val="21"/>
                    </w:rPr>
                    <w:t>7%</w:t>
                  </w:r>
                </w:p>
              </w:tc>
              <w:tc>
                <w:tcPr>
                  <w:tcW w:w="920" w:type="dxa"/>
                  <w:tcBorders>
                    <w:top w:val="nil"/>
                    <w:left w:val="nil"/>
                    <w:bottom w:val="single" w:sz="8" w:space="0" w:color="FFFFFF"/>
                    <w:right w:val="single" w:sz="8" w:space="0" w:color="FFFFFF"/>
                  </w:tcBorders>
                  <w:shd w:val="clear" w:color="000000" w:fill="FDE9D9"/>
                  <w:noWrap/>
                  <w:vAlign w:val="center"/>
                  <w:hideMark/>
                </w:tcPr>
                <w:p w14:paraId="00BAE7B3" w14:textId="5C14DCCE" w:rsidR="002D3316" w:rsidRPr="00B41E24" w:rsidRDefault="002D3316" w:rsidP="002D3316">
                  <w:pPr>
                    <w:widowControl/>
                    <w:jc w:val="center"/>
                    <w:rPr>
                      <w:rFonts w:eastAsia="等线" w:cs="Calibri"/>
                      <w:color w:val="000000"/>
                      <w:kern w:val="0"/>
                      <w:szCs w:val="21"/>
                    </w:rPr>
                  </w:pPr>
                  <w:r>
                    <w:rPr>
                      <w:rFonts w:eastAsia="等线" w:cs="Calibri"/>
                      <w:color w:val="000000"/>
                      <w:szCs w:val="21"/>
                    </w:rPr>
                    <w:t>3%</w:t>
                  </w:r>
                </w:p>
              </w:tc>
              <w:tc>
                <w:tcPr>
                  <w:tcW w:w="920" w:type="dxa"/>
                  <w:tcBorders>
                    <w:top w:val="nil"/>
                    <w:left w:val="nil"/>
                    <w:bottom w:val="single" w:sz="8" w:space="0" w:color="FFFFFF"/>
                    <w:right w:val="single" w:sz="8" w:space="0" w:color="FFFFFF"/>
                  </w:tcBorders>
                  <w:shd w:val="clear" w:color="000000" w:fill="FDE9D9"/>
                  <w:noWrap/>
                  <w:vAlign w:val="center"/>
                  <w:hideMark/>
                </w:tcPr>
                <w:p w14:paraId="1D577A1F" w14:textId="518F2B34" w:rsidR="002D3316" w:rsidRPr="00B41E24" w:rsidRDefault="002D3316" w:rsidP="002D3316">
                  <w:pPr>
                    <w:widowControl/>
                    <w:jc w:val="center"/>
                    <w:rPr>
                      <w:rFonts w:eastAsia="等线" w:cs="Calibri"/>
                      <w:color w:val="000000"/>
                      <w:kern w:val="0"/>
                      <w:szCs w:val="21"/>
                    </w:rPr>
                  </w:pPr>
                  <w:r>
                    <w:rPr>
                      <w:rFonts w:eastAsia="等线" w:cs="Calibri"/>
                      <w:color w:val="000000"/>
                      <w:szCs w:val="21"/>
                    </w:rPr>
                    <w:t>10%</w:t>
                  </w:r>
                </w:p>
              </w:tc>
              <w:tc>
                <w:tcPr>
                  <w:tcW w:w="920" w:type="dxa"/>
                  <w:tcBorders>
                    <w:top w:val="nil"/>
                    <w:left w:val="nil"/>
                    <w:bottom w:val="single" w:sz="8" w:space="0" w:color="FFFFFF"/>
                    <w:right w:val="single" w:sz="8" w:space="0" w:color="FFFFFF"/>
                  </w:tcBorders>
                  <w:shd w:val="clear" w:color="000000" w:fill="FDE9D9"/>
                  <w:noWrap/>
                  <w:vAlign w:val="center"/>
                  <w:hideMark/>
                </w:tcPr>
                <w:p w14:paraId="3FF4C4AA" w14:textId="5510D89E" w:rsidR="002D3316" w:rsidRPr="00B41E24" w:rsidRDefault="002D3316" w:rsidP="002D3316">
                  <w:pPr>
                    <w:widowControl/>
                    <w:jc w:val="center"/>
                    <w:rPr>
                      <w:rFonts w:eastAsia="等线" w:cs="Calibri"/>
                      <w:color w:val="000000"/>
                      <w:kern w:val="0"/>
                      <w:szCs w:val="21"/>
                    </w:rPr>
                  </w:pPr>
                  <w:r>
                    <w:rPr>
                      <w:rFonts w:eastAsia="等线" w:cs="Calibri"/>
                      <w:color w:val="000000"/>
                      <w:szCs w:val="21"/>
                    </w:rPr>
                    <w:t>64%</w:t>
                  </w:r>
                </w:p>
              </w:tc>
            </w:tr>
            <w:tr w:rsidR="002D3316" w:rsidRPr="00B41E24" w14:paraId="21DC06D6" w14:textId="77777777" w:rsidTr="007A1586">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4FE37E8C" w14:textId="4943E8B9" w:rsidR="002D3316" w:rsidRPr="00B41E24" w:rsidRDefault="002D3316" w:rsidP="002D3316">
                  <w:pPr>
                    <w:widowControl/>
                    <w:jc w:val="center"/>
                    <w:rPr>
                      <w:rFonts w:ascii="楷体" w:eastAsia="楷体" w:hAnsi="楷体"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3Y</w:t>
                  </w:r>
                </w:p>
              </w:tc>
              <w:tc>
                <w:tcPr>
                  <w:tcW w:w="740" w:type="dxa"/>
                  <w:tcBorders>
                    <w:top w:val="nil"/>
                    <w:left w:val="nil"/>
                    <w:bottom w:val="single" w:sz="8" w:space="0" w:color="FFFFFF"/>
                    <w:right w:val="single" w:sz="8" w:space="0" w:color="FFFFFF"/>
                  </w:tcBorders>
                  <w:shd w:val="clear" w:color="000000" w:fill="FCD5B4"/>
                  <w:noWrap/>
                  <w:vAlign w:val="center"/>
                  <w:hideMark/>
                </w:tcPr>
                <w:p w14:paraId="657AADBA" w14:textId="3F5F8239" w:rsidR="002D3316" w:rsidRPr="00B41E24" w:rsidRDefault="002D3316" w:rsidP="002D3316">
                  <w:pPr>
                    <w:widowControl/>
                    <w:jc w:val="center"/>
                    <w:rPr>
                      <w:rFonts w:eastAsia="等线" w:cs="Calibri"/>
                      <w:color w:val="000000"/>
                      <w:kern w:val="0"/>
                      <w:szCs w:val="21"/>
                    </w:rPr>
                  </w:pPr>
                  <w:r>
                    <w:rPr>
                      <w:rFonts w:eastAsia="等线" w:cs="Calibri"/>
                      <w:color w:val="000000"/>
                      <w:szCs w:val="21"/>
                    </w:rPr>
                    <w:t>6%</w:t>
                  </w:r>
                </w:p>
              </w:tc>
              <w:tc>
                <w:tcPr>
                  <w:tcW w:w="920" w:type="dxa"/>
                  <w:tcBorders>
                    <w:top w:val="nil"/>
                    <w:left w:val="nil"/>
                    <w:bottom w:val="single" w:sz="8" w:space="0" w:color="FFFFFF"/>
                    <w:right w:val="single" w:sz="8" w:space="0" w:color="FFFFFF"/>
                  </w:tcBorders>
                  <w:shd w:val="clear" w:color="000000" w:fill="FCD5B4"/>
                  <w:noWrap/>
                  <w:vAlign w:val="center"/>
                  <w:hideMark/>
                </w:tcPr>
                <w:p w14:paraId="2E67B5DA" w14:textId="6323421B" w:rsidR="002D3316" w:rsidRPr="00B41E24" w:rsidRDefault="002D3316" w:rsidP="002D3316">
                  <w:pPr>
                    <w:widowControl/>
                    <w:jc w:val="center"/>
                    <w:rPr>
                      <w:rFonts w:eastAsia="等线" w:cs="Calibri"/>
                      <w:color w:val="000000"/>
                      <w:kern w:val="0"/>
                      <w:szCs w:val="21"/>
                    </w:rPr>
                  </w:pPr>
                  <w:r>
                    <w:rPr>
                      <w:rFonts w:eastAsia="等线" w:cs="Calibri"/>
                      <w:color w:val="000000"/>
                      <w:szCs w:val="21"/>
                    </w:rPr>
                    <w:t>5%</w:t>
                  </w:r>
                </w:p>
              </w:tc>
              <w:tc>
                <w:tcPr>
                  <w:tcW w:w="920" w:type="dxa"/>
                  <w:tcBorders>
                    <w:top w:val="nil"/>
                    <w:left w:val="nil"/>
                    <w:bottom w:val="single" w:sz="8" w:space="0" w:color="FFFFFF"/>
                    <w:right w:val="single" w:sz="8" w:space="0" w:color="FFFFFF"/>
                  </w:tcBorders>
                  <w:shd w:val="clear" w:color="000000" w:fill="FCD5B4"/>
                  <w:noWrap/>
                  <w:vAlign w:val="center"/>
                  <w:hideMark/>
                </w:tcPr>
                <w:p w14:paraId="5BB83AA5" w14:textId="10AC7E17" w:rsidR="002D3316" w:rsidRPr="00B41E24" w:rsidRDefault="002D3316" w:rsidP="002D3316">
                  <w:pPr>
                    <w:widowControl/>
                    <w:jc w:val="center"/>
                    <w:rPr>
                      <w:rFonts w:eastAsia="等线" w:cs="Calibri"/>
                      <w:color w:val="000000"/>
                      <w:kern w:val="0"/>
                      <w:szCs w:val="21"/>
                    </w:rPr>
                  </w:pPr>
                  <w:r>
                    <w:rPr>
                      <w:rFonts w:eastAsia="等线" w:cs="Calibri"/>
                      <w:color w:val="000000"/>
                      <w:szCs w:val="21"/>
                    </w:rPr>
                    <w:t>5%</w:t>
                  </w:r>
                </w:p>
              </w:tc>
              <w:tc>
                <w:tcPr>
                  <w:tcW w:w="920" w:type="dxa"/>
                  <w:tcBorders>
                    <w:top w:val="nil"/>
                    <w:left w:val="nil"/>
                    <w:bottom w:val="single" w:sz="8" w:space="0" w:color="FFFFFF"/>
                    <w:right w:val="single" w:sz="8" w:space="0" w:color="FFFFFF"/>
                  </w:tcBorders>
                  <w:shd w:val="clear" w:color="000000" w:fill="FCD5B4"/>
                  <w:noWrap/>
                  <w:vAlign w:val="center"/>
                  <w:hideMark/>
                </w:tcPr>
                <w:p w14:paraId="45AEAC99" w14:textId="47D7BDBB" w:rsidR="002D3316" w:rsidRPr="00B41E24" w:rsidRDefault="002D3316" w:rsidP="002D3316">
                  <w:pPr>
                    <w:widowControl/>
                    <w:jc w:val="center"/>
                    <w:rPr>
                      <w:rFonts w:eastAsia="等线" w:cs="Calibri"/>
                      <w:color w:val="000000"/>
                      <w:kern w:val="0"/>
                      <w:szCs w:val="21"/>
                    </w:rPr>
                  </w:pPr>
                  <w:r>
                    <w:rPr>
                      <w:rFonts w:eastAsia="等线" w:cs="Calibri"/>
                      <w:color w:val="000000"/>
                      <w:szCs w:val="21"/>
                    </w:rPr>
                    <w:t>48%</w:t>
                  </w:r>
                </w:p>
              </w:tc>
              <w:tc>
                <w:tcPr>
                  <w:tcW w:w="1149" w:type="dxa"/>
                  <w:tcBorders>
                    <w:top w:val="nil"/>
                    <w:left w:val="nil"/>
                    <w:bottom w:val="single" w:sz="8" w:space="0" w:color="FFFFFF"/>
                    <w:right w:val="single" w:sz="8" w:space="0" w:color="FFFFFF"/>
                  </w:tcBorders>
                  <w:shd w:val="clear" w:color="000000" w:fill="FCD5B4"/>
                  <w:noWrap/>
                  <w:vAlign w:val="center"/>
                  <w:hideMark/>
                </w:tcPr>
                <w:p w14:paraId="59204F8F" w14:textId="3E402C20" w:rsidR="002D3316" w:rsidRPr="00B41E24" w:rsidRDefault="002D3316" w:rsidP="002D3316">
                  <w:pPr>
                    <w:widowControl/>
                    <w:jc w:val="center"/>
                    <w:rPr>
                      <w:rFonts w:ascii="楷体" w:eastAsia="楷体" w:hAnsi="楷体"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479902F5" w14:textId="22E44F6A" w:rsidR="002D3316" w:rsidRPr="00B41E24" w:rsidRDefault="002D3316" w:rsidP="002D3316">
                  <w:pPr>
                    <w:widowControl/>
                    <w:jc w:val="center"/>
                    <w:rPr>
                      <w:rFonts w:eastAsia="等线" w:cs="Calibri"/>
                      <w:color w:val="000000"/>
                      <w:kern w:val="0"/>
                      <w:szCs w:val="21"/>
                    </w:rPr>
                  </w:pPr>
                  <w:r>
                    <w:rPr>
                      <w:rFonts w:eastAsia="等线" w:cs="Calibri"/>
                      <w:color w:val="000000"/>
                      <w:szCs w:val="21"/>
                    </w:rPr>
                    <w:t>0%</w:t>
                  </w:r>
                </w:p>
              </w:tc>
              <w:tc>
                <w:tcPr>
                  <w:tcW w:w="920" w:type="dxa"/>
                  <w:tcBorders>
                    <w:top w:val="nil"/>
                    <w:left w:val="nil"/>
                    <w:bottom w:val="single" w:sz="8" w:space="0" w:color="FFFFFF"/>
                    <w:right w:val="single" w:sz="8" w:space="0" w:color="FFFFFF"/>
                  </w:tcBorders>
                  <w:shd w:val="clear" w:color="000000" w:fill="FCD5B4"/>
                  <w:noWrap/>
                  <w:vAlign w:val="center"/>
                  <w:hideMark/>
                </w:tcPr>
                <w:p w14:paraId="54133AF5" w14:textId="1A6F78E1" w:rsidR="002D3316" w:rsidRPr="00B41E24" w:rsidRDefault="002D3316" w:rsidP="002D3316">
                  <w:pPr>
                    <w:widowControl/>
                    <w:jc w:val="center"/>
                    <w:rPr>
                      <w:rFonts w:eastAsia="等线" w:cs="Calibri"/>
                      <w:color w:val="000000"/>
                      <w:kern w:val="0"/>
                      <w:szCs w:val="21"/>
                    </w:rPr>
                  </w:pPr>
                  <w:r>
                    <w:rPr>
                      <w:rFonts w:eastAsia="等线" w:cs="Calibri"/>
                      <w:color w:val="000000"/>
                      <w:szCs w:val="21"/>
                    </w:rPr>
                    <w:t>1%</w:t>
                  </w:r>
                </w:p>
              </w:tc>
              <w:tc>
                <w:tcPr>
                  <w:tcW w:w="920" w:type="dxa"/>
                  <w:tcBorders>
                    <w:top w:val="nil"/>
                    <w:left w:val="nil"/>
                    <w:bottom w:val="single" w:sz="8" w:space="0" w:color="FFFFFF"/>
                    <w:right w:val="single" w:sz="8" w:space="0" w:color="FFFFFF"/>
                  </w:tcBorders>
                  <w:shd w:val="clear" w:color="000000" w:fill="FCD5B4"/>
                  <w:noWrap/>
                  <w:vAlign w:val="center"/>
                  <w:hideMark/>
                </w:tcPr>
                <w:p w14:paraId="00C9AD90" w14:textId="788E917F" w:rsidR="002D3316" w:rsidRPr="00B41E24" w:rsidRDefault="002D3316" w:rsidP="002D3316">
                  <w:pPr>
                    <w:widowControl/>
                    <w:jc w:val="center"/>
                    <w:rPr>
                      <w:rFonts w:eastAsia="等线" w:cs="Calibri"/>
                      <w:color w:val="000000"/>
                      <w:kern w:val="0"/>
                      <w:szCs w:val="21"/>
                    </w:rPr>
                  </w:pPr>
                  <w:r>
                    <w:rPr>
                      <w:rFonts w:eastAsia="等线" w:cs="Calibri"/>
                      <w:color w:val="000000"/>
                      <w:szCs w:val="21"/>
                    </w:rPr>
                    <w:t>1%</w:t>
                  </w:r>
                </w:p>
              </w:tc>
              <w:tc>
                <w:tcPr>
                  <w:tcW w:w="920" w:type="dxa"/>
                  <w:tcBorders>
                    <w:top w:val="nil"/>
                    <w:left w:val="nil"/>
                    <w:bottom w:val="single" w:sz="8" w:space="0" w:color="FFFFFF"/>
                    <w:right w:val="single" w:sz="8" w:space="0" w:color="FFFFFF"/>
                  </w:tcBorders>
                  <w:shd w:val="clear" w:color="000000" w:fill="FCD5B4"/>
                  <w:noWrap/>
                  <w:vAlign w:val="center"/>
                  <w:hideMark/>
                </w:tcPr>
                <w:p w14:paraId="541417A5" w14:textId="4DFB0703" w:rsidR="002D3316" w:rsidRPr="00B41E24" w:rsidRDefault="002D3316" w:rsidP="002D3316">
                  <w:pPr>
                    <w:widowControl/>
                    <w:jc w:val="center"/>
                    <w:rPr>
                      <w:rFonts w:eastAsia="等线" w:cs="Calibri"/>
                      <w:color w:val="000000"/>
                      <w:kern w:val="0"/>
                      <w:szCs w:val="21"/>
                    </w:rPr>
                  </w:pPr>
                  <w:r>
                    <w:rPr>
                      <w:rFonts w:eastAsia="等线" w:cs="Calibri"/>
                      <w:color w:val="000000"/>
                      <w:szCs w:val="21"/>
                    </w:rPr>
                    <w:t>71%</w:t>
                  </w:r>
                </w:p>
              </w:tc>
            </w:tr>
            <w:tr w:rsidR="002D3316" w:rsidRPr="00B41E24" w14:paraId="0EA4170B" w14:textId="77777777" w:rsidTr="007A1586">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10FF0248" w14:textId="2F03BD79" w:rsidR="002D3316" w:rsidRPr="00B41E24" w:rsidRDefault="002D3316" w:rsidP="002D3316">
                  <w:pPr>
                    <w:widowControl/>
                    <w:jc w:val="center"/>
                    <w:rPr>
                      <w:rFonts w:ascii="楷体" w:eastAsia="楷体" w:hAnsi="楷体"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5Y</w:t>
                  </w:r>
                </w:p>
              </w:tc>
              <w:tc>
                <w:tcPr>
                  <w:tcW w:w="740" w:type="dxa"/>
                  <w:tcBorders>
                    <w:top w:val="nil"/>
                    <w:left w:val="nil"/>
                    <w:bottom w:val="single" w:sz="8" w:space="0" w:color="FFFFFF"/>
                    <w:right w:val="single" w:sz="8" w:space="0" w:color="FFFFFF"/>
                  </w:tcBorders>
                  <w:shd w:val="clear" w:color="000000" w:fill="FDE9D9"/>
                  <w:noWrap/>
                  <w:vAlign w:val="center"/>
                  <w:hideMark/>
                </w:tcPr>
                <w:p w14:paraId="22074306" w14:textId="39DA0950" w:rsidR="002D3316" w:rsidRPr="00B41E24" w:rsidRDefault="002D3316" w:rsidP="002D3316">
                  <w:pPr>
                    <w:widowControl/>
                    <w:jc w:val="center"/>
                    <w:rPr>
                      <w:rFonts w:eastAsia="等线" w:cs="Calibri"/>
                      <w:color w:val="000000"/>
                      <w:kern w:val="0"/>
                      <w:szCs w:val="21"/>
                    </w:rPr>
                  </w:pPr>
                  <w:r>
                    <w:rPr>
                      <w:rFonts w:eastAsia="等线" w:cs="Calibri"/>
                      <w:color w:val="000000"/>
                      <w:szCs w:val="21"/>
                    </w:rPr>
                    <w:t>5%</w:t>
                  </w:r>
                </w:p>
              </w:tc>
              <w:tc>
                <w:tcPr>
                  <w:tcW w:w="920" w:type="dxa"/>
                  <w:tcBorders>
                    <w:top w:val="nil"/>
                    <w:left w:val="nil"/>
                    <w:bottom w:val="single" w:sz="8" w:space="0" w:color="FFFFFF"/>
                    <w:right w:val="single" w:sz="8" w:space="0" w:color="FFFFFF"/>
                  </w:tcBorders>
                  <w:shd w:val="clear" w:color="000000" w:fill="FDE9D9"/>
                  <w:noWrap/>
                  <w:vAlign w:val="center"/>
                  <w:hideMark/>
                </w:tcPr>
                <w:p w14:paraId="0BA2FFDF" w14:textId="3F8FD5ED" w:rsidR="002D3316" w:rsidRPr="00B41E24" w:rsidRDefault="002D3316" w:rsidP="002D3316">
                  <w:pPr>
                    <w:widowControl/>
                    <w:jc w:val="center"/>
                    <w:rPr>
                      <w:rFonts w:eastAsia="等线" w:cs="Calibri"/>
                      <w:color w:val="000000"/>
                      <w:kern w:val="0"/>
                      <w:szCs w:val="21"/>
                    </w:rPr>
                  </w:pPr>
                  <w:r>
                    <w:rPr>
                      <w:rFonts w:eastAsia="等线" w:cs="Calibri"/>
                      <w:color w:val="000000"/>
                      <w:szCs w:val="21"/>
                    </w:rPr>
                    <w:t>6%</w:t>
                  </w:r>
                </w:p>
              </w:tc>
              <w:tc>
                <w:tcPr>
                  <w:tcW w:w="920" w:type="dxa"/>
                  <w:tcBorders>
                    <w:top w:val="nil"/>
                    <w:left w:val="nil"/>
                    <w:bottom w:val="single" w:sz="8" w:space="0" w:color="FFFFFF"/>
                    <w:right w:val="single" w:sz="8" w:space="0" w:color="FFFFFF"/>
                  </w:tcBorders>
                  <w:shd w:val="clear" w:color="000000" w:fill="FDE9D9"/>
                  <w:noWrap/>
                  <w:vAlign w:val="center"/>
                  <w:hideMark/>
                </w:tcPr>
                <w:p w14:paraId="073EB474" w14:textId="2B8F1C92" w:rsidR="002D3316" w:rsidRPr="00B41E24" w:rsidRDefault="002D3316" w:rsidP="002D3316">
                  <w:pPr>
                    <w:widowControl/>
                    <w:jc w:val="center"/>
                    <w:rPr>
                      <w:rFonts w:eastAsia="等线" w:cs="Calibri"/>
                      <w:color w:val="000000"/>
                      <w:kern w:val="0"/>
                      <w:szCs w:val="21"/>
                    </w:rPr>
                  </w:pPr>
                  <w:r>
                    <w:rPr>
                      <w:rFonts w:eastAsia="等线" w:cs="Calibri"/>
                      <w:color w:val="000000"/>
                      <w:szCs w:val="21"/>
                    </w:rPr>
                    <w:t>7%</w:t>
                  </w:r>
                </w:p>
              </w:tc>
              <w:tc>
                <w:tcPr>
                  <w:tcW w:w="920" w:type="dxa"/>
                  <w:tcBorders>
                    <w:top w:val="nil"/>
                    <w:left w:val="nil"/>
                    <w:bottom w:val="single" w:sz="8" w:space="0" w:color="FFFFFF"/>
                    <w:right w:val="single" w:sz="8" w:space="0" w:color="FFFFFF"/>
                  </w:tcBorders>
                  <w:shd w:val="clear" w:color="000000" w:fill="FDE9D9"/>
                  <w:noWrap/>
                  <w:vAlign w:val="center"/>
                  <w:hideMark/>
                </w:tcPr>
                <w:p w14:paraId="0B9D8097" w14:textId="59D940CB" w:rsidR="002D3316" w:rsidRPr="00B41E24" w:rsidRDefault="002D3316" w:rsidP="002D3316">
                  <w:pPr>
                    <w:widowControl/>
                    <w:jc w:val="center"/>
                    <w:rPr>
                      <w:rFonts w:eastAsia="等线" w:cs="Calibri"/>
                      <w:color w:val="000000"/>
                      <w:kern w:val="0"/>
                      <w:szCs w:val="21"/>
                    </w:rPr>
                  </w:pPr>
                  <w:r>
                    <w:rPr>
                      <w:rFonts w:eastAsia="等线" w:cs="Calibri"/>
                      <w:color w:val="000000"/>
                      <w:szCs w:val="21"/>
                    </w:rPr>
                    <w:t>64%</w:t>
                  </w:r>
                </w:p>
              </w:tc>
              <w:tc>
                <w:tcPr>
                  <w:tcW w:w="1149" w:type="dxa"/>
                  <w:tcBorders>
                    <w:top w:val="nil"/>
                    <w:left w:val="nil"/>
                    <w:bottom w:val="single" w:sz="8" w:space="0" w:color="FFFFFF"/>
                    <w:right w:val="single" w:sz="8" w:space="0" w:color="FFFFFF"/>
                  </w:tcBorders>
                  <w:shd w:val="clear" w:color="000000" w:fill="FDE9D9"/>
                  <w:noWrap/>
                  <w:vAlign w:val="center"/>
                  <w:hideMark/>
                </w:tcPr>
                <w:p w14:paraId="345AC80B" w14:textId="1803451D" w:rsidR="002D3316" w:rsidRPr="00B41E24" w:rsidRDefault="002D3316" w:rsidP="002D3316">
                  <w:pPr>
                    <w:widowControl/>
                    <w:jc w:val="center"/>
                    <w:rPr>
                      <w:rFonts w:ascii="楷体" w:eastAsia="楷体" w:hAnsi="楷体"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19B927C3" w14:textId="37944D3F" w:rsidR="002D3316" w:rsidRPr="00B41E24" w:rsidRDefault="002D3316" w:rsidP="002D3316">
                  <w:pPr>
                    <w:widowControl/>
                    <w:jc w:val="center"/>
                    <w:rPr>
                      <w:rFonts w:eastAsia="等线" w:cs="Calibri"/>
                      <w:color w:val="000000"/>
                      <w:kern w:val="0"/>
                      <w:szCs w:val="21"/>
                    </w:rPr>
                  </w:pPr>
                  <w:r>
                    <w:rPr>
                      <w:rFonts w:eastAsia="等线" w:cs="Calibri"/>
                      <w:color w:val="000000"/>
                      <w:szCs w:val="21"/>
                    </w:rPr>
                    <w:t>4%</w:t>
                  </w:r>
                </w:p>
              </w:tc>
              <w:tc>
                <w:tcPr>
                  <w:tcW w:w="920" w:type="dxa"/>
                  <w:tcBorders>
                    <w:top w:val="nil"/>
                    <w:left w:val="nil"/>
                    <w:bottom w:val="single" w:sz="8" w:space="0" w:color="FFFFFF"/>
                    <w:right w:val="single" w:sz="8" w:space="0" w:color="FFFFFF"/>
                  </w:tcBorders>
                  <w:shd w:val="clear" w:color="000000" w:fill="FDE9D9"/>
                  <w:noWrap/>
                  <w:vAlign w:val="center"/>
                  <w:hideMark/>
                </w:tcPr>
                <w:p w14:paraId="6F372E8A" w14:textId="51FD6578" w:rsidR="002D3316" w:rsidRPr="00B41E24" w:rsidRDefault="002D3316" w:rsidP="002D3316">
                  <w:pPr>
                    <w:widowControl/>
                    <w:jc w:val="center"/>
                    <w:rPr>
                      <w:rFonts w:eastAsia="等线" w:cs="Calibri"/>
                      <w:color w:val="000000"/>
                      <w:kern w:val="0"/>
                      <w:szCs w:val="21"/>
                    </w:rPr>
                  </w:pPr>
                  <w:r>
                    <w:rPr>
                      <w:rFonts w:eastAsia="等线" w:cs="Calibri"/>
                      <w:color w:val="000000"/>
                      <w:szCs w:val="21"/>
                    </w:rPr>
                    <w:t>4%</w:t>
                  </w:r>
                </w:p>
              </w:tc>
              <w:tc>
                <w:tcPr>
                  <w:tcW w:w="920" w:type="dxa"/>
                  <w:tcBorders>
                    <w:top w:val="nil"/>
                    <w:left w:val="nil"/>
                    <w:bottom w:val="single" w:sz="8" w:space="0" w:color="FFFFFF"/>
                    <w:right w:val="single" w:sz="8" w:space="0" w:color="FFFFFF"/>
                  </w:tcBorders>
                  <w:shd w:val="clear" w:color="000000" w:fill="FDE9D9"/>
                  <w:noWrap/>
                  <w:vAlign w:val="center"/>
                  <w:hideMark/>
                </w:tcPr>
                <w:p w14:paraId="33016802" w14:textId="58FB1068" w:rsidR="002D3316" w:rsidRPr="00B41E24" w:rsidRDefault="002D3316" w:rsidP="002D3316">
                  <w:pPr>
                    <w:widowControl/>
                    <w:jc w:val="center"/>
                    <w:rPr>
                      <w:rFonts w:eastAsia="等线" w:cs="Calibri"/>
                      <w:color w:val="000000"/>
                      <w:kern w:val="0"/>
                      <w:szCs w:val="21"/>
                    </w:rPr>
                  </w:pPr>
                  <w:r>
                    <w:rPr>
                      <w:rFonts w:eastAsia="等线" w:cs="Calibri"/>
                      <w:color w:val="000000"/>
                      <w:szCs w:val="21"/>
                    </w:rPr>
                    <w:t>12%</w:t>
                  </w:r>
                </w:p>
              </w:tc>
              <w:tc>
                <w:tcPr>
                  <w:tcW w:w="920" w:type="dxa"/>
                  <w:tcBorders>
                    <w:top w:val="nil"/>
                    <w:left w:val="nil"/>
                    <w:bottom w:val="single" w:sz="8" w:space="0" w:color="FFFFFF"/>
                    <w:right w:val="single" w:sz="8" w:space="0" w:color="FFFFFF"/>
                  </w:tcBorders>
                  <w:shd w:val="clear" w:color="000000" w:fill="FFC7CE"/>
                  <w:noWrap/>
                  <w:vAlign w:val="center"/>
                  <w:hideMark/>
                </w:tcPr>
                <w:p w14:paraId="57FFE293" w14:textId="57103ACF" w:rsidR="002D3316" w:rsidRPr="00B41E24" w:rsidRDefault="002D3316" w:rsidP="002D3316">
                  <w:pPr>
                    <w:widowControl/>
                    <w:jc w:val="center"/>
                    <w:rPr>
                      <w:rFonts w:eastAsia="等线" w:cs="Calibri"/>
                      <w:color w:val="9C0006"/>
                      <w:kern w:val="0"/>
                      <w:szCs w:val="21"/>
                    </w:rPr>
                  </w:pPr>
                  <w:r>
                    <w:rPr>
                      <w:rFonts w:eastAsia="等线" w:cs="Calibri"/>
                      <w:color w:val="9C0006"/>
                      <w:szCs w:val="21"/>
                    </w:rPr>
                    <w:t>87%</w:t>
                  </w:r>
                </w:p>
              </w:tc>
            </w:tr>
            <w:tr w:rsidR="002D3316" w:rsidRPr="00B41E24" w14:paraId="72207D52" w14:textId="77777777" w:rsidTr="007A1586">
              <w:trPr>
                <w:trHeight w:val="310"/>
              </w:trPr>
              <w:tc>
                <w:tcPr>
                  <w:tcW w:w="1309" w:type="dxa"/>
                  <w:tcBorders>
                    <w:top w:val="nil"/>
                    <w:left w:val="nil"/>
                    <w:bottom w:val="nil"/>
                    <w:right w:val="nil"/>
                  </w:tcBorders>
                  <w:shd w:val="clear" w:color="000000" w:fill="FCD5B4"/>
                  <w:noWrap/>
                  <w:vAlign w:val="center"/>
                  <w:hideMark/>
                </w:tcPr>
                <w:p w14:paraId="4814BB37" w14:textId="194EC251" w:rsidR="002D3316" w:rsidRPr="00B41E24" w:rsidRDefault="002D3316" w:rsidP="002D3316">
                  <w:pPr>
                    <w:widowControl/>
                    <w:jc w:val="center"/>
                    <w:rPr>
                      <w:rFonts w:ascii="楷体" w:eastAsia="楷体" w:hAnsi="楷体"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7Y</w:t>
                  </w:r>
                </w:p>
              </w:tc>
              <w:tc>
                <w:tcPr>
                  <w:tcW w:w="740" w:type="dxa"/>
                  <w:tcBorders>
                    <w:top w:val="nil"/>
                    <w:left w:val="nil"/>
                    <w:bottom w:val="single" w:sz="8" w:space="0" w:color="FFFFFF"/>
                    <w:right w:val="single" w:sz="8" w:space="0" w:color="FFFFFF"/>
                  </w:tcBorders>
                  <w:shd w:val="clear" w:color="000000" w:fill="FCD5B4"/>
                  <w:noWrap/>
                  <w:vAlign w:val="center"/>
                  <w:hideMark/>
                </w:tcPr>
                <w:p w14:paraId="5E5F0BFD" w14:textId="66DE0A82" w:rsidR="002D3316" w:rsidRPr="00B41E24" w:rsidRDefault="002D3316" w:rsidP="002D3316">
                  <w:pPr>
                    <w:widowControl/>
                    <w:jc w:val="center"/>
                    <w:rPr>
                      <w:rFonts w:eastAsia="等线" w:cs="Calibri"/>
                      <w:color w:val="000000"/>
                      <w:kern w:val="0"/>
                      <w:szCs w:val="21"/>
                    </w:rPr>
                  </w:pPr>
                  <w:r>
                    <w:rPr>
                      <w:rFonts w:eastAsia="等线" w:cs="Calibri"/>
                      <w:color w:val="000000"/>
                      <w:szCs w:val="21"/>
                    </w:rPr>
                    <w:t>4%</w:t>
                  </w:r>
                </w:p>
              </w:tc>
              <w:tc>
                <w:tcPr>
                  <w:tcW w:w="920" w:type="dxa"/>
                  <w:tcBorders>
                    <w:top w:val="nil"/>
                    <w:left w:val="nil"/>
                    <w:bottom w:val="single" w:sz="8" w:space="0" w:color="FFFFFF"/>
                    <w:right w:val="single" w:sz="8" w:space="0" w:color="FFFFFF"/>
                  </w:tcBorders>
                  <w:shd w:val="clear" w:color="000000" w:fill="FCD5B4"/>
                  <w:noWrap/>
                  <w:vAlign w:val="center"/>
                  <w:hideMark/>
                </w:tcPr>
                <w:p w14:paraId="7F5BCF09" w14:textId="6CE73908" w:rsidR="002D3316" w:rsidRPr="00B41E24" w:rsidRDefault="002D3316" w:rsidP="002D3316">
                  <w:pPr>
                    <w:widowControl/>
                    <w:jc w:val="center"/>
                    <w:rPr>
                      <w:rFonts w:eastAsia="等线" w:cs="Calibri"/>
                      <w:color w:val="000000"/>
                      <w:kern w:val="0"/>
                      <w:szCs w:val="21"/>
                    </w:rPr>
                  </w:pPr>
                  <w:r>
                    <w:rPr>
                      <w:rFonts w:eastAsia="等线" w:cs="Calibri"/>
                      <w:color w:val="000000"/>
                      <w:szCs w:val="21"/>
                    </w:rPr>
                    <w:t>5%</w:t>
                  </w:r>
                </w:p>
              </w:tc>
              <w:tc>
                <w:tcPr>
                  <w:tcW w:w="920" w:type="dxa"/>
                  <w:tcBorders>
                    <w:top w:val="nil"/>
                    <w:left w:val="nil"/>
                    <w:bottom w:val="single" w:sz="8" w:space="0" w:color="FFFFFF"/>
                    <w:right w:val="single" w:sz="8" w:space="0" w:color="FFFFFF"/>
                  </w:tcBorders>
                  <w:shd w:val="clear" w:color="000000" w:fill="FCD5B4"/>
                  <w:noWrap/>
                  <w:vAlign w:val="center"/>
                  <w:hideMark/>
                </w:tcPr>
                <w:p w14:paraId="00227C37" w14:textId="45E868E3" w:rsidR="002D3316" w:rsidRPr="00B41E24" w:rsidRDefault="002D3316" w:rsidP="002D3316">
                  <w:pPr>
                    <w:widowControl/>
                    <w:jc w:val="center"/>
                    <w:rPr>
                      <w:rFonts w:eastAsia="等线" w:cs="Calibri"/>
                      <w:color w:val="000000"/>
                      <w:kern w:val="0"/>
                      <w:szCs w:val="21"/>
                    </w:rPr>
                  </w:pPr>
                  <w:r>
                    <w:rPr>
                      <w:rFonts w:eastAsia="等线" w:cs="Calibri"/>
                      <w:color w:val="000000"/>
                      <w:szCs w:val="21"/>
                    </w:rPr>
                    <w:t>6%</w:t>
                  </w:r>
                </w:p>
              </w:tc>
              <w:tc>
                <w:tcPr>
                  <w:tcW w:w="920" w:type="dxa"/>
                  <w:tcBorders>
                    <w:top w:val="nil"/>
                    <w:left w:val="nil"/>
                    <w:bottom w:val="single" w:sz="8" w:space="0" w:color="FFFFFF"/>
                    <w:right w:val="single" w:sz="8" w:space="0" w:color="FFFFFF"/>
                  </w:tcBorders>
                  <w:shd w:val="clear" w:color="000000" w:fill="FCD5B4"/>
                  <w:noWrap/>
                  <w:vAlign w:val="center"/>
                  <w:hideMark/>
                </w:tcPr>
                <w:p w14:paraId="46040BD8" w14:textId="01ADC07E" w:rsidR="002D3316" w:rsidRPr="00B41E24" w:rsidRDefault="002D3316" w:rsidP="002D3316">
                  <w:pPr>
                    <w:widowControl/>
                    <w:jc w:val="center"/>
                    <w:rPr>
                      <w:rFonts w:eastAsia="等线" w:cs="Calibri"/>
                      <w:color w:val="000000"/>
                      <w:kern w:val="0"/>
                      <w:szCs w:val="21"/>
                    </w:rPr>
                  </w:pPr>
                  <w:r>
                    <w:rPr>
                      <w:rFonts w:eastAsia="等线" w:cs="Calibri"/>
                      <w:color w:val="000000"/>
                      <w:szCs w:val="21"/>
                    </w:rPr>
                    <w:t>61%</w:t>
                  </w:r>
                </w:p>
              </w:tc>
              <w:tc>
                <w:tcPr>
                  <w:tcW w:w="1149" w:type="dxa"/>
                  <w:tcBorders>
                    <w:top w:val="nil"/>
                    <w:left w:val="nil"/>
                    <w:bottom w:val="nil"/>
                    <w:right w:val="nil"/>
                  </w:tcBorders>
                  <w:shd w:val="clear" w:color="000000" w:fill="FCD5B4"/>
                  <w:noWrap/>
                  <w:vAlign w:val="center"/>
                  <w:hideMark/>
                </w:tcPr>
                <w:p w14:paraId="24472A59" w14:textId="7E69111C" w:rsidR="002D3316" w:rsidRPr="00B41E24" w:rsidRDefault="002D3316" w:rsidP="002D3316">
                  <w:pPr>
                    <w:widowControl/>
                    <w:jc w:val="center"/>
                    <w:rPr>
                      <w:rFonts w:ascii="楷体" w:eastAsia="楷体" w:hAnsi="楷体"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59306821" w14:textId="7BC789B1" w:rsidR="002D3316" w:rsidRPr="00B41E24" w:rsidRDefault="002D3316" w:rsidP="002D3316">
                  <w:pPr>
                    <w:widowControl/>
                    <w:jc w:val="center"/>
                    <w:rPr>
                      <w:rFonts w:eastAsia="等线" w:cs="Calibri"/>
                      <w:color w:val="000000"/>
                      <w:kern w:val="0"/>
                      <w:szCs w:val="21"/>
                    </w:rPr>
                  </w:pPr>
                  <w:r>
                    <w:rPr>
                      <w:rFonts w:eastAsia="等线" w:cs="Calibri"/>
                      <w:color w:val="000000"/>
                      <w:szCs w:val="21"/>
                    </w:rPr>
                    <w:t>3%</w:t>
                  </w:r>
                </w:p>
              </w:tc>
              <w:tc>
                <w:tcPr>
                  <w:tcW w:w="920" w:type="dxa"/>
                  <w:tcBorders>
                    <w:top w:val="nil"/>
                    <w:left w:val="nil"/>
                    <w:bottom w:val="single" w:sz="8" w:space="0" w:color="FFFFFF"/>
                    <w:right w:val="single" w:sz="8" w:space="0" w:color="FFFFFF"/>
                  </w:tcBorders>
                  <w:shd w:val="clear" w:color="000000" w:fill="FCD5B4"/>
                  <w:noWrap/>
                  <w:vAlign w:val="center"/>
                  <w:hideMark/>
                </w:tcPr>
                <w:p w14:paraId="3117A4FD" w14:textId="0E127B79" w:rsidR="002D3316" w:rsidRPr="00B41E24" w:rsidRDefault="002D3316" w:rsidP="002D3316">
                  <w:pPr>
                    <w:widowControl/>
                    <w:jc w:val="center"/>
                    <w:rPr>
                      <w:rFonts w:eastAsia="等线" w:cs="Calibri"/>
                      <w:color w:val="000000"/>
                      <w:kern w:val="0"/>
                      <w:szCs w:val="21"/>
                    </w:rPr>
                  </w:pPr>
                  <w:r>
                    <w:rPr>
                      <w:rFonts w:eastAsia="等线" w:cs="Calibri"/>
                      <w:color w:val="000000"/>
                      <w:szCs w:val="21"/>
                    </w:rPr>
                    <w:t>4%</w:t>
                  </w:r>
                </w:p>
              </w:tc>
              <w:tc>
                <w:tcPr>
                  <w:tcW w:w="920" w:type="dxa"/>
                  <w:tcBorders>
                    <w:top w:val="nil"/>
                    <w:left w:val="nil"/>
                    <w:bottom w:val="single" w:sz="8" w:space="0" w:color="FFFFFF"/>
                    <w:right w:val="single" w:sz="8" w:space="0" w:color="FFFFFF"/>
                  </w:tcBorders>
                  <w:shd w:val="clear" w:color="000000" w:fill="FCD5B4"/>
                  <w:noWrap/>
                  <w:vAlign w:val="center"/>
                  <w:hideMark/>
                </w:tcPr>
                <w:p w14:paraId="73214012" w14:textId="7E7A10EB" w:rsidR="002D3316" w:rsidRPr="00B41E24" w:rsidRDefault="002D3316" w:rsidP="002D3316">
                  <w:pPr>
                    <w:widowControl/>
                    <w:jc w:val="center"/>
                    <w:rPr>
                      <w:rFonts w:eastAsia="等线" w:cs="Calibri"/>
                      <w:color w:val="000000"/>
                      <w:kern w:val="0"/>
                      <w:szCs w:val="21"/>
                    </w:rPr>
                  </w:pPr>
                  <w:r>
                    <w:rPr>
                      <w:rFonts w:eastAsia="等线" w:cs="Calibri"/>
                      <w:color w:val="000000"/>
                      <w:szCs w:val="21"/>
                    </w:rPr>
                    <w:t>12%</w:t>
                  </w:r>
                </w:p>
              </w:tc>
              <w:tc>
                <w:tcPr>
                  <w:tcW w:w="920" w:type="dxa"/>
                  <w:tcBorders>
                    <w:top w:val="nil"/>
                    <w:left w:val="nil"/>
                    <w:bottom w:val="single" w:sz="8" w:space="0" w:color="FFFFFF"/>
                    <w:right w:val="single" w:sz="8" w:space="0" w:color="FFFFFF"/>
                  </w:tcBorders>
                  <w:shd w:val="clear" w:color="000000" w:fill="FFC7CE"/>
                  <w:noWrap/>
                  <w:vAlign w:val="center"/>
                  <w:hideMark/>
                </w:tcPr>
                <w:p w14:paraId="5DA3DB4A" w14:textId="7C07CBB8" w:rsidR="002D3316" w:rsidRPr="00B41E24" w:rsidRDefault="002D3316" w:rsidP="002D3316">
                  <w:pPr>
                    <w:widowControl/>
                    <w:jc w:val="center"/>
                    <w:rPr>
                      <w:rFonts w:eastAsia="等线" w:cs="Calibri"/>
                      <w:color w:val="9C0006"/>
                      <w:kern w:val="0"/>
                      <w:szCs w:val="21"/>
                    </w:rPr>
                  </w:pPr>
                  <w:r>
                    <w:rPr>
                      <w:rFonts w:eastAsia="等线" w:cs="Calibri"/>
                      <w:color w:val="9C0006"/>
                      <w:szCs w:val="21"/>
                    </w:rPr>
                    <w:t>85%</w:t>
                  </w:r>
                </w:p>
              </w:tc>
            </w:tr>
          </w:tbl>
          <w:p w14:paraId="446C7D6E" w14:textId="294F6511" w:rsidR="00E0626C" w:rsidRPr="00B41E24" w:rsidRDefault="00E0626C" w:rsidP="0092340D">
            <w:pPr>
              <w:rPr>
                <w:noProof/>
                <w:szCs w:val="18"/>
              </w:rPr>
            </w:pPr>
          </w:p>
        </w:tc>
      </w:tr>
      <w:tr w:rsidR="00E0626C" w:rsidRPr="00B41E24" w14:paraId="01D36A65" w14:textId="77777777" w:rsidTr="00220902">
        <w:trPr>
          <w:trHeight w:val="60"/>
          <w:jc w:val="center"/>
        </w:trPr>
        <w:tc>
          <w:tcPr>
            <w:tcW w:w="9713" w:type="dxa"/>
            <w:vAlign w:val="center"/>
          </w:tcPr>
          <w:p w14:paraId="6284202E" w14:textId="2B61B5A0" w:rsidR="00E0626C" w:rsidRPr="00B41E24" w:rsidRDefault="00E0626C" w:rsidP="009A2BA0">
            <w:pPr>
              <w:pStyle w:val="Source"/>
              <w:jc w:val="both"/>
              <w:rPr>
                <w:kern w:val="0"/>
              </w:rPr>
            </w:pPr>
            <w:r w:rsidRPr="00B41E24">
              <w:rPr>
                <w:rFonts w:hint="eastAsia"/>
                <w:kern w:val="0"/>
              </w:rPr>
              <w:t>资料来源：万得，富荣基金；利差基准为同期限国债</w:t>
            </w:r>
          </w:p>
        </w:tc>
      </w:tr>
    </w:tbl>
    <w:p w14:paraId="26A54476" w14:textId="77777777" w:rsidR="00E0626C" w:rsidRPr="00B41E24" w:rsidRDefault="00E0626C" w:rsidP="009A2BA0">
      <w:pPr>
        <w:pStyle w:val="Body-text"/>
        <w:spacing w:after="0"/>
        <w:rPr>
          <w:lang w:eastAsia="zh-CN"/>
        </w:rPr>
      </w:pPr>
    </w:p>
    <w:p w14:paraId="2D403D4F" w14:textId="762C2ABB" w:rsidR="00E0626C" w:rsidRPr="00CD2B4D" w:rsidRDefault="007A1586" w:rsidP="009A2BA0">
      <w:pPr>
        <w:pStyle w:val="Header2"/>
        <w:rPr>
          <w:rFonts w:eastAsia="PMingLiU"/>
          <w:sz w:val="28"/>
          <w:szCs w:val="21"/>
          <w:lang w:eastAsia="zh-CN"/>
        </w:rPr>
      </w:pPr>
      <w:r>
        <w:rPr>
          <w:sz w:val="28"/>
          <w:szCs w:val="21"/>
          <w:lang w:eastAsia="zh-CN"/>
        </w:rPr>
        <w:t>3</w:t>
      </w:r>
      <w:r w:rsidR="00E0626C" w:rsidRPr="00CD2B4D">
        <w:rPr>
          <w:rFonts w:hint="eastAsia"/>
          <w:sz w:val="28"/>
          <w:szCs w:val="21"/>
          <w:lang w:eastAsia="zh-CN"/>
        </w:rPr>
        <w:t>、</w:t>
      </w:r>
      <w:r w:rsidR="00E0626C" w:rsidRPr="00CD2B4D">
        <w:rPr>
          <w:rFonts w:hint="eastAsia"/>
          <w:sz w:val="28"/>
          <w:szCs w:val="21"/>
        </w:rPr>
        <w:t>可转债</w:t>
      </w:r>
    </w:p>
    <w:p w14:paraId="0457D77B" w14:textId="647F60DA" w:rsidR="002D3316" w:rsidRPr="007A1586" w:rsidRDefault="002D3316" w:rsidP="002D3316">
      <w:pPr>
        <w:pStyle w:val="Body-text"/>
        <w:spacing w:after="240"/>
        <w:ind w:firstLineChars="200" w:firstLine="480"/>
        <w:rPr>
          <w:rFonts w:ascii="华文楷体" w:hAnsi="华文楷体"/>
          <w:sz w:val="24"/>
          <w:szCs w:val="24"/>
          <w:lang w:eastAsia="zh-CN"/>
        </w:rPr>
      </w:pPr>
      <w:r w:rsidRPr="002D3316">
        <w:rPr>
          <w:rFonts w:ascii="华文楷体" w:hAnsi="华文楷体" w:hint="eastAsia"/>
          <w:sz w:val="24"/>
          <w:szCs w:val="24"/>
          <w:lang w:eastAsia="zh-CN"/>
        </w:rPr>
        <w:t>权益主要指数仍在分化，小盘股继续强于大盘，上证综指上涨1.79%，中证500指数上涨</w:t>
      </w:r>
      <w:r w:rsidRPr="002D3316">
        <w:rPr>
          <w:rFonts w:ascii="华文楷体" w:hAnsi="华文楷体" w:hint="eastAsia"/>
          <w:sz w:val="24"/>
          <w:szCs w:val="24"/>
          <w:lang w:eastAsia="zh-CN"/>
        </w:rPr>
        <w:lastRenderedPageBreak/>
        <w:t>2.54%，创业板上涨1.47%。</w:t>
      </w:r>
      <w:proofErr w:type="gramStart"/>
      <w:r w:rsidRPr="002D3316">
        <w:rPr>
          <w:rFonts w:ascii="华文楷体" w:hAnsi="华文楷体" w:hint="eastAsia"/>
          <w:sz w:val="24"/>
          <w:szCs w:val="24"/>
          <w:lang w:eastAsia="zh-CN"/>
        </w:rPr>
        <w:t>中证转债</w:t>
      </w:r>
      <w:proofErr w:type="gramEnd"/>
      <w:r w:rsidRPr="002D3316">
        <w:rPr>
          <w:rFonts w:ascii="华文楷体" w:hAnsi="华文楷体" w:hint="eastAsia"/>
          <w:sz w:val="24"/>
          <w:szCs w:val="24"/>
          <w:lang w:eastAsia="zh-CN"/>
        </w:rPr>
        <w:t>涨幅1.26%，表现弱于沪深300及上证50指数。</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9864B5" w14:paraId="7CDD9AAA" w14:textId="77777777" w:rsidTr="006F21C0">
        <w:trPr>
          <w:jc w:val="center"/>
        </w:trPr>
        <w:tc>
          <w:tcPr>
            <w:tcW w:w="4939" w:type="dxa"/>
            <w:vAlign w:val="center"/>
          </w:tcPr>
          <w:p w14:paraId="13C69F6A" w14:textId="03E04781" w:rsidR="00E0626C" w:rsidRPr="009864B5" w:rsidRDefault="00E0626C" w:rsidP="009A2BA0">
            <w:pPr>
              <w:pStyle w:val="ChartHeading"/>
              <w:jc w:val="both"/>
            </w:pPr>
            <w:r w:rsidRPr="009864B5">
              <w:rPr>
                <w:rFonts w:hint="eastAsia"/>
              </w:rPr>
              <w:t>图表</w:t>
            </w:r>
            <w:r w:rsidRPr="009864B5">
              <w:t xml:space="preserve">. </w:t>
            </w:r>
            <w:r w:rsidR="00005D9A" w:rsidRPr="009864B5">
              <w:rPr>
                <w:rFonts w:hint="eastAsia"/>
              </w:rPr>
              <w:t>A</w:t>
            </w:r>
            <w:r w:rsidR="00005D9A" w:rsidRPr="009864B5">
              <w:rPr>
                <w:rFonts w:hint="eastAsia"/>
              </w:rPr>
              <w:t>股</w:t>
            </w:r>
            <w:r w:rsidRPr="009864B5">
              <w:rPr>
                <w:rFonts w:hint="eastAsia"/>
              </w:rPr>
              <w:t>主要指数交易和估值情况</w:t>
            </w:r>
          </w:p>
        </w:tc>
        <w:tc>
          <w:tcPr>
            <w:tcW w:w="4938" w:type="dxa"/>
            <w:vAlign w:val="center"/>
          </w:tcPr>
          <w:p w14:paraId="45DE5131" w14:textId="48699973" w:rsidR="00E0626C" w:rsidRPr="009864B5" w:rsidRDefault="00E0626C" w:rsidP="009A2BA0">
            <w:pPr>
              <w:pStyle w:val="ChartHeading"/>
              <w:jc w:val="both"/>
            </w:pPr>
            <w:r w:rsidRPr="009864B5">
              <w:rPr>
                <w:rFonts w:hint="eastAsia"/>
              </w:rPr>
              <w:t>图表</w:t>
            </w:r>
            <w:r w:rsidRPr="009864B5">
              <w:t xml:space="preserve">. </w:t>
            </w:r>
            <w:r w:rsidR="00416C5F" w:rsidRPr="009864B5">
              <w:rPr>
                <w:rFonts w:hint="eastAsia"/>
              </w:rPr>
              <w:t>转</w:t>
            </w:r>
            <w:proofErr w:type="gramStart"/>
            <w:r w:rsidR="00416C5F" w:rsidRPr="009864B5">
              <w:rPr>
                <w:rFonts w:hint="eastAsia"/>
              </w:rPr>
              <w:t>债指数</w:t>
            </w:r>
            <w:proofErr w:type="gramEnd"/>
            <w:r w:rsidR="00416C5F" w:rsidRPr="009864B5">
              <w:rPr>
                <w:rFonts w:hint="eastAsia"/>
              </w:rPr>
              <w:t>与股指累计变化</w:t>
            </w:r>
          </w:p>
        </w:tc>
      </w:tr>
      <w:tr w:rsidR="00E0626C" w:rsidRPr="009864B5" w14:paraId="2CD3B9EE" w14:textId="77777777" w:rsidTr="002D3316">
        <w:tblPrEx>
          <w:tblCellMar>
            <w:left w:w="108" w:type="dxa"/>
            <w:right w:w="108" w:type="dxa"/>
          </w:tblCellMar>
        </w:tblPrEx>
        <w:trPr>
          <w:trHeight w:val="2921"/>
          <w:jc w:val="center"/>
        </w:trPr>
        <w:tc>
          <w:tcPr>
            <w:tcW w:w="4939" w:type="dxa"/>
            <w:vAlign w:val="center"/>
          </w:tcPr>
          <w:p w14:paraId="5C83721A" w14:textId="7AE1146F" w:rsidR="00E0626C" w:rsidRPr="009864B5" w:rsidRDefault="000D5A58" w:rsidP="00345C30">
            <w:pPr>
              <w:widowControl/>
              <w:jc w:val="left"/>
              <w:rPr>
                <w:rFonts w:ascii="宋体" w:hAnsi="宋体" w:cs="宋体"/>
                <w:kern w:val="0"/>
                <w:sz w:val="24"/>
                <w:szCs w:val="24"/>
              </w:rPr>
            </w:pPr>
            <w:r w:rsidRPr="009864B5">
              <w:rPr>
                <w:rFonts w:ascii="宋体" w:hAnsi="宋体" w:cs="宋体"/>
                <w:noProof/>
                <w:kern w:val="0"/>
                <w:sz w:val="24"/>
                <w:szCs w:val="24"/>
              </w:rPr>
              <w:drawing>
                <wp:inline distT="0" distB="0" distL="0" distR="0" wp14:anchorId="3B61FF58" wp14:editId="1F43F7ED">
                  <wp:extent cx="3050133" cy="1715057"/>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0"/>
                          <a:stretch>
                            <a:fillRect/>
                          </a:stretch>
                        </pic:blipFill>
                        <pic:spPr bwMode="auto">
                          <a:xfrm>
                            <a:off x="0" y="0"/>
                            <a:ext cx="3050133" cy="1715057"/>
                          </a:xfrm>
                          <a:prstGeom prst="rect">
                            <a:avLst/>
                          </a:prstGeom>
                          <a:noFill/>
                          <a:ln>
                            <a:noFill/>
                          </a:ln>
                        </pic:spPr>
                      </pic:pic>
                    </a:graphicData>
                  </a:graphic>
                </wp:inline>
              </w:drawing>
            </w:r>
          </w:p>
        </w:tc>
        <w:tc>
          <w:tcPr>
            <w:tcW w:w="4938" w:type="dxa"/>
            <w:vAlign w:val="center"/>
          </w:tcPr>
          <w:p w14:paraId="39BD4383" w14:textId="2604E4E1" w:rsidR="00E0626C" w:rsidRPr="009864B5" w:rsidRDefault="002D3316" w:rsidP="009A2BA0">
            <w:pPr>
              <w:jc w:val="center"/>
              <w:rPr>
                <w:noProof/>
                <w:szCs w:val="18"/>
              </w:rPr>
            </w:pPr>
            <w:r>
              <w:rPr>
                <w:noProof/>
              </w:rPr>
              <w:drawing>
                <wp:inline distT="0" distB="0" distL="0" distR="0" wp14:anchorId="24CD6488" wp14:editId="18907344">
                  <wp:extent cx="2996814" cy="1863367"/>
                  <wp:effectExtent l="0" t="0" r="0" b="3810"/>
                  <wp:docPr id="8" name="图表 8">
                    <a:extLst xmlns:a="http://schemas.openxmlformats.org/drawingml/2006/main">
                      <a:ext uri="{FF2B5EF4-FFF2-40B4-BE49-F238E27FC236}">
                        <a16:creationId xmlns:a16="http://schemas.microsoft.com/office/drawing/2014/main" id="{00000000-0008-0000-02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r>
      <w:tr w:rsidR="00E0626C" w:rsidRPr="009864B5" w14:paraId="14E5D572" w14:textId="77777777" w:rsidTr="006F21C0">
        <w:trPr>
          <w:trHeight w:val="64"/>
          <w:jc w:val="center"/>
        </w:trPr>
        <w:tc>
          <w:tcPr>
            <w:tcW w:w="4939" w:type="dxa"/>
            <w:vAlign w:val="center"/>
          </w:tcPr>
          <w:p w14:paraId="5190A1EC" w14:textId="77777777" w:rsidR="00E0626C" w:rsidRPr="009864B5" w:rsidRDefault="00E0626C" w:rsidP="009A2BA0">
            <w:pPr>
              <w:pStyle w:val="Source"/>
              <w:jc w:val="both"/>
              <w:rPr>
                <w:kern w:val="0"/>
              </w:rPr>
            </w:pPr>
            <w:r w:rsidRPr="009864B5">
              <w:rPr>
                <w:rFonts w:hint="eastAsia"/>
                <w:kern w:val="0"/>
              </w:rPr>
              <w:t>资料来源：万得，富荣基金</w:t>
            </w:r>
          </w:p>
        </w:tc>
        <w:tc>
          <w:tcPr>
            <w:tcW w:w="4938" w:type="dxa"/>
            <w:vAlign w:val="center"/>
          </w:tcPr>
          <w:p w14:paraId="34A0B8FF" w14:textId="77777777" w:rsidR="00E0626C" w:rsidRPr="009864B5" w:rsidRDefault="00E0626C" w:rsidP="009A2BA0">
            <w:pPr>
              <w:pStyle w:val="Source"/>
              <w:jc w:val="both"/>
              <w:rPr>
                <w:kern w:val="0"/>
              </w:rPr>
            </w:pPr>
            <w:r w:rsidRPr="009864B5">
              <w:rPr>
                <w:rFonts w:hint="eastAsia"/>
                <w:kern w:val="0"/>
              </w:rPr>
              <w:t>资料来源：万得，富荣基金</w:t>
            </w:r>
          </w:p>
        </w:tc>
      </w:tr>
    </w:tbl>
    <w:p w14:paraId="4E844C6C" w14:textId="3D204079" w:rsidR="00E0626C" w:rsidRDefault="00E0626C" w:rsidP="009A2BA0">
      <w:pPr>
        <w:pStyle w:val="Body-text"/>
        <w:spacing w:after="0"/>
        <w:rPr>
          <w:lang w:eastAsia="zh-CN"/>
        </w:rPr>
      </w:pPr>
    </w:p>
    <w:p w14:paraId="310684E7" w14:textId="49EDF410" w:rsidR="007A1586" w:rsidRPr="00CD2B4D" w:rsidRDefault="007A1586" w:rsidP="007A1586">
      <w:pPr>
        <w:pStyle w:val="Header2"/>
        <w:rPr>
          <w:rFonts w:eastAsia="PMingLiU"/>
          <w:sz w:val="28"/>
          <w:szCs w:val="21"/>
        </w:rPr>
      </w:pPr>
      <w:r>
        <w:rPr>
          <w:sz w:val="28"/>
          <w:szCs w:val="21"/>
          <w:lang w:eastAsia="zh-CN"/>
        </w:rPr>
        <w:t>4</w:t>
      </w:r>
      <w:r w:rsidRPr="00CD2B4D">
        <w:rPr>
          <w:rFonts w:hint="eastAsia"/>
          <w:sz w:val="28"/>
          <w:szCs w:val="21"/>
          <w:lang w:eastAsia="zh-CN"/>
        </w:rPr>
        <w:t>、</w:t>
      </w:r>
      <w:r w:rsidRPr="007A1586">
        <w:rPr>
          <w:rFonts w:hint="eastAsia"/>
          <w:sz w:val="28"/>
          <w:szCs w:val="21"/>
        </w:rPr>
        <w:t>其他资产</w:t>
      </w:r>
    </w:p>
    <w:p w14:paraId="195646D0" w14:textId="0EE78A3A" w:rsidR="007A1586" w:rsidRDefault="002D3316" w:rsidP="007A1586">
      <w:pPr>
        <w:pStyle w:val="Body-text"/>
        <w:spacing w:after="240"/>
        <w:ind w:firstLineChars="200" w:firstLine="480"/>
        <w:rPr>
          <w:rFonts w:ascii="华文楷体" w:hAnsi="华文楷体"/>
          <w:sz w:val="24"/>
          <w:szCs w:val="24"/>
          <w:lang w:eastAsia="zh-CN"/>
        </w:rPr>
      </w:pPr>
      <w:r w:rsidRPr="002D3316">
        <w:rPr>
          <w:rFonts w:ascii="华文楷体" w:hAnsi="华文楷体" w:hint="eastAsia"/>
          <w:sz w:val="24"/>
          <w:szCs w:val="24"/>
          <w:lang w:eastAsia="zh-CN"/>
        </w:rPr>
        <w:t>其他资产方面，在岸人民币对美元贬值0.44%至6.4845，伦敦金</w:t>
      </w:r>
      <w:proofErr w:type="gramStart"/>
      <w:r w:rsidRPr="002D3316">
        <w:rPr>
          <w:rFonts w:ascii="华文楷体" w:hAnsi="华文楷体" w:hint="eastAsia"/>
          <w:sz w:val="24"/>
          <w:szCs w:val="24"/>
          <w:lang w:eastAsia="zh-CN"/>
        </w:rPr>
        <w:t>现下跌</w:t>
      </w:r>
      <w:proofErr w:type="gramEnd"/>
      <w:r w:rsidRPr="002D3316">
        <w:rPr>
          <w:rFonts w:ascii="华文楷体" w:hAnsi="华文楷体" w:hint="eastAsia"/>
          <w:sz w:val="24"/>
          <w:szCs w:val="24"/>
          <w:lang w:eastAsia="zh-CN"/>
        </w:rPr>
        <w:t>2.84%至1762.62美元，</w:t>
      </w:r>
      <w:proofErr w:type="gramStart"/>
      <w:r w:rsidRPr="002D3316">
        <w:rPr>
          <w:rFonts w:ascii="华文楷体" w:hAnsi="华文楷体" w:hint="eastAsia"/>
          <w:sz w:val="24"/>
          <w:szCs w:val="24"/>
          <w:lang w:eastAsia="zh-CN"/>
        </w:rPr>
        <w:t>标普</w:t>
      </w:r>
      <w:proofErr w:type="gramEnd"/>
      <w:r w:rsidRPr="002D3316">
        <w:rPr>
          <w:rFonts w:ascii="华文楷体" w:hAnsi="华文楷体" w:hint="eastAsia"/>
          <w:sz w:val="24"/>
          <w:szCs w:val="24"/>
          <w:lang w:eastAsia="zh-CN"/>
        </w:rPr>
        <w:t>500指数上涨0.94%</w:t>
      </w:r>
      <w:proofErr w:type="gramStart"/>
      <w:r w:rsidRPr="002D3316">
        <w:rPr>
          <w:rFonts w:ascii="华文楷体" w:hAnsi="华文楷体" w:hint="eastAsia"/>
          <w:sz w:val="24"/>
          <w:szCs w:val="24"/>
          <w:lang w:eastAsia="zh-CN"/>
        </w:rPr>
        <w:t>续创历史</w:t>
      </w:r>
      <w:proofErr w:type="gramEnd"/>
      <w:r w:rsidRPr="002D3316">
        <w:rPr>
          <w:rFonts w:ascii="华文楷体" w:hAnsi="华文楷体" w:hint="eastAsia"/>
          <w:sz w:val="24"/>
          <w:szCs w:val="24"/>
          <w:lang w:eastAsia="zh-CN"/>
        </w:rPr>
        <w:t>新高，</w:t>
      </w:r>
      <w:proofErr w:type="gramStart"/>
      <w:r w:rsidRPr="002D3316">
        <w:rPr>
          <w:rFonts w:ascii="华文楷体" w:hAnsi="华文楷体" w:hint="eastAsia"/>
          <w:sz w:val="24"/>
          <w:szCs w:val="24"/>
          <w:lang w:eastAsia="zh-CN"/>
        </w:rPr>
        <w:t>布油价格</w:t>
      </w:r>
      <w:proofErr w:type="gramEnd"/>
      <w:r w:rsidRPr="002D3316">
        <w:rPr>
          <w:rFonts w:ascii="华文楷体" w:hAnsi="华文楷体" w:hint="eastAsia"/>
          <w:sz w:val="24"/>
          <w:szCs w:val="24"/>
          <w:lang w:eastAsia="zh-CN"/>
        </w:rPr>
        <w:t>全周累计下跌6.52%至70.49美元每桶，LME铜下跌2.65%，10年美债上行7.5bp收于1.301%。</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FC1FA4" w:rsidRPr="009864B5" w14:paraId="32605E27" w14:textId="77777777" w:rsidTr="00A6753F">
        <w:trPr>
          <w:trHeight w:val="202"/>
          <w:jc w:val="center"/>
        </w:trPr>
        <w:tc>
          <w:tcPr>
            <w:tcW w:w="4939" w:type="dxa"/>
            <w:vAlign w:val="center"/>
          </w:tcPr>
          <w:p w14:paraId="157B53B4" w14:textId="19E426CF" w:rsidR="00FC1FA4" w:rsidRPr="009864B5" w:rsidRDefault="00FC1FA4" w:rsidP="00692D2B">
            <w:pPr>
              <w:pStyle w:val="ChartHeading"/>
              <w:jc w:val="both"/>
            </w:pPr>
            <w:r w:rsidRPr="009864B5">
              <w:rPr>
                <w:rFonts w:hint="eastAsia"/>
              </w:rPr>
              <w:t>图表</w:t>
            </w:r>
            <w:r w:rsidRPr="009864B5">
              <w:t xml:space="preserve">. </w:t>
            </w:r>
            <w:r>
              <w:rPr>
                <w:rFonts w:hint="eastAsia"/>
              </w:rPr>
              <w:t>人民币汇率</w:t>
            </w:r>
            <w:r w:rsidRPr="009864B5">
              <w:t xml:space="preserve"> </w:t>
            </w:r>
          </w:p>
        </w:tc>
        <w:tc>
          <w:tcPr>
            <w:tcW w:w="4938" w:type="dxa"/>
            <w:vAlign w:val="center"/>
          </w:tcPr>
          <w:p w14:paraId="3746CE2D" w14:textId="6B83B863" w:rsidR="00FC1FA4" w:rsidRPr="009864B5" w:rsidRDefault="00FC1FA4" w:rsidP="00692D2B">
            <w:pPr>
              <w:pStyle w:val="ChartHeading"/>
              <w:jc w:val="both"/>
            </w:pPr>
            <w:r w:rsidRPr="009864B5">
              <w:rPr>
                <w:rFonts w:hint="eastAsia"/>
              </w:rPr>
              <w:t>图表</w:t>
            </w:r>
            <w:r w:rsidRPr="009864B5">
              <w:t xml:space="preserve">. </w:t>
            </w:r>
            <w:r>
              <w:rPr>
                <w:rFonts w:hint="eastAsia"/>
              </w:rPr>
              <w:t>铜价</w:t>
            </w:r>
            <w:r>
              <w:rPr>
                <w:rFonts w:hint="eastAsia"/>
              </w:rPr>
              <w:t xml:space="preserve"> &amp;</w:t>
            </w:r>
            <w:r>
              <w:t xml:space="preserve"> </w:t>
            </w:r>
            <w:r>
              <w:rPr>
                <w:rFonts w:hint="eastAsia"/>
              </w:rPr>
              <w:t>油价</w:t>
            </w:r>
          </w:p>
        </w:tc>
      </w:tr>
      <w:tr w:rsidR="00FC1FA4" w:rsidRPr="009864B5" w14:paraId="77E9D724" w14:textId="77777777" w:rsidTr="002D3316">
        <w:tblPrEx>
          <w:tblCellMar>
            <w:left w:w="108" w:type="dxa"/>
            <w:right w:w="108" w:type="dxa"/>
          </w:tblCellMar>
        </w:tblPrEx>
        <w:trPr>
          <w:trHeight w:val="2921"/>
          <w:jc w:val="center"/>
        </w:trPr>
        <w:tc>
          <w:tcPr>
            <w:tcW w:w="4939" w:type="dxa"/>
            <w:vAlign w:val="center"/>
          </w:tcPr>
          <w:p w14:paraId="3608D4C9" w14:textId="37C8704A" w:rsidR="00FC1FA4" w:rsidRPr="009864B5" w:rsidRDefault="002D3316" w:rsidP="00692D2B">
            <w:pPr>
              <w:widowControl/>
              <w:jc w:val="left"/>
              <w:rPr>
                <w:rFonts w:ascii="宋体" w:hAnsi="宋体" w:cs="宋体"/>
                <w:kern w:val="0"/>
                <w:sz w:val="24"/>
                <w:szCs w:val="24"/>
              </w:rPr>
            </w:pPr>
            <w:r>
              <w:rPr>
                <w:noProof/>
              </w:rPr>
              <w:drawing>
                <wp:inline distT="0" distB="0" distL="0" distR="0" wp14:anchorId="1F889350" wp14:editId="55882207">
                  <wp:extent cx="2999105" cy="1747520"/>
                  <wp:effectExtent l="0" t="0" r="0" b="5080"/>
                  <wp:docPr id="9" name="图表 9">
                    <a:extLst xmlns:a="http://schemas.openxmlformats.org/drawingml/2006/main">
                      <a:ext uri="{FF2B5EF4-FFF2-40B4-BE49-F238E27FC236}">
                        <a16:creationId xmlns:a16="http://schemas.microsoft.com/office/drawing/2014/main" id="{00000000-0008-0000-03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c>
          <w:tcPr>
            <w:tcW w:w="4938" w:type="dxa"/>
            <w:vAlign w:val="center"/>
          </w:tcPr>
          <w:p w14:paraId="0BD7FBF7" w14:textId="2B9B75C7" w:rsidR="00FC1FA4" w:rsidRPr="009864B5" w:rsidRDefault="002D3316" w:rsidP="00692D2B">
            <w:pPr>
              <w:jc w:val="center"/>
              <w:rPr>
                <w:noProof/>
                <w:szCs w:val="18"/>
              </w:rPr>
            </w:pPr>
            <w:r>
              <w:rPr>
                <w:noProof/>
              </w:rPr>
              <w:drawing>
                <wp:inline distT="0" distB="0" distL="0" distR="0" wp14:anchorId="060228A4" wp14:editId="1BDDCAC9">
                  <wp:extent cx="2998470" cy="1742440"/>
                  <wp:effectExtent l="0" t="0" r="11430" b="0"/>
                  <wp:docPr id="12" name="图表 12">
                    <a:extLst xmlns:a="http://schemas.openxmlformats.org/drawingml/2006/main">
                      <a:ext uri="{FF2B5EF4-FFF2-40B4-BE49-F238E27FC236}">
                        <a16:creationId xmlns:a16="http://schemas.microsoft.com/office/drawing/2014/main" id="{00000000-0008-0000-03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r>
      <w:tr w:rsidR="00FC1FA4" w:rsidRPr="009864B5" w14:paraId="0C5F09C1" w14:textId="77777777" w:rsidTr="00692D2B">
        <w:trPr>
          <w:trHeight w:val="64"/>
          <w:jc w:val="center"/>
        </w:trPr>
        <w:tc>
          <w:tcPr>
            <w:tcW w:w="4939" w:type="dxa"/>
            <w:vAlign w:val="center"/>
          </w:tcPr>
          <w:p w14:paraId="60EF8AEB" w14:textId="77777777" w:rsidR="00FC1FA4" w:rsidRPr="009864B5" w:rsidRDefault="00FC1FA4" w:rsidP="00692D2B">
            <w:pPr>
              <w:pStyle w:val="Source"/>
              <w:jc w:val="both"/>
              <w:rPr>
                <w:kern w:val="0"/>
              </w:rPr>
            </w:pPr>
            <w:r w:rsidRPr="009864B5">
              <w:rPr>
                <w:rFonts w:hint="eastAsia"/>
                <w:kern w:val="0"/>
              </w:rPr>
              <w:t>资料来源：万得，富荣基金</w:t>
            </w:r>
          </w:p>
        </w:tc>
        <w:tc>
          <w:tcPr>
            <w:tcW w:w="4938" w:type="dxa"/>
            <w:vAlign w:val="center"/>
          </w:tcPr>
          <w:p w14:paraId="60B14989" w14:textId="77777777" w:rsidR="00FC1FA4" w:rsidRPr="009864B5" w:rsidRDefault="00FC1FA4" w:rsidP="00692D2B">
            <w:pPr>
              <w:pStyle w:val="Source"/>
              <w:jc w:val="both"/>
              <w:rPr>
                <w:kern w:val="0"/>
              </w:rPr>
            </w:pPr>
            <w:r w:rsidRPr="009864B5">
              <w:rPr>
                <w:rFonts w:hint="eastAsia"/>
                <w:kern w:val="0"/>
              </w:rPr>
              <w:t>资料来源：万得，富荣基金</w:t>
            </w:r>
          </w:p>
        </w:tc>
      </w:tr>
    </w:tbl>
    <w:p w14:paraId="01B19A5B" w14:textId="7BA451BD" w:rsidR="00FC1FA4" w:rsidRDefault="00FC1FA4" w:rsidP="007A1586">
      <w:pPr>
        <w:pStyle w:val="Body-text"/>
        <w:spacing w:after="240"/>
        <w:ind w:firstLineChars="200" w:firstLine="480"/>
        <w:rPr>
          <w:rFonts w:ascii="华文楷体" w:hAnsi="华文楷体"/>
          <w:sz w:val="24"/>
          <w:szCs w:val="24"/>
          <w:lang w:eastAsia="zh-CN"/>
        </w:rPr>
      </w:pPr>
    </w:p>
    <w:p w14:paraId="70131D19" w14:textId="1C98DF93" w:rsidR="002D3316" w:rsidRDefault="002D3316" w:rsidP="002D3316">
      <w:pPr>
        <w:pStyle w:val="Header2"/>
        <w:rPr>
          <w:sz w:val="28"/>
          <w:szCs w:val="21"/>
          <w:lang w:eastAsia="zh-CN"/>
        </w:rPr>
      </w:pPr>
      <w:r>
        <w:rPr>
          <w:sz w:val="28"/>
          <w:szCs w:val="21"/>
          <w:lang w:eastAsia="zh-CN"/>
        </w:rPr>
        <w:t>5</w:t>
      </w:r>
      <w:r>
        <w:rPr>
          <w:rFonts w:hint="eastAsia"/>
          <w:sz w:val="28"/>
          <w:szCs w:val="21"/>
          <w:lang w:eastAsia="zh-CN"/>
        </w:rPr>
        <w:t>、高频数据</w:t>
      </w:r>
    </w:p>
    <w:p w14:paraId="69E0CC86" w14:textId="566A05BB" w:rsidR="002D3316" w:rsidRDefault="002D3316" w:rsidP="00BC1DA3">
      <w:pPr>
        <w:pStyle w:val="Body-text"/>
        <w:spacing w:after="240"/>
        <w:ind w:firstLineChars="200" w:firstLine="480"/>
        <w:rPr>
          <w:rFonts w:ascii="华文楷体" w:hAnsi="华文楷体"/>
          <w:sz w:val="24"/>
          <w:szCs w:val="24"/>
          <w:lang w:eastAsia="zh-CN"/>
        </w:rPr>
      </w:pPr>
      <w:r w:rsidRPr="002D3316">
        <w:rPr>
          <w:rFonts w:ascii="华文楷体" w:hAnsi="华文楷体" w:hint="eastAsia"/>
          <w:sz w:val="24"/>
          <w:szCs w:val="24"/>
          <w:lang w:eastAsia="zh-CN"/>
        </w:rPr>
        <w:t>上游铁矿石、螺纹钢继续回落</w:t>
      </w:r>
      <w:r w:rsidR="00BC1DA3">
        <w:rPr>
          <w:rFonts w:ascii="华文楷体" w:hAnsi="华文楷体" w:hint="eastAsia"/>
          <w:sz w:val="24"/>
          <w:szCs w:val="24"/>
          <w:lang w:eastAsia="zh-CN"/>
        </w:rPr>
        <w:t>，动力煤</w:t>
      </w:r>
      <w:r w:rsidRPr="002D3316">
        <w:rPr>
          <w:rFonts w:ascii="华文楷体" w:hAnsi="华文楷体" w:hint="eastAsia"/>
          <w:sz w:val="24"/>
          <w:szCs w:val="24"/>
          <w:lang w:eastAsia="zh-CN"/>
        </w:rPr>
        <w:t>创新高，原油</w:t>
      </w:r>
      <w:r w:rsidR="00BC1DA3">
        <w:rPr>
          <w:rFonts w:ascii="华文楷体" w:hAnsi="华文楷体" w:hint="eastAsia"/>
          <w:sz w:val="24"/>
          <w:szCs w:val="24"/>
          <w:lang w:eastAsia="zh-CN"/>
        </w:rPr>
        <w:t>自</w:t>
      </w:r>
      <w:r w:rsidRPr="002D3316">
        <w:rPr>
          <w:rFonts w:ascii="华文楷体" w:hAnsi="华文楷体" w:hint="eastAsia"/>
          <w:sz w:val="24"/>
          <w:szCs w:val="24"/>
          <w:lang w:eastAsia="zh-CN"/>
        </w:rPr>
        <w:t>高点回落</w:t>
      </w:r>
      <w:r w:rsidR="00BC1DA3">
        <w:rPr>
          <w:rFonts w:ascii="华文楷体" w:hAnsi="华文楷体" w:hint="eastAsia"/>
          <w:sz w:val="24"/>
          <w:szCs w:val="24"/>
          <w:lang w:eastAsia="zh-CN"/>
        </w:rPr>
        <w:t>。价格方面，</w:t>
      </w:r>
      <w:r w:rsidRPr="002D3316">
        <w:rPr>
          <w:rFonts w:ascii="华文楷体" w:hAnsi="华文楷体" w:hint="eastAsia"/>
          <w:sz w:val="24"/>
          <w:szCs w:val="24"/>
          <w:lang w:eastAsia="zh-CN"/>
        </w:rPr>
        <w:t>农产品</w:t>
      </w:r>
      <w:r w:rsidR="00BC1DA3">
        <w:rPr>
          <w:rFonts w:ascii="华文楷体" w:hAnsi="华文楷体" w:hint="eastAsia"/>
          <w:sz w:val="24"/>
          <w:szCs w:val="24"/>
          <w:lang w:eastAsia="zh-CN"/>
        </w:rPr>
        <w:t>中蔬菜批发价格环比走高；工业金属价格大多调整</w:t>
      </w:r>
      <w:r w:rsidRPr="002D3316">
        <w:rPr>
          <w:rFonts w:ascii="华文楷体" w:hAnsi="华文楷体" w:hint="eastAsia"/>
          <w:sz w:val="24"/>
          <w:szCs w:val="24"/>
          <w:lang w:eastAsia="zh-CN"/>
        </w:rPr>
        <w:t>。</w:t>
      </w:r>
      <w:r w:rsidR="00BC1DA3">
        <w:rPr>
          <w:rFonts w:ascii="华文楷体" w:hAnsi="华文楷体" w:hint="eastAsia"/>
          <w:sz w:val="24"/>
          <w:szCs w:val="24"/>
          <w:lang w:eastAsia="zh-CN"/>
        </w:rPr>
        <w:t>下游</w:t>
      </w:r>
      <w:r w:rsidRPr="002D3316">
        <w:rPr>
          <w:rFonts w:ascii="华文楷体" w:hAnsi="华文楷体" w:hint="eastAsia"/>
          <w:sz w:val="24"/>
          <w:szCs w:val="24"/>
          <w:lang w:eastAsia="zh-CN"/>
        </w:rPr>
        <w:t>商品房成交</w:t>
      </w:r>
      <w:r w:rsidR="00BC1DA3">
        <w:rPr>
          <w:rFonts w:ascii="华文楷体" w:hAnsi="华文楷体" w:hint="eastAsia"/>
          <w:sz w:val="24"/>
          <w:szCs w:val="24"/>
          <w:lang w:eastAsia="zh-CN"/>
        </w:rPr>
        <w:t>面积整体下滑</w:t>
      </w:r>
      <w:r w:rsidRPr="002D3316">
        <w:rPr>
          <w:rFonts w:ascii="华文楷体" w:hAnsi="华文楷体" w:hint="eastAsia"/>
          <w:sz w:val="24"/>
          <w:szCs w:val="24"/>
          <w:lang w:eastAsia="zh-CN"/>
        </w:rPr>
        <w:t>，</w:t>
      </w:r>
      <w:r w:rsidR="00BC1DA3">
        <w:rPr>
          <w:rFonts w:ascii="华文楷体" w:hAnsi="华文楷体" w:hint="eastAsia"/>
          <w:sz w:val="24"/>
          <w:szCs w:val="24"/>
          <w:lang w:eastAsia="zh-CN"/>
        </w:rPr>
        <w:t>其中</w:t>
      </w:r>
      <w:r w:rsidRPr="002D3316">
        <w:rPr>
          <w:rFonts w:ascii="华文楷体" w:hAnsi="华文楷体" w:hint="eastAsia"/>
          <w:sz w:val="24"/>
          <w:szCs w:val="24"/>
          <w:lang w:eastAsia="zh-CN"/>
        </w:rPr>
        <w:t>二</w:t>
      </w:r>
      <w:r w:rsidR="00BC1DA3">
        <w:rPr>
          <w:rFonts w:ascii="华文楷体" w:hAnsi="华文楷体" w:hint="eastAsia"/>
          <w:sz w:val="24"/>
          <w:szCs w:val="24"/>
          <w:lang w:eastAsia="zh-CN"/>
        </w:rPr>
        <w:t>三</w:t>
      </w:r>
      <w:r w:rsidRPr="002D3316">
        <w:rPr>
          <w:rFonts w:ascii="华文楷体" w:hAnsi="华文楷体" w:hint="eastAsia"/>
          <w:sz w:val="24"/>
          <w:szCs w:val="24"/>
          <w:lang w:eastAsia="zh-CN"/>
        </w:rPr>
        <w:t>线城市降幅</w:t>
      </w:r>
      <w:r w:rsidR="00BC1DA3">
        <w:rPr>
          <w:rFonts w:ascii="华文楷体" w:hAnsi="华文楷体" w:hint="eastAsia"/>
          <w:sz w:val="24"/>
          <w:szCs w:val="24"/>
          <w:lang w:eastAsia="zh-CN"/>
        </w:rPr>
        <w:t>较</w:t>
      </w:r>
      <w:r w:rsidRPr="002D3316">
        <w:rPr>
          <w:rFonts w:ascii="华文楷体" w:hAnsi="华文楷体" w:hint="eastAsia"/>
          <w:sz w:val="24"/>
          <w:szCs w:val="24"/>
          <w:lang w:eastAsia="zh-CN"/>
        </w:rPr>
        <w:t>大，</w:t>
      </w:r>
      <w:r w:rsidR="00BC1DA3">
        <w:rPr>
          <w:rFonts w:ascii="华文楷体" w:hAnsi="华文楷体" w:hint="eastAsia"/>
          <w:sz w:val="24"/>
          <w:szCs w:val="24"/>
          <w:lang w:eastAsia="zh-CN"/>
        </w:rPr>
        <w:t>一线</w:t>
      </w:r>
      <w:proofErr w:type="gramStart"/>
      <w:r w:rsidR="00BC1DA3">
        <w:rPr>
          <w:rFonts w:ascii="华文楷体" w:hAnsi="华文楷体" w:hint="eastAsia"/>
          <w:sz w:val="24"/>
          <w:szCs w:val="24"/>
          <w:lang w:eastAsia="zh-CN"/>
        </w:rPr>
        <w:t>城市环</w:t>
      </w:r>
      <w:proofErr w:type="gramEnd"/>
      <w:r w:rsidR="00BC1DA3">
        <w:rPr>
          <w:rFonts w:ascii="华文楷体" w:hAnsi="华文楷体" w:hint="eastAsia"/>
          <w:sz w:val="24"/>
          <w:szCs w:val="24"/>
          <w:lang w:eastAsia="zh-CN"/>
        </w:rPr>
        <w:t>比连续两周上行</w:t>
      </w:r>
      <w:r w:rsidRPr="002D3316">
        <w:rPr>
          <w:rFonts w:ascii="华文楷体" w:hAnsi="华文楷体" w:hint="eastAsia"/>
          <w:sz w:val="24"/>
          <w:szCs w:val="24"/>
          <w:lang w:eastAsia="zh-CN"/>
        </w:rPr>
        <w:t>。</w:t>
      </w:r>
    </w:p>
    <w:tbl>
      <w:tblPr>
        <w:tblW w:w="9549" w:type="dxa"/>
        <w:jc w:val="center"/>
        <w:tblLayout w:type="fixed"/>
        <w:tblCellMar>
          <w:left w:w="0" w:type="dxa"/>
          <w:right w:w="0" w:type="dxa"/>
        </w:tblCellMar>
        <w:tblLook w:val="01E0" w:firstRow="1" w:lastRow="1" w:firstColumn="1" w:lastColumn="1" w:noHBand="0" w:noVBand="0"/>
      </w:tblPr>
      <w:tblGrid>
        <w:gridCol w:w="9549"/>
      </w:tblGrid>
      <w:tr w:rsidR="002D3316" w:rsidRPr="009864B5" w14:paraId="08B978D4" w14:textId="77777777" w:rsidTr="00164014">
        <w:trPr>
          <w:trHeight w:val="197"/>
          <w:jc w:val="center"/>
        </w:trPr>
        <w:tc>
          <w:tcPr>
            <w:tcW w:w="9549" w:type="dxa"/>
            <w:vAlign w:val="center"/>
          </w:tcPr>
          <w:p w14:paraId="5171759A" w14:textId="77777777" w:rsidR="002D3316" w:rsidRPr="009864B5" w:rsidRDefault="002D3316" w:rsidP="00164014">
            <w:pPr>
              <w:pStyle w:val="ChartHeading"/>
              <w:jc w:val="both"/>
            </w:pPr>
            <w:r w:rsidRPr="009864B5">
              <w:rPr>
                <w:rFonts w:hint="eastAsia"/>
              </w:rPr>
              <w:lastRenderedPageBreak/>
              <w:t>图表</w:t>
            </w:r>
            <w:r w:rsidRPr="009864B5">
              <w:t xml:space="preserve">. </w:t>
            </w:r>
            <w:proofErr w:type="gramStart"/>
            <w:r>
              <w:rPr>
                <w:rFonts w:hint="eastAsia"/>
              </w:rPr>
              <w:t>周度高频</w:t>
            </w:r>
            <w:proofErr w:type="gramEnd"/>
            <w:r>
              <w:rPr>
                <w:rFonts w:hint="eastAsia"/>
              </w:rPr>
              <w:t>数据跟踪</w:t>
            </w:r>
          </w:p>
        </w:tc>
      </w:tr>
      <w:tr w:rsidR="002D3316" w:rsidRPr="009864B5" w14:paraId="64095B0A" w14:textId="77777777" w:rsidTr="00164014">
        <w:tblPrEx>
          <w:tblCellMar>
            <w:left w:w="108" w:type="dxa"/>
            <w:right w:w="108" w:type="dxa"/>
          </w:tblCellMar>
        </w:tblPrEx>
        <w:trPr>
          <w:trHeight w:val="302"/>
          <w:jc w:val="center"/>
        </w:trPr>
        <w:tc>
          <w:tcPr>
            <w:tcW w:w="9549" w:type="dxa"/>
            <w:vAlign w:val="center"/>
          </w:tcPr>
          <w:p w14:paraId="4E5D155C" w14:textId="77777777" w:rsidR="002D3316" w:rsidRPr="009864B5" w:rsidRDefault="002D3316" w:rsidP="00164014">
            <w:pPr>
              <w:widowControl/>
              <w:jc w:val="left"/>
              <w:rPr>
                <w:rFonts w:ascii="宋体" w:hAnsi="宋体" w:cs="宋体"/>
                <w:kern w:val="0"/>
                <w:sz w:val="24"/>
                <w:szCs w:val="24"/>
              </w:rPr>
            </w:pPr>
            <w:r w:rsidRPr="007E1C03">
              <w:rPr>
                <w:noProof/>
              </w:rPr>
              <w:drawing>
                <wp:inline distT="0" distB="0" distL="0" distR="0" wp14:anchorId="5988268C" wp14:editId="573BBE92">
                  <wp:extent cx="5980492" cy="5699742"/>
                  <wp:effectExtent l="0" t="0" r="127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4"/>
                          <a:stretch>
                            <a:fillRect/>
                          </a:stretch>
                        </pic:blipFill>
                        <pic:spPr bwMode="auto">
                          <a:xfrm>
                            <a:off x="0" y="0"/>
                            <a:ext cx="5980492" cy="5699742"/>
                          </a:xfrm>
                          <a:prstGeom prst="rect">
                            <a:avLst/>
                          </a:prstGeom>
                          <a:noFill/>
                          <a:ln>
                            <a:noFill/>
                          </a:ln>
                        </pic:spPr>
                      </pic:pic>
                    </a:graphicData>
                  </a:graphic>
                </wp:inline>
              </w:drawing>
            </w:r>
          </w:p>
        </w:tc>
      </w:tr>
      <w:tr w:rsidR="002D3316" w:rsidRPr="009864B5" w14:paraId="691B5B3D" w14:textId="77777777" w:rsidTr="00164014">
        <w:trPr>
          <w:trHeight w:val="62"/>
          <w:jc w:val="center"/>
        </w:trPr>
        <w:tc>
          <w:tcPr>
            <w:tcW w:w="9549" w:type="dxa"/>
            <w:vAlign w:val="center"/>
          </w:tcPr>
          <w:p w14:paraId="55F668B2" w14:textId="77777777" w:rsidR="002D3316" w:rsidRPr="009864B5" w:rsidRDefault="002D3316" w:rsidP="00164014">
            <w:pPr>
              <w:pStyle w:val="Source"/>
              <w:jc w:val="both"/>
              <w:rPr>
                <w:kern w:val="0"/>
              </w:rPr>
            </w:pPr>
            <w:r w:rsidRPr="00B41E24">
              <w:rPr>
                <w:rFonts w:hint="eastAsia"/>
                <w:kern w:val="0"/>
              </w:rPr>
              <w:t>资料来源：万得，富荣基金；</w:t>
            </w:r>
            <w:r w:rsidRPr="009864B5">
              <w:rPr>
                <w:kern w:val="0"/>
              </w:rPr>
              <w:t xml:space="preserve"> </w:t>
            </w:r>
          </w:p>
        </w:tc>
      </w:tr>
    </w:tbl>
    <w:p w14:paraId="68F31B76" w14:textId="77777777" w:rsidR="002D3316" w:rsidRPr="002D3316" w:rsidRDefault="002D3316" w:rsidP="007A1586">
      <w:pPr>
        <w:pStyle w:val="Body-text"/>
        <w:spacing w:after="240"/>
        <w:ind w:firstLineChars="200" w:firstLine="480"/>
        <w:rPr>
          <w:rFonts w:ascii="华文楷体" w:hAnsi="华文楷体"/>
          <w:sz w:val="24"/>
          <w:szCs w:val="24"/>
          <w:lang w:eastAsia="zh-CN"/>
        </w:rPr>
      </w:pPr>
    </w:p>
    <w:p w14:paraId="721DD2C0" w14:textId="2CE77C18" w:rsidR="0082791D" w:rsidRPr="009864B5" w:rsidRDefault="0031666C" w:rsidP="009A2BA0">
      <w:pPr>
        <w:pStyle w:val="Header1"/>
        <w:spacing w:before="240"/>
        <w:rPr>
          <w:color w:val="C45911" w:themeColor="accent2" w:themeShade="BF"/>
        </w:rPr>
      </w:pPr>
      <w:r w:rsidRPr="009864B5">
        <w:rPr>
          <w:rFonts w:hint="eastAsia"/>
          <w:color w:val="C45911" w:themeColor="accent2" w:themeShade="BF"/>
        </w:rPr>
        <w:t>三</w:t>
      </w:r>
      <w:r w:rsidR="0082791D" w:rsidRPr="009864B5">
        <w:rPr>
          <w:rFonts w:hint="eastAsia"/>
          <w:color w:val="C45911" w:themeColor="accent2" w:themeShade="BF"/>
        </w:rPr>
        <w:t>、</w:t>
      </w:r>
      <w:r w:rsidR="00E0626C" w:rsidRPr="009864B5">
        <w:rPr>
          <w:rFonts w:hint="eastAsia"/>
          <w:color w:val="C45911" w:themeColor="accent2" w:themeShade="BF"/>
        </w:rPr>
        <w:t>市场展望</w:t>
      </w:r>
    </w:p>
    <w:p w14:paraId="24E697A5" w14:textId="0E45DB1F" w:rsidR="00854194" w:rsidRPr="00264A9C"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1045D2">
        <w:rPr>
          <w:rFonts w:ascii="华文楷体" w:hAnsi="华文楷体" w:hint="eastAsia"/>
          <w:b/>
          <w:bCs/>
          <w:sz w:val="24"/>
          <w:szCs w:val="24"/>
          <w:lang w:eastAsia="zh-CN"/>
        </w:rPr>
        <w:t>利率债：</w:t>
      </w:r>
      <w:r w:rsidR="00C9186F" w:rsidRPr="00264A9C">
        <w:rPr>
          <w:rFonts w:ascii="华文楷体" w:hAnsi="华文楷体" w:hint="eastAsia"/>
          <w:sz w:val="24"/>
          <w:szCs w:val="24"/>
          <w:lang w:eastAsia="zh-CN"/>
        </w:rPr>
        <w:t>7月政治局会议政策基调边际趋向宽松，货币政策和财政政策更加着眼于长期的经济发展和以我为主。同时，7月PMI</w:t>
      </w:r>
      <w:r w:rsidR="002D3316">
        <w:rPr>
          <w:rFonts w:ascii="华文楷体" w:hAnsi="华文楷体" w:hint="eastAsia"/>
          <w:sz w:val="24"/>
          <w:szCs w:val="24"/>
          <w:lang w:eastAsia="zh-CN"/>
        </w:rPr>
        <w:t>、</w:t>
      </w:r>
      <w:r w:rsidR="00C9186F" w:rsidRPr="00264A9C">
        <w:rPr>
          <w:rFonts w:ascii="华文楷体" w:hAnsi="华文楷体" w:hint="eastAsia"/>
          <w:sz w:val="24"/>
          <w:szCs w:val="24"/>
          <w:lang w:eastAsia="zh-CN"/>
        </w:rPr>
        <w:t>BCI</w:t>
      </w:r>
      <w:r w:rsidR="002D3316">
        <w:rPr>
          <w:rFonts w:ascii="华文楷体" w:hAnsi="华文楷体" w:hint="eastAsia"/>
          <w:sz w:val="24"/>
          <w:szCs w:val="24"/>
          <w:lang w:eastAsia="zh-CN"/>
        </w:rPr>
        <w:t>及进出口</w:t>
      </w:r>
      <w:r w:rsidR="00C9186F" w:rsidRPr="00264A9C">
        <w:rPr>
          <w:rFonts w:ascii="华文楷体" w:hAnsi="华文楷体" w:hint="eastAsia"/>
          <w:sz w:val="24"/>
          <w:szCs w:val="24"/>
          <w:lang w:eastAsia="zh-CN"/>
        </w:rPr>
        <w:t>数据反映经济各项动能趋弱。国</w:t>
      </w:r>
      <w:proofErr w:type="gramStart"/>
      <w:r w:rsidR="00C9186F" w:rsidRPr="00264A9C">
        <w:rPr>
          <w:rFonts w:ascii="华文楷体" w:hAnsi="华文楷体" w:hint="eastAsia"/>
          <w:sz w:val="24"/>
          <w:szCs w:val="24"/>
          <w:lang w:eastAsia="zh-CN"/>
        </w:rPr>
        <w:t>内债市</w:t>
      </w:r>
      <w:proofErr w:type="gramEnd"/>
      <w:r w:rsidR="00C9186F" w:rsidRPr="00264A9C">
        <w:rPr>
          <w:rFonts w:ascii="华文楷体" w:hAnsi="华文楷体" w:hint="eastAsia"/>
          <w:sz w:val="24"/>
          <w:szCs w:val="24"/>
          <w:lang w:eastAsia="zh-CN"/>
        </w:rPr>
        <w:t>或仍将受益于较充裕的流动性环境</w:t>
      </w:r>
      <w:r w:rsidR="00264A9C" w:rsidRPr="00264A9C">
        <w:rPr>
          <w:rFonts w:ascii="华文楷体" w:hAnsi="华文楷体" w:hint="eastAsia"/>
          <w:sz w:val="24"/>
          <w:szCs w:val="24"/>
          <w:lang w:eastAsia="zh-CN"/>
        </w:rPr>
        <w:t>和边际趋弱的基本面数据</w:t>
      </w:r>
      <w:r w:rsidR="004721F4" w:rsidRPr="00264A9C">
        <w:rPr>
          <w:rFonts w:ascii="华文楷体" w:hAnsi="华文楷体" w:hint="eastAsia"/>
          <w:sz w:val="24"/>
          <w:szCs w:val="24"/>
          <w:lang w:eastAsia="zh-CN"/>
        </w:rPr>
        <w:t>。</w:t>
      </w:r>
    </w:p>
    <w:p w14:paraId="484E2711" w14:textId="10A76598" w:rsidR="00FD739E" w:rsidRPr="00264A9C" w:rsidRDefault="00C505BD" w:rsidP="00FD739E">
      <w:pPr>
        <w:pStyle w:val="Body-text"/>
        <w:spacing w:after="240"/>
        <w:ind w:firstLineChars="200" w:firstLine="480"/>
        <w:rPr>
          <w:rFonts w:ascii="华文楷体" w:hAnsi="华文楷体"/>
          <w:sz w:val="24"/>
          <w:szCs w:val="24"/>
          <w:lang w:eastAsia="zh-CN"/>
        </w:rPr>
      </w:pPr>
      <w:r w:rsidRPr="001045D2">
        <w:rPr>
          <w:rFonts w:ascii="华文楷体" w:hAnsi="华文楷体" w:hint="eastAsia"/>
          <w:b/>
          <w:bCs/>
          <w:sz w:val="24"/>
          <w:szCs w:val="24"/>
          <w:lang w:eastAsia="zh-CN"/>
        </w:rPr>
        <w:t>信用债：</w:t>
      </w:r>
      <w:r w:rsidR="00E3102D">
        <w:rPr>
          <w:rFonts w:ascii="华文楷体" w:hAnsi="华文楷体" w:hint="eastAsia"/>
          <w:sz w:val="24"/>
          <w:szCs w:val="24"/>
          <w:lang w:eastAsia="zh-CN"/>
        </w:rPr>
        <w:t>政策导向利好债市，但需</w:t>
      </w:r>
      <w:r w:rsidR="00162910">
        <w:rPr>
          <w:rFonts w:ascii="华文楷体" w:hAnsi="华文楷体" w:hint="eastAsia"/>
          <w:sz w:val="24"/>
          <w:szCs w:val="24"/>
          <w:lang w:eastAsia="zh-CN"/>
        </w:rPr>
        <w:t>密切</w:t>
      </w:r>
      <w:r w:rsidR="002A7950" w:rsidRPr="00264A9C">
        <w:rPr>
          <w:rFonts w:ascii="华文楷体" w:hAnsi="华文楷体" w:hint="eastAsia"/>
          <w:sz w:val="24"/>
          <w:szCs w:val="24"/>
          <w:lang w:eastAsia="zh-CN"/>
        </w:rPr>
        <w:t>关注</w:t>
      </w:r>
      <w:r w:rsidR="004721F4" w:rsidRPr="00264A9C">
        <w:rPr>
          <w:rFonts w:ascii="华文楷体" w:hAnsi="华文楷体" w:hint="eastAsia"/>
          <w:sz w:val="24"/>
          <w:szCs w:val="24"/>
          <w:lang w:eastAsia="zh-CN"/>
        </w:rPr>
        <w:t>地方</w:t>
      </w:r>
      <w:r w:rsidR="002A7950" w:rsidRPr="00264A9C">
        <w:rPr>
          <w:rFonts w:ascii="华文楷体" w:hAnsi="华文楷体" w:hint="eastAsia"/>
          <w:sz w:val="24"/>
          <w:szCs w:val="24"/>
          <w:lang w:eastAsia="zh-CN"/>
        </w:rPr>
        <w:t>隐性债务</w:t>
      </w:r>
      <w:r w:rsidR="004721F4" w:rsidRPr="00264A9C">
        <w:rPr>
          <w:rFonts w:ascii="华文楷体" w:hAnsi="华文楷体" w:hint="eastAsia"/>
          <w:sz w:val="24"/>
          <w:szCs w:val="24"/>
          <w:lang w:eastAsia="zh-CN"/>
        </w:rPr>
        <w:t>监管</w:t>
      </w:r>
      <w:r w:rsidR="00162910">
        <w:rPr>
          <w:rFonts w:ascii="华文楷体" w:hAnsi="华文楷体" w:hint="eastAsia"/>
          <w:sz w:val="24"/>
          <w:szCs w:val="24"/>
          <w:lang w:eastAsia="zh-CN"/>
        </w:rPr>
        <w:t>与地产个体层面风险的发酵</w:t>
      </w:r>
      <w:r w:rsidR="002A7950" w:rsidRPr="00264A9C">
        <w:rPr>
          <w:rFonts w:ascii="华文楷体" w:hAnsi="华文楷体" w:hint="eastAsia"/>
          <w:sz w:val="24"/>
          <w:szCs w:val="24"/>
          <w:lang w:eastAsia="zh-CN"/>
        </w:rPr>
        <w:t>。</w:t>
      </w:r>
    </w:p>
    <w:p w14:paraId="4C893BAE" w14:textId="63AE8EB6" w:rsidR="00983C71" w:rsidRDefault="00C505BD" w:rsidP="0054555E">
      <w:pPr>
        <w:pStyle w:val="Body-text"/>
        <w:spacing w:after="240"/>
        <w:ind w:firstLineChars="200" w:firstLine="480"/>
        <w:rPr>
          <w:rFonts w:ascii="华文楷体" w:eastAsia="PMingLiU" w:hAnsi="华文楷体"/>
          <w:sz w:val="24"/>
          <w:szCs w:val="24"/>
        </w:rPr>
      </w:pPr>
      <w:r w:rsidRPr="001045D2">
        <w:rPr>
          <w:rFonts w:ascii="华文楷体" w:hAnsi="华文楷体" w:hint="eastAsia"/>
          <w:b/>
          <w:bCs/>
          <w:sz w:val="24"/>
          <w:szCs w:val="24"/>
          <w:lang w:eastAsia="zh-CN"/>
        </w:rPr>
        <w:t>可转债：</w:t>
      </w:r>
      <w:r w:rsidR="00264A9C" w:rsidRPr="00264A9C">
        <w:rPr>
          <w:rFonts w:ascii="华文楷体" w:hAnsi="华文楷体" w:hint="eastAsia"/>
          <w:sz w:val="24"/>
          <w:szCs w:val="24"/>
          <w:lang w:eastAsia="zh-CN"/>
        </w:rPr>
        <w:t>流动性环境对权益市场仍较友好，但</w:t>
      </w:r>
      <w:r w:rsidR="00264A9C" w:rsidRPr="00264A9C">
        <w:rPr>
          <w:rFonts w:ascii="华文楷体" w:hAnsi="华文楷体" w:hint="eastAsia"/>
          <w:sz w:val="24"/>
          <w:szCs w:val="24"/>
        </w:rPr>
        <w:t>企业整体盈利压力逐步显现。可转债中成长性较强、符合长期产业政策引导方向的新能源汽车、碳中和、硬科技及专精特新</w:t>
      </w:r>
      <w:r w:rsidR="002D3316" w:rsidRPr="002D3316">
        <w:rPr>
          <w:rFonts w:ascii="华文楷体" w:hAnsi="华文楷体" w:hint="eastAsia"/>
          <w:sz w:val="24"/>
          <w:szCs w:val="24"/>
        </w:rPr>
        <w:t>。</w:t>
      </w:r>
      <w:r w:rsidR="0054555E" w:rsidRPr="0054555E">
        <w:rPr>
          <w:rFonts w:ascii="华文楷体" w:hAnsi="华文楷体" w:hint="eastAsia"/>
          <w:sz w:val="24"/>
          <w:szCs w:val="24"/>
        </w:rPr>
        <w:t>鉴于热门赛道的高估值和拥挤交易，整体仓位仍需趋于谨慎，重点挖掘结构性机会。结构上继续推荐以下三条主线：一是稳定型与低价高性价比转债，防御型较好，在市场整体估值高位下具备底仓配</w:t>
      </w:r>
      <w:r w:rsidR="0054555E" w:rsidRPr="0054555E">
        <w:rPr>
          <w:rFonts w:ascii="华文楷体" w:hAnsi="华文楷体" w:hint="eastAsia"/>
          <w:sz w:val="24"/>
          <w:szCs w:val="24"/>
        </w:rPr>
        <w:lastRenderedPageBreak/>
        <w:t>置价值；二是景气度持续提升、中报有望持续向上超市场预期的周期及成长板块转债，重新审视估值与换手率风险后，仍可积极配置；三是在中游制造板块中寻找细分景气度不错、行业格局好、PEG估值性价比较高的中小市值隐形冠军。</w:t>
      </w:r>
    </w:p>
    <w:p w14:paraId="2717610C" w14:textId="6511927B" w:rsidR="00D54D20" w:rsidRPr="0077013F" w:rsidRDefault="001045D2" w:rsidP="00D54D20">
      <w:pPr>
        <w:pStyle w:val="Body-text"/>
        <w:ind w:firstLineChars="200" w:firstLine="480"/>
        <w:rPr>
          <w:rFonts w:ascii="华文楷体" w:hAnsi="华文楷体"/>
          <w:bCs/>
          <w:sz w:val="24"/>
          <w:szCs w:val="24"/>
          <w:lang w:eastAsia="zh-CN"/>
        </w:rPr>
      </w:pPr>
      <w:r w:rsidRPr="001045D2">
        <w:rPr>
          <w:rFonts w:ascii="华文楷体" w:hAnsi="华文楷体" w:hint="eastAsia"/>
          <w:b/>
          <w:bCs/>
          <w:sz w:val="24"/>
          <w:szCs w:val="24"/>
          <w:lang w:eastAsia="zh-CN"/>
        </w:rPr>
        <w:t>下周关注：</w:t>
      </w:r>
      <w:r w:rsidR="002D3316" w:rsidRPr="002D3316">
        <w:rPr>
          <w:rFonts w:ascii="华文楷体" w:hAnsi="华文楷体" w:hint="eastAsia"/>
          <w:bCs/>
          <w:sz w:val="24"/>
          <w:szCs w:val="24"/>
          <w:lang w:eastAsia="zh-CN"/>
        </w:rPr>
        <w:t>国内疫情、7月CPI与PPI（周一）、金融数据（待定）、美国7月核心CPI（周三）、美国7月PPI（周四）</w:t>
      </w:r>
      <w:r w:rsidR="00D54D20" w:rsidRPr="0077013F">
        <w:rPr>
          <w:rFonts w:ascii="华文楷体" w:hAnsi="华文楷体" w:hint="eastAsia"/>
          <w:bCs/>
          <w:sz w:val="24"/>
          <w:szCs w:val="24"/>
          <w:lang w:eastAsia="zh-CN"/>
        </w:rPr>
        <w:t>。</w:t>
      </w:r>
    </w:p>
    <w:p w14:paraId="236E8CBA" w14:textId="29CFD3F6" w:rsidR="00EA1966" w:rsidRDefault="00EA1966" w:rsidP="009A2BA0">
      <w:pPr>
        <w:pStyle w:val="Body-text"/>
        <w:spacing w:after="0"/>
        <w:rPr>
          <w:rFonts w:ascii="华文楷体" w:hAnsi="华文楷体"/>
          <w:sz w:val="24"/>
          <w:szCs w:val="24"/>
          <w:lang w:eastAsia="zh-CN"/>
        </w:rPr>
      </w:pPr>
    </w:p>
    <w:p w14:paraId="36DE518D" w14:textId="50A4F972" w:rsidR="001170AF" w:rsidRPr="001A1299" w:rsidRDefault="00B52CEC" w:rsidP="00DC16F5">
      <w:pPr>
        <w:pStyle w:val="Body-text"/>
        <w:spacing w:line="360" w:lineRule="auto"/>
        <w:rPr>
          <w:rFonts w:ascii="华文楷体" w:hAnsi="华文楷体"/>
          <w:sz w:val="24"/>
          <w:szCs w:val="24"/>
          <w:lang w:eastAsia="zh-CN"/>
        </w:rPr>
      </w:pPr>
      <w:r w:rsidRPr="00BA7260">
        <w:rPr>
          <w:rFonts w:ascii="微软雅黑" w:eastAsia="微软雅黑" w:hAnsi="微软雅黑" w:cstheme="minorBidi" w:hint="eastAsia"/>
          <w:color w:val="808080" w:themeColor="background1" w:themeShade="80"/>
          <w:kern w:val="2"/>
          <w:sz w:val="21"/>
          <w:szCs w:val="22"/>
          <w:lang w:eastAsia="zh-CN"/>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BA7260">
        <w:rPr>
          <w:rFonts w:ascii="微软雅黑" w:eastAsia="微软雅黑" w:hAnsi="微软雅黑" w:cstheme="minorBidi" w:hint="eastAsia"/>
          <w:color w:val="808080" w:themeColor="background1" w:themeShade="80"/>
          <w:kern w:val="2"/>
          <w:sz w:val="21"/>
          <w:szCs w:val="22"/>
          <w:lang w:eastAsia="zh-CN"/>
        </w:rPr>
        <w:t>作出</w:t>
      </w:r>
      <w:proofErr w:type="gramEnd"/>
      <w:r w:rsidRPr="00BA7260">
        <w:rPr>
          <w:rFonts w:ascii="微软雅黑" w:eastAsia="微软雅黑" w:hAnsi="微软雅黑" w:cstheme="minorBidi" w:hint="eastAsia"/>
          <w:color w:val="808080" w:themeColor="background1" w:themeShade="80"/>
          <w:kern w:val="2"/>
          <w:sz w:val="21"/>
          <w:szCs w:val="22"/>
          <w:lang w:eastAsia="zh-CN"/>
        </w:rPr>
        <w:t>调整。2、本报告中的资料、观点和预测等仅供参考，在任何时候均不构成对任何人的个人推荐。市场有风险，投资需谨慎。</w:t>
      </w:r>
    </w:p>
    <w:sectPr w:rsidR="001170AF" w:rsidRPr="001A1299" w:rsidSect="00AB78C4">
      <w:headerReference w:type="default" r:id="rId15"/>
      <w:footerReference w:type="default" r:id="rId16"/>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EDA368" w14:textId="77777777" w:rsidR="00C90274" w:rsidRDefault="00C90274">
      <w:r>
        <w:separator/>
      </w:r>
    </w:p>
  </w:endnote>
  <w:endnote w:type="continuationSeparator" w:id="0">
    <w:p w14:paraId="4BEAF572" w14:textId="77777777" w:rsidR="00C90274" w:rsidRDefault="00C902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等线">
    <w:altName w:val="DengXian"/>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31792377"/>
      <w:docPartObj>
        <w:docPartGallery w:val="Page Numbers (Bottom of Page)"/>
        <w:docPartUnique/>
      </w:docPartObj>
    </w:sdtPr>
    <w:sdtEndPr/>
    <w:sdtContent>
      <w:p w14:paraId="618D4EFE" w14:textId="1FB9B16E" w:rsidR="00F46081" w:rsidRDefault="00F46081">
        <w:pPr>
          <w:pStyle w:val="a6"/>
          <w:jc w:val="right"/>
        </w:pPr>
        <w:r>
          <w:fldChar w:fldCharType="begin"/>
        </w:r>
        <w:r>
          <w:instrText>PAGE   \* MERGEFORMAT</w:instrText>
        </w:r>
        <w:r>
          <w:fldChar w:fldCharType="separate"/>
        </w:r>
        <w:r w:rsidR="00516C68" w:rsidRPr="00516C68">
          <w:rPr>
            <w:noProof/>
            <w:lang w:val="zh-CN"/>
          </w:rPr>
          <w:t>5</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D20BB0" w14:textId="77777777" w:rsidR="00C90274" w:rsidRDefault="00C90274">
      <w:r>
        <w:separator/>
      </w:r>
    </w:p>
  </w:footnote>
  <w:footnote w:type="continuationSeparator" w:id="0">
    <w:p w14:paraId="40715866" w14:textId="77777777" w:rsidR="00C90274" w:rsidRDefault="00C902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18A414" w14:textId="77777777" w:rsidR="00F46081" w:rsidRDefault="00F46081" w:rsidP="00D41DC0">
    <w:pPr>
      <w:pStyle w:val="a4"/>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15:restartNumberingAfterBreak="0">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15:restartNumberingAfterBreak="0">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15:restartNumberingAfterBreak="0">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15:restartNumberingAfterBreak="0">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15:restartNumberingAfterBreak="0">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15:restartNumberingAfterBreak="0">
    <w:nsid w:val="0E9E65D6"/>
    <w:multiLevelType w:val="multilevel"/>
    <w:tmpl w:val="39BA2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73729AD"/>
    <w:multiLevelType w:val="multilevel"/>
    <w:tmpl w:val="2A428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15:restartNumberingAfterBreak="0">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9E00319"/>
    <w:multiLevelType w:val="multilevel"/>
    <w:tmpl w:val="278EE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257513A"/>
    <w:multiLevelType w:val="multilevel"/>
    <w:tmpl w:val="D40C5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15:restartNumberingAfterBreak="0">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6"/>
  </w:num>
  <w:num w:numId="7">
    <w:abstractNumId w:val="18"/>
  </w:num>
  <w:num w:numId="8">
    <w:abstractNumId w:val="15"/>
  </w:num>
  <w:num w:numId="9">
    <w:abstractNumId w:val="6"/>
  </w:num>
  <w:num w:numId="10">
    <w:abstractNumId w:val="21"/>
  </w:num>
  <w:num w:numId="11">
    <w:abstractNumId w:val="25"/>
  </w:num>
  <w:num w:numId="12">
    <w:abstractNumId w:val="19"/>
  </w:num>
  <w:num w:numId="13">
    <w:abstractNumId w:val="27"/>
  </w:num>
  <w:num w:numId="14">
    <w:abstractNumId w:val="28"/>
  </w:num>
  <w:num w:numId="15">
    <w:abstractNumId w:val="22"/>
  </w:num>
  <w:num w:numId="16">
    <w:abstractNumId w:val="14"/>
  </w:num>
  <w:num w:numId="17">
    <w:abstractNumId w:val="10"/>
  </w:num>
  <w:num w:numId="18">
    <w:abstractNumId w:val="24"/>
  </w:num>
  <w:num w:numId="19">
    <w:abstractNumId w:val="12"/>
  </w:num>
  <w:num w:numId="20">
    <w:abstractNumId w:val="23"/>
  </w:num>
  <w:num w:numId="21">
    <w:abstractNumId w:val="7"/>
  </w:num>
  <w:num w:numId="22">
    <w:abstractNumId w:val="20"/>
  </w:num>
  <w:num w:numId="23">
    <w:abstractNumId w:val="5"/>
  </w:num>
  <w:num w:numId="24">
    <w:abstractNumId w:val="13"/>
  </w:num>
  <w:num w:numId="25">
    <w:abstractNumId w:val="9"/>
  </w:num>
  <w:num w:numId="26">
    <w:abstractNumId w:val="17"/>
  </w:num>
  <w:num w:numId="27">
    <w:abstractNumId w:val="11"/>
  </w:num>
  <w:num w:numId="28">
    <w:abstractNumId w:val="8"/>
  </w:num>
  <w:num w:numId="2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CA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BE5"/>
    <w:rsid w:val="00016C6A"/>
    <w:rsid w:val="00017B9C"/>
    <w:rsid w:val="0002033F"/>
    <w:rsid w:val="0002051A"/>
    <w:rsid w:val="00020970"/>
    <w:rsid w:val="00020BBA"/>
    <w:rsid w:val="00020F7F"/>
    <w:rsid w:val="000219C9"/>
    <w:rsid w:val="00021B34"/>
    <w:rsid w:val="00021C85"/>
    <w:rsid w:val="000226CA"/>
    <w:rsid w:val="00022DD3"/>
    <w:rsid w:val="0002319C"/>
    <w:rsid w:val="000232BB"/>
    <w:rsid w:val="00023531"/>
    <w:rsid w:val="00023C51"/>
    <w:rsid w:val="00023D9D"/>
    <w:rsid w:val="00023E14"/>
    <w:rsid w:val="0002431B"/>
    <w:rsid w:val="00025073"/>
    <w:rsid w:val="00025B9D"/>
    <w:rsid w:val="00025F12"/>
    <w:rsid w:val="00026193"/>
    <w:rsid w:val="00026E14"/>
    <w:rsid w:val="000270FF"/>
    <w:rsid w:val="000274EB"/>
    <w:rsid w:val="000275C9"/>
    <w:rsid w:val="0002765B"/>
    <w:rsid w:val="00027744"/>
    <w:rsid w:val="0002780B"/>
    <w:rsid w:val="00027AAB"/>
    <w:rsid w:val="00027E39"/>
    <w:rsid w:val="0003065D"/>
    <w:rsid w:val="00030711"/>
    <w:rsid w:val="00030E2D"/>
    <w:rsid w:val="00030E7C"/>
    <w:rsid w:val="000312AB"/>
    <w:rsid w:val="00031A0F"/>
    <w:rsid w:val="00032A5F"/>
    <w:rsid w:val="00032A68"/>
    <w:rsid w:val="00032ABF"/>
    <w:rsid w:val="000331EC"/>
    <w:rsid w:val="0003324E"/>
    <w:rsid w:val="000332AD"/>
    <w:rsid w:val="00033828"/>
    <w:rsid w:val="00034037"/>
    <w:rsid w:val="00034E64"/>
    <w:rsid w:val="0003520F"/>
    <w:rsid w:val="0003530E"/>
    <w:rsid w:val="00035CC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6C46"/>
    <w:rsid w:val="00047219"/>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0B2"/>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0F1B"/>
    <w:rsid w:val="000617BF"/>
    <w:rsid w:val="00061869"/>
    <w:rsid w:val="000618ED"/>
    <w:rsid w:val="00061C3C"/>
    <w:rsid w:val="00061D9E"/>
    <w:rsid w:val="000620E2"/>
    <w:rsid w:val="0006250F"/>
    <w:rsid w:val="00062981"/>
    <w:rsid w:val="000629A2"/>
    <w:rsid w:val="00062E89"/>
    <w:rsid w:val="0006364B"/>
    <w:rsid w:val="00063EF1"/>
    <w:rsid w:val="00064007"/>
    <w:rsid w:val="000643F4"/>
    <w:rsid w:val="0006472D"/>
    <w:rsid w:val="00064C5C"/>
    <w:rsid w:val="00064DDC"/>
    <w:rsid w:val="00065754"/>
    <w:rsid w:val="00065B19"/>
    <w:rsid w:val="0006662C"/>
    <w:rsid w:val="0006679B"/>
    <w:rsid w:val="00066A4B"/>
    <w:rsid w:val="00066B90"/>
    <w:rsid w:val="00066C46"/>
    <w:rsid w:val="00066F10"/>
    <w:rsid w:val="00067714"/>
    <w:rsid w:val="00067963"/>
    <w:rsid w:val="00067A49"/>
    <w:rsid w:val="000701D0"/>
    <w:rsid w:val="00070606"/>
    <w:rsid w:val="0007088A"/>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49"/>
    <w:rsid w:val="00080D8B"/>
    <w:rsid w:val="0008119E"/>
    <w:rsid w:val="000815F6"/>
    <w:rsid w:val="00081E60"/>
    <w:rsid w:val="00082044"/>
    <w:rsid w:val="00082CE4"/>
    <w:rsid w:val="00083341"/>
    <w:rsid w:val="00083392"/>
    <w:rsid w:val="00083A35"/>
    <w:rsid w:val="00083B64"/>
    <w:rsid w:val="00083E1C"/>
    <w:rsid w:val="00084085"/>
    <w:rsid w:val="000840CD"/>
    <w:rsid w:val="00084848"/>
    <w:rsid w:val="00084873"/>
    <w:rsid w:val="0008490D"/>
    <w:rsid w:val="000853E5"/>
    <w:rsid w:val="00085AC0"/>
    <w:rsid w:val="00085CBE"/>
    <w:rsid w:val="0008649A"/>
    <w:rsid w:val="000869DB"/>
    <w:rsid w:val="00086E6D"/>
    <w:rsid w:val="00086E99"/>
    <w:rsid w:val="00087119"/>
    <w:rsid w:val="0008719E"/>
    <w:rsid w:val="000875B7"/>
    <w:rsid w:val="00087DC6"/>
    <w:rsid w:val="00087E90"/>
    <w:rsid w:val="00090261"/>
    <w:rsid w:val="000907BC"/>
    <w:rsid w:val="0009124F"/>
    <w:rsid w:val="00091402"/>
    <w:rsid w:val="00091559"/>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AFC"/>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3DC4"/>
    <w:rsid w:val="000C449C"/>
    <w:rsid w:val="000C48A2"/>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022"/>
    <w:rsid w:val="000D1B79"/>
    <w:rsid w:val="000D20CB"/>
    <w:rsid w:val="000D2ABF"/>
    <w:rsid w:val="000D2ACF"/>
    <w:rsid w:val="000D3239"/>
    <w:rsid w:val="000D39B6"/>
    <w:rsid w:val="000D476C"/>
    <w:rsid w:val="000D4D45"/>
    <w:rsid w:val="000D4F30"/>
    <w:rsid w:val="000D5319"/>
    <w:rsid w:val="000D5735"/>
    <w:rsid w:val="000D5A58"/>
    <w:rsid w:val="000D6268"/>
    <w:rsid w:val="000D6289"/>
    <w:rsid w:val="000D6D98"/>
    <w:rsid w:val="000D7167"/>
    <w:rsid w:val="000D7AE6"/>
    <w:rsid w:val="000D7AF4"/>
    <w:rsid w:val="000E0C96"/>
    <w:rsid w:val="000E0E2A"/>
    <w:rsid w:val="000E0E59"/>
    <w:rsid w:val="000E131B"/>
    <w:rsid w:val="000E1BF0"/>
    <w:rsid w:val="000E2002"/>
    <w:rsid w:val="000E2496"/>
    <w:rsid w:val="000E25F5"/>
    <w:rsid w:val="000E2962"/>
    <w:rsid w:val="000E2A9F"/>
    <w:rsid w:val="000E2AF3"/>
    <w:rsid w:val="000E3119"/>
    <w:rsid w:val="000E3145"/>
    <w:rsid w:val="000E322E"/>
    <w:rsid w:val="000E39A6"/>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5D2"/>
    <w:rsid w:val="001046A3"/>
    <w:rsid w:val="0010475E"/>
    <w:rsid w:val="00104DA0"/>
    <w:rsid w:val="00105570"/>
    <w:rsid w:val="00105EE6"/>
    <w:rsid w:val="00106571"/>
    <w:rsid w:val="00106EE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447"/>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1C1"/>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4AF9"/>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DE7"/>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BD"/>
    <w:rsid w:val="001551C9"/>
    <w:rsid w:val="00155427"/>
    <w:rsid w:val="001556C9"/>
    <w:rsid w:val="00155C96"/>
    <w:rsid w:val="00155CBE"/>
    <w:rsid w:val="00155D06"/>
    <w:rsid w:val="00156190"/>
    <w:rsid w:val="0015634E"/>
    <w:rsid w:val="00156410"/>
    <w:rsid w:val="00156515"/>
    <w:rsid w:val="00156AF4"/>
    <w:rsid w:val="00156B73"/>
    <w:rsid w:val="0015798B"/>
    <w:rsid w:val="00157A31"/>
    <w:rsid w:val="00157AEE"/>
    <w:rsid w:val="00157B30"/>
    <w:rsid w:val="001602AE"/>
    <w:rsid w:val="00160370"/>
    <w:rsid w:val="0016096D"/>
    <w:rsid w:val="0016107A"/>
    <w:rsid w:val="001611C1"/>
    <w:rsid w:val="0016142C"/>
    <w:rsid w:val="0016155D"/>
    <w:rsid w:val="00161568"/>
    <w:rsid w:val="00161909"/>
    <w:rsid w:val="00161984"/>
    <w:rsid w:val="00161D5D"/>
    <w:rsid w:val="0016251D"/>
    <w:rsid w:val="00162910"/>
    <w:rsid w:val="001629D2"/>
    <w:rsid w:val="00162C39"/>
    <w:rsid w:val="0016431D"/>
    <w:rsid w:val="001644C8"/>
    <w:rsid w:val="0016453E"/>
    <w:rsid w:val="001647E6"/>
    <w:rsid w:val="00166825"/>
    <w:rsid w:val="001668A4"/>
    <w:rsid w:val="00166EF2"/>
    <w:rsid w:val="00167137"/>
    <w:rsid w:val="00167E3A"/>
    <w:rsid w:val="00167EF4"/>
    <w:rsid w:val="00170521"/>
    <w:rsid w:val="00170F26"/>
    <w:rsid w:val="001715B3"/>
    <w:rsid w:val="00171997"/>
    <w:rsid w:val="0017214C"/>
    <w:rsid w:val="0017231C"/>
    <w:rsid w:val="0017232C"/>
    <w:rsid w:val="001723BD"/>
    <w:rsid w:val="001724C7"/>
    <w:rsid w:val="001725E0"/>
    <w:rsid w:val="0017270C"/>
    <w:rsid w:val="00172A27"/>
    <w:rsid w:val="00173BBF"/>
    <w:rsid w:val="001741DB"/>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58A9"/>
    <w:rsid w:val="00185EBC"/>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5D2"/>
    <w:rsid w:val="001947A8"/>
    <w:rsid w:val="00194F80"/>
    <w:rsid w:val="00195012"/>
    <w:rsid w:val="001952E5"/>
    <w:rsid w:val="001954E8"/>
    <w:rsid w:val="00195544"/>
    <w:rsid w:val="001959A4"/>
    <w:rsid w:val="001967C0"/>
    <w:rsid w:val="001969E7"/>
    <w:rsid w:val="00196ABA"/>
    <w:rsid w:val="00196FDB"/>
    <w:rsid w:val="001973D0"/>
    <w:rsid w:val="00197AF1"/>
    <w:rsid w:val="00197F64"/>
    <w:rsid w:val="00197F76"/>
    <w:rsid w:val="001A056C"/>
    <w:rsid w:val="001A074B"/>
    <w:rsid w:val="001A07EE"/>
    <w:rsid w:val="001A0B1B"/>
    <w:rsid w:val="001A0EBD"/>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6D9"/>
    <w:rsid w:val="001A59CA"/>
    <w:rsid w:val="001A5CA0"/>
    <w:rsid w:val="001A601B"/>
    <w:rsid w:val="001A621B"/>
    <w:rsid w:val="001A62A8"/>
    <w:rsid w:val="001A6417"/>
    <w:rsid w:val="001A6D3B"/>
    <w:rsid w:val="001A6DF0"/>
    <w:rsid w:val="001A6F68"/>
    <w:rsid w:val="001A6FA9"/>
    <w:rsid w:val="001A73A0"/>
    <w:rsid w:val="001A744D"/>
    <w:rsid w:val="001A7792"/>
    <w:rsid w:val="001A7A22"/>
    <w:rsid w:val="001B0403"/>
    <w:rsid w:val="001B0864"/>
    <w:rsid w:val="001B0F99"/>
    <w:rsid w:val="001B1517"/>
    <w:rsid w:val="001B1AFF"/>
    <w:rsid w:val="001B27AB"/>
    <w:rsid w:val="001B28BB"/>
    <w:rsid w:val="001B29BE"/>
    <w:rsid w:val="001B3023"/>
    <w:rsid w:val="001B3833"/>
    <w:rsid w:val="001B3988"/>
    <w:rsid w:val="001B3BAE"/>
    <w:rsid w:val="001B4228"/>
    <w:rsid w:val="001B42F8"/>
    <w:rsid w:val="001B45EC"/>
    <w:rsid w:val="001B4E4D"/>
    <w:rsid w:val="001B5009"/>
    <w:rsid w:val="001B536D"/>
    <w:rsid w:val="001B53FC"/>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3AD"/>
    <w:rsid w:val="001C170A"/>
    <w:rsid w:val="001C1BEB"/>
    <w:rsid w:val="001C225E"/>
    <w:rsid w:val="001C23AD"/>
    <w:rsid w:val="001C24BA"/>
    <w:rsid w:val="001C269A"/>
    <w:rsid w:val="001C2789"/>
    <w:rsid w:val="001C2DB8"/>
    <w:rsid w:val="001C3579"/>
    <w:rsid w:val="001C398F"/>
    <w:rsid w:val="001C44A7"/>
    <w:rsid w:val="001C44D6"/>
    <w:rsid w:val="001C4D69"/>
    <w:rsid w:val="001C4E64"/>
    <w:rsid w:val="001C532E"/>
    <w:rsid w:val="001C53EB"/>
    <w:rsid w:val="001C574D"/>
    <w:rsid w:val="001C5AAA"/>
    <w:rsid w:val="001C64E1"/>
    <w:rsid w:val="001C682E"/>
    <w:rsid w:val="001D05EA"/>
    <w:rsid w:val="001D07B6"/>
    <w:rsid w:val="001D0B68"/>
    <w:rsid w:val="001D0BB7"/>
    <w:rsid w:val="001D0BFB"/>
    <w:rsid w:val="001D0EDD"/>
    <w:rsid w:val="001D1389"/>
    <w:rsid w:val="001D1897"/>
    <w:rsid w:val="001D19D7"/>
    <w:rsid w:val="001D1D32"/>
    <w:rsid w:val="001D2283"/>
    <w:rsid w:val="001D2D9C"/>
    <w:rsid w:val="001D2EC7"/>
    <w:rsid w:val="001D308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16F5"/>
    <w:rsid w:val="001E28D3"/>
    <w:rsid w:val="001E30B3"/>
    <w:rsid w:val="001E3431"/>
    <w:rsid w:val="001E386F"/>
    <w:rsid w:val="001E38AC"/>
    <w:rsid w:val="001E38B1"/>
    <w:rsid w:val="001E3C02"/>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98C"/>
    <w:rsid w:val="001F0EA2"/>
    <w:rsid w:val="001F17BA"/>
    <w:rsid w:val="001F1991"/>
    <w:rsid w:val="001F215E"/>
    <w:rsid w:val="001F2627"/>
    <w:rsid w:val="001F298D"/>
    <w:rsid w:val="001F39CF"/>
    <w:rsid w:val="001F3BB3"/>
    <w:rsid w:val="001F3E6B"/>
    <w:rsid w:val="001F3F69"/>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3843"/>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12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125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ECA"/>
    <w:rsid w:val="00230F62"/>
    <w:rsid w:val="00231973"/>
    <w:rsid w:val="00231B4A"/>
    <w:rsid w:val="00231B55"/>
    <w:rsid w:val="00231C7A"/>
    <w:rsid w:val="00231D1F"/>
    <w:rsid w:val="00231E63"/>
    <w:rsid w:val="00231E89"/>
    <w:rsid w:val="00232244"/>
    <w:rsid w:val="00232295"/>
    <w:rsid w:val="00232A2D"/>
    <w:rsid w:val="00233451"/>
    <w:rsid w:val="002334CA"/>
    <w:rsid w:val="002335E8"/>
    <w:rsid w:val="00233DD7"/>
    <w:rsid w:val="00233F53"/>
    <w:rsid w:val="0023464F"/>
    <w:rsid w:val="002346CA"/>
    <w:rsid w:val="00234798"/>
    <w:rsid w:val="00234ABC"/>
    <w:rsid w:val="00234E86"/>
    <w:rsid w:val="00235216"/>
    <w:rsid w:val="00235BF6"/>
    <w:rsid w:val="00235D65"/>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4E7"/>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4AC8"/>
    <w:rsid w:val="002556C4"/>
    <w:rsid w:val="00255AC9"/>
    <w:rsid w:val="00256370"/>
    <w:rsid w:val="0025676D"/>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9C"/>
    <w:rsid w:val="00264AAD"/>
    <w:rsid w:val="00264FC0"/>
    <w:rsid w:val="002652EA"/>
    <w:rsid w:val="00265A07"/>
    <w:rsid w:val="00265B99"/>
    <w:rsid w:val="002661B0"/>
    <w:rsid w:val="00266468"/>
    <w:rsid w:val="002673BE"/>
    <w:rsid w:val="0027094F"/>
    <w:rsid w:val="00271825"/>
    <w:rsid w:val="00271835"/>
    <w:rsid w:val="00271EDC"/>
    <w:rsid w:val="002728FC"/>
    <w:rsid w:val="00272B90"/>
    <w:rsid w:val="00273B77"/>
    <w:rsid w:val="00273BF9"/>
    <w:rsid w:val="00273F66"/>
    <w:rsid w:val="0027404F"/>
    <w:rsid w:val="002749A4"/>
    <w:rsid w:val="00275140"/>
    <w:rsid w:val="00275727"/>
    <w:rsid w:val="00275C52"/>
    <w:rsid w:val="00275C90"/>
    <w:rsid w:val="00275F5F"/>
    <w:rsid w:val="00276481"/>
    <w:rsid w:val="00276EDD"/>
    <w:rsid w:val="00277145"/>
    <w:rsid w:val="002775AA"/>
    <w:rsid w:val="00277ACC"/>
    <w:rsid w:val="00277FA3"/>
    <w:rsid w:val="002800E2"/>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ADF"/>
    <w:rsid w:val="00282C84"/>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7D"/>
    <w:rsid w:val="00296FE0"/>
    <w:rsid w:val="00297DC5"/>
    <w:rsid w:val="00297DF3"/>
    <w:rsid w:val="00297EFE"/>
    <w:rsid w:val="00297FBC"/>
    <w:rsid w:val="002A000F"/>
    <w:rsid w:val="002A08C3"/>
    <w:rsid w:val="002A0FA8"/>
    <w:rsid w:val="002A111A"/>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7E1"/>
    <w:rsid w:val="002A6C52"/>
    <w:rsid w:val="002A7075"/>
    <w:rsid w:val="002A72BA"/>
    <w:rsid w:val="002A73B5"/>
    <w:rsid w:val="002A7950"/>
    <w:rsid w:val="002A7AEC"/>
    <w:rsid w:val="002A7CB7"/>
    <w:rsid w:val="002B0590"/>
    <w:rsid w:val="002B05D6"/>
    <w:rsid w:val="002B0752"/>
    <w:rsid w:val="002B0F81"/>
    <w:rsid w:val="002B0FF4"/>
    <w:rsid w:val="002B1530"/>
    <w:rsid w:val="002B1948"/>
    <w:rsid w:val="002B19F0"/>
    <w:rsid w:val="002B1B67"/>
    <w:rsid w:val="002B1BBF"/>
    <w:rsid w:val="002B1C30"/>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1C34"/>
    <w:rsid w:val="002C2475"/>
    <w:rsid w:val="002C252C"/>
    <w:rsid w:val="002C2CA8"/>
    <w:rsid w:val="002C2F3B"/>
    <w:rsid w:val="002C352A"/>
    <w:rsid w:val="002C3941"/>
    <w:rsid w:val="002C3C3B"/>
    <w:rsid w:val="002C3E85"/>
    <w:rsid w:val="002C448D"/>
    <w:rsid w:val="002C4A75"/>
    <w:rsid w:val="002C4ACD"/>
    <w:rsid w:val="002C4EA8"/>
    <w:rsid w:val="002C5496"/>
    <w:rsid w:val="002C6182"/>
    <w:rsid w:val="002C61A1"/>
    <w:rsid w:val="002C6BBD"/>
    <w:rsid w:val="002C70B3"/>
    <w:rsid w:val="002C763E"/>
    <w:rsid w:val="002C7910"/>
    <w:rsid w:val="002C7DA8"/>
    <w:rsid w:val="002C7E05"/>
    <w:rsid w:val="002D0834"/>
    <w:rsid w:val="002D0B07"/>
    <w:rsid w:val="002D0C96"/>
    <w:rsid w:val="002D0D12"/>
    <w:rsid w:val="002D14C6"/>
    <w:rsid w:val="002D19CF"/>
    <w:rsid w:val="002D251D"/>
    <w:rsid w:val="002D27D9"/>
    <w:rsid w:val="002D2B4C"/>
    <w:rsid w:val="002D32D5"/>
    <w:rsid w:val="002D3316"/>
    <w:rsid w:val="002D354D"/>
    <w:rsid w:val="002D361C"/>
    <w:rsid w:val="002D3BDB"/>
    <w:rsid w:val="002D3DEE"/>
    <w:rsid w:val="002D44EF"/>
    <w:rsid w:val="002D521C"/>
    <w:rsid w:val="002D5222"/>
    <w:rsid w:val="002D525F"/>
    <w:rsid w:val="002D5CAF"/>
    <w:rsid w:val="002D5DF7"/>
    <w:rsid w:val="002D714B"/>
    <w:rsid w:val="002D7606"/>
    <w:rsid w:val="002D7893"/>
    <w:rsid w:val="002D79BB"/>
    <w:rsid w:val="002E022C"/>
    <w:rsid w:val="002E05B2"/>
    <w:rsid w:val="002E087C"/>
    <w:rsid w:val="002E09F8"/>
    <w:rsid w:val="002E0B91"/>
    <w:rsid w:val="002E0C5D"/>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0AC0"/>
    <w:rsid w:val="00301057"/>
    <w:rsid w:val="0030212C"/>
    <w:rsid w:val="00302151"/>
    <w:rsid w:val="00302427"/>
    <w:rsid w:val="003026AE"/>
    <w:rsid w:val="00302A7B"/>
    <w:rsid w:val="00302CD4"/>
    <w:rsid w:val="00302F67"/>
    <w:rsid w:val="00303034"/>
    <w:rsid w:val="0030309D"/>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DB0"/>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403"/>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D1A"/>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0D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516"/>
    <w:rsid w:val="00335A08"/>
    <w:rsid w:val="003370C6"/>
    <w:rsid w:val="00337365"/>
    <w:rsid w:val="003373AF"/>
    <w:rsid w:val="00337BF7"/>
    <w:rsid w:val="00337FC0"/>
    <w:rsid w:val="003401AF"/>
    <w:rsid w:val="003401E6"/>
    <w:rsid w:val="003402AD"/>
    <w:rsid w:val="00340776"/>
    <w:rsid w:val="003409B2"/>
    <w:rsid w:val="00340BAB"/>
    <w:rsid w:val="0034105F"/>
    <w:rsid w:val="00341169"/>
    <w:rsid w:val="003411E9"/>
    <w:rsid w:val="003413B0"/>
    <w:rsid w:val="00341DD0"/>
    <w:rsid w:val="00341E75"/>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0C81"/>
    <w:rsid w:val="00351448"/>
    <w:rsid w:val="00351F93"/>
    <w:rsid w:val="003525CC"/>
    <w:rsid w:val="00352CF5"/>
    <w:rsid w:val="003531CB"/>
    <w:rsid w:val="003539D5"/>
    <w:rsid w:val="00353E46"/>
    <w:rsid w:val="0035462A"/>
    <w:rsid w:val="00354C0F"/>
    <w:rsid w:val="003556F3"/>
    <w:rsid w:val="0035654D"/>
    <w:rsid w:val="00356FD0"/>
    <w:rsid w:val="003570A1"/>
    <w:rsid w:val="00357841"/>
    <w:rsid w:val="00357946"/>
    <w:rsid w:val="00360DBD"/>
    <w:rsid w:val="0036112B"/>
    <w:rsid w:val="00361270"/>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6D05"/>
    <w:rsid w:val="003673CA"/>
    <w:rsid w:val="00367DA6"/>
    <w:rsid w:val="00367F49"/>
    <w:rsid w:val="003708C4"/>
    <w:rsid w:val="00370BFD"/>
    <w:rsid w:val="0037137A"/>
    <w:rsid w:val="00371885"/>
    <w:rsid w:val="00371A4E"/>
    <w:rsid w:val="00371BBF"/>
    <w:rsid w:val="003721E5"/>
    <w:rsid w:val="003728F4"/>
    <w:rsid w:val="0037297A"/>
    <w:rsid w:val="003729D4"/>
    <w:rsid w:val="00372BA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D67"/>
    <w:rsid w:val="00397E01"/>
    <w:rsid w:val="00397E22"/>
    <w:rsid w:val="003A0210"/>
    <w:rsid w:val="003A0290"/>
    <w:rsid w:val="003A1587"/>
    <w:rsid w:val="003A1612"/>
    <w:rsid w:val="003A20B9"/>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9EF"/>
    <w:rsid w:val="003B1A43"/>
    <w:rsid w:val="003B1C7E"/>
    <w:rsid w:val="003B2407"/>
    <w:rsid w:val="003B2C94"/>
    <w:rsid w:val="003B2CC2"/>
    <w:rsid w:val="003B3058"/>
    <w:rsid w:val="003B3167"/>
    <w:rsid w:val="003B39A0"/>
    <w:rsid w:val="003B406A"/>
    <w:rsid w:val="003B44E9"/>
    <w:rsid w:val="003B54C0"/>
    <w:rsid w:val="003B5AA5"/>
    <w:rsid w:val="003B6140"/>
    <w:rsid w:val="003B6164"/>
    <w:rsid w:val="003B6715"/>
    <w:rsid w:val="003B68CE"/>
    <w:rsid w:val="003B6C6A"/>
    <w:rsid w:val="003B6C95"/>
    <w:rsid w:val="003B6E41"/>
    <w:rsid w:val="003B783E"/>
    <w:rsid w:val="003B7EF1"/>
    <w:rsid w:val="003C04ED"/>
    <w:rsid w:val="003C087A"/>
    <w:rsid w:val="003C0E83"/>
    <w:rsid w:val="003C1818"/>
    <w:rsid w:val="003C1CC8"/>
    <w:rsid w:val="003C1F1C"/>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E47"/>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13E"/>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5B0"/>
    <w:rsid w:val="003E39D2"/>
    <w:rsid w:val="003E3A33"/>
    <w:rsid w:val="003E3A5E"/>
    <w:rsid w:val="003E42BE"/>
    <w:rsid w:val="003E4804"/>
    <w:rsid w:val="003E4BF7"/>
    <w:rsid w:val="003E578A"/>
    <w:rsid w:val="003E5F76"/>
    <w:rsid w:val="003E62BD"/>
    <w:rsid w:val="003E643A"/>
    <w:rsid w:val="003E64BA"/>
    <w:rsid w:val="003E66CA"/>
    <w:rsid w:val="003E6A42"/>
    <w:rsid w:val="003E6FC1"/>
    <w:rsid w:val="003E74C3"/>
    <w:rsid w:val="003E75B1"/>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BC1"/>
    <w:rsid w:val="003F3C16"/>
    <w:rsid w:val="003F4F77"/>
    <w:rsid w:val="003F5897"/>
    <w:rsid w:val="003F59A9"/>
    <w:rsid w:val="003F5A02"/>
    <w:rsid w:val="003F5BA2"/>
    <w:rsid w:val="003F6042"/>
    <w:rsid w:val="003F63D6"/>
    <w:rsid w:val="003F66B9"/>
    <w:rsid w:val="003F6779"/>
    <w:rsid w:val="003F680F"/>
    <w:rsid w:val="003F68B2"/>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38B4"/>
    <w:rsid w:val="00404169"/>
    <w:rsid w:val="00404517"/>
    <w:rsid w:val="004048B4"/>
    <w:rsid w:val="004049CF"/>
    <w:rsid w:val="00404A4A"/>
    <w:rsid w:val="00404BDE"/>
    <w:rsid w:val="00405140"/>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862"/>
    <w:rsid w:val="00413D38"/>
    <w:rsid w:val="00413EAE"/>
    <w:rsid w:val="00414307"/>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6EEF"/>
    <w:rsid w:val="00447081"/>
    <w:rsid w:val="00447155"/>
    <w:rsid w:val="00447263"/>
    <w:rsid w:val="0044771A"/>
    <w:rsid w:val="00447CA2"/>
    <w:rsid w:val="004510B8"/>
    <w:rsid w:val="0045246D"/>
    <w:rsid w:val="0045260D"/>
    <w:rsid w:val="00452916"/>
    <w:rsid w:val="00452988"/>
    <w:rsid w:val="0045306C"/>
    <w:rsid w:val="00453A8C"/>
    <w:rsid w:val="004544EB"/>
    <w:rsid w:val="004545E0"/>
    <w:rsid w:val="004547FE"/>
    <w:rsid w:val="00454AA0"/>
    <w:rsid w:val="0045651B"/>
    <w:rsid w:val="004568B0"/>
    <w:rsid w:val="004570BF"/>
    <w:rsid w:val="00457323"/>
    <w:rsid w:val="00457C5D"/>
    <w:rsid w:val="004603A4"/>
    <w:rsid w:val="0046046E"/>
    <w:rsid w:val="004608F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31C"/>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1F4"/>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33E"/>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055E"/>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87DBE"/>
    <w:rsid w:val="004901FB"/>
    <w:rsid w:val="00490569"/>
    <w:rsid w:val="00490F0B"/>
    <w:rsid w:val="004910FA"/>
    <w:rsid w:val="00491215"/>
    <w:rsid w:val="00491B29"/>
    <w:rsid w:val="00491B39"/>
    <w:rsid w:val="00491BDF"/>
    <w:rsid w:val="00491CA1"/>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AF1"/>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6CF"/>
    <w:rsid w:val="004B3730"/>
    <w:rsid w:val="004B40FA"/>
    <w:rsid w:val="004B4CB3"/>
    <w:rsid w:val="004B5223"/>
    <w:rsid w:val="004B52CB"/>
    <w:rsid w:val="004B56B4"/>
    <w:rsid w:val="004B5ADF"/>
    <w:rsid w:val="004B67CE"/>
    <w:rsid w:val="004B6DC5"/>
    <w:rsid w:val="004B7377"/>
    <w:rsid w:val="004B74ED"/>
    <w:rsid w:val="004B7B88"/>
    <w:rsid w:val="004C0393"/>
    <w:rsid w:val="004C08D2"/>
    <w:rsid w:val="004C131A"/>
    <w:rsid w:val="004C22D4"/>
    <w:rsid w:val="004C22E9"/>
    <w:rsid w:val="004C232D"/>
    <w:rsid w:val="004C32F6"/>
    <w:rsid w:val="004C359D"/>
    <w:rsid w:val="004C364A"/>
    <w:rsid w:val="004C3E2B"/>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3B88"/>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2B1"/>
    <w:rsid w:val="004F0526"/>
    <w:rsid w:val="004F07EC"/>
    <w:rsid w:val="004F0916"/>
    <w:rsid w:val="004F0D08"/>
    <w:rsid w:val="004F11F5"/>
    <w:rsid w:val="004F132D"/>
    <w:rsid w:val="004F189D"/>
    <w:rsid w:val="004F1963"/>
    <w:rsid w:val="004F1AB3"/>
    <w:rsid w:val="004F1BB5"/>
    <w:rsid w:val="004F1DE8"/>
    <w:rsid w:val="004F2008"/>
    <w:rsid w:val="004F29E1"/>
    <w:rsid w:val="004F2F98"/>
    <w:rsid w:val="004F306C"/>
    <w:rsid w:val="004F311A"/>
    <w:rsid w:val="004F38C5"/>
    <w:rsid w:val="004F3CC7"/>
    <w:rsid w:val="004F3CD1"/>
    <w:rsid w:val="004F3D46"/>
    <w:rsid w:val="004F405B"/>
    <w:rsid w:val="004F57AE"/>
    <w:rsid w:val="004F5CB0"/>
    <w:rsid w:val="004F6069"/>
    <w:rsid w:val="004F6333"/>
    <w:rsid w:val="004F63FA"/>
    <w:rsid w:val="004F64F2"/>
    <w:rsid w:val="004F69E1"/>
    <w:rsid w:val="004F6A24"/>
    <w:rsid w:val="004F6C21"/>
    <w:rsid w:val="004F713E"/>
    <w:rsid w:val="004F755E"/>
    <w:rsid w:val="004F78E8"/>
    <w:rsid w:val="004F7918"/>
    <w:rsid w:val="004F7939"/>
    <w:rsid w:val="004F7B13"/>
    <w:rsid w:val="005000ED"/>
    <w:rsid w:val="00500244"/>
    <w:rsid w:val="00500552"/>
    <w:rsid w:val="005006B3"/>
    <w:rsid w:val="00500BB1"/>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400"/>
    <w:rsid w:val="00515C5A"/>
    <w:rsid w:val="005160FD"/>
    <w:rsid w:val="005164AA"/>
    <w:rsid w:val="005164E9"/>
    <w:rsid w:val="00516C68"/>
    <w:rsid w:val="00517D5F"/>
    <w:rsid w:val="00520516"/>
    <w:rsid w:val="00520CE9"/>
    <w:rsid w:val="00521091"/>
    <w:rsid w:val="005213E5"/>
    <w:rsid w:val="00521707"/>
    <w:rsid w:val="00522378"/>
    <w:rsid w:val="005223C6"/>
    <w:rsid w:val="00522436"/>
    <w:rsid w:val="005228ED"/>
    <w:rsid w:val="00522D9C"/>
    <w:rsid w:val="00522E2D"/>
    <w:rsid w:val="005235AA"/>
    <w:rsid w:val="00524F9F"/>
    <w:rsid w:val="005251C5"/>
    <w:rsid w:val="00525438"/>
    <w:rsid w:val="00525B9E"/>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313D"/>
    <w:rsid w:val="00534041"/>
    <w:rsid w:val="005341AA"/>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7B0"/>
    <w:rsid w:val="00543854"/>
    <w:rsid w:val="005439F8"/>
    <w:rsid w:val="00543A29"/>
    <w:rsid w:val="00543F92"/>
    <w:rsid w:val="005441DF"/>
    <w:rsid w:val="005442E6"/>
    <w:rsid w:val="00544993"/>
    <w:rsid w:val="00544B6D"/>
    <w:rsid w:val="00544D3F"/>
    <w:rsid w:val="00544EE2"/>
    <w:rsid w:val="0054555E"/>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1C03"/>
    <w:rsid w:val="00552161"/>
    <w:rsid w:val="00552372"/>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9FC"/>
    <w:rsid w:val="00555D4E"/>
    <w:rsid w:val="00556125"/>
    <w:rsid w:val="0055715D"/>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67E5A"/>
    <w:rsid w:val="0057023D"/>
    <w:rsid w:val="005707EB"/>
    <w:rsid w:val="00570822"/>
    <w:rsid w:val="005709DA"/>
    <w:rsid w:val="00570DBD"/>
    <w:rsid w:val="0057151F"/>
    <w:rsid w:val="005715B5"/>
    <w:rsid w:val="005715FD"/>
    <w:rsid w:val="00571840"/>
    <w:rsid w:val="0057185D"/>
    <w:rsid w:val="005718BC"/>
    <w:rsid w:val="00571977"/>
    <w:rsid w:val="00571EF7"/>
    <w:rsid w:val="0057268E"/>
    <w:rsid w:val="00572CB3"/>
    <w:rsid w:val="0057315D"/>
    <w:rsid w:val="00573C78"/>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628"/>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5FB"/>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3D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DD2"/>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33B"/>
    <w:rsid w:val="005A7F88"/>
    <w:rsid w:val="005B0BC9"/>
    <w:rsid w:val="005B1AA7"/>
    <w:rsid w:val="005B1D9E"/>
    <w:rsid w:val="005B2811"/>
    <w:rsid w:val="005B2ACA"/>
    <w:rsid w:val="005B2C07"/>
    <w:rsid w:val="005B2DB2"/>
    <w:rsid w:val="005B2F90"/>
    <w:rsid w:val="005B32BC"/>
    <w:rsid w:val="005B33EC"/>
    <w:rsid w:val="005B354F"/>
    <w:rsid w:val="005B35FB"/>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1B69"/>
    <w:rsid w:val="005C2BD3"/>
    <w:rsid w:val="005C3C1E"/>
    <w:rsid w:val="005C3F29"/>
    <w:rsid w:val="005C4BA8"/>
    <w:rsid w:val="005C514B"/>
    <w:rsid w:val="005C51D7"/>
    <w:rsid w:val="005C5E52"/>
    <w:rsid w:val="005C5F5F"/>
    <w:rsid w:val="005C61A4"/>
    <w:rsid w:val="005C62E1"/>
    <w:rsid w:val="005C6814"/>
    <w:rsid w:val="005C6B09"/>
    <w:rsid w:val="005C6F6B"/>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C69"/>
    <w:rsid w:val="005D5DCB"/>
    <w:rsid w:val="005D6554"/>
    <w:rsid w:val="005D65C2"/>
    <w:rsid w:val="005D6E17"/>
    <w:rsid w:val="005D70EC"/>
    <w:rsid w:val="005D7568"/>
    <w:rsid w:val="005D7719"/>
    <w:rsid w:val="005D7ED9"/>
    <w:rsid w:val="005D7FDC"/>
    <w:rsid w:val="005E049B"/>
    <w:rsid w:val="005E0ABD"/>
    <w:rsid w:val="005E1097"/>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D18"/>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4BA"/>
    <w:rsid w:val="00604528"/>
    <w:rsid w:val="00604D15"/>
    <w:rsid w:val="006050AB"/>
    <w:rsid w:val="0060524A"/>
    <w:rsid w:val="006052B5"/>
    <w:rsid w:val="006059D2"/>
    <w:rsid w:val="006067A9"/>
    <w:rsid w:val="00606C55"/>
    <w:rsid w:val="00606CB9"/>
    <w:rsid w:val="00606FD4"/>
    <w:rsid w:val="0060705C"/>
    <w:rsid w:val="0060714E"/>
    <w:rsid w:val="006071A0"/>
    <w:rsid w:val="0060734E"/>
    <w:rsid w:val="00607657"/>
    <w:rsid w:val="00610D41"/>
    <w:rsid w:val="0061127F"/>
    <w:rsid w:val="006113CC"/>
    <w:rsid w:val="00611A07"/>
    <w:rsid w:val="006121A8"/>
    <w:rsid w:val="006122DF"/>
    <w:rsid w:val="00612360"/>
    <w:rsid w:val="006125F5"/>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17BC1"/>
    <w:rsid w:val="006202EF"/>
    <w:rsid w:val="0062045F"/>
    <w:rsid w:val="00620C68"/>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1DC"/>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845"/>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49E"/>
    <w:rsid w:val="006416D0"/>
    <w:rsid w:val="00642E2C"/>
    <w:rsid w:val="00642FDD"/>
    <w:rsid w:val="006439FF"/>
    <w:rsid w:val="00643A07"/>
    <w:rsid w:val="0064451B"/>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44"/>
    <w:rsid w:val="00657F57"/>
    <w:rsid w:val="00660E0E"/>
    <w:rsid w:val="00660F91"/>
    <w:rsid w:val="00660FB6"/>
    <w:rsid w:val="006613C1"/>
    <w:rsid w:val="00661D14"/>
    <w:rsid w:val="006629A0"/>
    <w:rsid w:val="0066321A"/>
    <w:rsid w:val="0066365D"/>
    <w:rsid w:val="00664AED"/>
    <w:rsid w:val="00665168"/>
    <w:rsid w:val="0066547A"/>
    <w:rsid w:val="00665997"/>
    <w:rsid w:val="00666EA1"/>
    <w:rsid w:val="006671E7"/>
    <w:rsid w:val="00667451"/>
    <w:rsid w:val="006674F6"/>
    <w:rsid w:val="006675F8"/>
    <w:rsid w:val="00670296"/>
    <w:rsid w:val="0067037F"/>
    <w:rsid w:val="0067170A"/>
    <w:rsid w:val="00671C98"/>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9F6"/>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270"/>
    <w:rsid w:val="006923CC"/>
    <w:rsid w:val="006931D0"/>
    <w:rsid w:val="00693374"/>
    <w:rsid w:val="00693381"/>
    <w:rsid w:val="006939E7"/>
    <w:rsid w:val="00693AD7"/>
    <w:rsid w:val="00695437"/>
    <w:rsid w:val="0069562C"/>
    <w:rsid w:val="00695938"/>
    <w:rsid w:val="00695B5A"/>
    <w:rsid w:val="00695D17"/>
    <w:rsid w:val="00695DD9"/>
    <w:rsid w:val="00695FC7"/>
    <w:rsid w:val="0069695A"/>
    <w:rsid w:val="00696F26"/>
    <w:rsid w:val="00697835"/>
    <w:rsid w:val="006979C3"/>
    <w:rsid w:val="00697FA3"/>
    <w:rsid w:val="006A0229"/>
    <w:rsid w:val="006A03B7"/>
    <w:rsid w:val="006A072A"/>
    <w:rsid w:val="006A09CB"/>
    <w:rsid w:val="006A0F00"/>
    <w:rsid w:val="006A0FCA"/>
    <w:rsid w:val="006A162B"/>
    <w:rsid w:val="006A181A"/>
    <w:rsid w:val="006A1BF8"/>
    <w:rsid w:val="006A25FE"/>
    <w:rsid w:val="006A2E5F"/>
    <w:rsid w:val="006A3538"/>
    <w:rsid w:val="006A3A60"/>
    <w:rsid w:val="006A3BED"/>
    <w:rsid w:val="006A4CD1"/>
    <w:rsid w:val="006A4DF4"/>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3FA8"/>
    <w:rsid w:val="006C425F"/>
    <w:rsid w:val="006C470F"/>
    <w:rsid w:val="006C47C9"/>
    <w:rsid w:val="006C503D"/>
    <w:rsid w:val="006C51C0"/>
    <w:rsid w:val="006C52B5"/>
    <w:rsid w:val="006C5320"/>
    <w:rsid w:val="006C5372"/>
    <w:rsid w:val="006C5B23"/>
    <w:rsid w:val="006C5D7C"/>
    <w:rsid w:val="006C63FF"/>
    <w:rsid w:val="006C65D2"/>
    <w:rsid w:val="006C6917"/>
    <w:rsid w:val="006C6AD9"/>
    <w:rsid w:val="006C7295"/>
    <w:rsid w:val="006C72FD"/>
    <w:rsid w:val="006C733F"/>
    <w:rsid w:val="006C7663"/>
    <w:rsid w:val="006C76B5"/>
    <w:rsid w:val="006D0530"/>
    <w:rsid w:val="006D0613"/>
    <w:rsid w:val="006D0886"/>
    <w:rsid w:val="006D0D8D"/>
    <w:rsid w:val="006D11D5"/>
    <w:rsid w:val="006D13F5"/>
    <w:rsid w:val="006D1841"/>
    <w:rsid w:val="006D1AD9"/>
    <w:rsid w:val="006D20EA"/>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2C8"/>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3F34"/>
    <w:rsid w:val="006E42F2"/>
    <w:rsid w:val="006E4391"/>
    <w:rsid w:val="006E4569"/>
    <w:rsid w:val="006E4898"/>
    <w:rsid w:val="006E4923"/>
    <w:rsid w:val="006E4B17"/>
    <w:rsid w:val="006E4B59"/>
    <w:rsid w:val="006E4C06"/>
    <w:rsid w:val="006E559F"/>
    <w:rsid w:val="006E5744"/>
    <w:rsid w:val="006E594F"/>
    <w:rsid w:val="006E5E0F"/>
    <w:rsid w:val="006E67E1"/>
    <w:rsid w:val="006E6811"/>
    <w:rsid w:val="006E6BA5"/>
    <w:rsid w:val="006E6EFB"/>
    <w:rsid w:val="006E78DD"/>
    <w:rsid w:val="006E798E"/>
    <w:rsid w:val="006E7D2B"/>
    <w:rsid w:val="006F0A7B"/>
    <w:rsid w:val="006F0CA7"/>
    <w:rsid w:val="006F1138"/>
    <w:rsid w:val="006F1E2D"/>
    <w:rsid w:val="006F1F5D"/>
    <w:rsid w:val="006F2072"/>
    <w:rsid w:val="006F21C0"/>
    <w:rsid w:val="006F2495"/>
    <w:rsid w:val="006F26B5"/>
    <w:rsid w:val="006F2AA1"/>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2B2"/>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61D"/>
    <w:rsid w:val="00703F4D"/>
    <w:rsid w:val="007041C6"/>
    <w:rsid w:val="007047C3"/>
    <w:rsid w:val="00704A4A"/>
    <w:rsid w:val="00705066"/>
    <w:rsid w:val="0070568D"/>
    <w:rsid w:val="007056A5"/>
    <w:rsid w:val="00705A3C"/>
    <w:rsid w:val="00705D32"/>
    <w:rsid w:val="007068DB"/>
    <w:rsid w:val="00707088"/>
    <w:rsid w:val="0070717D"/>
    <w:rsid w:val="0070722C"/>
    <w:rsid w:val="007077F1"/>
    <w:rsid w:val="00707899"/>
    <w:rsid w:val="00707BBB"/>
    <w:rsid w:val="00707C5D"/>
    <w:rsid w:val="0071038D"/>
    <w:rsid w:val="007104C0"/>
    <w:rsid w:val="00710573"/>
    <w:rsid w:val="00710821"/>
    <w:rsid w:val="00710C35"/>
    <w:rsid w:val="00710EEA"/>
    <w:rsid w:val="0071175B"/>
    <w:rsid w:val="00711C69"/>
    <w:rsid w:val="00711CC7"/>
    <w:rsid w:val="00711EF1"/>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3FF"/>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3B0"/>
    <w:rsid w:val="007453FD"/>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83A"/>
    <w:rsid w:val="00752E9D"/>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1ADA"/>
    <w:rsid w:val="00762155"/>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672D4"/>
    <w:rsid w:val="00770032"/>
    <w:rsid w:val="007700C7"/>
    <w:rsid w:val="0077013F"/>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6007"/>
    <w:rsid w:val="0077705A"/>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27"/>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5FA"/>
    <w:rsid w:val="00790642"/>
    <w:rsid w:val="00790C07"/>
    <w:rsid w:val="00790C2A"/>
    <w:rsid w:val="00790F32"/>
    <w:rsid w:val="00791056"/>
    <w:rsid w:val="00791236"/>
    <w:rsid w:val="007914EB"/>
    <w:rsid w:val="0079154D"/>
    <w:rsid w:val="007927BD"/>
    <w:rsid w:val="00792851"/>
    <w:rsid w:val="00792B0A"/>
    <w:rsid w:val="00792EA6"/>
    <w:rsid w:val="00793DD0"/>
    <w:rsid w:val="00793F51"/>
    <w:rsid w:val="00794662"/>
    <w:rsid w:val="007946A0"/>
    <w:rsid w:val="00794DBA"/>
    <w:rsid w:val="00795B1F"/>
    <w:rsid w:val="00796656"/>
    <w:rsid w:val="00796CE4"/>
    <w:rsid w:val="007976D4"/>
    <w:rsid w:val="007978C1"/>
    <w:rsid w:val="00797A40"/>
    <w:rsid w:val="007A08A9"/>
    <w:rsid w:val="007A11A5"/>
    <w:rsid w:val="007A1399"/>
    <w:rsid w:val="007A1586"/>
    <w:rsid w:val="007A1EA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6F4"/>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AAE"/>
    <w:rsid w:val="007D249B"/>
    <w:rsid w:val="007D2AAD"/>
    <w:rsid w:val="007D306B"/>
    <w:rsid w:val="007D31F3"/>
    <w:rsid w:val="007D34CA"/>
    <w:rsid w:val="007D387D"/>
    <w:rsid w:val="007D45C2"/>
    <w:rsid w:val="007D4738"/>
    <w:rsid w:val="007D48F4"/>
    <w:rsid w:val="007D4EC0"/>
    <w:rsid w:val="007D50A3"/>
    <w:rsid w:val="007D5A1C"/>
    <w:rsid w:val="007D5AFD"/>
    <w:rsid w:val="007D67FB"/>
    <w:rsid w:val="007D6A27"/>
    <w:rsid w:val="007D6A91"/>
    <w:rsid w:val="007D6B6A"/>
    <w:rsid w:val="007D6F07"/>
    <w:rsid w:val="007D71CB"/>
    <w:rsid w:val="007D7938"/>
    <w:rsid w:val="007E0097"/>
    <w:rsid w:val="007E02BE"/>
    <w:rsid w:val="007E0980"/>
    <w:rsid w:val="007E12CF"/>
    <w:rsid w:val="007E15E2"/>
    <w:rsid w:val="007E1C03"/>
    <w:rsid w:val="007E1C62"/>
    <w:rsid w:val="007E21B6"/>
    <w:rsid w:val="007E2F63"/>
    <w:rsid w:val="007E314E"/>
    <w:rsid w:val="007E317F"/>
    <w:rsid w:val="007E3C64"/>
    <w:rsid w:val="007E42E7"/>
    <w:rsid w:val="007E480B"/>
    <w:rsid w:val="007E547E"/>
    <w:rsid w:val="007E57DA"/>
    <w:rsid w:val="007E59F7"/>
    <w:rsid w:val="007E6E24"/>
    <w:rsid w:val="007E7147"/>
    <w:rsid w:val="007F045E"/>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080"/>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7B5"/>
    <w:rsid w:val="007F780C"/>
    <w:rsid w:val="007F7F46"/>
    <w:rsid w:val="00800139"/>
    <w:rsid w:val="008002C6"/>
    <w:rsid w:val="008003F6"/>
    <w:rsid w:val="008011F8"/>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65A"/>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8D5"/>
    <w:rsid w:val="00844BA3"/>
    <w:rsid w:val="0084526F"/>
    <w:rsid w:val="00845751"/>
    <w:rsid w:val="008457CA"/>
    <w:rsid w:val="00845B6E"/>
    <w:rsid w:val="0084636A"/>
    <w:rsid w:val="0084637A"/>
    <w:rsid w:val="008464C3"/>
    <w:rsid w:val="00846FCE"/>
    <w:rsid w:val="008477F7"/>
    <w:rsid w:val="00847A0F"/>
    <w:rsid w:val="00847EB6"/>
    <w:rsid w:val="00850026"/>
    <w:rsid w:val="00850548"/>
    <w:rsid w:val="008507E6"/>
    <w:rsid w:val="008509C9"/>
    <w:rsid w:val="008510CB"/>
    <w:rsid w:val="00851C6B"/>
    <w:rsid w:val="00851D0A"/>
    <w:rsid w:val="00852383"/>
    <w:rsid w:val="00852ECE"/>
    <w:rsid w:val="008534ED"/>
    <w:rsid w:val="00853AFB"/>
    <w:rsid w:val="00853B2D"/>
    <w:rsid w:val="00853D0C"/>
    <w:rsid w:val="00854107"/>
    <w:rsid w:val="00854190"/>
    <w:rsid w:val="00854194"/>
    <w:rsid w:val="00854481"/>
    <w:rsid w:val="0085459B"/>
    <w:rsid w:val="008549FC"/>
    <w:rsid w:val="00854DBE"/>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A4"/>
    <w:rsid w:val="00860CEA"/>
    <w:rsid w:val="00860E43"/>
    <w:rsid w:val="0086146D"/>
    <w:rsid w:val="008618FC"/>
    <w:rsid w:val="00861991"/>
    <w:rsid w:val="008626FC"/>
    <w:rsid w:val="008628CA"/>
    <w:rsid w:val="008628FA"/>
    <w:rsid w:val="00863025"/>
    <w:rsid w:val="008633F1"/>
    <w:rsid w:val="00863833"/>
    <w:rsid w:val="00863C38"/>
    <w:rsid w:val="00864106"/>
    <w:rsid w:val="00864591"/>
    <w:rsid w:val="008645A2"/>
    <w:rsid w:val="00864BCE"/>
    <w:rsid w:val="00864F74"/>
    <w:rsid w:val="00865301"/>
    <w:rsid w:val="00865381"/>
    <w:rsid w:val="008655ED"/>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76F3C"/>
    <w:rsid w:val="00876FFA"/>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3E4F"/>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8FC"/>
    <w:rsid w:val="00891D23"/>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6CF5"/>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6FF9"/>
    <w:rsid w:val="008B73E0"/>
    <w:rsid w:val="008B7885"/>
    <w:rsid w:val="008B7D39"/>
    <w:rsid w:val="008C013F"/>
    <w:rsid w:val="008C103F"/>
    <w:rsid w:val="008C1820"/>
    <w:rsid w:val="008C18FD"/>
    <w:rsid w:val="008C1A52"/>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8C5"/>
    <w:rsid w:val="008C79B4"/>
    <w:rsid w:val="008C7F90"/>
    <w:rsid w:val="008D00B5"/>
    <w:rsid w:val="008D0180"/>
    <w:rsid w:val="008D0721"/>
    <w:rsid w:val="008D09A9"/>
    <w:rsid w:val="008D0A2E"/>
    <w:rsid w:val="008D0A55"/>
    <w:rsid w:val="008D151F"/>
    <w:rsid w:val="008D1FBA"/>
    <w:rsid w:val="008D2053"/>
    <w:rsid w:val="008D24E0"/>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039B"/>
    <w:rsid w:val="009010F9"/>
    <w:rsid w:val="0090129C"/>
    <w:rsid w:val="00903328"/>
    <w:rsid w:val="009036A8"/>
    <w:rsid w:val="00903B09"/>
    <w:rsid w:val="009048F0"/>
    <w:rsid w:val="00904CBF"/>
    <w:rsid w:val="00904FE3"/>
    <w:rsid w:val="0090508B"/>
    <w:rsid w:val="00905885"/>
    <w:rsid w:val="00905F50"/>
    <w:rsid w:val="0090605D"/>
    <w:rsid w:val="00906AF9"/>
    <w:rsid w:val="00907220"/>
    <w:rsid w:val="00907297"/>
    <w:rsid w:val="00907326"/>
    <w:rsid w:val="00907933"/>
    <w:rsid w:val="00910263"/>
    <w:rsid w:val="00910421"/>
    <w:rsid w:val="00910574"/>
    <w:rsid w:val="00910F74"/>
    <w:rsid w:val="00911135"/>
    <w:rsid w:val="009111E9"/>
    <w:rsid w:val="009117EB"/>
    <w:rsid w:val="00911B5E"/>
    <w:rsid w:val="0091219C"/>
    <w:rsid w:val="00912901"/>
    <w:rsid w:val="00912945"/>
    <w:rsid w:val="00912C67"/>
    <w:rsid w:val="009131C4"/>
    <w:rsid w:val="0091354A"/>
    <w:rsid w:val="00913727"/>
    <w:rsid w:val="00913F7F"/>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2E68"/>
    <w:rsid w:val="0093309D"/>
    <w:rsid w:val="00933219"/>
    <w:rsid w:val="00933F6B"/>
    <w:rsid w:val="00934A6C"/>
    <w:rsid w:val="00934B1E"/>
    <w:rsid w:val="00934F66"/>
    <w:rsid w:val="00935A5F"/>
    <w:rsid w:val="00935CAF"/>
    <w:rsid w:val="00935EDA"/>
    <w:rsid w:val="0093645F"/>
    <w:rsid w:val="00936B4B"/>
    <w:rsid w:val="00936F6A"/>
    <w:rsid w:val="009373FB"/>
    <w:rsid w:val="00937436"/>
    <w:rsid w:val="0094023F"/>
    <w:rsid w:val="00940723"/>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7C5"/>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0F4"/>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4EDC"/>
    <w:rsid w:val="0096570A"/>
    <w:rsid w:val="0096597E"/>
    <w:rsid w:val="00965FE4"/>
    <w:rsid w:val="009665FF"/>
    <w:rsid w:val="0096687C"/>
    <w:rsid w:val="00966A21"/>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757"/>
    <w:rsid w:val="009769B2"/>
    <w:rsid w:val="00976D68"/>
    <w:rsid w:val="00976DFB"/>
    <w:rsid w:val="009776A9"/>
    <w:rsid w:val="009777C1"/>
    <w:rsid w:val="009779F4"/>
    <w:rsid w:val="00977F1B"/>
    <w:rsid w:val="00980013"/>
    <w:rsid w:val="00980B5C"/>
    <w:rsid w:val="0098179A"/>
    <w:rsid w:val="0098209F"/>
    <w:rsid w:val="009825CA"/>
    <w:rsid w:val="00982967"/>
    <w:rsid w:val="00983817"/>
    <w:rsid w:val="00983C71"/>
    <w:rsid w:val="00983E46"/>
    <w:rsid w:val="009846F7"/>
    <w:rsid w:val="009848DB"/>
    <w:rsid w:val="009853A2"/>
    <w:rsid w:val="00985462"/>
    <w:rsid w:val="0098587E"/>
    <w:rsid w:val="0098591D"/>
    <w:rsid w:val="00985BEA"/>
    <w:rsid w:val="00985D9E"/>
    <w:rsid w:val="00986154"/>
    <w:rsid w:val="009864B5"/>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D03"/>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629"/>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2ACE"/>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C77AF"/>
    <w:rsid w:val="009D045F"/>
    <w:rsid w:val="009D05BF"/>
    <w:rsid w:val="009D060D"/>
    <w:rsid w:val="009D07C3"/>
    <w:rsid w:val="009D0A8F"/>
    <w:rsid w:val="009D0EBC"/>
    <w:rsid w:val="009D0FF8"/>
    <w:rsid w:val="009D19E0"/>
    <w:rsid w:val="009D1A77"/>
    <w:rsid w:val="009D1B63"/>
    <w:rsid w:val="009D1BEC"/>
    <w:rsid w:val="009D1E9D"/>
    <w:rsid w:val="009D1F60"/>
    <w:rsid w:val="009D203E"/>
    <w:rsid w:val="009D227B"/>
    <w:rsid w:val="009D22E3"/>
    <w:rsid w:val="009D2EB9"/>
    <w:rsid w:val="009D2EBA"/>
    <w:rsid w:val="009D2FC6"/>
    <w:rsid w:val="009D3148"/>
    <w:rsid w:val="009D3702"/>
    <w:rsid w:val="009D388C"/>
    <w:rsid w:val="009D3993"/>
    <w:rsid w:val="009D3E01"/>
    <w:rsid w:val="009D435B"/>
    <w:rsid w:val="009D44D6"/>
    <w:rsid w:val="009D4C66"/>
    <w:rsid w:val="009D5283"/>
    <w:rsid w:val="009D5305"/>
    <w:rsid w:val="009D568A"/>
    <w:rsid w:val="009D5B8D"/>
    <w:rsid w:val="009D628D"/>
    <w:rsid w:val="009D6497"/>
    <w:rsid w:val="009D71FF"/>
    <w:rsid w:val="009D798A"/>
    <w:rsid w:val="009D7E3B"/>
    <w:rsid w:val="009E0097"/>
    <w:rsid w:val="009E0419"/>
    <w:rsid w:val="009E0557"/>
    <w:rsid w:val="009E0720"/>
    <w:rsid w:val="009E0970"/>
    <w:rsid w:val="009E0F3D"/>
    <w:rsid w:val="009E2426"/>
    <w:rsid w:val="009E25BC"/>
    <w:rsid w:val="009E304F"/>
    <w:rsid w:val="009E3553"/>
    <w:rsid w:val="009E3C2E"/>
    <w:rsid w:val="009E4AD6"/>
    <w:rsid w:val="009E4AE5"/>
    <w:rsid w:val="009E543F"/>
    <w:rsid w:val="009E5700"/>
    <w:rsid w:val="009E5BDB"/>
    <w:rsid w:val="009E5F82"/>
    <w:rsid w:val="009E6CCC"/>
    <w:rsid w:val="009E75BB"/>
    <w:rsid w:val="009E76BB"/>
    <w:rsid w:val="009E7CE5"/>
    <w:rsid w:val="009E7D99"/>
    <w:rsid w:val="009F01A8"/>
    <w:rsid w:val="009F033E"/>
    <w:rsid w:val="009F03F4"/>
    <w:rsid w:val="009F0675"/>
    <w:rsid w:val="009F0E49"/>
    <w:rsid w:val="009F1386"/>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8C2"/>
    <w:rsid w:val="009F6C52"/>
    <w:rsid w:val="009F6CB1"/>
    <w:rsid w:val="009F731E"/>
    <w:rsid w:val="009F7795"/>
    <w:rsid w:val="009F786B"/>
    <w:rsid w:val="009F797E"/>
    <w:rsid w:val="009F79CF"/>
    <w:rsid w:val="00A001FE"/>
    <w:rsid w:val="00A00322"/>
    <w:rsid w:val="00A00611"/>
    <w:rsid w:val="00A00944"/>
    <w:rsid w:val="00A0169A"/>
    <w:rsid w:val="00A01F0D"/>
    <w:rsid w:val="00A027BA"/>
    <w:rsid w:val="00A02C8D"/>
    <w:rsid w:val="00A02DD0"/>
    <w:rsid w:val="00A036A0"/>
    <w:rsid w:val="00A037A4"/>
    <w:rsid w:val="00A03C3A"/>
    <w:rsid w:val="00A040E8"/>
    <w:rsid w:val="00A0455D"/>
    <w:rsid w:val="00A045C5"/>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1EC6"/>
    <w:rsid w:val="00A1281A"/>
    <w:rsid w:val="00A1370A"/>
    <w:rsid w:val="00A13B19"/>
    <w:rsid w:val="00A13DB2"/>
    <w:rsid w:val="00A13DF0"/>
    <w:rsid w:val="00A13F70"/>
    <w:rsid w:val="00A141F8"/>
    <w:rsid w:val="00A142F3"/>
    <w:rsid w:val="00A14C03"/>
    <w:rsid w:val="00A14CC1"/>
    <w:rsid w:val="00A14E0C"/>
    <w:rsid w:val="00A1537F"/>
    <w:rsid w:val="00A15BA0"/>
    <w:rsid w:val="00A15C20"/>
    <w:rsid w:val="00A15C66"/>
    <w:rsid w:val="00A16FFF"/>
    <w:rsid w:val="00A17B4E"/>
    <w:rsid w:val="00A17C8D"/>
    <w:rsid w:val="00A200E2"/>
    <w:rsid w:val="00A20208"/>
    <w:rsid w:val="00A20244"/>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6E9"/>
    <w:rsid w:val="00A308CE"/>
    <w:rsid w:val="00A30CEE"/>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379A1"/>
    <w:rsid w:val="00A402A4"/>
    <w:rsid w:val="00A405CF"/>
    <w:rsid w:val="00A40C38"/>
    <w:rsid w:val="00A4100F"/>
    <w:rsid w:val="00A41673"/>
    <w:rsid w:val="00A41698"/>
    <w:rsid w:val="00A4174B"/>
    <w:rsid w:val="00A41A4F"/>
    <w:rsid w:val="00A41B59"/>
    <w:rsid w:val="00A41BA7"/>
    <w:rsid w:val="00A41C09"/>
    <w:rsid w:val="00A41E5B"/>
    <w:rsid w:val="00A41F7D"/>
    <w:rsid w:val="00A41F99"/>
    <w:rsid w:val="00A42194"/>
    <w:rsid w:val="00A42278"/>
    <w:rsid w:val="00A42338"/>
    <w:rsid w:val="00A4292C"/>
    <w:rsid w:val="00A429F9"/>
    <w:rsid w:val="00A42DBA"/>
    <w:rsid w:val="00A4343E"/>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5DFD"/>
    <w:rsid w:val="00A56472"/>
    <w:rsid w:val="00A5662C"/>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53F"/>
    <w:rsid w:val="00A67658"/>
    <w:rsid w:val="00A67B89"/>
    <w:rsid w:val="00A67CA2"/>
    <w:rsid w:val="00A67DAD"/>
    <w:rsid w:val="00A67DB8"/>
    <w:rsid w:val="00A70159"/>
    <w:rsid w:val="00A70938"/>
    <w:rsid w:val="00A70B31"/>
    <w:rsid w:val="00A70C29"/>
    <w:rsid w:val="00A7175D"/>
    <w:rsid w:val="00A719AF"/>
    <w:rsid w:val="00A719C1"/>
    <w:rsid w:val="00A7279A"/>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1E83"/>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17BC"/>
    <w:rsid w:val="00A9219F"/>
    <w:rsid w:val="00A92BCC"/>
    <w:rsid w:val="00A932E8"/>
    <w:rsid w:val="00A93955"/>
    <w:rsid w:val="00A93B28"/>
    <w:rsid w:val="00A93CDD"/>
    <w:rsid w:val="00A93D07"/>
    <w:rsid w:val="00A941DD"/>
    <w:rsid w:val="00A9435D"/>
    <w:rsid w:val="00A94D25"/>
    <w:rsid w:val="00A94F84"/>
    <w:rsid w:val="00A94FE2"/>
    <w:rsid w:val="00A94FF9"/>
    <w:rsid w:val="00A95186"/>
    <w:rsid w:val="00A95527"/>
    <w:rsid w:val="00A959EB"/>
    <w:rsid w:val="00A95A25"/>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6B"/>
    <w:rsid w:val="00AA3A9E"/>
    <w:rsid w:val="00AA3E93"/>
    <w:rsid w:val="00AA44FF"/>
    <w:rsid w:val="00AA4565"/>
    <w:rsid w:val="00AA4BE4"/>
    <w:rsid w:val="00AA55D4"/>
    <w:rsid w:val="00AA5ABD"/>
    <w:rsid w:val="00AA614B"/>
    <w:rsid w:val="00AA61F2"/>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3A5"/>
    <w:rsid w:val="00AC28BB"/>
    <w:rsid w:val="00AC2976"/>
    <w:rsid w:val="00AC2A72"/>
    <w:rsid w:val="00AC2B90"/>
    <w:rsid w:val="00AC2D58"/>
    <w:rsid w:val="00AC2F64"/>
    <w:rsid w:val="00AC32F8"/>
    <w:rsid w:val="00AC35E0"/>
    <w:rsid w:val="00AC3E7B"/>
    <w:rsid w:val="00AC4A56"/>
    <w:rsid w:val="00AC4B5A"/>
    <w:rsid w:val="00AC4DF4"/>
    <w:rsid w:val="00AC593B"/>
    <w:rsid w:val="00AC5F63"/>
    <w:rsid w:val="00AC641D"/>
    <w:rsid w:val="00AC66F8"/>
    <w:rsid w:val="00AC6830"/>
    <w:rsid w:val="00AC6D1B"/>
    <w:rsid w:val="00AC6DFF"/>
    <w:rsid w:val="00AC6F48"/>
    <w:rsid w:val="00AC701E"/>
    <w:rsid w:val="00AC74DA"/>
    <w:rsid w:val="00AC7FD5"/>
    <w:rsid w:val="00AD0512"/>
    <w:rsid w:val="00AD112D"/>
    <w:rsid w:val="00AD1170"/>
    <w:rsid w:val="00AD1345"/>
    <w:rsid w:val="00AD1722"/>
    <w:rsid w:val="00AD1917"/>
    <w:rsid w:val="00AD1BDB"/>
    <w:rsid w:val="00AD1C83"/>
    <w:rsid w:val="00AD25D0"/>
    <w:rsid w:val="00AD2771"/>
    <w:rsid w:val="00AD2AAC"/>
    <w:rsid w:val="00AD2D74"/>
    <w:rsid w:val="00AD33CB"/>
    <w:rsid w:val="00AD377D"/>
    <w:rsid w:val="00AD3A86"/>
    <w:rsid w:val="00AD3AAE"/>
    <w:rsid w:val="00AD3B62"/>
    <w:rsid w:val="00AD3F01"/>
    <w:rsid w:val="00AD42D5"/>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0E3F"/>
    <w:rsid w:val="00AE1543"/>
    <w:rsid w:val="00AE1669"/>
    <w:rsid w:val="00AE16A2"/>
    <w:rsid w:val="00AE1BD4"/>
    <w:rsid w:val="00AE1C6A"/>
    <w:rsid w:val="00AE22B7"/>
    <w:rsid w:val="00AE2314"/>
    <w:rsid w:val="00AE284F"/>
    <w:rsid w:val="00AE2A3A"/>
    <w:rsid w:val="00AE2DD7"/>
    <w:rsid w:val="00AE319C"/>
    <w:rsid w:val="00AE3D22"/>
    <w:rsid w:val="00AE3D82"/>
    <w:rsid w:val="00AE438F"/>
    <w:rsid w:val="00AE4415"/>
    <w:rsid w:val="00AE4538"/>
    <w:rsid w:val="00AE4C03"/>
    <w:rsid w:val="00AE5436"/>
    <w:rsid w:val="00AE5690"/>
    <w:rsid w:val="00AE57B3"/>
    <w:rsid w:val="00AE57F5"/>
    <w:rsid w:val="00AE5DF2"/>
    <w:rsid w:val="00AE612E"/>
    <w:rsid w:val="00AE643A"/>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500"/>
    <w:rsid w:val="00B0077D"/>
    <w:rsid w:val="00B0099E"/>
    <w:rsid w:val="00B01951"/>
    <w:rsid w:val="00B019AF"/>
    <w:rsid w:val="00B0298F"/>
    <w:rsid w:val="00B02A82"/>
    <w:rsid w:val="00B0312C"/>
    <w:rsid w:val="00B03156"/>
    <w:rsid w:val="00B03224"/>
    <w:rsid w:val="00B03273"/>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0970"/>
    <w:rsid w:val="00B1101F"/>
    <w:rsid w:val="00B1134F"/>
    <w:rsid w:val="00B11377"/>
    <w:rsid w:val="00B11EFE"/>
    <w:rsid w:val="00B12437"/>
    <w:rsid w:val="00B1313A"/>
    <w:rsid w:val="00B13675"/>
    <w:rsid w:val="00B1368E"/>
    <w:rsid w:val="00B150CF"/>
    <w:rsid w:val="00B1574A"/>
    <w:rsid w:val="00B16344"/>
    <w:rsid w:val="00B16E5A"/>
    <w:rsid w:val="00B17B47"/>
    <w:rsid w:val="00B17D03"/>
    <w:rsid w:val="00B20080"/>
    <w:rsid w:val="00B20149"/>
    <w:rsid w:val="00B20402"/>
    <w:rsid w:val="00B204F2"/>
    <w:rsid w:val="00B20734"/>
    <w:rsid w:val="00B20B6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899"/>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09D"/>
    <w:rsid w:val="00B4168B"/>
    <w:rsid w:val="00B41E24"/>
    <w:rsid w:val="00B41F55"/>
    <w:rsid w:val="00B42493"/>
    <w:rsid w:val="00B42AEF"/>
    <w:rsid w:val="00B42C17"/>
    <w:rsid w:val="00B433BD"/>
    <w:rsid w:val="00B43C37"/>
    <w:rsid w:val="00B43EA8"/>
    <w:rsid w:val="00B45132"/>
    <w:rsid w:val="00B45F9F"/>
    <w:rsid w:val="00B46117"/>
    <w:rsid w:val="00B465B2"/>
    <w:rsid w:val="00B467FA"/>
    <w:rsid w:val="00B46A7F"/>
    <w:rsid w:val="00B46C2A"/>
    <w:rsid w:val="00B46D13"/>
    <w:rsid w:val="00B47A82"/>
    <w:rsid w:val="00B47D06"/>
    <w:rsid w:val="00B47EE2"/>
    <w:rsid w:val="00B50446"/>
    <w:rsid w:val="00B50694"/>
    <w:rsid w:val="00B50EF0"/>
    <w:rsid w:val="00B514DF"/>
    <w:rsid w:val="00B51743"/>
    <w:rsid w:val="00B51F34"/>
    <w:rsid w:val="00B521CF"/>
    <w:rsid w:val="00B52716"/>
    <w:rsid w:val="00B52740"/>
    <w:rsid w:val="00B527DE"/>
    <w:rsid w:val="00B52B4C"/>
    <w:rsid w:val="00B52B4D"/>
    <w:rsid w:val="00B52CA0"/>
    <w:rsid w:val="00B52CEC"/>
    <w:rsid w:val="00B52E3D"/>
    <w:rsid w:val="00B52FF3"/>
    <w:rsid w:val="00B53037"/>
    <w:rsid w:val="00B53670"/>
    <w:rsid w:val="00B53D06"/>
    <w:rsid w:val="00B53F36"/>
    <w:rsid w:val="00B54188"/>
    <w:rsid w:val="00B543A1"/>
    <w:rsid w:val="00B54B44"/>
    <w:rsid w:val="00B55068"/>
    <w:rsid w:val="00B550F2"/>
    <w:rsid w:val="00B5564B"/>
    <w:rsid w:val="00B559CF"/>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1DC1"/>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1E73"/>
    <w:rsid w:val="00B82011"/>
    <w:rsid w:val="00B82214"/>
    <w:rsid w:val="00B82E6C"/>
    <w:rsid w:val="00B830A3"/>
    <w:rsid w:val="00B83593"/>
    <w:rsid w:val="00B83B6C"/>
    <w:rsid w:val="00B83C90"/>
    <w:rsid w:val="00B83F58"/>
    <w:rsid w:val="00B84044"/>
    <w:rsid w:val="00B842E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2F0A"/>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CD0"/>
    <w:rsid w:val="00BA1EEF"/>
    <w:rsid w:val="00BA222C"/>
    <w:rsid w:val="00BA26B4"/>
    <w:rsid w:val="00BA3D40"/>
    <w:rsid w:val="00BA42E9"/>
    <w:rsid w:val="00BA4BB9"/>
    <w:rsid w:val="00BA54EB"/>
    <w:rsid w:val="00BA57B6"/>
    <w:rsid w:val="00BA5CBC"/>
    <w:rsid w:val="00BA66AC"/>
    <w:rsid w:val="00BA6ED6"/>
    <w:rsid w:val="00BA720A"/>
    <w:rsid w:val="00BA747F"/>
    <w:rsid w:val="00BA78FB"/>
    <w:rsid w:val="00BA7FFE"/>
    <w:rsid w:val="00BB04DE"/>
    <w:rsid w:val="00BB05CF"/>
    <w:rsid w:val="00BB0B30"/>
    <w:rsid w:val="00BB0E41"/>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DA3"/>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AFF"/>
    <w:rsid w:val="00BD4D87"/>
    <w:rsid w:val="00BD5202"/>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1F75"/>
    <w:rsid w:val="00BE2285"/>
    <w:rsid w:val="00BE2486"/>
    <w:rsid w:val="00BE251E"/>
    <w:rsid w:val="00BE2819"/>
    <w:rsid w:val="00BE2AB0"/>
    <w:rsid w:val="00BE3228"/>
    <w:rsid w:val="00BE3923"/>
    <w:rsid w:val="00BE4138"/>
    <w:rsid w:val="00BE44BF"/>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74D"/>
    <w:rsid w:val="00C0194C"/>
    <w:rsid w:val="00C01AAA"/>
    <w:rsid w:val="00C01D77"/>
    <w:rsid w:val="00C02929"/>
    <w:rsid w:val="00C02933"/>
    <w:rsid w:val="00C029A2"/>
    <w:rsid w:val="00C02AD1"/>
    <w:rsid w:val="00C02BD7"/>
    <w:rsid w:val="00C032D4"/>
    <w:rsid w:val="00C03692"/>
    <w:rsid w:val="00C03A9E"/>
    <w:rsid w:val="00C03E9E"/>
    <w:rsid w:val="00C0408A"/>
    <w:rsid w:val="00C05B0D"/>
    <w:rsid w:val="00C05BDD"/>
    <w:rsid w:val="00C05CFA"/>
    <w:rsid w:val="00C0676D"/>
    <w:rsid w:val="00C070BF"/>
    <w:rsid w:val="00C07146"/>
    <w:rsid w:val="00C07362"/>
    <w:rsid w:val="00C07ECA"/>
    <w:rsid w:val="00C07FBE"/>
    <w:rsid w:val="00C10A16"/>
    <w:rsid w:val="00C10D65"/>
    <w:rsid w:val="00C10D78"/>
    <w:rsid w:val="00C114A1"/>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5F3D"/>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0F0"/>
    <w:rsid w:val="00C23482"/>
    <w:rsid w:val="00C2397D"/>
    <w:rsid w:val="00C23BE6"/>
    <w:rsid w:val="00C23C02"/>
    <w:rsid w:val="00C24862"/>
    <w:rsid w:val="00C24C46"/>
    <w:rsid w:val="00C24FFF"/>
    <w:rsid w:val="00C25348"/>
    <w:rsid w:val="00C2581A"/>
    <w:rsid w:val="00C25CD0"/>
    <w:rsid w:val="00C26518"/>
    <w:rsid w:val="00C265C3"/>
    <w:rsid w:val="00C267D1"/>
    <w:rsid w:val="00C26EBA"/>
    <w:rsid w:val="00C270DD"/>
    <w:rsid w:val="00C27DF1"/>
    <w:rsid w:val="00C3105E"/>
    <w:rsid w:val="00C3147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5F2"/>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E25"/>
    <w:rsid w:val="00C47F0B"/>
    <w:rsid w:val="00C5004C"/>
    <w:rsid w:val="00C505BD"/>
    <w:rsid w:val="00C506C1"/>
    <w:rsid w:val="00C50D0B"/>
    <w:rsid w:val="00C50EDE"/>
    <w:rsid w:val="00C51164"/>
    <w:rsid w:val="00C51420"/>
    <w:rsid w:val="00C51545"/>
    <w:rsid w:val="00C51AC1"/>
    <w:rsid w:val="00C5244C"/>
    <w:rsid w:val="00C52677"/>
    <w:rsid w:val="00C52733"/>
    <w:rsid w:val="00C52A15"/>
    <w:rsid w:val="00C52FE8"/>
    <w:rsid w:val="00C539A4"/>
    <w:rsid w:val="00C53B5A"/>
    <w:rsid w:val="00C53C5E"/>
    <w:rsid w:val="00C54006"/>
    <w:rsid w:val="00C54047"/>
    <w:rsid w:val="00C545EB"/>
    <w:rsid w:val="00C54897"/>
    <w:rsid w:val="00C54ABC"/>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868"/>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0E3"/>
    <w:rsid w:val="00C90274"/>
    <w:rsid w:val="00C90299"/>
    <w:rsid w:val="00C908E2"/>
    <w:rsid w:val="00C91136"/>
    <w:rsid w:val="00C9126E"/>
    <w:rsid w:val="00C914B9"/>
    <w:rsid w:val="00C91692"/>
    <w:rsid w:val="00C9186F"/>
    <w:rsid w:val="00C91A36"/>
    <w:rsid w:val="00C92614"/>
    <w:rsid w:val="00C92779"/>
    <w:rsid w:val="00C92BF9"/>
    <w:rsid w:val="00C92FC9"/>
    <w:rsid w:val="00C931F2"/>
    <w:rsid w:val="00C93376"/>
    <w:rsid w:val="00C93945"/>
    <w:rsid w:val="00C93AB6"/>
    <w:rsid w:val="00C94627"/>
    <w:rsid w:val="00C94D30"/>
    <w:rsid w:val="00C94ECA"/>
    <w:rsid w:val="00C9562A"/>
    <w:rsid w:val="00C95ADE"/>
    <w:rsid w:val="00C95DC2"/>
    <w:rsid w:val="00C966EE"/>
    <w:rsid w:val="00C96783"/>
    <w:rsid w:val="00C96FF2"/>
    <w:rsid w:val="00C97565"/>
    <w:rsid w:val="00C97C9B"/>
    <w:rsid w:val="00CA008E"/>
    <w:rsid w:val="00CA01A5"/>
    <w:rsid w:val="00CA0799"/>
    <w:rsid w:val="00CA0A27"/>
    <w:rsid w:val="00CA0DAC"/>
    <w:rsid w:val="00CA1126"/>
    <w:rsid w:val="00CA144C"/>
    <w:rsid w:val="00CA1451"/>
    <w:rsid w:val="00CA14D5"/>
    <w:rsid w:val="00CA1A88"/>
    <w:rsid w:val="00CA1B69"/>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0E5C"/>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BDC"/>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035"/>
    <w:rsid w:val="00CC5B7E"/>
    <w:rsid w:val="00CC5F00"/>
    <w:rsid w:val="00CC6D09"/>
    <w:rsid w:val="00CC7800"/>
    <w:rsid w:val="00CC79CE"/>
    <w:rsid w:val="00CC7A4F"/>
    <w:rsid w:val="00CD0131"/>
    <w:rsid w:val="00CD02EA"/>
    <w:rsid w:val="00CD07CD"/>
    <w:rsid w:val="00CD0B81"/>
    <w:rsid w:val="00CD11AB"/>
    <w:rsid w:val="00CD15A0"/>
    <w:rsid w:val="00CD1A01"/>
    <w:rsid w:val="00CD1AC5"/>
    <w:rsid w:val="00CD1C9C"/>
    <w:rsid w:val="00CD1EEC"/>
    <w:rsid w:val="00CD2767"/>
    <w:rsid w:val="00CD2A54"/>
    <w:rsid w:val="00CD2B4D"/>
    <w:rsid w:val="00CD2BEE"/>
    <w:rsid w:val="00CD2D7F"/>
    <w:rsid w:val="00CD3AF1"/>
    <w:rsid w:val="00CD3C43"/>
    <w:rsid w:val="00CD441E"/>
    <w:rsid w:val="00CD4496"/>
    <w:rsid w:val="00CD4CCF"/>
    <w:rsid w:val="00CD59CF"/>
    <w:rsid w:val="00CD5BBE"/>
    <w:rsid w:val="00CD5BF0"/>
    <w:rsid w:val="00CD60AC"/>
    <w:rsid w:val="00CD630E"/>
    <w:rsid w:val="00CD6876"/>
    <w:rsid w:val="00CD7D7A"/>
    <w:rsid w:val="00CE0946"/>
    <w:rsid w:val="00CE0C38"/>
    <w:rsid w:val="00CE0D51"/>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1F"/>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9EE"/>
    <w:rsid w:val="00D12B1F"/>
    <w:rsid w:val="00D12E2D"/>
    <w:rsid w:val="00D12EF8"/>
    <w:rsid w:val="00D130A3"/>
    <w:rsid w:val="00D138CD"/>
    <w:rsid w:val="00D13AF5"/>
    <w:rsid w:val="00D13E2E"/>
    <w:rsid w:val="00D14130"/>
    <w:rsid w:val="00D14B59"/>
    <w:rsid w:val="00D155AA"/>
    <w:rsid w:val="00D15646"/>
    <w:rsid w:val="00D1591C"/>
    <w:rsid w:val="00D15958"/>
    <w:rsid w:val="00D15B30"/>
    <w:rsid w:val="00D15EA9"/>
    <w:rsid w:val="00D16090"/>
    <w:rsid w:val="00D16295"/>
    <w:rsid w:val="00D162CD"/>
    <w:rsid w:val="00D16571"/>
    <w:rsid w:val="00D168B2"/>
    <w:rsid w:val="00D175B7"/>
    <w:rsid w:val="00D17748"/>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9E7"/>
    <w:rsid w:val="00D26F4D"/>
    <w:rsid w:val="00D26FF3"/>
    <w:rsid w:val="00D271AD"/>
    <w:rsid w:val="00D27D1B"/>
    <w:rsid w:val="00D27EAB"/>
    <w:rsid w:val="00D30759"/>
    <w:rsid w:val="00D30FEC"/>
    <w:rsid w:val="00D31727"/>
    <w:rsid w:val="00D31AEF"/>
    <w:rsid w:val="00D31BC6"/>
    <w:rsid w:val="00D31E4E"/>
    <w:rsid w:val="00D3254A"/>
    <w:rsid w:val="00D32ACC"/>
    <w:rsid w:val="00D32C7E"/>
    <w:rsid w:val="00D33087"/>
    <w:rsid w:val="00D330B2"/>
    <w:rsid w:val="00D3402B"/>
    <w:rsid w:val="00D34702"/>
    <w:rsid w:val="00D34EDF"/>
    <w:rsid w:val="00D350FB"/>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92F"/>
    <w:rsid w:val="00D50A89"/>
    <w:rsid w:val="00D50C96"/>
    <w:rsid w:val="00D50F36"/>
    <w:rsid w:val="00D51923"/>
    <w:rsid w:val="00D51BF0"/>
    <w:rsid w:val="00D51DFD"/>
    <w:rsid w:val="00D51E62"/>
    <w:rsid w:val="00D522B1"/>
    <w:rsid w:val="00D52DAF"/>
    <w:rsid w:val="00D53B48"/>
    <w:rsid w:val="00D53DFA"/>
    <w:rsid w:val="00D5436D"/>
    <w:rsid w:val="00D54378"/>
    <w:rsid w:val="00D54865"/>
    <w:rsid w:val="00D54889"/>
    <w:rsid w:val="00D54CC8"/>
    <w:rsid w:val="00D54D20"/>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4E07"/>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49A"/>
    <w:rsid w:val="00D83659"/>
    <w:rsid w:val="00D83894"/>
    <w:rsid w:val="00D83EE4"/>
    <w:rsid w:val="00D84ABE"/>
    <w:rsid w:val="00D84C29"/>
    <w:rsid w:val="00D85027"/>
    <w:rsid w:val="00D85D5A"/>
    <w:rsid w:val="00D86149"/>
    <w:rsid w:val="00D862F6"/>
    <w:rsid w:val="00D8651E"/>
    <w:rsid w:val="00D86924"/>
    <w:rsid w:val="00D869DD"/>
    <w:rsid w:val="00D86D33"/>
    <w:rsid w:val="00D86E50"/>
    <w:rsid w:val="00D8723C"/>
    <w:rsid w:val="00D87455"/>
    <w:rsid w:val="00D90219"/>
    <w:rsid w:val="00D909DA"/>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B17"/>
    <w:rsid w:val="00DA0CB6"/>
    <w:rsid w:val="00DA1257"/>
    <w:rsid w:val="00DA16F7"/>
    <w:rsid w:val="00DA1900"/>
    <w:rsid w:val="00DA1B15"/>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693"/>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6F5"/>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3B3"/>
    <w:rsid w:val="00DD0678"/>
    <w:rsid w:val="00DD14FE"/>
    <w:rsid w:val="00DD15D2"/>
    <w:rsid w:val="00DD187B"/>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C09"/>
    <w:rsid w:val="00DD7F1E"/>
    <w:rsid w:val="00DE01B6"/>
    <w:rsid w:val="00DE07AD"/>
    <w:rsid w:val="00DE0D4B"/>
    <w:rsid w:val="00DE1B1C"/>
    <w:rsid w:val="00DE29C0"/>
    <w:rsid w:val="00DE2EA5"/>
    <w:rsid w:val="00DE311C"/>
    <w:rsid w:val="00DE343B"/>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B2E"/>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DF8"/>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635"/>
    <w:rsid w:val="00E06764"/>
    <w:rsid w:val="00E06FF0"/>
    <w:rsid w:val="00E10677"/>
    <w:rsid w:val="00E106B0"/>
    <w:rsid w:val="00E10ADD"/>
    <w:rsid w:val="00E10C3C"/>
    <w:rsid w:val="00E10C88"/>
    <w:rsid w:val="00E11883"/>
    <w:rsid w:val="00E11FFF"/>
    <w:rsid w:val="00E1201F"/>
    <w:rsid w:val="00E12079"/>
    <w:rsid w:val="00E12EE7"/>
    <w:rsid w:val="00E13285"/>
    <w:rsid w:val="00E1376B"/>
    <w:rsid w:val="00E138F3"/>
    <w:rsid w:val="00E13950"/>
    <w:rsid w:val="00E13978"/>
    <w:rsid w:val="00E15355"/>
    <w:rsid w:val="00E1550C"/>
    <w:rsid w:val="00E156B0"/>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02E"/>
    <w:rsid w:val="00E30870"/>
    <w:rsid w:val="00E30F9B"/>
    <w:rsid w:val="00E3102D"/>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D30"/>
    <w:rsid w:val="00E33F53"/>
    <w:rsid w:val="00E33F62"/>
    <w:rsid w:val="00E344C2"/>
    <w:rsid w:val="00E34999"/>
    <w:rsid w:val="00E349F9"/>
    <w:rsid w:val="00E34B22"/>
    <w:rsid w:val="00E34C22"/>
    <w:rsid w:val="00E34ED4"/>
    <w:rsid w:val="00E3541C"/>
    <w:rsid w:val="00E35E7D"/>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925"/>
    <w:rsid w:val="00E50EF3"/>
    <w:rsid w:val="00E51335"/>
    <w:rsid w:val="00E517EB"/>
    <w:rsid w:val="00E52BA6"/>
    <w:rsid w:val="00E53631"/>
    <w:rsid w:val="00E53C37"/>
    <w:rsid w:val="00E53D6B"/>
    <w:rsid w:val="00E53E69"/>
    <w:rsid w:val="00E54078"/>
    <w:rsid w:val="00E54336"/>
    <w:rsid w:val="00E543BE"/>
    <w:rsid w:val="00E550B1"/>
    <w:rsid w:val="00E561BB"/>
    <w:rsid w:val="00E562F7"/>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52F"/>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7765C"/>
    <w:rsid w:val="00E80014"/>
    <w:rsid w:val="00E8007C"/>
    <w:rsid w:val="00E803B7"/>
    <w:rsid w:val="00E805E3"/>
    <w:rsid w:val="00E807C9"/>
    <w:rsid w:val="00E810C1"/>
    <w:rsid w:val="00E81491"/>
    <w:rsid w:val="00E817DF"/>
    <w:rsid w:val="00E82150"/>
    <w:rsid w:val="00E8230D"/>
    <w:rsid w:val="00E8299C"/>
    <w:rsid w:val="00E82BC0"/>
    <w:rsid w:val="00E8344E"/>
    <w:rsid w:val="00E83645"/>
    <w:rsid w:val="00E83877"/>
    <w:rsid w:val="00E83AD6"/>
    <w:rsid w:val="00E84203"/>
    <w:rsid w:val="00E84276"/>
    <w:rsid w:val="00E842FD"/>
    <w:rsid w:val="00E84ABC"/>
    <w:rsid w:val="00E84AD0"/>
    <w:rsid w:val="00E8500A"/>
    <w:rsid w:val="00E853C7"/>
    <w:rsid w:val="00E8573C"/>
    <w:rsid w:val="00E85817"/>
    <w:rsid w:val="00E85AF4"/>
    <w:rsid w:val="00E860B7"/>
    <w:rsid w:val="00E86157"/>
    <w:rsid w:val="00E864BF"/>
    <w:rsid w:val="00E86600"/>
    <w:rsid w:val="00E86CEA"/>
    <w:rsid w:val="00E86CF9"/>
    <w:rsid w:val="00E86EE6"/>
    <w:rsid w:val="00E87015"/>
    <w:rsid w:val="00E8791E"/>
    <w:rsid w:val="00E87F32"/>
    <w:rsid w:val="00E907A3"/>
    <w:rsid w:val="00E9082B"/>
    <w:rsid w:val="00E90D87"/>
    <w:rsid w:val="00E925D9"/>
    <w:rsid w:val="00E92C1D"/>
    <w:rsid w:val="00E92F60"/>
    <w:rsid w:val="00E93233"/>
    <w:rsid w:val="00E935BA"/>
    <w:rsid w:val="00E93A7C"/>
    <w:rsid w:val="00E93D1F"/>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3E3"/>
    <w:rsid w:val="00EA0518"/>
    <w:rsid w:val="00EA0664"/>
    <w:rsid w:val="00EA0FFA"/>
    <w:rsid w:val="00EA1459"/>
    <w:rsid w:val="00EA1966"/>
    <w:rsid w:val="00EA1B8C"/>
    <w:rsid w:val="00EA2197"/>
    <w:rsid w:val="00EA2340"/>
    <w:rsid w:val="00EA26C8"/>
    <w:rsid w:val="00EA2724"/>
    <w:rsid w:val="00EA2E69"/>
    <w:rsid w:val="00EA301F"/>
    <w:rsid w:val="00EA3900"/>
    <w:rsid w:val="00EA42E3"/>
    <w:rsid w:val="00EA43DF"/>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54B"/>
    <w:rsid w:val="00EB1B57"/>
    <w:rsid w:val="00EB1FA1"/>
    <w:rsid w:val="00EB2141"/>
    <w:rsid w:val="00EB2A26"/>
    <w:rsid w:val="00EB2DBC"/>
    <w:rsid w:val="00EB39EC"/>
    <w:rsid w:val="00EB3A3D"/>
    <w:rsid w:val="00EB3B99"/>
    <w:rsid w:val="00EB3C38"/>
    <w:rsid w:val="00EB3CD5"/>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32D"/>
    <w:rsid w:val="00EC3415"/>
    <w:rsid w:val="00EC3666"/>
    <w:rsid w:val="00EC3A70"/>
    <w:rsid w:val="00EC3B9F"/>
    <w:rsid w:val="00EC3DA5"/>
    <w:rsid w:val="00EC4BC7"/>
    <w:rsid w:val="00EC4DC0"/>
    <w:rsid w:val="00EC5BD0"/>
    <w:rsid w:val="00EC5D9D"/>
    <w:rsid w:val="00EC5EBF"/>
    <w:rsid w:val="00EC60C9"/>
    <w:rsid w:val="00EC6540"/>
    <w:rsid w:val="00EC722C"/>
    <w:rsid w:val="00EC73C9"/>
    <w:rsid w:val="00EC7621"/>
    <w:rsid w:val="00EC77C7"/>
    <w:rsid w:val="00EC7A79"/>
    <w:rsid w:val="00EC7EB2"/>
    <w:rsid w:val="00ED00A0"/>
    <w:rsid w:val="00ED04DC"/>
    <w:rsid w:val="00ED12BC"/>
    <w:rsid w:val="00ED1FBC"/>
    <w:rsid w:val="00ED204D"/>
    <w:rsid w:val="00ED223C"/>
    <w:rsid w:val="00ED2816"/>
    <w:rsid w:val="00ED2989"/>
    <w:rsid w:val="00ED2F30"/>
    <w:rsid w:val="00ED34C3"/>
    <w:rsid w:val="00ED3853"/>
    <w:rsid w:val="00ED3C64"/>
    <w:rsid w:val="00ED55F9"/>
    <w:rsid w:val="00ED5E05"/>
    <w:rsid w:val="00ED67E4"/>
    <w:rsid w:val="00ED685E"/>
    <w:rsid w:val="00ED691E"/>
    <w:rsid w:val="00ED7521"/>
    <w:rsid w:val="00ED78D5"/>
    <w:rsid w:val="00ED7CCC"/>
    <w:rsid w:val="00ED7FD1"/>
    <w:rsid w:val="00EE001E"/>
    <w:rsid w:val="00EE037F"/>
    <w:rsid w:val="00EE070C"/>
    <w:rsid w:val="00EE0CF9"/>
    <w:rsid w:val="00EE0EA2"/>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431"/>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C30"/>
    <w:rsid w:val="00EF2D6E"/>
    <w:rsid w:val="00EF368F"/>
    <w:rsid w:val="00EF371F"/>
    <w:rsid w:val="00EF3B44"/>
    <w:rsid w:val="00EF3C90"/>
    <w:rsid w:val="00EF3C9E"/>
    <w:rsid w:val="00EF47E3"/>
    <w:rsid w:val="00EF502B"/>
    <w:rsid w:val="00EF5207"/>
    <w:rsid w:val="00EF5291"/>
    <w:rsid w:val="00EF539B"/>
    <w:rsid w:val="00EF5CE8"/>
    <w:rsid w:val="00EF5E3C"/>
    <w:rsid w:val="00EF6263"/>
    <w:rsid w:val="00EF6395"/>
    <w:rsid w:val="00EF6595"/>
    <w:rsid w:val="00EF6825"/>
    <w:rsid w:val="00EF6929"/>
    <w:rsid w:val="00EF6EBE"/>
    <w:rsid w:val="00EF6F15"/>
    <w:rsid w:val="00EF7670"/>
    <w:rsid w:val="00F00345"/>
    <w:rsid w:val="00F00CF7"/>
    <w:rsid w:val="00F0127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0CFD"/>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6E9"/>
    <w:rsid w:val="00F14B3A"/>
    <w:rsid w:val="00F14E78"/>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B87"/>
    <w:rsid w:val="00F31E5C"/>
    <w:rsid w:val="00F31F26"/>
    <w:rsid w:val="00F3229A"/>
    <w:rsid w:val="00F32A15"/>
    <w:rsid w:val="00F34059"/>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490"/>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C6B"/>
    <w:rsid w:val="00F45D3D"/>
    <w:rsid w:val="00F46081"/>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091"/>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A9C"/>
    <w:rsid w:val="00F62CF9"/>
    <w:rsid w:val="00F62F43"/>
    <w:rsid w:val="00F6375C"/>
    <w:rsid w:val="00F63C10"/>
    <w:rsid w:val="00F64726"/>
    <w:rsid w:val="00F65927"/>
    <w:rsid w:val="00F65A0B"/>
    <w:rsid w:val="00F65C05"/>
    <w:rsid w:val="00F65C21"/>
    <w:rsid w:val="00F66073"/>
    <w:rsid w:val="00F66419"/>
    <w:rsid w:val="00F66512"/>
    <w:rsid w:val="00F6681D"/>
    <w:rsid w:val="00F66BB5"/>
    <w:rsid w:val="00F66C8C"/>
    <w:rsid w:val="00F66EE8"/>
    <w:rsid w:val="00F670CB"/>
    <w:rsid w:val="00F67769"/>
    <w:rsid w:val="00F67A1B"/>
    <w:rsid w:val="00F67E0C"/>
    <w:rsid w:val="00F703B4"/>
    <w:rsid w:val="00F704B5"/>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6A1"/>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6AB"/>
    <w:rsid w:val="00F95982"/>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470"/>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90"/>
    <w:rsid w:val="00FB05BB"/>
    <w:rsid w:val="00FB0BC0"/>
    <w:rsid w:val="00FB0C66"/>
    <w:rsid w:val="00FB0E77"/>
    <w:rsid w:val="00FB1673"/>
    <w:rsid w:val="00FB1C79"/>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A4"/>
    <w:rsid w:val="00FC1FF9"/>
    <w:rsid w:val="00FC2424"/>
    <w:rsid w:val="00FC2B5B"/>
    <w:rsid w:val="00FC2B62"/>
    <w:rsid w:val="00FC2F92"/>
    <w:rsid w:val="00FC32AB"/>
    <w:rsid w:val="00FC34E5"/>
    <w:rsid w:val="00FC3B6C"/>
    <w:rsid w:val="00FC3FC7"/>
    <w:rsid w:val="00FC42DA"/>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100"/>
    <w:rsid w:val="00FD739E"/>
    <w:rsid w:val="00FD76B0"/>
    <w:rsid w:val="00FD7AEB"/>
    <w:rsid w:val="00FD7BDB"/>
    <w:rsid w:val="00FD7DEF"/>
    <w:rsid w:val="00FD7DFA"/>
    <w:rsid w:val="00FD7EF1"/>
    <w:rsid w:val="00FD7F9B"/>
    <w:rsid w:val="00FE0317"/>
    <w:rsid w:val="00FE11AA"/>
    <w:rsid w:val="00FE12BD"/>
    <w:rsid w:val="00FE192C"/>
    <w:rsid w:val="00FE1CA7"/>
    <w:rsid w:val="00FE1D86"/>
    <w:rsid w:val="00FE1F45"/>
    <w:rsid w:val="00FE1F64"/>
    <w:rsid w:val="00FE2372"/>
    <w:rsid w:val="00FE2B4C"/>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6B0"/>
    <w:rsid w:val="00FF2720"/>
    <w:rsid w:val="00FF2BBB"/>
    <w:rsid w:val="00FF2CB1"/>
    <w:rsid w:val="00FF2CBC"/>
    <w:rsid w:val="00FF2F91"/>
    <w:rsid w:val="00FF3811"/>
    <w:rsid w:val="00FF38C4"/>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0B1"/>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15:docId w15:val="{F76D736D-2CE8-42A6-838E-7703B2784A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页眉 字符"/>
    <w:link w:val="a4"/>
    <w:rPr>
      <w:rFonts w:ascii="Times New Roman" w:eastAsia="宋体" w:hAnsi="Times New Roman" w:cs="Times New Roman"/>
      <w:sz w:val="18"/>
      <w:szCs w:val="18"/>
    </w:rPr>
  </w:style>
  <w:style w:type="paragraph" w:styleId="a4">
    <w:name w:val="header"/>
    <w:basedOn w:val="a"/>
    <w:link w:val="a3"/>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a5">
    <w:name w:val="页脚 字符"/>
    <w:link w:val="a6"/>
    <w:uiPriority w:val="99"/>
    <w:rPr>
      <w:rFonts w:ascii="Times New Roman" w:eastAsia="宋体" w:hAnsi="Times New Roman" w:cs="Times New Roman"/>
      <w:sz w:val="18"/>
      <w:szCs w:val="18"/>
    </w:rPr>
  </w:style>
  <w:style w:type="paragraph" w:styleId="a6">
    <w:name w:val="footer"/>
    <w:basedOn w:val="a"/>
    <w:link w:val="a5"/>
    <w:uiPriority w:val="99"/>
    <w:pPr>
      <w:tabs>
        <w:tab w:val="center" w:pos="4153"/>
        <w:tab w:val="right" w:pos="8306"/>
      </w:tabs>
      <w:snapToGrid w:val="0"/>
      <w:jc w:val="left"/>
    </w:pPr>
    <w:rPr>
      <w:rFonts w:ascii="Times New Roman" w:hAnsi="Times New Roman"/>
      <w:sz w:val="18"/>
      <w:szCs w:val="18"/>
    </w:rPr>
  </w:style>
  <w:style w:type="paragraph" w:styleId="a7">
    <w:name w:val="caption"/>
    <w:basedOn w:val="a"/>
    <w:next w:val="a"/>
    <w:qFormat/>
    <w:rPr>
      <w:rFonts w:ascii="Cambria" w:eastAsia="黑体" w:hAnsi="Cambria"/>
      <w:sz w:val="20"/>
      <w:szCs w:val="20"/>
    </w:rPr>
  </w:style>
  <w:style w:type="paragraph" w:styleId="a8">
    <w:name w:val="Balloon Text"/>
    <w:basedOn w:val="a"/>
    <w:link w:val="a9"/>
    <w:rPr>
      <w:rFonts w:ascii="Times New Roman" w:hAnsi="Times New Roman"/>
      <w:sz w:val="18"/>
      <w:szCs w:val="18"/>
    </w:rPr>
  </w:style>
  <w:style w:type="character" w:customStyle="1" w:styleId="a9">
    <w:name w:val="批注框文本 字符"/>
    <w:link w:val="a8"/>
    <w:rPr>
      <w:rFonts w:ascii="Times New Roman" w:eastAsia="宋体" w:hAnsi="Times New Roman" w:cs="Times New Roman"/>
      <w:sz w:val="18"/>
      <w:szCs w:val="18"/>
    </w:rPr>
  </w:style>
  <w:style w:type="character" w:styleId="aa">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b">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c">
    <w:name w:val="Hyperlink"/>
    <w:rPr>
      <w:rFonts w:ascii="Times New Roman" w:eastAsia="宋体" w:hAnsi="Times New Roman" w:cs="Times New Roman"/>
      <w:color w:val="0000FF"/>
      <w:u w:val="single"/>
    </w:rPr>
  </w:style>
  <w:style w:type="table" w:styleId="ad">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rPr>
      <w:rFonts w:ascii="Times New Roman" w:eastAsia="宋体" w:hAnsi="Times New Roman" w:cs="Times New Roman"/>
      <w:sz w:val="21"/>
      <w:szCs w:val="21"/>
    </w:rPr>
  </w:style>
  <w:style w:type="character" w:customStyle="1" w:styleId="af">
    <w:name w:val="批注文字 字符"/>
    <w:link w:val="af0"/>
    <w:rPr>
      <w:rFonts w:ascii="Calibri" w:eastAsia="宋体" w:hAnsi="Calibri" w:cs="Times New Roman"/>
      <w:kern w:val="2"/>
      <w:sz w:val="21"/>
      <w:szCs w:val="22"/>
    </w:rPr>
  </w:style>
  <w:style w:type="paragraph" w:styleId="af0">
    <w:name w:val="annotation text"/>
    <w:basedOn w:val="a"/>
    <w:link w:val="af"/>
    <w:pPr>
      <w:jc w:val="left"/>
    </w:pPr>
    <w:rPr>
      <w:rFonts w:ascii="Times New Roman" w:hAnsi="Times New Roman"/>
    </w:rPr>
  </w:style>
  <w:style w:type="character" w:customStyle="1" w:styleId="af1">
    <w:name w:val="批注主题 字符"/>
    <w:link w:val="af2"/>
    <w:rPr>
      <w:rFonts w:ascii="Calibri" w:eastAsia="宋体" w:hAnsi="Calibri" w:cs="Times New Roman"/>
      <w:b/>
      <w:bCs/>
      <w:kern w:val="2"/>
      <w:sz w:val="21"/>
      <w:szCs w:val="22"/>
    </w:rPr>
  </w:style>
  <w:style w:type="paragraph" w:styleId="af2">
    <w:name w:val="annotation subject"/>
    <w:basedOn w:val="af0"/>
    <w:next w:val="af0"/>
    <w:link w:val="af1"/>
    <w:rPr>
      <w:b/>
      <w:bCs/>
    </w:rPr>
  </w:style>
  <w:style w:type="character" w:styleId="af3">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af4">
    <w:name w:val="日期 字符"/>
    <w:link w:val="af5"/>
    <w:rPr>
      <w:rFonts w:ascii="Calibri" w:eastAsia="宋体" w:hAnsi="Calibri" w:cs="Times New Roman"/>
      <w:kern w:val="2"/>
      <w:sz w:val="21"/>
      <w:szCs w:val="22"/>
    </w:rPr>
  </w:style>
  <w:style w:type="paragraph" w:styleId="af5">
    <w:name w:val="Date"/>
    <w:basedOn w:val="a"/>
    <w:next w:val="a"/>
    <w:link w:val="af4"/>
    <w:pPr>
      <w:ind w:leftChars="2500" w:left="100"/>
    </w:pPr>
    <w:rPr>
      <w:rFonts w:ascii="Times New Roman" w:hAnsi="Times New Roman"/>
    </w:rPr>
  </w:style>
  <w:style w:type="character" w:styleId="af6">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7">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4-11">
    <w:name w:val="网格表 4 - 着色 1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3-11">
    <w:name w:val="清单表 3 - 着色 1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52411">
      <w:bodyDiv w:val="1"/>
      <w:marLeft w:val="0"/>
      <w:marRight w:val="0"/>
      <w:marTop w:val="0"/>
      <w:marBottom w:val="0"/>
      <w:divBdr>
        <w:top w:val="none" w:sz="0" w:space="0" w:color="auto"/>
        <w:left w:val="none" w:sz="0" w:space="0" w:color="auto"/>
        <w:bottom w:val="none" w:sz="0" w:space="0" w:color="auto"/>
        <w:right w:val="none" w:sz="0" w:space="0" w:color="auto"/>
      </w:divBdr>
    </w:div>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04152484">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3797640">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36147302">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8980075">
      <w:bodyDiv w:val="1"/>
      <w:marLeft w:val="0"/>
      <w:marRight w:val="0"/>
      <w:marTop w:val="0"/>
      <w:marBottom w:val="0"/>
      <w:divBdr>
        <w:top w:val="none" w:sz="0" w:space="0" w:color="auto"/>
        <w:left w:val="none" w:sz="0" w:space="0" w:color="auto"/>
        <w:bottom w:val="none" w:sz="0" w:space="0" w:color="auto"/>
        <w:right w:val="none" w:sz="0" w:space="0" w:color="auto"/>
      </w:divBdr>
    </w:div>
    <w:div w:id="219052149">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0567264">
      <w:bodyDiv w:val="1"/>
      <w:marLeft w:val="0"/>
      <w:marRight w:val="0"/>
      <w:marTop w:val="0"/>
      <w:marBottom w:val="0"/>
      <w:divBdr>
        <w:top w:val="none" w:sz="0" w:space="0" w:color="auto"/>
        <w:left w:val="none" w:sz="0" w:space="0" w:color="auto"/>
        <w:bottom w:val="none" w:sz="0" w:space="0" w:color="auto"/>
        <w:right w:val="none" w:sz="0" w:space="0" w:color="auto"/>
      </w:divBdr>
    </w:div>
    <w:div w:id="350767076">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1635052">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3937312">
      <w:bodyDiv w:val="1"/>
      <w:marLeft w:val="0"/>
      <w:marRight w:val="0"/>
      <w:marTop w:val="0"/>
      <w:marBottom w:val="0"/>
      <w:divBdr>
        <w:top w:val="none" w:sz="0" w:space="0" w:color="auto"/>
        <w:left w:val="none" w:sz="0" w:space="0" w:color="auto"/>
        <w:bottom w:val="none" w:sz="0" w:space="0" w:color="auto"/>
        <w:right w:val="none" w:sz="0" w:space="0" w:color="auto"/>
      </w:divBdr>
      <w:divsChild>
        <w:div w:id="2069374055">
          <w:marLeft w:val="0"/>
          <w:marRight w:val="0"/>
          <w:marTop w:val="0"/>
          <w:marBottom w:val="0"/>
          <w:divBdr>
            <w:top w:val="none" w:sz="0" w:space="0" w:color="auto"/>
            <w:left w:val="none" w:sz="0" w:space="0" w:color="auto"/>
            <w:bottom w:val="none" w:sz="0" w:space="0" w:color="auto"/>
            <w:right w:val="none" w:sz="0" w:space="0" w:color="auto"/>
          </w:divBdr>
        </w:div>
      </w:divsChild>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01829362">
      <w:bodyDiv w:val="1"/>
      <w:marLeft w:val="0"/>
      <w:marRight w:val="0"/>
      <w:marTop w:val="0"/>
      <w:marBottom w:val="0"/>
      <w:divBdr>
        <w:top w:val="none" w:sz="0" w:space="0" w:color="auto"/>
        <w:left w:val="none" w:sz="0" w:space="0" w:color="auto"/>
        <w:bottom w:val="none" w:sz="0" w:space="0" w:color="auto"/>
        <w:right w:val="none" w:sz="0" w:space="0" w:color="auto"/>
      </w:divBdr>
    </w:div>
    <w:div w:id="408768525">
      <w:bodyDiv w:val="1"/>
      <w:marLeft w:val="0"/>
      <w:marRight w:val="0"/>
      <w:marTop w:val="0"/>
      <w:marBottom w:val="0"/>
      <w:divBdr>
        <w:top w:val="none" w:sz="0" w:space="0" w:color="auto"/>
        <w:left w:val="none" w:sz="0" w:space="0" w:color="auto"/>
        <w:bottom w:val="none" w:sz="0" w:space="0" w:color="auto"/>
        <w:right w:val="none" w:sz="0" w:space="0" w:color="auto"/>
      </w:divBdr>
      <w:divsChild>
        <w:div w:id="89787644">
          <w:marLeft w:val="0"/>
          <w:marRight w:val="0"/>
          <w:marTop w:val="0"/>
          <w:marBottom w:val="0"/>
          <w:divBdr>
            <w:top w:val="none" w:sz="0" w:space="0" w:color="auto"/>
            <w:left w:val="none" w:sz="0" w:space="0" w:color="auto"/>
            <w:bottom w:val="none" w:sz="0" w:space="0" w:color="auto"/>
            <w:right w:val="none" w:sz="0" w:space="0" w:color="auto"/>
          </w:divBdr>
        </w:div>
      </w:divsChild>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30667084">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4754916">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486284636">
      <w:bodyDiv w:val="1"/>
      <w:marLeft w:val="0"/>
      <w:marRight w:val="0"/>
      <w:marTop w:val="0"/>
      <w:marBottom w:val="0"/>
      <w:divBdr>
        <w:top w:val="none" w:sz="0" w:space="0" w:color="auto"/>
        <w:left w:val="none" w:sz="0" w:space="0" w:color="auto"/>
        <w:bottom w:val="none" w:sz="0" w:space="0" w:color="auto"/>
        <w:right w:val="none" w:sz="0" w:space="0" w:color="auto"/>
      </w:divBdr>
    </w:div>
    <w:div w:id="494417478">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68535509">
      <w:bodyDiv w:val="1"/>
      <w:marLeft w:val="0"/>
      <w:marRight w:val="0"/>
      <w:marTop w:val="0"/>
      <w:marBottom w:val="0"/>
      <w:divBdr>
        <w:top w:val="none" w:sz="0" w:space="0" w:color="auto"/>
        <w:left w:val="none" w:sz="0" w:space="0" w:color="auto"/>
        <w:bottom w:val="none" w:sz="0" w:space="0" w:color="auto"/>
        <w:right w:val="none" w:sz="0" w:space="0" w:color="auto"/>
      </w:divBdr>
    </w:div>
    <w:div w:id="573977461">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35331640">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763692169">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39350559">
      <w:bodyDiv w:val="1"/>
      <w:marLeft w:val="0"/>
      <w:marRight w:val="0"/>
      <w:marTop w:val="0"/>
      <w:marBottom w:val="0"/>
      <w:divBdr>
        <w:top w:val="none" w:sz="0" w:space="0" w:color="auto"/>
        <w:left w:val="none" w:sz="0" w:space="0" w:color="auto"/>
        <w:bottom w:val="none" w:sz="0" w:space="0" w:color="auto"/>
        <w:right w:val="none" w:sz="0" w:space="0" w:color="auto"/>
      </w:divBdr>
    </w:div>
    <w:div w:id="865557369">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1725927">
      <w:bodyDiv w:val="1"/>
      <w:marLeft w:val="0"/>
      <w:marRight w:val="0"/>
      <w:marTop w:val="0"/>
      <w:marBottom w:val="0"/>
      <w:divBdr>
        <w:top w:val="none" w:sz="0" w:space="0" w:color="auto"/>
        <w:left w:val="none" w:sz="0" w:space="0" w:color="auto"/>
        <w:bottom w:val="none" w:sz="0" w:space="0" w:color="auto"/>
        <w:right w:val="none" w:sz="0" w:space="0" w:color="auto"/>
      </w:divBdr>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894007863">
      <w:bodyDiv w:val="1"/>
      <w:marLeft w:val="0"/>
      <w:marRight w:val="0"/>
      <w:marTop w:val="0"/>
      <w:marBottom w:val="0"/>
      <w:divBdr>
        <w:top w:val="none" w:sz="0" w:space="0" w:color="auto"/>
        <w:left w:val="none" w:sz="0" w:space="0" w:color="auto"/>
        <w:bottom w:val="none" w:sz="0" w:space="0" w:color="auto"/>
        <w:right w:val="none" w:sz="0" w:space="0" w:color="auto"/>
      </w:divBdr>
      <w:divsChild>
        <w:div w:id="962273013">
          <w:marLeft w:val="0"/>
          <w:marRight w:val="0"/>
          <w:marTop w:val="0"/>
          <w:marBottom w:val="0"/>
          <w:divBdr>
            <w:top w:val="none" w:sz="0" w:space="0" w:color="auto"/>
            <w:left w:val="none" w:sz="0" w:space="0" w:color="auto"/>
            <w:bottom w:val="none" w:sz="0" w:space="0" w:color="auto"/>
            <w:right w:val="none" w:sz="0" w:space="0" w:color="auto"/>
          </w:divBdr>
        </w:div>
      </w:divsChild>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79767962">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15158441">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73352238">
      <w:bodyDiv w:val="1"/>
      <w:marLeft w:val="0"/>
      <w:marRight w:val="0"/>
      <w:marTop w:val="0"/>
      <w:marBottom w:val="0"/>
      <w:divBdr>
        <w:top w:val="none" w:sz="0" w:space="0" w:color="auto"/>
        <w:left w:val="none" w:sz="0" w:space="0" w:color="auto"/>
        <w:bottom w:val="none" w:sz="0" w:space="0" w:color="auto"/>
        <w:right w:val="none" w:sz="0" w:space="0" w:color="auto"/>
      </w:divBdr>
      <w:divsChild>
        <w:div w:id="799302574">
          <w:marLeft w:val="0"/>
          <w:marRight w:val="0"/>
          <w:marTop w:val="0"/>
          <w:marBottom w:val="0"/>
          <w:divBdr>
            <w:top w:val="none" w:sz="0" w:space="0" w:color="auto"/>
            <w:left w:val="none" w:sz="0" w:space="0" w:color="auto"/>
            <w:bottom w:val="none" w:sz="0" w:space="0" w:color="auto"/>
            <w:right w:val="none" w:sz="0" w:space="0" w:color="auto"/>
          </w:divBdr>
        </w:div>
      </w:divsChild>
    </w:div>
    <w:div w:id="1073503341">
      <w:bodyDiv w:val="1"/>
      <w:marLeft w:val="0"/>
      <w:marRight w:val="0"/>
      <w:marTop w:val="0"/>
      <w:marBottom w:val="0"/>
      <w:divBdr>
        <w:top w:val="none" w:sz="0" w:space="0" w:color="auto"/>
        <w:left w:val="none" w:sz="0" w:space="0" w:color="auto"/>
        <w:bottom w:val="none" w:sz="0" w:space="0" w:color="auto"/>
        <w:right w:val="none" w:sz="0" w:space="0" w:color="auto"/>
      </w:divBdr>
      <w:divsChild>
        <w:div w:id="1442723832">
          <w:marLeft w:val="0"/>
          <w:marRight w:val="0"/>
          <w:marTop w:val="0"/>
          <w:marBottom w:val="0"/>
          <w:divBdr>
            <w:top w:val="none" w:sz="0" w:space="0" w:color="auto"/>
            <w:left w:val="none" w:sz="0" w:space="0" w:color="auto"/>
            <w:bottom w:val="none" w:sz="0" w:space="0" w:color="auto"/>
            <w:right w:val="none" w:sz="0" w:space="0" w:color="auto"/>
          </w:divBdr>
        </w:div>
      </w:divsChild>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094664281">
      <w:bodyDiv w:val="1"/>
      <w:marLeft w:val="0"/>
      <w:marRight w:val="0"/>
      <w:marTop w:val="0"/>
      <w:marBottom w:val="0"/>
      <w:divBdr>
        <w:top w:val="none" w:sz="0" w:space="0" w:color="auto"/>
        <w:left w:val="none" w:sz="0" w:space="0" w:color="auto"/>
        <w:bottom w:val="none" w:sz="0" w:space="0" w:color="auto"/>
        <w:right w:val="none" w:sz="0" w:space="0" w:color="auto"/>
      </w:divBdr>
      <w:divsChild>
        <w:div w:id="382607494">
          <w:marLeft w:val="0"/>
          <w:marRight w:val="0"/>
          <w:marTop w:val="0"/>
          <w:marBottom w:val="0"/>
          <w:divBdr>
            <w:top w:val="none" w:sz="0" w:space="0" w:color="auto"/>
            <w:left w:val="none" w:sz="0" w:space="0" w:color="auto"/>
            <w:bottom w:val="none" w:sz="0" w:space="0" w:color="auto"/>
            <w:right w:val="none" w:sz="0" w:space="0" w:color="auto"/>
          </w:divBdr>
        </w:div>
      </w:divsChild>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06272689">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8599151">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26582156">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74347117">
      <w:bodyDiv w:val="1"/>
      <w:marLeft w:val="0"/>
      <w:marRight w:val="0"/>
      <w:marTop w:val="0"/>
      <w:marBottom w:val="0"/>
      <w:divBdr>
        <w:top w:val="none" w:sz="0" w:space="0" w:color="auto"/>
        <w:left w:val="none" w:sz="0" w:space="0" w:color="auto"/>
        <w:bottom w:val="none" w:sz="0" w:space="0" w:color="auto"/>
        <w:right w:val="none" w:sz="0" w:space="0" w:color="auto"/>
      </w:divBdr>
      <w:divsChild>
        <w:div w:id="623077532">
          <w:marLeft w:val="0"/>
          <w:marRight w:val="0"/>
          <w:marTop w:val="0"/>
          <w:marBottom w:val="0"/>
          <w:divBdr>
            <w:top w:val="none" w:sz="0" w:space="0" w:color="auto"/>
            <w:left w:val="none" w:sz="0" w:space="0" w:color="auto"/>
            <w:bottom w:val="none" w:sz="0" w:space="0" w:color="auto"/>
            <w:right w:val="none" w:sz="0" w:space="0" w:color="auto"/>
          </w:divBdr>
        </w:div>
      </w:divsChild>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194226191">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07909033">
      <w:bodyDiv w:val="1"/>
      <w:marLeft w:val="0"/>
      <w:marRight w:val="0"/>
      <w:marTop w:val="0"/>
      <w:marBottom w:val="0"/>
      <w:divBdr>
        <w:top w:val="none" w:sz="0" w:space="0" w:color="auto"/>
        <w:left w:val="none" w:sz="0" w:space="0" w:color="auto"/>
        <w:bottom w:val="none" w:sz="0" w:space="0" w:color="auto"/>
        <w:right w:val="none" w:sz="0" w:space="0" w:color="auto"/>
      </w:divBdr>
    </w:div>
    <w:div w:id="1266577147">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04964852">
      <w:bodyDiv w:val="1"/>
      <w:marLeft w:val="0"/>
      <w:marRight w:val="0"/>
      <w:marTop w:val="0"/>
      <w:marBottom w:val="0"/>
      <w:divBdr>
        <w:top w:val="none" w:sz="0" w:space="0" w:color="auto"/>
        <w:left w:val="none" w:sz="0" w:space="0" w:color="auto"/>
        <w:bottom w:val="none" w:sz="0" w:space="0" w:color="auto"/>
        <w:right w:val="none" w:sz="0" w:space="0" w:color="auto"/>
      </w:divBdr>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54569246">
      <w:bodyDiv w:val="1"/>
      <w:marLeft w:val="0"/>
      <w:marRight w:val="0"/>
      <w:marTop w:val="0"/>
      <w:marBottom w:val="0"/>
      <w:divBdr>
        <w:top w:val="none" w:sz="0" w:space="0" w:color="auto"/>
        <w:left w:val="none" w:sz="0" w:space="0" w:color="auto"/>
        <w:bottom w:val="none" w:sz="0" w:space="0" w:color="auto"/>
        <w:right w:val="none" w:sz="0" w:space="0" w:color="auto"/>
      </w:divBdr>
    </w:div>
    <w:div w:id="1357196507">
      <w:bodyDiv w:val="1"/>
      <w:marLeft w:val="0"/>
      <w:marRight w:val="0"/>
      <w:marTop w:val="0"/>
      <w:marBottom w:val="0"/>
      <w:divBdr>
        <w:top w:val="none" w:sz="0" w:space="0" w:color="auto"/>
        <w:left w:val="none" w:sz="0" w:space="0" w:color="auto"/>
        <w:bottom w:val="none" w:sz="0" w:space="0" w:color="auto"/>
        <w:right w:val="none" w:sz="0" w:space="0" w:color="auto"/>
      </w:divBdr>
      <w:divsChild>
        <w:div w:id="133068627">
          <w:marLeft w:val="0"/>
          <w:marRight w:val="0"/>
          <w:marTop w:val="0"/>
          <w:marBottom w:val="0"/>
          <w:divBdr>
            <w:top w:val="none" w:sz="0" w:space="0" w:color="auto"/>
            <w:left w:val="none" w:sz="0" w:space="0" w:color="auto"/>
            <w:bottom w:val="none" w:sz="0" w:space="0" w:color="auto"/>
            <w:right w:val="none" w:sz="0" w:space="0" w:color="auto"/>
          </w:divBdr>
        </w:div>
      </w:divsChild>
    </w:div>
    <w:div w:id="1370494342">
      <w:bodyDiv w:val="1"/>
      <w:marLeft w:val="0"/>
      <w:marRight w:val="0"/>
      <w:marTop w:val="0"/>
      <w:marBottom w:val="0"/>
      <w:divBdr>
        <w:top w:val="none" w:sz="0" w:space="0" w:color="auto"/>
        <w:left w:val="none" w:sz="0" w:space="0" w:color="auto"/>
        <w:bottom w:val="none" w:sz="0" w:space="0" w:color="auto"/>
        <w:right w:val="none" w:sz="0" w:space="0" w:color="auto"/>
      </w:divBdr>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389497229">
      <w:bodyDiv w:val="1"/>
      <w:marLeft w:val="0"/>
      <w:marRight w:val="0"/>
      <w:marTop w:val="0"/>
      <w:marBottom w:val="0"/>
      <w:divBdr>
        <w:top w:val="none" w:sz="0" w:space="0" w:color="auto"/>
        <w:left w:val="none" w:sz="0" w:space="0" w:color="auto"/>
        <w:bottom w:val="none" w:sz="0" w:space="0" w:color="auto"/>
        <w:right w:val="none" w:sz="0" w:space="0" w:color="auto"/>
      </w:divBdr>
    </w:div>
    <w:div w:id="1392999421">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479615899">
      <w:bodyDiv w:val="1"/>
      <w:marLeft w:val="0"/>
      <w:marRight w:val="0"/>
      <w:marTop w:val="0"/>
      <w:marBottom w:val="0"/>
      <w:divBdr>
        <w:top w:val="none" w:sz="0" w:space="0" w:color="auto"/>
        <w:left w:val="none" w:sz="0" w:space="0" w:color="auto"/>
        <w:bottom w:val="none" w:sz="0" w:space="0" w:color="auto"/>
        <w:right w:val="none" w:sz="0" w:space="0" w:color="auto"/>
      </w:divBdr>
    </w:div>
    <w:div w:id="1487739694">
      <w:bodyDiv w:val="1"/>
      <w:marLeft w:val="0"/>
      <w:marRight w:val="0"/>
      <w:marTop w:val="0"/>
      <w:marBottom w:val="0"/>
      <w:divBdr>
        <w:top w:val="none" w:sz="0" w:space="0" w:color="auto"/>
        <w:left w:val="none" w:sz="0" w:space="0" w:color="auto"/>
        <w:bottom w:val="none" w:sz="0" w:space="0" w:color="auto"/>
        <w:right w:val="none" w:sz="0" w:space="0" w:color="auto"/>
      </w:divBdr>
    </w:div>
    <w:div w:id="1503739994">
      <w:bodyDiv w:val="1"/>
      <w:marLeft w:val="0"/>
      <w:marRight w:val="0"/>
      <w:marTop w:val="0"/>
      <w:marBottom w:val="0"/>
      <w:divBdr>
        <w:top w:val="none" w:sz="0" w:space="0" w:color="auto"/>
        <w:left w:val="none" w:sz="0" w:space="0" w:color="auto"/>
        <w:bottom w:val="none" w:sz="0" w:space="0" w:color="auto"/>
        <w:right w:val="none" w:sz="0" w:space="0" w:color="auto"/>
      </w:divBdr>
    </w:div>
    <w:div w:id="1504510062">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47526740">
      <w:bodyDiv w:val="1"/>
      <w:marLeft w:val="0"/>
      <w:marRight w:val="0"/>
      <w:marTop w:val="0"/>
      <w:marBottom w:val="0"/>
      <w:divBdr>
        <w:top w:val="none" w:sz="0" w:space="0" w:color="auto"/>
        <w:left w:val="none" w:sz="0" w:space="0" w:color="auto"/>
        <w:bottom w:val="none" w:sz="0" w:space="0" w:color="auto"/>
        <w:right w:val="none" w:sz="0" w:space="0" w:color="auto"/>
      </w:divBdr>
      <w:divsChild>
        <w:div w:id="463549119">
          <w:marLeft w:val="0"/>
          <w:marRight w:val="0"/>
          <w:marTop w:val="0"/>
          <w:marBottom w:val="0"/>
          <w:divBdr>
            <w:top w:val="none" w:sz="0" w:space="0" w:color="auto"/>
            <w:left w:val="none" w:sz="0" w:space="0" w:color="auto"/>
            <w:bottom w:val="none" w:sz="0" w:space="0" w:color="auto"/>
            <w:right w:val="none" w:sz="0" w:space="0" w:color="auto"/>
          </w:divBdr>
        </w:div>
      </w:divsChild>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70067966">
      <w:bodyDiv w:val="1"/>
      <w:marLeft w:val="0"/>
      <w:marRight w:val="0"/>
      <w:marTop w:val="0"/>
      <w:marBottom w:val="0"/>
      <w:divBdr>
        <w:top w:val="none" w:sz="0" w:space="0" w:color="auto"/>
        <w:left w:val="none" w:sz="0" w:space="0" w:color="auto"/>
        <w:bottom w:val="none" w:sz="0" w:space="0" w:color="auto"/>
        <w:right w:val="none" w:sz="0" w:space="0" w:color="auto"/>
      </w:divBdr>
      <w:divsChild>
        <w:div w:id="524945384">
          <w:marLeft w:val="0"/>
          <w:marRight w:val="0"/>
          <w:marTop w:val="0"/>
          <w:marBottom w:val="0"/>
          <w:divBdr>
            <w:top w:val="none" w:sz="0" w:space="0" w:color="auto"/>
            <w:left w:val="none" w:sz="0" w:space="0" w:color="auto"/>
            <w:bottom w:val="none" w:sz="0" w:space="0" w:color="auto"/>
            <w:right w:val="none" w:sz="0" w:space="0" w:color="auto"/>
          </w:divBdr>
        </w:div>
      </w:divsChild>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0721378">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32708267">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3133059">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5774721">
      <w:bodyDiv w:val="1"/>
      <w:marLeft w:val="0"/>
      <w:marRight w:val="0"/>
      <w:marTop w:val="0"/>
      <w:marBottom w:val="0"/>
      <w:divBdr>
        <w:top w:val="none" w:sz="0" w:space="0" w:color="auto"/>
        <w:left w:val="none" w:sz="0" w:space="0" w:color="auto"/>
        <w:bottom w:val="none" w:sz="0" w:space="0" w:color="auto"/>
        <w:right w:val="none" w:sz="0" w:space="0" w:color="auto"/>
      </w:divBdr>
      <w:divsChild>
        <w:div w:id="1597012833">
          <w:marLeft w:val="0"/>
          <w:marRight w:val="0"/>
          <w:marTop w:val="0"/>
          <w:marBottom w:val="0"/>
          <w:divBdr>
            <w:top w:val="none" w:sz="0" w:space="0" w:color="auto"/>
            <w:left w:val="none" w:sz="0" w:space="0" w:color="auto"/>
            <w:bottom w:val="none" w:sz="0" w:space="0" w:color="auto"/>
            <w:right w:val="none" w:sz="0" w:space="0" w:color="auto"/>
          </w:divBdr>
        </w:div>
      </w:divsChild>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895311162">
      <w:bodyDiv w:val="1"/>
      <w:marLeft w:val="0"/>
      <w:marRight w:val="0"/>
      <w:marTop w:val="0"/>
      <w:marBottom w:val="0"/>
      <w:divBdr>
        <w:top w:val="none" w:sz="0" w:space="0" w:color="auto"/>
        <w:left w:val="none" w:sz="0" w:space="0" w:color="auto"/>
        <w:bottom w:val="none" w:sz="0" w:space="0" w:color="auto"/>
        <w:right w:val="none" w:sz="0" w:space="0" w:color="auto"/>
      </w:divBdr>
      <w:divsChild>
        <w:div w:id="1065958894">
          <w:marLeft w:val="0"/>
          <w:marRight w:val="0"/>
          <w:marTop w:val="0"/>
          <w:marBottom w:val="0"/>
          <w:divBdr>
            <w:top w:val="none" w:sz="0" w:space="0" w:color="auto"/>
            <w:left w:val="none" w:sz="0" w:space="0" w:color="auto"/>
            <w:bottom w:val="none" w:sz="0" w:space="0" w:color="auto"/>
            <w:right w:val="none" w:sz="0" w:space="0" w:color="auto"/>
          </w:divBdr>
        </w:div>
      </w:divsChild>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4167246">
      <w:bodyDiv w:val="1"/>
      <w:marLeft w:val="0"/>
      <w:marRight w:val="0"/>
      <w:marTop w:val="0"/>
      <w:marBottom w:val="0"/>
      <w:divBdr>
        <w:top w:val="none" w:sz="0" w:space="0" w:color="auto"/>
        <w:left w:val="none" w:sz="0" w:space="0" w:color="auto"/>
        <w:bottom w:val="none" w:sz="0" w:space="0" w:color="auto"/>
        <w:right w:val="none" w:sz="0" w:space="0" w:color="auto"/>
      </w:divBdr>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62752289">
      <w:bodyDiv w:val="1"/>
      <w:marLeft w:val="0"/>
      <w:marRight w:val="0"/>
      <w:marTop w:val="0"/>
      <w:marBottom w:val="0"/>
      <w:divBdr>
        <w:top w:val="none" w:sz="0" w:space="0" w:color="auto"/>
        <w:left w:val="none" w:sz="0" w:space="0" w:color="auto"/>
        <w:bottom w:val="none" w:sz="0" w:space="0" w:color="auto"/>
        <w:right w:val="none" w:sz="0" w:space="0" w:color="auto"/>
      </w:divBdr>
      <w:divsChild>
        <w:div w:id="840705970">
          <w:marLeft w:val="0"/>
          <w:marRight w:val="0"/>
          <w:marTop w:val="0"/>
          <w:marBottom w:val="0"/>
          <w:divBdr>
            <w:top w:val="none" w:sz="0" w:space="0" w:color="auto"/>
            <w:left w:val="none" w:sz="0" w:space="0" w:color="auto"/>
            <w:bottom w:val="none" w:sz="0" w:space="0" w:color="auto"/>
            <w:right w:val="none" w:sz="0" w:space="0" w:color="auto"/>
          </w:divBdr>
        </w:div>
      </w:divsChild>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2653167">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089034774">
      <w:bodyDiv w:val="1"/>
      <w:marLeft w:val="0"/>
      <w:marRight w:val="0"/>
      <w:marTop w:val="0"/>
      <w:marBottom w:val="0"/>
      <w:divBdr>
        <w:top w:val="none" w:sz="0" w:space="0" w:color="auto"/>
        <w:left w:val="none" w:sz="0" w:space="0" w:color="auto"/>
        <w:bottom w:val="none" w:sz="0" w:space="0" w:color="auto"/>
        <w:right w:val="none" w:sz="0" w:space="0" w:color="auto"/>
      </w:divBdr>
      <w:divsChild>
        <w:div w:id="700591324">
          <w:marLeft w:val="0"/>
          <w:marRight w:val="0"/>
          <w:marTop w:val="0"/>
          <w:marBottom w:val="0"/>
          <w:divBdr>
            <w:top w:val="none" w:sz="0" w:space="0" w:color="auto"/>
            <w:left w:val="none" w:sz="0" w:space="0" w:color="auto"/>
            <w:bottom w:val="none" w:sz="0" w:space="0" w:color="auto"/>
            <w:right w:val="none" w:sz="0" w:space="0" w:color="auto"/>
          </w:divBdr>
        </w:div>
      </w:divsChild>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5.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C:\Users\Administrator\Desktop\&#26216;&#25253;\&#22266;&#25910;&#21608;&#25253;\&#23500;&#33635;&#22266;&#25910;&#21608;&#25253;-&#26032;&#29256;.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C:\Users\Administrator\Desktop\&#26216;&#25253;\&#22266;&#25910;&#21608;&#25253;\&#23500;&#33635;&#22266;&#25910;&#21608;&#25253;-&#26032;&#29256;.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C:\Users\Administrator\Desktop\&#26216;&#25253;\&#22266;&#25910;&#21608;&#25253;\&#23500;&#33635;&#22266;&#25910;&#21608;&#25253;-&#26032;&#29256;.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C:\Users\Administrator\Desktop\&#26216;&#25253;\&#22266;&#25910;&#21608;&#25253;\&#23500;&#33635;&#22266;&#25910;&#21608;&#25253;-&#26032;&#29256;.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C:\Users\Administrator\Desktop\&#26216;&#25253;\&#22266;&#25910;&#21608;&#25253;\&#23500;&#33635;&#22266;&#25910;&#21608;&#25253;-&#26032;&#29256;.xlsx" TargetMode="External"/><Relationship Id="rId1" Type="http://schemas.openxmlformats.org/officeDocument/2006/relationships/themeOverride" Target="../theme/themeOverride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利率!$J$3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利率!$K$2:$Q$2</c:f>
              <c:strCache>
                <c:ptCount val="7"/>
                <c:pt idx="0">
                  <c:v>1M</c:v>
                </c:pt>
                <c:pt idx="1">
                  <c:v>3M</c:v>
                </c:pt>
                <c:pt idx="2">
                  <c:v>1Y</c:v>
                </c:pt>
                <c:pt idx="3">
                  <c:v>3Y</c:v>
                </c:pt>
                <c:pt idx="4">
                  <c:v>5Y</c:v>
                </c:pt>
                <c:pt idx="5">
                  <c:v>7Y</c:v>
                </c:pt>
                <c:pt idx="6">
                  <c:v>10Y</c:v>
                </c:pt>
              </c:strCache>
            </c:strRef>
          </c:cat>
          <c:val>
            <c:numRef>
              <c:f>利率!$K$3:$Q$3</c:f>
              <c:numCache>
                <c:formatCode>0.0_ ;[Red]\-0.0\ </c:formatCode>
                <c:ptCount val="7"/>
                <c:pt idx="0">
                  <c:v>-0.7</c:v>
                </c:pt>
                <c:pt idx="1">
                  <c:v>9.34</c:v>
                </c:pt>
                <c:pt idx="2">
                  <c:v>1.68</c:v>
                </c:pt>
                <c:pt idx="3">
                  <c:v>1.81</c:v>
                </c:pt>
                <c:pt idx="4">
                  <c:v>-2.41</c:v>
                </c:pt>
                <c:pt idx="5">
                  <c:v>-0.79</c:v>
                </c:pt>
                <c:pt idx="6">
                  <c:v>-2.2400000000000002</c:v>
                </c:pt>
              </c:numCache>
            </c:numRef>
          </c:val>
          <c:extLst>
            <c:ext xmlns:c16="http://schemas.microsoft.com/office/drawing/2014/chart" uri="{C3380CC4-5D6E-409C-BE32-E72D297353CC}">
              <c16:uniqueId val="{00000000-F130-4AAD-B801-453B6C995650}"/>
            </c:ext>
          </c:extLst>
        </c:ser>
        <c:dLbls>
          <c:showLegendKey val="0"/>
          <c:showVal val="0"/>
          <c:showCatName val="0"/>
          <c:showSerName val="0"/>
          <c:showPercent val="0"/>
          <c:showBubbleSize val="0"/>
        </c:dLbls>
        <c:gapWidth val="150"/>
        <c:axId val="575562880"/>
        <c:axId val="233260160"/>
      </c:barChart>
      <c:lineChart>
        <c:grouping val="standard"/>
        <c:varyColors val="0"/>
        <c:ser>
          <c:idx val="2"/>
          <c:order val="1"/>
          <c:tx>
            <c:strRef>
              <c:f>利率!$J$4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c:ext xmlns:c15="http://schemas.microsoft.com/office/drawing/2012/chart" uri="{CE6537A1-D6FC-4f65-9D91-7224C49458BB}"/>
                <c:ext xmlns:c16="http://schemas.microsoft.com/office/drawing/2014/chart" uri="{C3380CC4-5D6E-409C-BE32-E72D297353CC}">
                  <c16:uniqueId val="{00000001-F130-4AAD-B801-453B6C995650}"/>
                </c:ext>
              </c:extLst>
            </c:dLbl>
            <c:dLbl>
              <c:idx val="1"/>
              <c:delete val="1"/>
              <c:extLst>
                <c:ext xmlns:c15="http://schemas.microsoft.com/office/drawing/2012/chart" uri="{CE6537A1-D6FC-4f65-9D91-7224C49458BB}"/>
                <c:ext xmlns:c16="http://schemas.microsoft.com/office/drawing/2014/chart" uri="{C3380CC4-5D6E-409C-BE32-E72D297353CC}">
                  <c16:uniqueId val="{00000002-F130-4AAD-B801-453B6C995650}"/>
                </c:ext>
              </c:extLst>
            </c:dLbl>
            <c:dLbl>
              <c:idx val="2"/>
              <c:delete val="1"/>
              <c:extLst>
                <c:ext xmlns:c15="http://schemas.microsoft.com/office/drawing/2012/chart" uri="{CE6537A1-D6FC-4f65-9D91-7224C49458BB}"/>
                <c:ext xmlns:c16="http://schemas.microsoft.com/office/drawing/2014/chart" uri="{C3380CC4-5D6E-409C-BE32-E72D297353CC}">
                  <c16:uniqueId val="{00000003-F130-4AAD-B801-453B6C995650}"/>
                </c:ext>
              </c:extLst>
            </c:dLbl>
            <c:dLbl>
              <c:idx val="3"/>
              <c:delete val="1"/>
              <c:extLst>
                <c:ext xmlns:c15="http://schemas.microsoft.com/office/drawing/2012/chart" uri="{CE6537A1-D6FC-4f65-9D91-7224C49458BB}"/>
                <c:ext xmlns:c16="http://schemas.microsoft.com/office/drawing/2014/chart" uri="{C3380CC4-5D6E-409C-BE32-E72D297353CC}">
                  <c16:uniqueId val="{00000004-F130-4AAD-B801-453B6C995650}"/>
                </c:ext>
              </c:extLst>
            </c:dLbl>
            <c:dLbl>
              <c:idx val="4"/>
              <c:delete val="1"/>
              <c:extLst>
                <c:ext xmlns:c15="http://schemas.microsoft.com/office/drawing/2012/chart" uri="{CE6537A1-D6FC-4f65-9D91-7224C49458BB}"/>
                <c:ext xmlns:c16="http://schemas.microsoft.com/office/drawing/2014/chart" uri="{C3380CC4-5D6E-409C-BE32-E72D297353CC}">
                  <c16:uniqueId val="{00000005-F130-4AAD-B801-453B6C995650}"/>
                </c:ext>
              </c:extLst>
            </c:dLbl>
            <c:dLbl>
              <c:idx val="5"/>
              <c:delete val="1"/>
              <c:extLst>
                <c:ext xmlns:c15="http://schemas.microsoft.com/office/drawing/2012/chart" uri="{CE6537A1-D6FC-4f65-9D91-7224C49458BB}"/>
                <c:ext xmlns:c16="http://schemas.microsoft.com/office/drawing/2014/chart" uri="{C3380CC4-5D6E-409C-BE32-E72D297353CC}">
                  <c16:uniqueId val="{00000006-F130-4AAD-B801-453B6C995650}"/>
                </c:ext>
              </c:extLst>
            </c:dLbl>
            <c:dLbl>
              <c:idx val="6"/>
              <c:layout>
                <c:manualLayout>
                  <c:x val="-6.9598794750148615E-2"/>
                  <c:y val="0.1138153341954645"/>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F130-4AAD-B801-453B6C995650}"/>
                </c:ext>
              </c:extLst>
            </c:dLbl>
            <c:spPr>
              <a:noFill/>
              <a:ln>
                <a:noFill/>
              </a:ln>
              <a:effectLst/>
            </c:spPr>
            <c:dLblPos val="t"/>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利率!$K$2:$Q$2</c:f>
              <c:strCache>
                <c:ptCount val="7"/>
                <c:pt idx="0">
                  <c:v>1M</c:v>
                </c:pt>
                <c:pt idx="1">
                  <c:v>3M</c:v>
                </c:pt>
                <c:pt idx="2">
                  <c:v>1Y</c:v>
                </c:pt>
                <c:pt idx="3">
                  <c:v>3Y</c:v>
                </c:pt>
                <c:pt idx="4">
                  <c:v>5Y</c:v>
                </c:pt>
                <c:pt idx="5">
                  <c:v>7Y</c:v>
                </c:pt>
                <c:pt idx="6">
                  <c:v>10Y</c:v>
                </c:pt>
              </c:strCache>
            </c:strRef>
          </c:cat>
          <c:val>
            <c:numRef>
              <c:f>利率!$K$4:$Q$4</c:f>
              <c:numCache>
                <c:formatCode>###,###,###,###,##0.00</c:formatCode>
                <c:ptCount val="7"/>
                <c:pt idx="0">
                  <c:v>1.4830000000000001</c:v>
                </c:pt>
                <c:pt idx="1">
                  <c:v>1.8548</c:v>
                </c:pt>
                <c:pt idx="2">
                  <c:v>2.1514000000000002</c:v>
                </c:pt>
                <c:pt idx="3">
                  <c:v>2.5535999999999999</c:v>
                </c:pt>
                <c:pt idx="4">
                  <c:v>2.6631</c:v>
                </c:pt>
                <c:pt idx="5">
                  <c:v>2.8149999999999999</c:v>
                </c:pt>
                <c:pt idx="6">
                  <c:v>2.8138999999999998</c:v>
                </c:pt>
              </c:numCache>
            </c:numRef>
          </c:val>
          <c:smooth val="0"/>
          <c:extLst>
            <c:ext xmlns:c16="http://schemas.microsoft.com/office/drawing/2014/chart" uri="{C3380CC4-5D6E-409C-BE32-E72D297353CC}">
              <c16:uniqueId val="{00000008-F130-4AAD-B801-453B6C995650}"/>
            </c:ext>
          </c:extLst>
        </c:ser>
        <c:ser>
          <c:idx val="1"/>
          <c:order val="2"/>
          <c:tx>
            <c:strRef>
              <c:f>利率!$J$5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利率!$K$2:$Q$2</c:f>
              <c:strCache>
                <c:ptCount val="7"/>
                <c:pt idx="0">
                  <c:v>1M</c:v>
                </c:pt>
                <c:pt idx="1">
                  <c:v>3M</c:v>
                </c:pt>
                <c:pt idx="2">
                  <c:v>1Y</c:v>
                </c:pt>
                <c:pt idx="3">
                  <c:v>3Y</c:v>
                </c:pt>
                <c:pt idx="4">
                  <c:v>5Y</c:v>
                </c:pt>
                <c:pt idx="5">
                  <c:v>7Y</c:v>
                </c:pt>
                <c:pt idx="6">
                  <c:v>10Y</c:v>
                </c:pt>
              </c:strCache>
            </c:strRef>
          </c:cat>
          <c:val>
            <c:numRef>
              <c:f>利率!$K$5:$Q$5</c:f>
              <c:numCache>
                <c:formatCode>###,###,###,###,##0.00</c:formatCode>
                <c:ptCount val="7"/>
                <c:pt idx="0">
                  <c:v>1.49</c:v>
                </c:pt>
                <c:pt idx="1">
                  <c:v>1.7614000000000001</c:v>
                </c:pt>
                <c:pt idx="2">
                  <c:v>2.1345999999999998</c:v>
                </c:pt>
                <c:pt idx="3">
                  <c:v>2.5354999999999999</c:v>
                </c:pt>
                <c:pt idx="4">
                  <c:v>2.6871999999999998</c:v>
                </c:pt>
                <c:pt idx="5">
                  <c:v>2.8229000000000002</c:v>
                </c:pt>
                <c:pt idx="6">
                  <c:v>2.8363</c:v>
                </c:pt>
              </c:numCache>
            </c:numRef>
          </c:val>
          <c:smooth val="0"/>
          <c:extLst>
            <c:ext xmlns:c16="http://schemas.microsoft.com/office/drawing/2014/chart" uri="{C3380CC4-5D6E-409C-BE32-E72D297353CC}">
              <c16:uniqueId val="{00000009-F130-4AAD-B801-453B6C995650}"/>
            </c:ext>
          </c:extLst>
        </c:ser>
        <c:dLbls>
          <c:showLegendKey val="0"/>
          <c:showVal val="0"/>
          <c:showCatName val="0"/>
          <c:showSerName val="0"/>
          <c:showPercent val="0"/>
          <c:showBubbleSize val="0"/>
        </c:dLbls>
        <c:marker val="1"/>
        <c:smooth val="0"/>
        <c:axId val="233263104"/>
        <c:axId val="233261312"/>
      </c:lineChart>
      <c:dateAx>
        <c:axId val="575562880"/>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33260160"/>
        <c:crosses val="autoZero"/>
        <c:auto val="0"/>
        <c:lblOffset val="0"/>
        <c:baseTimeUnit val="days"/>
      </c:dateAx>
      <c:valAx>
        <c:axId val="233260160"/>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575562880"/>
        <c:crosses val="autoZero"/>
        <c:crossBetween val="between"/>
      </c:valAx>
      <c:valAx>
        <c:axId val="233261312"/>
        <c:scaling>
          <c:orientation val="minMax"/>
        </c:scaling>
        <c:delete val="0"/>
        <c:axPos val="r"/>
        <c:numFmt formatCode="#,##0.0_);[Red]\(#,##0.0\)" sourceLinked="0"/>
        <c:majorTickMark val="out"/>
        <c:minorTickMark val="none"/>
        <c:tickLblPos val="nextTo"/>
        <c:spPr>
          <a:ln w="3175">
            <a:solidFill>
              <a:sysClr val="windowText" lastClr="000000"/>
            </a:solidFill>
          </a:ln>
        </c:spPr>
        <c:crossAx val="233263104"/>
        <c:crosses val="max"/>
        <c:crossBetween val="between"/>
      </c:valAx>
      <c:dateAx>
        <c:axId val="233263104"/>
        <c:scaling>
          <c:orientation val="minMax"/>
        </c:scaling>
        <c:delete val="1"/>
        <c:axPos val="b"/>
        <c:numFmt formatCode="General" sourceLinked="1"/>
        <c:majorTickMark val="out"/>
        <c:minorTickMark val="none"/>
        <c:tickLblPos val="nextTo"/>
        <c:crossAx val="233261312"/>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利率!$J$8</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利率!$K$7:$Q$7</c:f>
              <c:strCache>
                <c:ptCount val="7"/>
                <c:pt idx="0">
                  <c:v>1M</c:v>
                </c:pt>
                <c:pt idx="1">
                  <c:v>3M</c:v>
                </c:pt>
                <c:pt idx="2">
                  <c:v>1Y</c:v>
                </c:pt>
                <c:pt idx="3">
                  <c:v>3Y</c:v>
                </c:pt>
                <c:pt idx="4">
                  <c:v>5Y</c:v>
                </c:pt>
                <c:pt idx="5">
                  <c:v>7Y</c:v>
                </c:pt>
                <c:pt idx="6">
                  <c:v>10Y</c:v>
                </c:pt>
              </c:strCache>
            </c:strRef>
          </c:cat>
          <c:val>
            <c:numRef>
              <c:f>利率!$K$8:$Q$8</c:f>
              <c:numCache>
                <c:formatCode>0.0_ ;[Red]\-0.0\ </c:formatCode>
                <c:ptCount val="7"/>
                <c:pt idx="0">
                  <c:v>1.48</c:v>
                </c:pt>
                <c:pt idx="1">
                  <c:v>9.2899999999999991</c:v>
                </c:pt>
                <c:pt idx="2">
                  <c:v>-0.01</c:v>
                </c:pt>
                <c:pt idx="3">
                  <c:v>2.66</c:v>
                </c:pt>
                <c:pt idx="4">
                  <c:v>-4.68</c:v>
                </c:pt>
                <c:pt idx="5">
                  <c:v>-2.44</c:v>
                </c:pt>
                <c:pt idx="6">
                  <c:v>-4.47</c:v>
                </c:pt>
              </c:numCache>
            </c:numRef>
          </c:val>
          <c:extLst>
            <c:ext xmlns:c16="http://schemas.microsoft.com/office/drawing/2014/chart" uri="{C3380CC4-5D6E-409C-BE32-E72D297353CC}">
              <c16:uniqueId val="{00000000-E370-43E5-8FEE-92032A50AB0F}"/>
            </c:ext>
          </c:extLst>
        </c:ser>
        <c:dLbls>
          <c:showLegendKey val="0"/>
          <c:showVal val="0"/>
          <c:showCatName val="0"/>
          <c:showSerName val="0"/>
          <c:showPercent val="0"/>
          <c:showBubbleSize val="0"/>
        </c:dLbls>
        <c:gapWidth val="150"/>
        <c:axId val="233287040"/>
        <c:axId val="233301504"/>
      </c:barChart>
      <c:lineChart>
        <c:grouping val="standard"/>
        <c:varyColors val="0"/>
        <c:ser>
          <c:idx val="2"/>
          <c:order val="1"/>
          <c:tx>
            <c:strRef>
              <c:f>利率!$J$9</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c:ext xmlns:c15="http://schemas.microsoft.com/office/drawing/2012/chart" uri="{CE6537A1-D6FC-4f65-9D91-7224C49458BB}"/>
                <c:ext xmlns:c16="http://schemas.microsoft.com/office/drawing/2014/chart" uri="{C3380CC4-5D6E-409C-BE32-E72D297353CC}">
                  <c16:uniqueId val="{00000001-E370-43E5-8FEE-92032A50AB0F}"/>
                </c:ext>
              </c:extLst>
            </c:dLbl>
            <c:dLbl>
              <c:idx val="1"/>
              <c:delete val="1"/>
              <c:extLst>
                <c:ext xmlns:c15="http://schemas.microsoft.com/office/drawing/2012/chart" uri="{CE6537A1-D6FC-4f65-9D91-7224C49458BB}"/>
                <c:ext xmlns:c16="http://schemas.microsoft.com/office/drawing/2014/chart" uri="{C3380CC4-5D6E-409C-BE32-E72D297353CC}">
                  <c16:uniqueId val="{00000002-E370-43E5-8FEE-92032A50AB0F}"/>
                </c:ext>
              </c:extLst>
            </c:dLbl>
            <c:dLbl>
              <c:idx val="2"/>
              <c:delete val="1"/>
              <c:extLst>
                <c:ext xmlns:c15="http://schemas.microsoft.com/office/drawing/2012/chart" uri="{CE6537A1-D6FC-4f65-9D91-7224C49458BB}"/>
                <c:ext xmlns:c16="http://schemas.microsoft.com/office/drawing/2014/chart" uri="{C3380CC4-5D6E-409C-BE32-E72D297353CC}">
                  <c16:uniqueId val="{00000003-E370-43E5-8FEE-92032A50AB0F}"/>
                </c:ext>
              </c:extLst>
            </c:dLbl>
            <c:dLbl>
              <c:idx val="3"/>
              <c:delete val="1"/>
              <c:extLst>
                <c:ext xmlns:c15="http://schemas.microsoft.com/office/drawing/2012/chart" uri="{CE6537A1-D6FC-4f65-9D91-7224C49458BB}"/>
                <c:ext xmlns:c16="http://schemas.microsoft.com/office/drawing/2014/chart" uri="{C3380CC4-5D6E-409C-BE32-E72D297353CC}">
                  <c16:uniqueId val="{00000004-E370-43E5-8FEE-92032A50AB0F}"/>
                </c:ext>
              </c:extLst>
            </c:dLbl>
            <c:dLbl>
              <c:idx val="4"/>
              <c:delete val="1"/>
              <c:extLst>
                <c:ext xmlns:c15="http://schemas.microsoft.com/office/drawing/2012/chart" uri="{CE6537A1-D6FC-4f65-9D91-7224C49458BB}"/>
                <c:ext xmlns:c16="http://schemas.microsoft.com/office/drawing/2014/chart" uri="{C3380CC4-5D6E-409C-BE32-E72D297353CC}">
                  <c16:uniqueId val="{00000005-E370-43E5-8FEE-92032A50AB0F}"/>
                </c:ext>
              </c:extLst>
            </c:dLbl>
            <c:dLbl>
              <c:idx val="5"/>
              <c:delete val="1"/>
              <c:extLst>
                <c:ext xmlns:c15="http://schemas.microsoft.com/office/drawing/2012/chart" uri="{CE6537A1-D6FC-4f65-9D91-7224C49458BB}"/>
                <c:ext xmlns:c16="http://schemas.microsoft.com/office/drawing/2014/chart" uri="{C3380CC4-5D6E-409C-BE32-E72D297353CC}">
                  <c16:uniqueId val="{00000006-E370-43E5-8FEE-92032A50AB0F}"/>
                </c:ext>
              </c:extLst>
            </c:dLbl>
            <c:dLbl>
              <c:idx val="6"/>
              <c:layout>
                <c:manualLayout>
                  <c:x val="-6.9613476610968131E-2"/>
                  <c:y val="-7.6829097978928243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E370-43E5-8FEE-92032A50AB0F}"/>
                </c:ext>
              </c:extLst>
            </c:dLbl>
            <c:spPr>
              <a:noFill/>
              <a:ln>
                <a:noFill/>
              </a:ln>
              <a:effectLst/>
            </c:spPr>
            <c:dLblPos val="t"/>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利率!$K$7:$Q$7</c:f>
              <c:strCache>
                <c:ptCount val="7"/>
                <c:pt idx="0">
                  <c:v>1M</c:v>
                </c:pt>
                <c:pt idx="1">
                  <c:v>3M</c:v>
                </c:pt>
                <c:pt idx="2">
                  <c:v>1Y</c:v>
                </c:pt>
                <c:pt idx="3">
                  <c:v>3Y</c:v>
                </c:pt>
                <c:pt idx="4">
                  <c:v>5Y</c:v>
                </c:pt>
                <c:pt idx="5">
                  <c:v>7Y</c:v>
                </c:pt>
                <c:pt idx="6">
                  <c:v>10Y</c:v>
                </c:pt>
              </c:strCache>
            </c:strRef>
          </c:cat>
          <c:val>
            <c:numRef>
              <c:f>利率!$K$9:$Q$9</c:f>
              <c:numCache>
                <c:formatCode>###,###,###,###,##0.00</c:formatCode>
                <c:ptCount val="7"/>
                <c:pt idx="0">
                  <c:v>1.5147999999999999</c:v>
                </c:pt>
                <c:pt idx="1">
                  <c:v>1.8609</c:v>
                </c:pt>
                <c:pt idx="2">
                  <c:v>2.2107000000000001</c:v>
                </c:pt>
                <c:pt idx="3">
                  <c:v>2.7372000000000001</c:v>
                </c:pt>
                <c:pt idx="4">
                  <c:v>2.9761000000000002</c:v>
                </c:pt>
                <c:pt idx="5">
                  <c:v>3.1787999999999998</c:v>
                </c:pt>
                <c:pt idx="6">
                  <c:v>3.1833999999999998</c:v>
                </c:pt>
              </c:numCache>
            </c:numRef>
          </c:val>
          <c:smooth val="0"/>
          <c:extLst>
            <c:ext xmlns:c16="http://schemas.microsoft.com/office/drawing/2014/chart" uri="{C3380CC4-5D6E-409C-BE32-E72D297353CC}">
              <c16:uniqueId val="{00000008-E370-43E5-8FEE-92032A50AB0F}"/>
            </c:ext>
          </c:extLst>
        </c:ser>
        <c:ser>
          <c:idx val="1"/>
          <c:order val="2"/>
          <c:tx>
            <c:strRef>
              <c:f>利率!$J$10</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利率!$K$7:$Q$7</c:f>
              <c:strCache>
                <c:ptCount val="7"/>
                <c:pt idx="0">
                  <c:v>1M</c:v>
                </c:pt>
                <c:pt idx="1">
                  <c:v>3M</c:v>
                </c:pt>
                <c:pt idx="2">
                  <c:v>1Y</c:v>
                </c:pt>
                <c:pt idx="3">
                  <c:v>3Y</c:v>
                </c:pt>
                <c:pt idx="4">
                  <c:v>5Y</c:v>
                </c:pt>
                <c:pt idx="5">
                  <c:v>7Y</c:v>
                </c:pt>
                <c:pt idx="6">
                  <c:v>10Y</c:v>
                </c:pt>
              </c:strCache>
            </c:strRef>
          </c:cat>
          <c:val>
            <c:numRef>
              <c:f>利率!$K$10:$Q$10</c:f>
              <c:numCache>
                <c:formatCode>###,###,###,###,##0.00</c:formatCode>
                <c:ptCount val="7"/>
                <c:pt idx="0">
                  <c:v>1.5</c:v>
                </c:pt>
                <c:pt idx="1">
                  <c:v>1.768</c:v>
                </c:pt>
                <c:pt idx="2">
                  <c:v>2.2107999999999999</c:v>
                </c:pt>
                <c:pt idx="3">
                  <c:v>2.7105999999999999</c:v>
                </c:pt>
                <c:pt idx="4">
                  <c:v>3.0228999999999999</c:v>
                </c:pt>
                <c:pt idx="5">
                  <c:v>3.2031999999999998</c:v>
                </c:pt>
                <c:pt idx="6">
                  <c:v>3.2281</c:v>
                </c:pt>
              </c:numCache>
            </c:numRef>
          </c:val>
          <c:smooth val="0"/>
          <c:extLst>
            <c:ext xmlns:c16="http://schemas.microsoft.com/office/drawing/2014/chart" uri="{C3380CC4-5D6E-409C-BE32-E72D297353CC}">
              <c16:uniqueId val="{00000009-E370-43E5-8FEE-92032A50AB0F}"/>
            </c:ext>
          </c:extLst>
        </c:ser>
        <c:dLbls>
          <c:showLegendKey val="0"/>
          <c:showVal val="0"/>
          <c:showCatName val="0"/>
          <c:showSerName val="0"/>
          <c:showPercent val="0"/>
          <c:showBubbleSize val="0"/>
        </c:dLbls>
        <c:marker val="1"/>
        <c:smooth val="0"/>
        <c:axId val="233304832"/>
        <c:axId val="233303040"/>
      </c:lineChart>
      <c:dateAx>
        <c:axId val="233287040"/>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33301504"/>
        <c:crosses val="autoZero"/>
        <c:auto val="0"/>
        <c:lblOffset val="0"/>
        <c:baseTimeUnit val="days"/>
      </c:dateAx>
      <c:valAx>
        <c:axId val="233301504"/>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33287040"/>
        <c:crosses val="autoZero"/>
        <c:crossBetween val="between"/>
      </c:valAx>
      <c:valAx>
        <c:axId val="233303040"/>
        <c:scaling>
          <c:orientation val="minMax"/>
        </c:scaling>
        <c:delete val="0"/>
        <c:axPos val="r"/>
        <c:numFmt formatCode="#,##0.0_);[Red]\(#,##0.0\)" sourceLinked="0"/>
        <c:majorTickMark val="out"/>
        <c:minorTickMark val="none"/>
        <c:tickLblPos val="nextTo"/>
        <c:spPr>
          <a:ln w="3175">
            <a:solidFill>
              <a:sysClr val="windowText" lastClr="000000"/>
            </a:solidFill>
          </a:ln>
        </c:spPr>
        <c:crossAx val="233304832"/>
        <c:crosses val="max"/>
        <c:crossBetween val="between"/>
      </c:valAx>
      <c:dateAx>
        <c:axId val="233304832"/>
        <c:scaling>
          <c:orientation val="minMax"/>
        </c:scaling>
        <c:delete val="1"/>
        <c:axPos val="b"/>
        <c:numFmt formatCode="General" sourceLinked="1"/>
        <c:majorTickMark val="out"/>
        <c:minorTickMark val="none"/>
        <c:tickLblPos val="nextTo"/>
        <c:crossAx val="233303040"/>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2"/>
                <c:pt idx="0">
                  <c:v>44414</c:v>
                </c:pt>
                <c:pt idx="1">
                  <c:v>44407</c:v>
                </c:pt>
                <c:pt idx="2">
                  <c:v>44400</c:v>
                </c:pt>
                <c:pt idx="3">
                  <c:v>44393</c:v>
                </c:pt>
                <c:pt idx="4">
                  <c:v>44386</c:v>
                </c:pt>
                <c:pt idx="5">
                  <c:v>44379</c:v>
                </c:pt>
                <c:pt idx="6">
                  <c:v>44372</c:v>
                </c:pt>
                <c:pt idx="7">
                  <c:v>44365</c:v>
                </c:pt>
                <c:pt idx="8">
                  <c:v>44358</c:v>
                </c:pt>
                <c:pt idx="9">
                  <c:v>44344</c:v>
                </c:pt>
                <c:pt idx="10">
                  <c:v>44330</c:v>
                </c:pt>
                <c:pt idx="11">
                  <c:v>44323</c:v>
                </c:pt>
                <c:pt idx="12">
                  <c:v>44316</c:v>
                </c:pt>
                <c:pt idx="13">
                  <c:v>44309</c:v>
                </c:pt>
                <c:pt idx="14">
                  <c:v>44302</c:v>
                </c:pt>
                <c:pt idx="15">
                  <c:v>44295</c:v>
                </c:pt>
                <c:pt idx="16">
                  <c:v>44288</c:v>
                </c:pt>
                <c:pt idx="17">
                  <c:v>44281</c:v>
                </c:pt>
                <c:pt idx="18">
                  <c:v>44274</c:v>
                </c:pt>
                <c:pt idx="19">
                  <c:v>44267</c:v>
                </c:pt>
                <c:pt idx="20">
                  <c:v>44260</c:v>
                </c:pt>
                <c:pt idx="21">
                  <c:v>44253</c:v>
                </c:pt>
              </c:numCache>
            </c:numRef>
          </c:cat>
          <c:val>
            <c:numRef>
              <c:f>转债!$H$5:$H$28</c:f>
              <c:numCache>
                <c:formatCode>General</c:formatCode>
                <c:ptCount val="22"/>
                <c:pt idx="0">
                  <c:v>9.3005475546118035</c:v>
                </c:pt>
                <c:pt idx="1">
                  <c:v>7.9363676414653028</c:v>
                </c:pt>
                <c:pt idx="2">
                  <c:v>8.8987612295214227</c:v>
                </c:pt>
                <c:pt idx="3">
                  <c:v>7.3897707713651783</c:v>
                </c:pt>
                <c:pt idx="4">
                  <c:v>5.9561682670074445</c:v>
                </c:pt>
                <c:pt idx="5">
                  <c:v>3.989130999909718</c:v>
                </c:pt>
                <c:pt idx="6">
                  <c:v>4.9999863179757131</c:v>
                </c:pt>
                <c:pt idx="7">
                  <c:v>2.9431402434853204</c:v>
                </c:pt>
                <c:pt idx="8">
                  <c:v>4.6638463453944956</c:v>
                </c:pt>
                <c:pt idx="9">
                  <c:v>4.7545581663898329</c:v>
                </c:pt>
                <c:pt idx="10">
                  <c:v>2.8245718210500703</c:v>
                </c:pt>
                <c:pt idx="11">
                  <c:v>1.9242125310924063</c:v>
                </c:pt>
                <c:pt idx="12">
                  <c:v>1.6365342885210632</c:v>
                </c:pt>
                <c:pt idx="13">
                  <c:v>1.6384497719206692</c:v>
                </c:pt>
                <c:pt idx="14">
                  <c:v>0.91062080816981528</c:v>
                </c:pt>
                <c:pt idx="15">
                  <c:v>1.1971223966528388</c:v>
                </c:pt>
                <c:pt idx="16">
                  <c:v>0.82001844336874186</c:v>
                </c:pt>
                <c:pt idx="17">
                  <c:v>0.23267650495426562</c:v>
                </c:pt>
                <c:pt idx="18">
                  <c:v>0.80797826199980882</c:v>
                </c:pt>
                <c:pt idx="19">
                  <c:v>0.7924902105116205</c:v>
                </c:pt>
                <c:pt idx="20">
                  <c:v>0.4724950265841743</c:v>
                </c:pt>
                <c:pt idx="21">
                  <c:v>0</c:v>
                </c:pt>
              </c:numCache>
            </c:numRef>
          </c:val>
          <c:smooth val="1"/>
          <c:extLst>
            <c:ext xmlns:c16="http://schemas.microsoft.com/office/drawing/2014/chart" uri="{C3380CC4-5D6E-409C-BE32-E72D297353CC}">
              <c16:uniqueId val="{00000000-03E0-40E6-8884-D35CBF4AFF1D}"/>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2"/>
                <c:pt idx="0">
                  <c:v>44414</c:v>
                </c:pt>
                <c:pt idx="1">
                  <c:v>44407</c:v>
                </c:pt>
                <c:pt idx="2">
                  <c:v>44400</c:v>
                </c:pt>
                <c:pt idx="3">
                  <c:v>44393</c:v>
                </c:pt>
                <c:pt idx="4">
                  <c:v>44386</c:v>
                </c:pt>
                <c:pt idx="5">
                  <c:v>44379</c:v>
                </c:pt>
                <c:pt idx="6">
                  <c:v>44372</c:v>
                </c:pt>
                <c:pt idx="7">
                  <c:v>44365</c:v>
                </c:pt>
                <c:pt idx="8">
                  <c:v>44358</c:v>
                </c:pt>
                <c:pt idx="9">
                  <c:v>44344</c:v>
                </c:pt>
                <c:pt idx="10">
                  <c:v>44330</c:v>
                </c:pt>
                <c:pt idx="11">
                  <c:v>44323</c:v>
                </c:pt>
                <c:pt idx="12">
                  <c:v>44316</c:v>
                </c:pt>
                <c:pt idx="13">
                  <c:v>44309</c:v>
                </c:pt>
                <c:pt idx="14">
                  <c:v>44302</c:v>
                </c:pt>
                <c:pt idx="15">
                  <c:v>44295</c:v>
                </c:pt>
                <c:pt idx="16">
                  <c:v>44288</c:v>
                </c:pt>
                <c:pt idx="17">
                  <c:v>44281</c:v>
                </c:pt>
                <c:pt idx="18">
                  <c:v>44274</c:v>
                </c:pt>
                <c:pt idx="19">
                  <c:v>44267</c:v>
                </c:pt>
                <c:pt idx="20">
                  <c:v>44260</c:v>
                </c:pt>
                <c:pt idx="21">
                  <c:v>44253</c:v>
                </c:pt>
              </c:numCache>
            </c:numRef>
          </c:cat>
          <c:val>
            <c:numRef>
              <c:f>转债!$I$5:$I$28</c:f>
              <c:numCache>
                <c:formatCode>General</c:formatCode>
                <c:ptCount val="22"/>
                <c:pt idx="0">
                  <c:v>2.4689196885948839</c:v>
                </c:pt>
                <c:pt idx="1">
                  <c:v>2.298563973907819</c:v>
                </c:pt>
                <c:pt idx="2">
                  <c:v>2.0080626499151766</c:v>
                </c:pt>
                <c:pt idx="3">
                  <c:v>1.7436056833057378</c:v>
                </c:pt>
                <c:pt idx="4">
                  <c:v>1.4122873008567183</c:v>
                </c:pt>
                <c:pt idx="5">
                  <c:v>0.99566297406066262</c:v>
                </c:pt>
                <c:pt idx="6">
                  <c:v>0.96662991992855218</c:v>
                </c:pt>
                <c:pt idx="7">
                  <c:v>0.75912897421950287</c:v>
                </c:pt>
                <c:pt idx="8">
                  <c:v>0.83709126369784226</c:v>
                </c:pt>
                <c:pt idx="9">
                  <c:v>1.151416770345981</c:v>
                </c:pt>
                <c:pt idx="10">
                  <c:v>0.94570904268627132</c:v>
                </c:pt>
                <c:pt idx="11">
                  <c:v>0.85545040086962842</c:v>
                </c:pt>
                <c:pt idx="12">
                  <c:v>0.79781124928377523</c:v>
                </c:pt>
                <c:pt idx="13">
                  <c:v>0.83751822037625434</c:v>
                </c:pt>
                <c:pt idx="14">
                  <c:v>0.70943121685214106</c:v>
                </c:pt>
                <c:pt idx="15">
                  <c:v>0.41389180405422277</c:v>
                </c:pt>
                <c:pt idx="16">
                  <c:v>0.44198555349383994</c:v>
                </c:pt>
                <c:pt idx="17">
                  <c:v>0.41491650008240732</c:v>
                </c:pt>
                <c:pt idx="18">
                  <c:v>0.24584165543057868</c:v>
                </c:pt>
                <c:pt idx="19">
                  <c:v>0.15968179772671842</c:v>
                </c:pt>
                <c:pt idx="20">
                  <c:v>0.14952022878047533</c:v>
                </c:pt>
                <c:pt idx="21">
                  <c:v>0</c:v>
                </c:pt>
              </c:numCache>
            </c:numRef>
          </c:val>
          <c:smooth val="1"/>
          <c:extLst>
            <c:ext xmlns:c16="http://schemas.microsoft.com/office/drawing/2014/chart" uri="{C3380CC4-5D6E-409C-BE32-E72D297353CC}">
              <c16:uniqueId val="{00000001-03E0-40E6-8884-D35CBF4AFF1D}"/>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2"/>
                <c:pt idx="0">
                  <c:v>44414</c:v>
                </c:pt>
                <c:pt idx="1">
                  <c:v>44407</c:v>
                </c:pt>
                <c:pt idx="2">
                  <c:v>44400</c:v>
                </c:pt>
                <c:pt idx="3">
                  <c:v>44393</c:v>
                </c:pt>
                <c:pt idx="4">
                  <c:v>44386</c:v>
                </c:pt>
                <c:pt idx="5">
                  <c:v>44379</c:v>
                </c:pt>
                <c:pt idx="6">
                  <c:v>44372</c:v>
                </c:pt>
                <c:pt idx="7">
                  <c:v>44365</c:v>
                </c:pt>
                <c:pt idx="8">
                  <c:v>44358</c:v>
                </c:pt>
                <c:pt idx="9">
                  <c:v>44344</c:v>
                </c:pt>
                <c:pt idx="10">
                  <c:v>44330</c:v>
                </c:pt>
                <c:pt idx="11">
                  <c:v>44323</c:v>
                </c:pt>
                <c:pt idx="12">
                  <c:v>44316</c:v>
                </c:pt>
                <c:pt idx="13">
                  <c:v>44309</c:v>
                </c:pt>
                <c:pt idx="14">
                  <c:v>44302</c:v>
                </c:pt>
                <c:pt idx="15">
                  <c:v>44295</c:v>
                </c:pt>
                <c:pt idx="16">
                  <c:v>44288</c:v>
                </c:pt>
                <c:pt idx="17">
                  <c:v>44281</c:v>
                </c:pt>
                <c:pt idx="18">
                  <c:v>44274</c:v>
                </c:pt>
                <c:pt idx="19">
                  <c:v>44267</c:v>
                </c:pt>
                <c:pt idx="20">
                  <c:v>44260</c:v>
                </c:pt>
                <c:pt idx="21">
                  <c:v>44253</c:v>
                </c:pt>
              </c:numCache>
            </c:numRef>
          </c:cat>
          <c:val>
            <c:numRef>
              <c:f>转债!$J$5:$J$28</c:f>
              <c:numCache>
                <c:formatCode>General</c:formatCode>
                <c:ptCount val="22"/>
                <c:pt idx="0">
                  <c:v>-7.7799288328619038</c:v>
                </c:pt>
                <c:pt idx="1">
                  <c:v>-9.8485094207611983</c:v>
                </c:pt>
                <c:pt idx="2">
                  <c:v>-4.6382572620032647</c:v>
                </c:pt>
                <c:pt idx="3">
                  <c:v>-4.5343646555347839</c:v>
                </c:pt>
                <c:pt idx="4">
                  <c:v>-5.0091207946003413</c:v>
                </c:pt>
                <c:pt idx="5">
                  <c:v>-4.7902408369091543</c:v>
                </c:pt>
                <c:pt idx="6">
                  <c:v>-1.8136937706915157</c:v>
                </c:pt>
                <c:pt idx="7">
                  <c:v>-4.3902135469475638</c:v>
                </c:pt>
                <c:pt idx="8">
                  <c:v>-2.0997361901673339</c:v>
                </c:pt>
                <c:pt idx="9">
                  <c:v>-0.2936668944640175</c:v>
                </c:pt>
                <c:pt idx="10">
                  <c:v>-4.2379788834084664</c:v>
                </c:pt>
                <c:pt idx="11">
                  <c:v>-6.384175839693329</c:v>
                </c:pt>
                <c:pt idx="12">
                  <c:v>-3.9962798408300526</c:v>
                </c:pt>
                <c:pt idx="13">
                  <c:v>-3.7720914197224009</c:v>
                </c:pt>
                <c:pt idx="14">
                  <c:v>-6.9439086169290505</c:v>
                </c:pt>
                <c:pt idx="15">
                  <c:v>-5.6480607928303446</c:v>
                </c:pt>
                <c:pt idx="16">
                  <c:v>-3.2829651408966209</c:v>
                </c:pt>
                <c:pt idx="17">
                  <c:v>-5.5983583600307192</c:v>
                </c:pt>
                <c:pt idx="18">
                  <c:v>-6.1773462625991034</c:v>
                </c:pt>
                <c:pt idx="19">
                  <c:v>-3.5673754842567518</c:v>
                </c:pt>
                <c:pt idx="20">
                  <c:v>-1.3859549150871731</c:v>
                </c:pt>
                <c:pt idx="21">
                  <c:v>0</c:v>
                </c:pt>
              </c:numCache>
            </c:numRef>
          </c:val>
          <c:smooth val="1"/>
          <c:extLst>
            <c:ext xmlns:c16="http://schemas.microsoft.com/office/drawing/2014/chart" uri="{C3380CC4-5D6E-409C-BE32-E72D297353CC}">
              <c16:uniqueId val="{00000002-03E0-40E6-8884-D35CBF4AFF1D}"/>
            </c:ext>
          </c:extLst>
        </c:ser>
        <c:dLbls>
          <c:showLegendKey val="0"/>
          <c:showVal val="0"/>
          <c:showCatName val="0"/>
          <c:showSerName val="0"/>
          <c:showPercent val="0"/>
          <c:showBubbleSize val="0"/>
        </c:dLbls>
        <c:smooth val="0"/>
        <c:axId val="295798656"/>
        <c:axId val="295800192"/>
      </c:lineChart>
      <c:dateAx>
        <c:axId val="295798656"/>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95800192"/>
        <c:crosses val="autoZero"/>
        <c:auto val="0"/>
        <c:lblOffset val="0"/>
        <c:baseTimeUnit val="days"/>
      </c:dateAx>
      <c:valAx>
        <c:axId val="295800192"/>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95798656"/>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汇率!$B$2</c:f>
              <c:strCache>
                <c:ptCount val="1"/>
                <c:pt idx="0">
                  <c:v>美元兑人民币</c:v>
                </c:pt>
              </c:strCache>
            </c:strRef>
          </c:tx>
          <c:spPr>
            <a:ln w="25400">
              <a:solidFill>
                <a:srgbClr val="ED7D31">
                  <a:lumMod val="75000"/>
                </a:srgbClr>
              </a:solidFill>
            </a:ln>
          </c:spPr>
          <c:marker>
            <c:symbol val="none"/>
          </c:marker>
          <c:cat>
            <c:numRef>
              <c:f>汇率!$A$3:$A$28</c:f>
              <c:numCache>
                <c:formatCode>yyyy/mm/dd;@</c:formatCode>
                <c:ptCount val="26"/>
                <c:pt idx="0">
                  <c:v>44415</c:v>
                </c:pt>
                <c:pt idx="1">
                  <c:v>44408</c:v>
                </c:pt>
                <c:pt idx="2">
                  <c:v>44401</c:v>
                </c:pt>
                <c:pt idx="3">
                  <c:v>44394</c:v>
                </c:pt>
                <c:pt idx="4">
                  <c:v>44387</c:v>
                </c:pt>
                <c:pt idx="5">
                  <c:v>44380</c:v>
                </c:pt>
                <c:pt idx="6">
                  <c:v>44373</c:v>
                </c:pt>
                <c:pt idx="7">
                  <c:v>44366</c:v>
                </c:pt>
                <c:pt idx="8">
                  <c:v>44359</c:v>
                </c:pt>
                <c:pt idx="9">
                  <c:v>44352</c:v>
                </c:pt>
                <c:pt idx="10">
                  <c:v>44345</c:v>
                </c:pt>
                <c:pt idx="11">
                  <c:v>44338</c:v>
                </c:pt>
                <c:pt idx="12">
                  <c:v>44331</c:v>
                </c:pt>
                <c:pt idx="13">
                  <c:v>44324</c:v>
                </c:pt>
                <c:pt idx="14">
                  <c:v>44317</c:v>
                </c:pt>
                <c:pt idx="15">
                  <c:v>44310</c:v>
                </c:pt>
                <c:pt idx="16">
                  <c:v>44303</c:v>
                </c:pt>
                <c:pt idx="17">
                  <c:v>44296</c:v>
                </c:pt>
                <c:pt idx="18">
                  <c:v>44289</c:v>
                </c:pt>
                <c:pt idx="19">
                  <c:v>44282</c:v>
                </c:pt>
                <c:pt idx="20">
                  <c:v>44275</c:v>
                </c:pt>
                <c:pt idx="21">
                  <c:v>44268</c:v>
                </c:pt>
                <c:pt idx="22">
                  <c:v>44261</c:v>
                </c:pt>
                <c:pt idx="23">
                  <c:v>44254</c:v>
                </c:pt>
                <c:pt idx="24">
                  <c:v>44247</c:v>
                </c:pt>
                <c:pt idx="25">
                  <c:v>44240</c:v>
                </c:pt>
              </c:numCache>
            </c:numRef>
          </c:cat>
          <c:val>
            <c:numRef>
              <c:f>汇率!$B$3:$B$28</c:f>
              <c:numCache>
                <c:formatCode>###,###,###,###,##0.00</c:formatCode>
                <c:ptCount val="26"/>
                <c:pt idx="0">
                  <c:v>6.4687999999999999</c:v>
                </c:pt>
                <c:pt idx="1">
                  <c:v>6.4560000000000004</c:v>
                </c:pt>
                <c:pt idx="2">
                  <c:v>6.4759000000000002</c:v>
                </c:pt>
                <c:pt idx="3">
                  <c:v>6.4678000000000004</c:v>
                </c:pt>
                <c:pt idx="4">
                  <c:v>6.4847000000000001</c:v>
                </c:pt>
                <c:pt idx="5">
                  <c:v>6.4824999999999999</c:v>
                </c:pt>
                <c:pt idx="6">
                  <c:v>6.4553000000000003</c:v>
                </c:pt>
                <c:pt idx="7">
                  <c:v>6.4408000000000003</c:v>
                </c:pt>
                <c:pt idx="8">
                  <c:v>6.3914</c:v>
                </c:pt>
                <c:pt idx="9">
                  <c:v>6.4092000000000002</c:v>
                </c:pt>
                <c:pt idx="10">
                  <c:v>6.3654000000000002</c:v>
                </c:pt>
                <c:pt idx="11">
                  <c:v>6.4337</c:v>
                </c:pt>
                <c:pt idx="12">
                  <c:v>6.4347000000000003</c:v>
                </c:pt>
                <c:pt idx="13">
                  <c:v>6.4588999999999999</c:v>
                </c:pt>
                <c:pt idx="14">
                  <c:v>6.4715999999999996</c:v>
                </c:pt>
                <c:pt idx="15">
                  <c:v>6.4935999999999998</c:v>
                </c:pt>
                <c:pt idx="16">
                  <c:v>6.5228000000000002</c:v>
                </c:pt>
                <c:pt idx="17">
                  <c:v>6.5589000000000004</c:v>
                </c:pt>
                <c:pt idx="18">
                  <c:v>6.5612000000000004</c:v>
                </c:pt>
                <c:pt idx="19">
                  <c:v>6.5407000000000002</c:v>
                </c:pt>
                <c:pt idx="20">
                  <c:v>6.5045000000000002</c:v>
                </c:pt>
                <c:pt idx="21">
                  <c:v>6.5035999999999996</c:v>
                </c:pt>
                <c:pt idx="22">
                  <c:v>6.4767999999999999</c:v>
                </c:pt>
                <c:pt idx="23">
                  <c:v>6.4589999999999996</c:v>
                </c:pt>
                <c:pt idx="24">
                  <c:v>6.4574999999999996</c:v>
                </c:pt>
                <c:pt idx="25">
                  <c:v>6.4379999999999997</c:v>
                </c:pt>
              </c:numCache>
            </c:numRef>
          </c:val>
          <c:smooth val="1"/>
          <c:extLst>
            <c:ext xmlns:c16="http://schemas.microsoft.com/office/drawing/2014/chart" uri="{C3380CC4-5D6E-409C-BE32-E72D297353CC}">
              <c16:uniqueId val="{00000000-64EF-45C3-8525-8E968E3CAE92}"/>
            </c:ext>
          </c:extLst>
        </c:ser>
        <c:dLbls>
          <c:showLegendKey val="0"/>
          <c:showVal val="0"/>
          <c:showCatName val="0"/>
          <c:showSerName val="0"/>
          <c:showPercent val="0"/>
          <c:showBubbleSize val="0"/>
        </c:dLbls>
        <c:marker val="1"/>
        <c:smooth val="0"/>
        <c:axId val="295825408"/>
        <c:axId val="295826944"/>
      </c:lineChart>
      <c:lineChart>
        <c:grouping val="standard"/>
        <c:varyColors val="0"/>
        <c:ser>
          <c:idx val="2"/>
          <c:order val="1"/>
          <c:tx>
            <c:strRef>
              <c:f>汇率!$C$2</c:f>
              <c:strCache>
                <c:ptCount val="1"/>
                <c:pt idx="0">
                  <c:v>中美利差</c:v>
                </c:pt>
              </c:strCache>
            </c:strRef>
          </c:tx>
          <c:spPr>
            <a:ln w="25400">
              <a:solidFill>
                <a:srgbClr val="ED7D31"/>
              </a:solidFill>
              <a:prstDash val="sysDash"/>
            </a:ln>
          </c:spPr>
          <c:marker>
            <c:symbol val="none"/>
          </c:marker>
          <c:cat>
            <c:numRef>
              <c:f>汇率!$A$3:$A$28</c:f>
              <c:numCache>
                <c:formatCode>yyyy/mm/dd;@</c:formatCode>
                <c:ptCount val="26"/>
                <c:pt idx="0">
                  <c:v>44415</c:v>
                </c:pt>
                <c:pt idx="1">
                  <c:v>44408</c:v>
                </c:pt>
                <c:pt idx="2">
                  <c:v>44401</c:v>
                </c:pt>
                <c:pt idx="3">
                  <c:v>44394</c:v>
                </c:pt>
                <c:pt idx="4">
                  <c:v>44387</c:v>
                </c:pt>
                <c:pt idx="5">
                  <c:v>44380</c:v>
                </c:pt>
                <c:pt idx="6">
                  <c:v>44373</c:v>
                </c:pt>
                <c:pt idx="7">
                  <c:v>44366</c:v>
                </c:pt>
                <c:pt idx="8">
                  <c:v>44359</c:v>
                </c:pt>
                <c:pt idx="9">
                  <c:v>44352</c:v>
                </c:pt>
                <c:pt idx="10">
                  <c:v>44345</c:v>
                </c:pt>
                <c:pt idx="11">
                  <c:v>44338</c:v>
                </c:pt>
                <c:pt idx="12">
                  <c:v>44331</c:v>
                </c:pt>
                <c:pt idx="13">
                  <c:v>44324</c:v>
                </c:pt>
                <c:pt idx="14">
                  <c:v>44317</c:v>
                </c:pt>
                <c:pt idx="15">
                  <c:v>44310</c:v>
                </c:pt>
                <c:pt idx="16">
                  <c:v>44303</c:v>
                </c:pt>
                <c:pt idx="17">
                  <c:v>44296</c:v>
                </c:pt>
                <c:pt idx="18">
                  <c:v>44289</c:v>
                </c:pt>
                <c:pt idx="19">
                  <c:v>44282</c:v>
                </c:pt>
                <c:pt idx="20">
                  <c:v>44275</c:v>
                </c:pt>
                <c:pt idx="21">
                  <c:v>44268</c:v>
                </c:pt>
                <c:pt idx="22">
                  <c:v>44261</c:v>
                </c:pt>
                <c:pt idx="23">
                  <c:v>44254</c:v>
                </c:pt>
                <c:pt idx="24">
                  <c:v>44247</c:v>
                </c:pt>
                <c:pt idx="25">
                  <c:v>44240</c:v>
                </c:pt>
              </c:numCache>
            </c:numRef>
          </c:cat>
          <c:val>
            <c:numRef>
              <c:f>汇率!$C$3:$C$28</c:f>
              <c:numCache>
                <c:formatCode>###,###,###,###,##0.00</c:formatCode>
                <c:ptCount val="26"/>
                <c:pt idx="0">
                  <c:v>150.38999999999999</c:v>
                </c:pt>
                <c:pt idx="1">
                  <c:v>159.63</c:v>
                </c:pt>
                <c:pt idx="2">
                  <c:v>161.34</c:v>
                </c:pt>
                <c:pt idx="3">
                  <c:v>163.32</c:v>
                </c:pt>
                <c:pt idx="4">
                  <c:v>164.04999999999998</c:v>
                </c:pt>
                <c:pt idx="5">
                  <c:v>164.02999999999997</c:v>
                </c:pt>
                <c:pt idx="6">
                  <c:v>154.26999999999998</c:v>
                </c:pt>
                <c:pt idx="7">
                  <c:v>167.02</c:v>
                </c:pt>
                <c:pt idx="8">
                  <c:v>165.76000000000002</c:v>
                </c:pt>
                <c:pt idx="9">
                  <c:v>153.24999999999997</c:v>
                </c:pt>
                <c:pt idx="10">
                  <c:v>150.25</c:v>
                </c:pt>
                <c:pt idx="11">
                  <c:v>145.76000000000002</c:v>
                </c:pt>
                <c:pt idx="12">
                  <c:v>151.22</c:v>
                </c:pt>
                <c:pt idx="13">
                  <c:v>155.88999999999999</c:v>
                </c:pt>
                <c:pt idx="14">
                  <c:v>151.40000000000003</c:v>
                </c:pt>
                <c:pt idx="15">
                  <c:v>159.19</c:v>
                </c:pt>
                <c:pt idx="16">
                  <c:v>157.31</c:v>
                </c:pt>
                <c:pt idx="17">
                  <c:v>154.21</c:v>
                </c:pt>
                <c:pt idx="18">
                  <c:v>148.13</c:v>
                </c:pt>
                <c:pt idx="19">
                  <c:v>152.85000000000002</c:v>
                </c:pt>
                <c:pt idx="20">
                  <c:v>149.64000000000001</c:v>
                </c:pt>
                <c:pt idx="21">
                  <c:v>162.13</c:v>
                </c:pt>
                <c:pt idx="22">
                  <c:v>168.56999999999996</c:v>
                </c:pt>
                <c:pt idx="23">
                  <c:v>183.98</c:v>
                </c:pt>
                <c:pt idx="24">
                  <c:v>191.78</c:v>
                </c:pt>
                <c:pt idx="25">
                  <c:v>209.49</c:v>
                </c:pt>
              </c:numCache>
            </c:numRef>
          </c:val>
          <c:smooth val="1"/>
          <c:extLst>
            <c:ext xmlns:c16="http://schemas.microsoft.com/office/drawing/2014/chart" uri="{C3380CC4-5D6E-409C-BE32-E72D297353CC}">
              <c16:uniqueId val="{00000001-64EF-45C3-8525-8E968E3CAE92}"/>
            </c:ext>
          </c:extLst>
        </c:ser>
        <c:dLbls>
          <c:showLegendKey val="0"/>
          <c:showVal val="0"/>
          <c:showCatName val="0"/>
          <c:showSerName val="0"/>
          <c:showPercent val="0"/>
          <c:showBubbleSize val="0"/>
        </c:dLbls>
        <c:marker val="1"/>
        <c:smooth val="0"/>
        <c:axId val="334168832"/>
        <c:axId val="295828480"/>
      </c:lineChart>
      <c:dateAx>
        <c:axId val="295825408"/>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95826944"/>
        <c:crosses val="autoZero"/>
        <c:auto val="0"/>
        <c:lblOffset val="0"/>
        <c:baseTimeUnit val="days"/>
      </c:dateAx>
      <c:valAx>
        <c:axId val="295826944"/>
        <c:scaling>
          <c:orientation val="minMax"/>
        </c:scaling>
        <c:delete val="0"/>
        <c:axPos val="l"/>
        <c:numFmt formatCode="#,##0.00_);[Red]\(#,##0.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95825408"/>
        <c:crosses val="autoZero"/>
        <c:crossBetween val="between"/>
      </c:valAx>
      <c:valAx>
        <c:axId val="295828480"/>
        <c:scaling>
          <c:orientation val="minMax"/>
        </c:scaling>
        <c:delete val="0"/>
        <c:axPos val="r"/>
        <c:numFmt formatCode="#,##0_);[Red]\(#,##0\)" sourceLinked="0"/>
        <c:majorTickMark val="out"/>
        <c:minorTickMark val="none"/>
        <c:tickLblPos val="nextTo"/>
        <c:spPr>
          <a:ln w="3175">
            <a:solidFill>
              <a:sysClr val="windowText" lastClr="000000"/>
            </a:solidFill>
          </a:ln>
        </c:spPr>
        <c:crossAx val="334168832"/>
        <c:crosses val="max"/>
        <c:crossBetween val="between"/>
      </c:valAx>
      <c:dateAx>
        <c:axId val="334168832"/>
        <c:scaling>
          <c:orientation val="minMax"/>
        </c:scaling>
        <c:delete val="1"/>
        <c:axPos val="b"/>
        <c:numFmt formatCode="yyyy/mm/dd;@" sourceLinked="1"/>
        <c:majorTickMark val="out"/>
        <c:minorTickMark val="none"/>
        <c:tickLblPos val="nextTo"/>
        <c:crossAx val="295828480"/>
        <c:crosses val="autoZero"/>
        <c:auto val="0"/>
        <c:lblOffset val="100"/>
        <c:baseTimeUnit val="years"/>
      </c:dateAx>
    </c:plotArea>
    <c:legend>
      <c:legendPos val="r"/>
      <c:layout>
        <c:manualLayout>
          <c:xMode val="edge"/>
          <c:yMode val="edge"/>
          <c:x val="0.15225"/>
          <c:y val="2.3337707786526686E-3"/>
          <c:w val="0.690571084864392"/>
          <c:h val="8.584900845727618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汇率!$L$2</c:f>
              <c:strCache>
                <c:ptCount val="1"/>
                <c:pt idx="0">
                  <c:v>现货结算价:LME铜:周</c:v>
                </c:pt>
              </c:strCache>
            </c:strRef>
          </c:tx>
          <c:spPr>
            <a:ln>
              <a:solidFill>
                <a:srgbClr val="ED7D31">
                  <a:lumMod val="75000"/>
                </a:srgbClr>
              </a:solidFill>
            </a:ln>
          </c:spPr>
          <c:marker>
            <c:symbol val="none"/>
          </c:marker>
          <c:cat>
            <c:numRef>
              <c:f>汇率!$K$3:$K$189</c:f>
              <c:numCache>
                <c:formatCode>yyyy/mm/dd;@</c:formatCode>
                <c:ptCount val="187"/>
                <c:pt idx="0">
                  <c:v>44415</c:v>
                </c:pt>
                <c:pt idx="1">
                  <c:v>44408</c:v>
                </c:pt>
                <c:pt idx="2">
                  <c:v>44401</c:v>
                </c:pt>
                <c:pt idx="3">
                  <c:v>44394</c:v>
                </c:pt>
                <c:pt idx="4">
                  <c:v>44387</c:v>
                </c:pt>
                <c:pt idx="5">
                  <c:v>44380</c:v>
                </c:pt>
                <c:pt idx="6">
                  <c:v>44373</c:v>
                </c:pt>
                <c:pt idx="7">
                  <c:v>44366</c:v>
                </c:pt>
                <c:pt idx="8">
                  <c:v>44359</c:v>
                </c:pt>
                <c:pt idx="9">
                  <c:v>44352</c:v>
                </c:pt>
                <c:pt idx="10">
                  <c:v>44345</c:v>
                </c:pt>
                <c:pt idx="11">
                  <c:v>44338</c:v>
                </c:pt>
                <c:pt idx="12">
                  <c:v>44331</c:v>
                </c:pt>
                <c:pt idx="13">
                  <c:v>44324</c:v>
                </c:pt>
                <c:pt idx="14">
                  <c:v>44317</c:v>
                </c:pt>
                <c:pt idx="15">
                  <c:v>44310</c:v>
                </c:pt>
                <c:pt idx="16">
                  <c:v>44303</c:v>
                </c:pt>
                <c:pt idx="17">
                  <c:v>44296</c:v>
                </c:pt>
                <c:pt idx="18">
                  <c:v>44289</c:v>
                </c:pt>
                <c:pt idx="19">
                  <c:v>44282</c:v>
                </c:pt>
                <c:pt idx="20">
                  <c:v>44275</c:v>
                </c:pt>
                <c:pt idx="21">
                  <c:v>44268</c:v>
                </c:pt>
                <c:pt idx="22">
                  <c:v>44261</c:v>
                </c:pt>
                <c:pt idx="23">
                  <c:v>44254</c:v>
                </c:pt>
                <c:pt idx="24">
                  <c:v>44247</c:v>
                </c:pt>
                <c:pt idx="25">
                  <c:v>44240</c:v>
                </c:pt>
                <c:pt idx="26">
                  <c:v>44233</c:v>
                </c:pt>
                <c:pt idx="27">
                  <c:v>44226</c:v>
                </c:pt>
                <c:pt idx="28">
                  <c:v>44219</c:v>
                </c:pt>
                <c:pt idx="29">
                  <c:v>44212</c:v>
                </c:pt>
                <c:pt idx="30">
                  <c:v>44205</c:v>
                </c:pt>
                <c:pt idx="31">
                  <c:v>44198</c:v>
                </c:pt>
                <c:pt idx="32">
                  <c:v>44191</c:v>
                </c:pt>
                <c:pt idx="33">
                  <c:v>44184</c:v>
                </c:pt>
                <c:pt idx="34">
                  <c:v>44177</c:v>
                </c:pt>
                <c:pt idx="35">
                  <c:v>44170</c:v>
                </c:pt>
                <c:pt idx="36">
                  <c:v>44163</c:v>
                </c:pt>
                <c:pt idx="37">
                  <c:v>44156</c:v>
                </c:pt>
                <c:pt idx="38">
                  <c:v>44149</c:v>
                </c:pt>
                <c:pt idx="39">
                  <c:v>44142</c:v>
                </c:pt>
                <c:pt idx="40">
                  <c:v>44135</c:v>
                </c:pt>
                <c:pt idx="41">
                  <c:v>44128</c:v>
                </c:pt>
                <c:pt idx="42">
                  <c:v>44121</c:v>
                </c:pt>
                <c:pt idx="43">
                  <c:v>44114</c:v>
                </c:pt>
                <c:pt idx="44">
                  <c:v>44107</c:v>
                </c:pt>
                <c:pt idx="45">
                  <c:v>44100</c:v>
                </c:pt>
                <c:pt idx="46">
                  <c:v>44093</c:v>
                </c:pt>
                <c:pt idx="47">
                  <c:v>44086</c:v>
                </c:pt>
                <c:pt idx="48">
                  <c:v>44079</c:v>
                </c:pt>
                <c:pt idx="49">
                  <c:v>44072</c:v>
                </c:pt>
                <c:pt idx="50">
                  <c:v>44065</c:v>
                </c:pt>
                <c:pt idx="51">
                  <c:v>44058</c:v>
                </c:pt>
                <c:pt idx="52">
                  <c:v>44051</c:v>
                </c:pt>
                <c:pt idx="53">
                  <c:v>44044</c:v>
                </c:pt>
                <c:pt idx="54">
                  <c:v>44037</c:v>
                </c:pt>
                <c:pt idx="55">
                  <c:v>44030</c:v>
                </c:pt>
                <c:pt idx="56">
                  <c:v>44023</c:v>
                </c:pt>
                <c:pt idx="57">
                  <c:v>44016</c:v>
                </c:pt>
                <c:pt idx="58">
                  <c:v>44009</c:v>
                </c:pt>
                <c:pt idx="59">
                  <c:v>44002</c:v>
                </c:pt>
                <c:pt idx="60">
                  <c:v>43995</c:v>
                </c:pt>
                <c:pt idx="61">
                  <c:v>43988</c:v>
                </c:pt>
                <c:pt idx="62">
                  <c:v>43981</c:v>
                </c:pt>
                <c:pt idx="63">
                  <c:v>43974</c:v>
                </c:pt>
                <c:pt idx="64">
                  <c:v>43967</c:v>
                </c:pt>
                <c:pt idx="65">
                  <c:v>43960</c:v>
                </c:pt>
                <c:pt idx="66">
                  <c:v>43953</c:v>
                </c:pt>
                <c:pt idx="67">
                  <c:v>43946</c:v>
                </c:pt>
                <c:pt idx="68">
                  <c:v>43939</c:v>
                </c:pt>
                <c:pt idx="69">
                  <c:v>43932</c:v>
                </c:pt>
                <c:pt idx="70">
                  <c:v>43925</c:v>
                </c:pt>
                <c:pt idx="71">
                  <c:v>43918</c:v>
                </c:pt>
                <c:pt idx="72">
                  <c:v>43911</c:v>
                </c:pt>
                <c:pt idx="73">
                  <c:v>43904</c:v>
                </c:pt>
                <c:pt idx="74">
                  <c:v>43897</c:v>
                </c:pt>
                <c:pt idx="75">
                  <c:v>43890</c:v>
                </c:pt>
                <c:pt idx="76">
                  <c:v>43883</c:v>
                </c:pt>
                <c:pt idx="77">
                  <c:v>43876</c:v>
                </c:pt>
                <c:pt idx="78">
                  <c:v>43869</c:v>
                </c:pt>
                <c:pt idx="79">
                  <c:v>43862</c:v>
                </c:pt>
                <c:pt idx="80">
                  <c:v>43855</c:v>
                </c:pt>
                <c:pt idx="81">
                  <c:v>43848</c:v>
                </c:pt>
                <c:pt idx="82">
                  <c:v>43841</c:v>
                </c:pt>
                <c:pt idx="83">
                  <c:v>43834</c:v>
                </c:pt>
                <c:pt idx="84">
                  <c:v>43827</c:v>
                </c:pt>
                <c:pt idx="85">
                  <c:v>43820</c:v>
                </c:pt>
                <c:pt idx="86">
                  <c:v>43813</c:v>
                </c:pt>
                <c:pt idx="87">
                  <c:v>43806</c:v>
                </c:pt>
                <c:pt idx="88">
                  <c:v>43799</c:v>
                </c:pt>
                <c:pt idx="89">
                  <c:v>43792</c:v>
                </c:pt>
                <c:pt idx="90">
                  <c:v>43785</c:v>
                </c:pt>
                <c:pt idx="91">
                  <c:v>43778</c:v>
                </c:pt>
                <c:pt idx="92">
                  <c:v>43771</c:v>
                </c:pt>
                <c:pt idx="93">
                  <c:v>43764</c:v>
                </c:pt>
                <c:pt idx="94">
                  <c:v>43757</c:v>
                </c:pt>
                <c:pt idx="95">
                  <c:v>43750</c:v>
                </c:pt>
                <c:pt idx="96">
                  <c:v>43743</c:v>
                </c:pt>
                <c:pt idx="97">
                  <c:v>43736</c:v>
                </c:pt>
                <c:pt idx="98">
                  <c:v>43729</c:v>
                </c:pt>
                <c:pt idx="99">
                  <c:v>43722</c:v>
                </c:pt>
                <c:pt idx="100">
                  <c:v>43715</c:v>
                </c:pt>
                <c:pt idx="101">
                  <c:v>43708</c:v>
                </c:pt>
                <c:pt idx="102">
                  <c:v>43701</c:v>
                </c:pt>
                <c:pt idx="103">
                  <c:v>43694</c:v>
                </c:pt>
                <c:pt idx="104">
                  <c:v>43687</c:v>
                </c:pt>
                <c:pt idx="105">
                  <c:v>43680</c:v>
                </c:pt>
                <c:pt idx="106">
                  <c:v>43673</c:v>
                </c:pt>
                <c:pt idx="107">
                  <c:v>43666</c:v>
                </c:pt>
                <c:pt idx="108">
                  <c:v>43659</c:v>
                </c:pt>
                <c:pt idx="109">
                  <c:v>43652</c:v>
                </c:pt>
                <c:pt idx="110">
                  <c:v>43645</c:v>
                </c:pt>
                <c:pt idx="111">
                  <c:v>43638</c:v>
                </c:pt>
                <c:pt idx="112">
                  <c:v>43631</c:v>
                </c:pt>
                <c:pt idx="113">
                  <c:v>43624</c:v>
                </c:pt>
                <c:pt idx="114">
                  <c:v>43617</c:v>
                </c:pt>
                <c:pt idx="115">
                  <c:v>43610</c:v>
                </c:pt>
                <c:pt idx="116">
                  <c:v>43603</c:v>
                </c:pt>
                <c:pt idx="117">
                  <c:v>43596</c:v>
                </c:pt>
                <c:pt idx="118">
                  <c:v>43589</c:v>
                </c:pt>
                <c:pt idx="119">
                  <c:v>43582</c:v>
                </c:pt>
                <c:pt idx="120">
                  <c:v>43575</c:v>
                </c:pt>
                <c:pt idx="121">
                  <c:v>43568</c:v>
                </c:pt>
                <c:pt idx="122">
                  <c:v>43561</c:v>
                </c:pt>
                <c:pt idx="123">
                  <c:v>43554</c:v>
                </c:pt>
                <c:pt idx="124">
                  <c:v>43547</c:v>
                </c:pt>
                <c:pt idx="125">
                  <c:v>43540</c:v>
                </c:pt>
                <c:pt idx="126">
                  <c:v>43533</c:v>
                </c:pt>
                <c:pt idx="127">
                  <c:v>43526</c:v>
                </c:pt>
                <c:pt idx="128">
                  <c:v>43519</c:v>
                </c:pt>
                <c:pt idx="129">
                  <c:v>43512</c:v>
                </c:pt>
                <c:pt idx="130">
                  <c:v>43505</c:v>
                </c:pt>
                <c:pt idx="131">
                  <c:v>43498</c:v>
                </c:pt>
                <c:pt idx="132">
                  <c:v>43491</c:v>
                </c:pt>
                <c:pt idx="133">
                  <c:v>43484</c:v>
                </c:pt>
                <c:pt idx="134">
                  <c:v>43477</c:v>
                </c:pt>
                <c:pt idx="135">
                  <c:v>43470</c:v>
                </c:pt>
                <c:pt idx="136">
                  <c:v>43463</c:v>
                </c:pt>
                <c:pt idx="137">
                  <c:v>43456</c:v>
                </c:pt>
                <c:pt idx="138">
                  <c:v>43449</c:v>
                </c:pt>
                <c:pt idx="139">
                  <c:v>43442</c:v>
                </c:pt>
                <c:pt idx="140">
                  <c:v>43435</c:v>
                </c:pt>
                <c:pt idx="141">
                  <c:v>43428</c:v>
                </c:pt>
                <c:pt idx="142">
                  <c:v>43421</c:v>
                </c:pt>
                <c:pt idx="143">
                  <c:v>43414</c:v>
                </c:pt>
                <c:pt idx="144">
                  <c:v>43407</c:v>
                </c:pt>
                <c:pt idx="145">
                  <c:v>43400</c:v>
                </c:pt>
                <c:pt idx="146">
                  <c:v>43393</c:v>
                </c:pt>
                <c:pt idx="147">
                  <c:v>43386</c:v>
                </c:pt>
                <c:pt idx="148">
                  <c:v>43379</c:v>
                </c:pt>
                <c:pt idx="149">
                  <c:v>43372</c:v>
                </c:pt>
                <c:pt idx="150">
                  <c:v>43365</c:v>
                </c:pt>
                <c:pt idx="151">
                  <c:v>43358</c:v>
                </c:pt>
                <c:pt idx="152">
                  <c:v>43351</c:v>
                </c:pt>
                <c:pt idx="153">
                  <c:v>43344</c:v>
                </c:pt>
                <c:pt idx="154">
                  <c:v>43337</c:v>
                </c:pt>
                <c:pt idx="155">
                  <c:v>43330</c:v>
                </c:pt>
                <c:pt idx="156">
                  <c:v>43323</c:v>
                </c:pt>
                <c:pt idx="157">
                  <c:v>43316</c:v>
                </c:pt>
                <c:pt idx="158">
                  <c:v>43309</c:v>
                </c:pt>
                <c:pt idx="159">
                  <c:v>43302</c:v>
                </c:pt>
                <c:pt idx="160">
                  <c:v>43295</c:v>
                </c:pt>
                <c:pt idx="161">
                  <c:v>43288</c:v>
                </c:pt>
                <c:pt idx="162">
                  <c:v>43281</c:v>
                </c:pt>
                <c:pt idx="163">
                  <c:v>43274</c:v>
                </c:pt>
                <c:pt idx="164">
                  <c:v>43267</c:v>
                </c:pt>
                <c:pt idx="165">
                  <c:v>43260</c:v>
                </c:pt>
                <c:pt idx="166">
                  <c:v>43253</c:v>
                </c:pt>
                <c:pt idx="167">
                  <c:v>43246</c:v>
                </c:pt>
                <c:pt idx="168">
                  <c:v>43239</c:v>
                </c:pt>
                <c:pt idx="169">
                  <c:v>43232</c:v>
                </c:pt>
                <c:pt idx="170">
                  <c:v>43225</c:v>
                </c:pt>
                <c:pt idx="171">
                  <c:v>43218</c:v>
                </c:pt>
                <c:pt idx="172">
                  <c:v>43211</c:v>
                </c:pt>
                <c:pt idx="173">
                  <c:v>43204</c:v>
                </c:pt>
                <c:pt idx="174">
                  <c:v>43197</c:v>
                </c:pt>
                <c:pt idx="175">
                  <c:v>43190</c:v>
                </c:pt>
                <c:pt idx="176">
                  <c:v>43183</c:v>
                </c:pt>
                <c:pt idx="177">
                  <c:v>43176</c:v>
                </c:pt>
                <c:pt idx="178">
                  <c:v>43169</c:v>
                </c:pt>
                <c:pt idx="179">
                  <c:v>43162</c:v>
                </c:pt>
                <c:pt idx="180">
                  <c:v>43155</c:v>
                </c:pt>
                <c:pt idx="181">
                  <c:v>43148</c:v>
                </c:pt>
                <c:pt idx="182">
                  <c:v>43141</c:v>
                </c:pt>
                <c:pt idx="183">
                  <c:v>43134</c:v>
                </c:pt>
                <c:pt idx="184">
                  <c:v>43127</c:v>
                </c:pt>
                <c:pt idx="185">
                  <c:v>43120</c:v>
                </c:pt>
                <c:pt idx="186">
                  <c:v>43113</c:v>
                </c:pt>
              </c:numCache>
            </c:numRef>
          </c:cat>
          <c:val>
            <c:numRef>
              <c:f>汇率!$L$3:$L$189</c:f>
              <c:numCache>
                <c:formatCode>###,###,###,###,##0.00</c:formatCode>
                <c:ptCount val="187"/>
                <c:pt idx="0">
                  <c:v>9429</c:v>
                </c:pt>
                <c:pt idx="1">
                  <c:v>9747.5</c:v>
                </c:pt>
                <c:pt idx="2">
                  <c:v>9433.5</c:v>
                </c:pt>
                <c:pt idx="3">
                  <c:v>9396.5</c:v>
                </c:pt>
                <c:pt idx="4">
                  <c:v>9437.5</c:v>
                </c:pt>
                <c:pt idx="5">
                  <c:v>9296.5</c:v>
                </c:pt>
                <c:pt idx="6">
                  <c:v>9432.5</c:v>
                </c:pt>
                <c:pt idx="7">
                  <c:v>9206</c:v>
                </c:pt>
                <c:pt idx="8">
                  <c:v>10029</c:v>
                </c:pt>
                <c:pt idx="9">
                  <c:v>9852</c:v>
                </c:pt>
                <c:pt idx="10">
                  <c:v>10159.5</c:v>
                </c:pt>
                <c:pt idx="11">
                  <c:v>10011</c:v>
                </c:pt>
                <c:pt idx="12">
                  <c:v>10212</c:v>
                </c:pt>
                <c:pt idx="13">
                  <c:v>10361</c:v>
                </c:pt>
                <c:pt idx="14">
                  <c:v>9949</c:v>
                </c:pt>
                <c:pt idx="15">
                  <c:v>9545.5</c:v>
                </c:pt>
                <c:pt idx="16">
                  <c:v>9336</c:v>
                </c:pt>
                <c:pt idx="17">
                  <c:v>8993</c:v>
                </c:pt>
                <c:pt idx="18">
                  <c:v>8768</c:v>
                </c:pt>
                <c:pt idx="19">
                  <c:v>8929</c:v>
                </c:pt>
                <c:pt idx="20">
                  <c:v>9036</c:v>
                </c:pt>
                <c:pt idx="21">
                  <c:v>9052.5</c:v>
                </c:pt>
                <c:pt idx="22">
                  <c:v>9021.5</c:v>
                </c:pt>
                <c:pt idx="23">
                  <c:v>9172.5</c:v>
                </c:pt>
                <c:pt idx="24">
                  <c:v>8806.5</c:v>
                </c:pt>
                <c:pt idx="25">
                  <c:v>8270.5</c:v>
                </c:pt>
                <c:pt idx="26">
                  <c:v>7936.5</c:v>
                </c:pt>
                <c:pt idx="27">
                  <c:v>7877</c:v>
                </c:pt>
                <c:pt idx="28">
                  <c:v>7872</c:v>
                </c:pt>
                <c:pt idx="29">
                  <c:v>7979.5</c:v>
                </c:pt>
                <c:pt idx="30">
                  <c:v>8146</c:v>
                </c:pt>
                <c:pt idx="31">
                  <c:v>7741.5</c:v>
                </c:pt>
                <c:pt idx="32">
                  <c:v>7793</c:v>
                </c:pt>
                <c:pt idx="33">
                  <c:v>7964</c:v>
                </c:pt>
                <c:pt idx="34">
                  <c:v>7741</c:v>
                </c:pt>
                <c:pt idx="35">
                  <c:v>7741.5</c:v>
                </c:pt>
                <c:pt idx="36">
                  <c:v>7462</c:v>
                </c:pt>
                <c:pt idx="37">
                  <c:v>7178.5</c:v>
                </c:pt>
                <c:pt idx="38">
                  <c:v>6926</c:v>
                </c:pt>
                <c:pt idx="39">
                  <c:v>6938.5</c:v>
                </c:pt>
                <c:pt idx="40">
                  <c:v>6694.5</c:v>
                </c:pt>
                <c:pt idx="41">
                  <c:v>6879.5</c:v>
                </c:pt>
                <c:pt idx="42">
                  <c:v>6728</c:v>
                </c:pt>
                <c:pt idx="43">
                  <c:v>6740.5</c:v>
                </c:pt>
                <c:pt idx="44">
                  <c:v>6409.5</c:v>
                </c:pt>
                <c:pt idx="45">
                  <c:v>6529</c:v>
                </c:pt>
                <c:pt idx="46">
                  <c:v>6833.5</c:v>
                </c:pt>
                <c:pt idx="47">
                  <c:v>6757.5</c:v>
                </c:pt>
                <c:pt idx="48">
                  <c:v>6678</c:v>
                </c:pt>
                <c:pt idx="49">
                  <c:v>6728</c:v>
                </c:pt>
                <c:pt idx="50">
                  <c:v>6564.5</c:v>
                </c:pt>
                <c:pt idx="51">
                  <c:v>6342.5</c:v>
                </c:pt>
                <c:pt idx="52">
                  <c:v>6437</c:v>
                </c:pt>
                <c:pt idx="53">
                  <c:v>6446.5</c:v>
                </c:pt>
                <c:pt idx="54">
                  <c:v>6412.5</c:v>
                </c:pt>
                <c:pt idx="55">
                  <c:v>6454.5</c:v>
                </c:pt>
                <c:pt idx="56">
                  <c:v>6322.5</c:v>
                </c:pt>
                <c:pt idx="57">
                  <c:v>6022.5</c:v>
                </c:pt>
                <c:pt idx="58">
                  <c:v>5985.5</c:v>
                </c:pt>
                <c:pt idx="59">
                  <c:v>5835.5</c:v>
                </c:pt>
                <c:pt idx="60">
                  <c:v>5785.5</c:v>
                </c:pt>
                <c:pt idx="61">
                  <c:v>5588</c:v>
                </c:pt>
                <c:pt idx="62">
                  <c:v>5332.5</c:v>
                </c:pt>
                <c:pt idx="63">
                  <c:v>5242.5</c:v>
                </c:pt>
                <c:pt idx="64">
                  <c:v>5165</c:v>
                </c:pt>
                <c:pt idx="65">
                  <c:v>5227.5</c:v>
                </c:pt>
                <c:pt idx="66">
                  <c:v>5061</c:v>
                </c:pt>
                <c:pt idx="67">
                  <c:v>5118</c:v>
                </c:pt>
                <c:pt idx="68">
                  <c:v>5175.5</c:v>
                </c:pt>
                <c:pt idx="69">
                  <c:v>4963.5</c:v>
                </c:pt>
                <c:pt idx="70">
                  <c:v>4863.5</c:v>
                </c:pt>
                <c:pt idx="71">
                  <c:v>4774</c:v>
                </c:pt>
                <c:pt idx="72">
                  <c:v>4855</c:v>
                </c:pt>
                <c:pt idx="73">
                  <c:v>5530.5</c:v>
                </c:pt>
                <c:pt idx="74">
                  <c:v>5624</c:v>
                </c:pt>
                <c:pt idx="75">
                  <c:v>5573</c:v>
                </c:pt>
                <c:pt idx="76">
                  <c:v>5702</c:v>
                </c:pt>
                <c:pt idx="77">
                  <c:v>5737</c:v>
                </c:pt>
                <c:pt idx="78">
                  <c:v>5653</c:v>
                </c:pt>
                <c:pt idx="79">
                  <c:v>5570</c:v>
                </c:pt>
                <c:pt idx="80">
                  <c:v>5968</c:v>
                </c:pt>
                <c:pt idx="81">
                  <c:v>6276.5</c:v>
                </c:pt>
                <c:pt idx="82">
                  <c:v>6157</c:v>
                </c:pt>
                <c:pt idx="83">
                  <c:v>6077</c:v>
                </c:pt>
                <c:pt idx="84">
                  <c:v>6211</c:v>
                </c:pt>
                <c:pt idx="85">
                  <c:v>6155.5</c:v>
                </c:pt>
                <c:pt idx="86">
                  <c:v>6154</c:v>
                </c:pt>
                <c:pt idx="87">
                  <c:v>5867.5</c:v>
                </c:pt>
                <c:pt idx="88">
                  <c:v>5854</c:v>
                </c:pt>
                <c:pt idx="89">
                  <c:v>5834</c:v>
                </c:pt>
                <c:pt idx="90">
                  <c:v>5812</c:v>
                </c:pt>
                <c:pt idx="91">
                  <c:v>5951.5</c:v>
                </c:pt>
                <c:pt idx="92">
                  <c:v>5797</c:v>
                </c:pt>
                <c:pt idx="93">
                  <c:v>5867.5</c:v>
                </c:pt>
                <c:pt idx="94">
                  <c:v>5751</c:v>
                </c:pt>
                <c:pt idx="95">
                  <c:v>5763</c:v>
                </c:pt>
                <c:pt idx="96">
                  <c:v>5599</c:v>
                </c:pt>
                <c:pt idx="97">
                  <c:v>5714</c:v>
                </c:pt>
                <c:pt idx="98">
                  <c:v>5777.5</c:v>
                </c:pt>
                <c:pt idx="99">
                  <c:v>5870</c:v>
                </c:pt>
                <c:pt idx="100">
                  <c:v>5787.5</c:v>
                </c:pt>
                <c:pt idx="101">
                  <c:v>5678</c:v>
                </c:pt>
                <c:pt idx="102">
                  <c:v>5675</c:v>
                </c:pt>
                <c:pt idx="103">
                  <c:v>5710</c:v>
                </c:pt>
                <c:pt idx="104">
                  <c:v>5744</c:v>
                </c:pt>
                <c:pt idx="105">
                  <c:v>5769</c:v>
                </c:pt>
                <c:pt idx="106">
                  <c:v>5945</c:v>
                </c:pt>
                <c:pt idx="107">
                  <c:v>6066</c:v>
                </c:pt>
                <c:pt idx="108">
                  <c:v>5950</c:v>
                </c:pt>
                <c:pt idx="109">
                  <c:v>5857</c:v>
                </c:pt>
                <c:pt idx="110">
                  <c:v>5972</c:v>
                </c:pt>
                <c:pt idx="111">
                  <c:v>5941</c:v>
                </c:pt>
                <c:pt idx="112">
                  <c:v>5805.5</c:v>
                </c:pt>
                <c:pt idx="113">
                  <c:v>5770</c:v>
                </c:pt>
                <c:pt idx="114">
                  <c:v>5780.5</c:v>
                </c:pt>
                <c:pt idx="115">
                  <c:v>5919</c:v>
                </c:pt>
                <c:pt idx="116">
                  <c:v>6025</c:v>
                </c:pt>
                <c:pt idx="117">
                  <c:v>6135.5</c:v>
                </c:pt>
                <c:pt idx="118">
                  <c:v>6180</c:v>
                </c:pt>
                <c:pt idx="119">
                  <c:v>6393</c:v>
                </c:pt>
                <c:pt idx="120">
                  <c:v>6448</c:v>
                </c:pt>
                <c:pt idx="121">
                  <c:v>6490</c:v>
                </c:pt>
                <c:pt idx="122">
                  <c:v>6419</c:v>
                </c:pt>
                <c:pt idx="123">
                  <c:v>6485</c:v>
                </c:pt>
                <c:pt idx="124">
                  <c:v>6375</c:v>
                </c:pt>
                <c:pt idx="125">
                  <c:v>6410</c:v>
                </c:pt>
                <c:pt idx="126">
                  <c:v>6398.5</c:v>
                </c:pt>
                <c:pt idx="127">
                  <c:v>6572</c:v>
                </c:pt>
                <c:pt idx="128">
                  <c:v>6489</c:v>
                </c:pt>
                <c:pt idx="129">
                  <c:v>6190</c:v>
                </c:pt>
                <c:pt idx="130">
                  <c:v>6207</c:v>
                </c:pt>
                <c:pt idx="131">
                  <c:v>6097.5</c:v>
                </c:pt>
                <c:pt idx="132">
                  <c:v>5901</c:v>
                </c:pt>
                <c:pt idx="133">
                  <c:v>6022</c:v>
                </c:pt>
                <c:pt idx="134">
                  <c:v>5926.5</c:v>
                </c:pt>
                <c:pt idx="135">
                  <c:v>5840</c:v>
                </c:pt>
                <c:pt idx="136">
                  <c:v>6018</c:v>
                </c:pt>
                <c:pt idx="137">
                  <c:v>5987</c:v>
                </c:pt>
                <c:pt idx="138">
                  <c:v>6104</c:v>
                </c:pt>
                <c:pt idx="139">
                  <c:v>6173</c:v>
                </c:pt>
                <c:pt idx="140">
                  <c:v>6238</c:v>
                </c:pt>
                <c:pt idx="141">
                  <c:v>6210</c:v>
                </c:pt>
                <c:pt idx="142">
                  <c:v>6181</c:v>
                </c:pt>
                <c:pt idx="143">
                  <c:v>6088</c:v>
                </c:pt>
                <c:pt idx="144">
                  <c:v>6255</c:v>
                </c:pt>
                <c:pt idx="145">
                  <c:v>6159</c:v>
                </c:pt>
                <c:pt idx="146">
                  <c:v>6191.5</c:v>
                </c:pt>
                <c:pt idx="147">
                  <c:v>6325</c:v>
                </c:pt>
                <c:pt idx="148">
                  <c:v>6182.5</c:v>
                </c:pt>
                <c:pt idx="149">
                  <c:v>6180</c:v>
                </c:pt>
                <c:pt idx="150">
                  <c:v>6203</c:v>
                </c:pt>
                <c:pt idx="151">
                  <c:v>5946.5</c:v>
                </c:pt>
                <c:pt idx="152">
                  <c:v>5883</c:v>
                </c:pt>
                <c:pt idx="153">
                  <c:v>6019</c:v>
                </c:pt>
                <c:pt idx="154">
                  <c:v>6001</c:v>
                </c:pt>
                <c:pt idx="155">
                  <c:v>5844</c:v>
                </c:pt>
                <c:pt idx="156">
                  <c:v>6120</c:v>
                </c:pt>
                <c:pt idx="157">
                  <c:v>6167</c:v>
                </c:pt>
                <c:pt idx="158">
                  <c:v>6251.5</c:v>
                </c:pt>
                <c:pt idx="159">
                  <c:v>6073</c:v>
                </c:pt>
                <c:pt idx="160">
                  <c:v>6166</c:v>
                </c:pt>
                <c:pt idx="161">
                  <c:v>6326</c:v>
                </c:pt>
                <c:pt idx="162">
                  <c:v>6646</c:v>
                </c:pt>
                <c:pt idx="163">
                  <c:v>6811</c:v>
                </c:pt>
                <c:pt idx="164">
                  <c:v>7136</c:v>
                </c:pt>
                <c:pt idx="165">
                  <c:v>7262.5</c:v>
                </c:pt>
                <c:pt idx="166">
                  <c:v>6814</c:v>
                </c:pt>
                <c:pt idx="167">
                  <c:v>6886</c:v>
                </c:pt>
                <c:pt idx="168">
                  <c:v>6783.5</c:v>
                </c:pt>
                <c:pt idx="169">
                  <c:v>6869</c:v>
                </c:pt>
                <c:pt idx="170">
                  <c:v>6783</c:v>
                </c:pt>
                <c:pt idx="171">
                  <c:v>6797</c:v>
                </c:pt>
                <c:pt idx="172">
                  <c:v>6939</c:v>
                </c:pt>
                <c:pt idx="173">
                  <c:v>6830</c:v>
                </c:pt>
                <c:pt idx="174">
                  <c:v>6703</c:v>
                </c:pt>
                <c:pt idx="175">
                  <c:v>6685</c:v>
                </c:pt>
                <c:pt idx="176">
                  <c:v>6658</c:v>
                </c:pt>
                <c:pt idx="177">
                  <c:v>6923</c:v>
                </c:pt>
                <c:pt idx="178">
                  <c:v>6808</c:v>
                </c:pt>
                <c:pt idx="179">
                  <c:v>6883</c:v>
                </c:pt>
                <c:pt idx="180">
                  <c:v>7073.5</c:v>
                </c:pt>
                <c:pt idx="181">
                  <c:v>7159</c:v>
                </c:pt>
                <c:pt idx="182">
                  <c:v>6755</c:v>
                </c:pt>
                <c:pt idx="183">
                  <c:v>7066</c:v>
                </c:pt>
                <c:pt idx="184">
                  <c:v>7063.5</c:v>
                </c:pt>
                <c:pt idx="185">
                  <c:v>7079</c:v>
                </c:pt>
                <c:pt idx="186">
                  <c:v>7070.5</c:v>
                </c:pt>
              </c:numCache>
            </c:numRef>
          </c:val>
          <c:smooth val="1"/>
          <c:extLst>
            <c:ext xmlns:c16="http://schemas.microsoft.com/office/drawing/2014/chart" uri="{C3380CC4-5D6E-409C-BE32-E72D297353CC}">
              <c16:uniqueId val="{00000000-3EB5-4E3B-9EDF-AC6124FC785C}"/>
            </c:ext>
          </c:extLst>
        </c:ser>
        <c:dLbls>
          <c:showLegendKey val="0"/>
          <c:showVal val="0"/>
          <c:showCatName val="0"/>
          <c:showSerName val="0"/>
          <c:showPercent val="0"/>
          <c:showBubbleSize val="0"/>
        </c:dLbls>
        <c:marker val="1"/>
        <c:smooth val="0"/>
        <c:axId val="334228864"/>
        <c:axId val="334369920"/>
      </c:lineChart>
      <c:lineChart>
        <c:grouping val="standard"/>
        <c:varyColors val="0"/>
        <c:ser>
          <c:idx val="2"/>
          <c:order val="1"/>
          <c:tx>
            <c:strRef>
              <c:f>汇率!$M$2</c:f>
              <c:strCache>
                <c:ptCount val="1"/>
                <c:pt idx="0">
                  <c:v>期货结算价(连续):布伦特原油:周</c:v>
                </c:pt>
              </c:strCache>
            </c:strRef>
          </c:tx>
          <c:spPr>
            <a:ln>
              <a:solidFill>
                <a:srgbClr val="ED7D31"/>
              </a:solidFill>
              <a:prstDash val="sysDash"/>
            </a:ln>
          </c:spPr>
          <c:marker>
            <c:symbol val="none"/>
          </c:marker>
          <c:cat>
            <c:numRef>
              <c:f>汇率!$K$3:$K$189</c:f>
              <c:numCache>
                <c:formatCode>yyyy/mm/dd;@</c:formatCode>
                <c:ptCount val="187"/>
                <c:pt idx="0">
                  <c:v>44415</c:v>
                </c:pt>
                <c:pt idx="1">
                  <c:v>44408</c:v>
                </c:pt>
                <c:pt idx="2">
                  <c:v>44401</c:v>
                </c:pt>
                <c:pt idx="3">
                  <c:v>44394</c:v>
                </c:pt>
                <c:pt idx="4">
                  <c:v>44387</c:v>
                </c:pt>
                <c:pt idx="5">
                  <c:v>44380</c:v>
                </c:pt>
                <c:pt idx="6">
                  <c:v>44373</c:v>
                </c:pt>
                <c:pt idx="7">
                  <c:v>44366</c:v>
                </c:pt>
                <c:pt idx="8">
                  <c:v>44359</c:v>
                </c:pt>
                <c:pt idx="9">
                  <c:v>44352</c:v>
                </c:pt>
                <c:pt idx="10">
                  <c:v>44345</c:v>
                </c:pt>
                <c:pt idx="11">
                  <c:v>44338</c:v>
                </c:pt>
                <c:pt idx="12">
                  <c:v>44331</c:v>
                </c:pt>
                <c:pt idx="13">
                  <c:v>44324</c:v>
                </c:pt>
                <c:pt idx="14">
                  <c:v>44317</c:v>
                </c:pt>
                <c:pt idx="15">
                  <c:v>44310</c:v>
                </c:pt>
                <c:pt idx="16">
                  <c:v>44303</c:v>
                </c:pt>
                <c:pt idx="17">
                  <c:v>44296</c:v>
                </c:pt>
                <c:pt idx="18">
                  <c:v>44289</c:v>
                </c:pt>
                <c:pt idx="19">
                  <c:v>44282</c:v>
                </c:pt>
                <c:pt idx="20">
                  <c:v>44275</c:v>
                </c:pt>
                <c:pt idx="21">
                  <c:v>44268</c:v>
                </c:pt>
                <c:pt idx="22">
                  <c:v>44261</c:v>
                </c:pt>
                <c:pt idx="23">
                  <c:v>44254</c:v>
                </c:pt>
                <c:pt idx="24">
                  <c:v>44247</c:v>
                </c:pt>
                <c:pt idx="25">
                  <c:v>44240</c:v>
                </c:pt>
                <c:pt idx="26">
                  <c:v>44233</c:v>
                </c:pt>
                <c:pt idx="27">
                  <c:v>44226</c:v>
                </c:pt>
                <c:pt idx="28">
                  <c:v>44219</c:v>
                </c:pt>
                <c:pt idx="29">
                  <c:v>44212</c:v>
                </c:pt>
                <c:pt idx="30">
                  <c:v>44205</c:v>
                </c:pt>
                <c:pt idx="31">
                  <c:v>44198</c:v>
                </c:pt>
                <c:pt idx="32">
                  <c:v>44191</c:v>
                </c:pt>
                <c:pt idx="33">
                  <c:v>44184</c:v>
                </c:pt>
                <c:pt idx="34">
                  <c:v>44177</c:v>
                </c:pt>
                <c:pt idx="35">
                  <c:v>44170</c:v>
                </c:pt>
                <c:pt idx="36">
                  <c:v>44163</c:v>
                </c:pt>
                <c:pt idx="37">
                  <c:v>44156</c:v>
                </c:pt>
                <c:pt idx="38">
                  <c:v>44149</c:v>
                </c:pt>
                <c:pt idx="39">
                  <c:v>44142</c:v>
                </c:pt>
                <c:pt idx="40">
                  <c:v>44135</c:v>
                </c:pt>
                <c:pt idx="41">
                  <c:v>44128</c:v>
                </c:pt>
                <c:pt idx="42">
                  <c:v>44121</c:v>
                </c:pt>
                <c:pt idx="43">
                  <c:v>44114</c:v>
                </c:pt>
                <c:pt idx="44">
                  <c:v>44107</c:v>
                </c:pt>
                <c:pt idx="45">
                  <c:v>44100</c:v>
                </c:pt>
                <c:pt idx="46">
                  <c:v>44093</c:v>
                </c:pt>
                <c:pt idx="47">
                  <c:v>44086</c:v>
                </c:pt>
                <c:pt idx="48">
                  <c:v>44079</c:v>
                </c:pt>
                <c:pt idx="49">
                  <c:v>44072</c:v>
                </c:pt>
                <c:pt idx="50">
                  <c:v>44065</c:v>
                </c:pt>
                <c:pt idx="51">
                  <c:v>44058</c:v>
                </c:pt>
                <c:pt idx="52">
                  <c:v>44051</c:v>
                </c:pt>
                <c:pt idx="53">
                  <c:v>44044</c:v>
                </c:pt>
                <c:pt idx="54">
                  <c:v>44037</c:v>
                </c:pt>
                <c:pt idx="55">
                  <c:v>44030</c:v>
                </c:pt>
                <c:pt idx="56">
                  <c:v>44023</c:v>
                </c:pt>
                <c:pt idx="57">
                  <c:v>44016</c:v>
                </c:pt>
                <c:pt idx="58">
                  <c:v>44009</c:v>
                </c:pt>
                <c:pt idx="59">
                  <c:v>44002</c:v>
                </c:pt>
                <c:pt idx="60">
                  <c:v>43995</c:v>
                </c:pt>
                <c:pt idx="61">
                  <c:v>43988</c:v>
                </c:pt>
                <c:pt idx="62">
                  <c:v>43981</c:v>
                </c:pt>
                <c:pt idx="63">
                  <c:v>43974</c:v>
                </c:pt>
                <c:pt idx="64">
                  <c:v>43967</c:v>
                </c:pt>
                <c:pt idx="65">
                  <c:v>43960</c:v>
                </c:pt>
                <c:pt idx="66">
                  <c:v>43953</c:v>
                </c:pt>
                <c:pt idx="67">
                  <c:v>43946</c:v>
                </c:pt>
                <c:pt idx="68">
                  <c:v>43939</c:v>
                </c:pt>
                <c:pt idx="69">
                  <c:v>43932</c:v>
                </c:pt>
                <c:pt idx="70">
                  <c:v>43925</c:v>
                </c:pt>
                <c:pt idx="71">
                  <c:v>43918</c:v>
                </c:pt>
                <c:pt idx="72">
                  <c:v>43911</c:v>
                </c:pt>
                <c:pt idx="73">
                  <c:v>43904</c:v>
                </c:pt>
                <c:pt idx="74">
                  <c:v>43897</c:v>
                </c:pt>
                <c:pt idx="75">
                  <c:v>43890</c:v>
                </c:pt>
                <c:pt idx="76">
                  <c:v>43883</c:v>
                </c:pt>
                <c:pt idx="77">
                  <c:v>43876</c:v>
                </c:pt>
                <c:pt idx="78">
                  <c:v>43869</c:v>
                </c:pt>
                <c:pt idx="79">
                  <c:v>43862</c:v>
                </c:pt>
                <c:pt idx="80">
                  <c:v>43855</c:v>
                </c:pt>
                <c:pt idx="81">
                  <c:v>43848</c:v>
                </c:pt>
                <c:pt idx="82">
                  <c:v>43841</c:v>
                </c:pt>
                <c:pt idx="83">
                  <c:v>43834</c:v>
                </c:pt>
                <c:pt idx="84">
                  <c:v>43827</c:v>
                </c:pt>
                <c:pt idx="85">
                  <c:v>43820</c:v>
                </c:pt>
                <c:pt idx="86">
                  <c:v>43813</c:v>
                </c:pt>
                <c:pt idx="87">
                  <c:v>43806</c:v>
                </c:pt>
                <c:pt idx="88">
                  <c:v>43799</c:v>
                </c:pt>
                <c:pt idx="89">
                  <c:v>43792</c:v>
                </c:pt>
                <c:pt idx="90">
                  <c:v>43785</c:v>
                </c:pt>
                <c:pt idx="91">
                  <c:v>43778</c:v>
                </c:pt>
                <c:pt idx="92">
                  <c:v>43771</c:v>
                </c:pt>
                <c:pt idx="93">
                  <c:v>43764</c:v>
                </c:pt>
                <c:pt idx="94">
                  <c:v>43757</c:v>
                </c:pt>
                <c:pt idx="95">
                  <c:v>43750</c:v>
                </c:pt>
                <c:pt idx="96">
                  <c:v>43743</c:v>
                </c:pt>
                <c:pt idx="97">
                  <c:v>43736</c:v>
                </c:pt>
                <c:pt idx="98">
                  <c:v>43729</c:v>
                </c:pt>
                <c:pt idx="99">
                  <c:v>43722</c:v>
                </c:pt>
                <c:pt idx="100">
                  <c:v>43715</c:v>
                </c:pt>
                <c:pt idx="101">
                  <c:v>43708</c:v>
                </c:pt>
                <c:pt idx="102">
                  <c:v>43701</c:v>
                </c:pt>
                <c:pt idx="103">
                  <c:v>43694</c:v>
                </c:pt>
                <c:pt idx="104">
                  <c:v>43687</c:v>
                </c:pt>
                <c:pt idx="105">
                  <c:v>43680</c:v>
                </c:pt>
                <c:pt idx="106">
                  <c:v>43673</c:v>
                </c:pt>
                <c:pt idx="107">
                  <c:v>43666</c:v>
                </c:pt>
                <c:pt idx="108">
                  <c:v>43659</c:v>
                </c:pt>
                <c:pt idx="109">
                  <c:v>43652</c:v>
                </c:pt>
                <c:pt idx="110">
                  <c:v>43645</c:v>
                </c:pt>
                <c:pt idx="111">
                  <c:v>43638</c:v>
                </c:pt>
                <c:pt idx="112">
                  <c:v>43631</c:v>
                </c:pt>
                <c:pt idx="113">
                  <c:v>43624</c:v>
                </c:pt>
                <c:pt idx="114">
                  <c:v>43617</c:v>
                </c:pt>
                <c:pt idx="115">
                  <c:v>43610</c:v>
                </c:pt>
                <c:pt idx="116">
                  <c:v>43603</c:v>
                </c:pt>
                <c:pt idx="117">
                  <c:v>43596</c:v>
                </c:pt>
                <c:pt idx="118">
                  <c:v>43589</c:v>
                </c:pt>
                <c:pt idx="119">
                  <c:v>43582</c:v>
                </c:pt>
                <c:pt idx="120">
                  <c:v>43575</c:v>
                </c:pt>
                <c:pt idx="121">
                  <c:v>43568</c:v>
                </c:pt>
                <c:pt idx="122">
                  <c:v>43561</c:v>
                </c:pt>
                <c:pt idx="123">
                  <c:v>43554</c:v>
                </c:pt>
                <c:pt idx="124">
                  <c:v>43547</c:v>
                </c:pt>
                <c:pt idx="125">
                  <c:v>43540</c:v>
                </c:pt>
                <c:pt idx="126">
                  <c:v>43533</c:v>
                </c:pt>
                <c:pt idx="127">
                  <c:v>43526</c:v>
                </c:pt>
                <c:pt idx="128">
                  <c:v>43519</c:v>
                </c:pt>
                <c:pt idx="129">
                  <c:v>43512</c:v>
                </c:pt>
                <c:pt idx="130">
                  <c:v>43505</c:v>
                </c:pt>
                <c:pt idx="131">
                  <c:v>43498</c:v>
                </c:pt>
                <c:pt idx="132">
                  <c:v>43491</c:v>
                </c:pt>
                <c:pt idx="133">
                  <c:v>43484</c:v>
                </c:pt>
                <c:pt idx="134">
                  <c:v>43477</c:v>
                </c:pt>
                <c:pt idx="135">
                  <c:v>43470</c:v>
                </c:pt>
                <c:pt idx="136">
                  <c:v>43463</c:v>
                </c:pt>
                <c:pt idx="137">
                  <c:v>43456</c:v>
                </c:pt>
                <c:pt idx="138">
                  <c:v>43449</c:v>
                </c:pt>
                <c:pt idx="139">
                  <c:v>43442</c:v>
                </c:pt>
                <c:pt idx="140">
                  <c:v>43435</c:v>
                </c:pt>
                <c:pt idx="141">
                  <c:v>43428</c:v>
                </c:pt>
                <c:pt idx="142">
                  <c:v>43421</c:v>
                </c:pt>
                <c:pt idx="143">
                  <c:v>43414</c:v>
                </c:pt>
                <c:pt idx="144">
                  <c:v>43407</c:v>
                </c:pt>
                <c:pt idx="145">
                  <c:v>43400</c:v>
                </c:pt>
                <c:pt idx="146">
                  <c:v>43393</c:v>
                </c:pt>
                <c:pt idx="147">
                  <c:v>43386</c:v>
                </c:pt>
                <c:pt idx="148">
                  <c:v>43379</c:v>
                </c:pt>
                <c:pt idx="149">
                  <c:v>43372</c:v>
                </c:pt>
                <c:pt idx="150">
                  <c:v>43365</c:v>
                </c:pt>
                <c:pt idx="151">
                  <c:v>43358</c:v>
                </c:pt>
                <c:pt idx="152">
                  <c:v>43351</c:v>
                </c:pt>
                <c:pt idx="153">
                  <c:v>43344</c:v>
                </c:pt>
                <c:pt idx="154">
                  <c:v>43337</c:v>
                </c:pt>
                <c:pt idx="155">
                  <c:v>43330</c:v>
                </c:pt>
                <c:pt idx="156">
                  <c:v>43323</c:v>
                </c:pt>
                <c:pt idx="157">
                  <c:v>43316</c:v>
                </c:pt>
                <c:pt idx="158">
                  <c:v>43309</c:v>
                </c:pt>
                <c:pt idx="159">
                  <c:v>43302</c:v>
                </c:pt>
                <c:pt idx="160">
                  <c:v>43295</c:v>
                </c:pt>
                <c:pt idx="161">
                  <c:v>43288</c:v>
                </c:pt>
                <c:pt idx="162">
                  <c:v>43281</c:v>
                </c:pt>
                <c:pt idx="163">
                  <c:v>43274</c:v>
                </c:pt>
                <c:pt idx="164">
                  <c:v>43267</c:v>
                </c:pt>
                <c:pt idx="165">
                  <c:v>43260</c:v>
                </c:pt>
                <c:pt idx="166">
                  <c:v>43253</c:v>
                </c:pt>
                <c:pt idx="167">
                  <c:v>43246</c:v>
                </c:pt>
                <c:pt idx="168">
                  <c:v>43239</c:v>
                </c:pt>
                <c:pt idx="169">
                  <c:v>43232</c:v>
                </c:pt>
                <c:pt idx="170">
                  <c:v>43225</c:v>
                </c:pt>
                <c:pt idx="171">
                  <c:v>43218</c:v>
                </c:pt>
                <c:pt idx="172">
                  <c:v>43211</c:v>
                </c:pt>
                <c:pt idx="173">
                  <c:v>43204</c:v>
                </c:pt>
                <c:pt idx="174">
                  <c:v>43197</c:v>
                </c:pt>
                <c:pt idx="175">
                  <c:v>43190</c:v>
                </c:pt>
                <c:pt idx="176">
                  <c:v>43183</c:v>
                </c:pt>
                <c:pt idx="177">
                  <c:v>43176</c:v>
                </c:pt>
                <c:pt idx="178">
                  <c:v>43169</c:v>
                </c:pt>
                <c:pt idx="179">
                  <c:v>43162</c:v>
                </c:pt>
                <c:pt idx="180">
                  <c:v>43155</c:v>
                </c:pt>
                <c:pt idx="181">
                  <c:v>43148</c:v>
                </c:pt>
                <c:pt idx="182">
                  <c:v>43141</c:v>
                </c:pt>
                <c:pt idx="183">
                  <c:v>43134</c:v>
                </c:pt>
                <c:pt idx="184">
                  <c:v>43127</c:v>
                </c:pt>
                <c:pt idx="185">
                  <c:v>43120</c:v>
                </c:pt>
                <c:pt idx="186">
                  <c:v>43113</c:v>
                </c:pt>
              </c:numCache>
            </c:numRef>
          </c:cat>
          <c:val>
            <c:numRef>
              <c:f>汇率!$M$3:$M$189</c:f>
              <c:numCache>
                <c:formatCode>###,###,###,###,##0.00</c:formatCode>
                <c:ptCount val="187"/>
                <c:pt idx="0">
                  <c:v>70.7</c:v>
                </c:pt>
                <c:pt idx="1">
                  <c:v>76.33</c:v>
                </c:pt>
                <c:pt idx="2">
                  <c:v>74.099999999999994</c:v>
                </c:pt>
                <c:pt idx="3">
                  <c:v>73.59</c:v>
                </c:pt>
                <c:pt idx="4">
                  <c:v>75.55</c:v>
                </c:pt>
                <c:pt idx="5">
                  <c:v>76.17</c:v>
                </c:pt>
                <c:pt idx="6">
                  <c:v>76.180000000000007</c:v>
                </c:pt>
                <c:pt idx="7">
                  <c:v>73.510000000000005</c:v>
                </c:pt>
                <c:pt idx="8">
                  <c:v>72.69</c:v>
                </c:pt>
                <c:pt idx="9">
                  <c:v>71.89</c:v>
                </c:pt>
                <c:pt idx="10">
                  <c:v>69.63</c:v>
                </c:pt>
                <c:pt idx="11">
                  <c:v>66.44</c:v>
                </c:pt>
                <c:pt idx="12">
                  <c:v>68.709999999999994</c:v>
                </c:pt>
                <c:pt idx="13">
                  <c:v>68.28</c:v>
                </c:pt>
                <c:pt idx="14">
                  <c:v>67.25</c:v>
                </c:pt>
                <c:pt idx="15">
                  <c:v>66.11</c:v>
                </c:pt>
                <c:pt idx="16">
                  <c:v>66.77</c:v>
                </c:pt>
                <c:pt idx="17">
                  <c:v>62.95</c:v>
                </c:pt>
                <c:pt idx="18">
                  <c:v>63.54</c:v>
                </c:pt>
                <c:pt idx="19">
                  <c:v>64.569999999999993</c:v>
                </c:pt>
                <c:pt idx="20">
                  <c:v>64.53</c:v>
                </c:pt>
                <c:pt idx="21">
                  <c:v>69.22</c:v>
                </c:pt>
                <c:pt idx="22">
                  <c:v>69.36</c:v>
                </c:pt>
                <c:pt idx="23">
                  <c:v>66.13</c:v>
                </c:pt>
                <c:pt idx="24">
                  <c:v>62.91</c:v>
                </c:pt>
                <c:pt idx="25">
                  <c:v>62.43</c:v>
                </c:pt>
                <c:pt idx="26">
                  <c:v>59.34</c:v>
                </c:pt>
                <c:pt idx="27">
                  <c:v>55.88</c:v>
                </c:pt>
                <c:pt idx="28">
                  <c:v>55.41</c:v>
                </c:pt>
                <c:pt idx="29">
                  <c:v>55.1</c:v>
                </c:pt>
                <c:pt idx="30">
                  <c:v>55.99</c:v>
                </c:pt>
                <c:pt idx="31">
                  <c:v>51.8</c:v>
                </c:pt>
                <c:pt idx="32">
                  <c:v>51.29</c:v>
                </c:pt>
                <c:pt idx="33">
                  <c:v>52.26</c:v>
                </c:pt>
                <c:pt idx="34">
                  <c:v>49.97</c:v>
                </c:pt>
                <c:pt idx="35">
                  <c:v>49.25</c:v>
                </c:pt>
                <c:pt idx="36">
                  <c:v>48.18</c:v>
                </c:pt>
                <c:pt idx="37">
                  <c:v>44.96</c:v>
                </c:pt>
                <c:pt idx="38">
                  <c:v>42.78</c:v>
                </c:pt>
                <c:pt idx="39">
                  <c:v>39.450000000000003</c:v>
                </c:pt>
                <c:pt idx="40">
                  <c:v>37.46</c:v>
                </c:pt>
                <c:pt idx="41">
                  <c:v>41.77</c:v>
                </c:pt>
                <c:pt idx="42">
                  <c:v>42.93</c:v>
                </c:pt>
                <c:pt idx="43">
                  <c:v>42.85</c:v>
                </c:pt>
                <c:pt idx="44">
                  <c:v>39.270000000000003</c:v>
                </c:pt>
                <c:pt idx="45">
                  <c:v>41.92</c:v>
                </c:pt>
                <c:pt idx="46">
                  <c:v>43.15</c:v>
                </c:pt>
                <c:pt idx="47">
                  <c:v>39.83</c:v>
                </c:pt>
                <c:pt idx="48">
                  <c:v>42.66</c:v>
                </c:pt>
                <c:pt idx="49">
                  <c:v>45.05</c:v>
                </c:pt>
                <c:pt idx="50">
                  <c:v>44.35</c:v>
                </c:pt>
                <c:pt idx="51">
                  <c:v>44.8</c:v>
                </c:pt>
                <c:pt idx="52">
                  <c:v>44.4</c:v>
                </c:pt>
                <c:pt idx="53">
                  <c:v>43.3</c:v>
                </c:pt>
                <c:pt idx="54">
                  <c:v>43.34</c:v>
                </c:pt>
                <c:pt idx="55">
                  <c:v>43.14</c:v>
                </c:pt>
                <c:pt idx="56">
                  <c:v>43.24</c:v>
                </c:pt>
                <c:pt idx="57">
                  <c:v>42.8</c:v>
                </c:pt>
                <c:pt idx="58">
                  <c:v>41.02</c:v>
                </c:pt>
                <c:pt idx="59">
                  <c:v>42.19</c:v>
                </c:pt>
                <c:pt idx="60">
                  <c:v>38.729999999999997</c:v>
                </c:pt>
                <c:pt idx="61">
                  <c:v>42.3</c:v>
                </c:pt>
                <c:pt idx="62">
                  <c:v>35.33</c:v>
                </c:pt>
                <c:pt idx="63">
                  <c:v>35.130000000000003</c:v>
                </c:pt>
                <c:pt idx="64">
                  <c:v>32.5</c:v>
                </c:pt>
                <c:pt idx="65">
                  <c:v>30.97</c:v>
                </c:pt>
                <c:pt idx="66">
                  <c:v>26.44</c:v>
                </c:pt>
                <c:pt idx="67">
                  <c:v>21.44</c:v>
                </c:pt>
                <c:pt idx="68">
                  <c:v>28.08</c:v>
                </c:pt>
                <c:pt idx="69">
                  <c:v>31.48</c:v>
                </c:pt>
                <c:pt idx="70">
                  <c:v>34.11</c:v>
                </c:pt>
                <c:pt idx="71">
                  <c:v>24.93</c:v>
                </c:pt>
                <c:pt idx="72">
                  <c:v>26.98</c:v>
                </c:pt>
                <c:pt idx="73">
                  <c:v>33.85</c:v>
                </c:pt>
                <c:pt idx="74">
                  <c:v>45.27</c:v>
                </c:pt>
                <c:pt idx="75">
                  <c:v>50.52</c:v>
                </c:pt>
                <c:pt idx="76">
                  <c:v>58.5</c:v>
                </c:pt>
                <c:pt idx="77">
                  <c:v>57.32</c:v>
                </c:pt>
                <c:pt idx="78">
                  <c:v>54.54</c:v>
                </c:pt>
                <c:pt idx="79">
                  <c:v>58.16</c:v>
                </c:pt>
                <c:pt idx="80">
                  <c:v>60.69</c:v>
                </c:pt>
                <c:pt idx="81">
                  <c:v>64.849999999999994</c:v>
                </c:pt>
                <c:pt idx="82">
                  <c:v>64.98</c:v>
                </c:pt>
                <c:pt idx="83">
                  <c:v>68.599999999999994</c:v>
                </c:pt>
                <c:pt idx="84">
                  <c:v>68.16</c:v>
                </c:pt>
                <c:pt idx="85">
                  <c:v>66.14</c:v>
                </c:pt>
                <c:pt idx="86">
                  <c:v>65.22</c:v>
                </c:pt>
                <c:pt idx="87">
                  <c:v>64.39</c:v>
                </c:pt>
                <c:pt idx="88">
                  <c:v>62.43</c:v>
                </c:pt>
                <c:pt idx="89">
                  <c:v>63.39</c:v>
                </c:pt>
                <c:pt idx="90">
                  <c:v>63.3</c:v>
                </c:pt>
                <c:pt idx="91">
                  <c:v>62.51</c:v>
                </c:pt>
                <c:pt idx="92">
                  <c:v>61.69</c:v>
                </c:pt>
                <c:pt idx="93">
                  <c:v>62.02</c:v>
                </c:pt>
                <c:pt idx="94">
                  <c:v>59.42</c:v>
                </c:pt>
                <c:pt idx="95">
                  <c:v>60.51</c:v>
                </c:pt>
                <c:pt idx="96">
                  <c:v>58.37</c:v>
                </c:pt>
                <c:pt idx="97">
                  <c:v>61.91</c:v>
                </c:pt>
                <c:pt idx="98">
                  <c:v>64.28</c:v>
                </c:pt>
                <c:pt idx="99">
                  <c:v>60.22</c:v>
                </c:pt>
                <c:pt idx="100">
                  <c:v>61.54</c:v>
                </c:pt>
                <c:pt idx="101">
                  <c:v>60.43</c:v>
                </c:pt>
                <c:pt idx="102">
                  <c:v>59.34</c:v>
                </c:pt>
                <c:pt idx="103">
                  <c:v>58.64</c:v>
                </c:pt>
                <c:pt idx="104">
                  <c:v>58.53</c:v>
                </c:pt>
                <c:pt idx="105">
                  <c:v>61.89</c:v>
                </c:pt>
                <c:pt idx="106">
                  <c:v>63.46</c:v>
                </c:pt>
                <c:pt idx="107">
                  <c:v>62.47</c:v>
                </c:pt>
                <c:pt idx="108">
                  <c:v>66.72</c:v>
                </c:pt>
                <c:pt idx="109">
                  <c:v>64.23</c:v>
                </c:pt>
                <c:pt idx="110">
                  <c:v>66.55</c:v>
                </c:pt>
                <c:pt idx="111">
                  <c:v>65.2</c:v>
                </c:pt>
                <c:pt idx="112">
                  <c:v>62.01</c:v>
                </c:pt>
                <c:pt idx="113">
                  <c:v>63.29</c:v>
                </c:pt>
                <c:pt idx="114">
                  <c:v>64.489999999999995</c:v>
                </c:pt>
                <c:pt idx="115">
                  <c:v>68.69</c:v>
                </c:pt>
                <c:pt idx="116">
                  <c:v>72.209999999999994</c:v>
                </c:pt>
                <c:pt idx="117">
                  <c:v>70.62</c:v>
                </c:pt>
                <c:pt idx="118">
                  <c:v>70.849999999999994</c:v>
                </c:pt>
                <c:pt idx="119">
                  <c:v>72.150000000000006</c:v>
                </c:pt>
                <c:pt idx="120">
                  <c:v>71.97</c:v>
                </c:pt>
                <c:pt idx="121">
                  <c:v>71.55</c:v>
                </c:pt>
                <c:pt idx="122">
                  <c:v>70.34</c:v>
                </c:pt>
                <c:pt idx="123">
                  <c:v>68.39</c:v>
                </c:pt>
                <c:pt idx="124">
                  <c:v>67.03</c:v>
                </c:pt>
                <c:pt idx="125">
                  <c:v>67.16</c:v>
                </c:pt>
                <c:pt idx="126">
                  <c:v>65.739999999999995</c:v>
                </c:pt>
                <c:pt idx="127">
                  <c:v>65.069999999999993</c:v>
                </c:pt>
                <c:pt idx="128">
                  <c:v>67.12</c:v>
                </c:pt>
                <c:pt idx="129">
                  <c:v>66.25</c:v>
                </c:pt>
                <c:pt idx="130">
                  <c:v>62.1</c:v>
                </c:pt>
                <c:pt idx="131">
                  <c:v>62.75</c:v>
                </c:pt>
                <c:pt idx="132">
                  <c:v>61.64</c:v>
                </c:pt>
                <c:pt idx="133">
                  <c:v>62.7</c:v>
                </c:pt>
                <c:pt idx="134">
                  <c:v>60.48</c:v>
                </c:pt>
                <c:pt idx="135">
                  <c:v>57.06</c:v>
                </c:pt>
                <c:pt idx="136">
                  <c:v>52.2</c:v>
                </c:pt>
                <c:pt idx="137">
                  <c:v>53.82</c:v>
                </c:pt>
                <c:pt idx="138">
                  <c:v>60.28</c:v>
                </c:pt>
                <c:pt idx="139">
                  <c:v>61.67</c:v>
                </c:pt>
                <c:pt idx="140">
                  <c:v>58.71</c:v>
                </c:pt>
                <c:pt idx="141">
                  <c:v>58.8</c:v>
                </c:pt>
                <c:pt idx="142">
                  <c:v>66.760000000000005</c:v>
                </c:pt>
                <c:pt idx="143">
                  <c:v>70.180000000000007</c:v>
                </c:pt>
                <c:pt idx="144">
                  <c:v>72.83</c:v>
                </c:pt>
                <c:pt idx="145">
                  <c:v>77.62</c:v>
                </c:pt>
                <c:pt idx="146">
                  <c:v>79.78</c:v>
                </c:pt>
                <c:pt idx="147">
                  <c:v>80.430000000000007</c:v>
                </c:pt>
                <c:pt idx="148">
                  <c:v>84.16</c:v>
                </c:pt>
                <c:pt idx="149">
                  <c:v>82.72</c:v>
                </c:pt>
                <c:pt idx="150">
                  <c:v>78.8</c:v>
                </c:pt>
                <c:pt idx="151">
                  <c:v>78.09</c:v>
                </c:pt>
                <c:pt idx="152">
                  <c:v>76.83</c:v>
                </c:pt>
                <c:pt idx="153">
                  <c:v>77.42</c:v>
                </c:pt>
                <c:pt idx="154">
                  <c:v>75.819999999999993</c:v>
                </c:pt>
                <c:pt idx="155">
                  <c:v>71.83</c:v>
                </c:pt>
                <c:pt idx="156">
                  <c:v>72.81</c:v>
                </c:pt>
                <c:pt idx="157">
                  <c:v>73.209999999999994</c:v>
                </c:pt>
                <c:pt idx="158">
                  <c:v>74.290000000000006</c:v>
                </c:pt>
                <c:pt idx="159">
                  <c:v>73.069999999999993</c:v>
                </c:pt>
                <c:pt idx="160">
                  <c:v>75.33</c:v>
                </c:pt>
                <c:pt idx="161">
                  <c:v>77.11</c:v>
                </c:pt>
                <c:pt idx="162">
                  <c:v>79.44</c:v>
                </c:pt>
                <c:pt idx="163">
                  <c:v>75.55</c:v>
                </c:pt>
                <c:pt idx="164">
                  <c:v>73.44</c:v>
                </c:pt>
                <c:pt idx="165">
                  <c:v>76.459999999999994</c:v>
                </c:pt>
                <c:pt idx="166">
                  <c:v>76.790000000000006</c:v>
                </c:pt>
                <c:pt idx="167">
                  <c:v>76.44</c:v>
                </c:pt>
                <c:pt idx="168">
                  <c:v>78.510000000000005</c:v>
                </c:pt>
                <c:pt idx="169">
                  <c:v>77.12</c:v>
                </c:pt>
                <c:pt idx="170">
                  <c:v>74.87</c:v>
                </c:pt>
                <c:pt idx="171">
                  <c:v>74.64</c:v>
                </c:pt>
                <c:pt idx="172">
                  <c:v>74.06</c:v>
                </c:pt>
                <c:pt idx="173">
                  <c:v>72.58</c:v>
                </c:pt>
                <c:pt idx="174">
                  <c:v>67.11</c:v>
                </c:pt>
                <c:pt idx="175">
                  <c:v>70.27</c:v>
                </c:pt>
                <c:pt idx="176">
                  <c:v>70.45</c:v>
                </c:pt>
                <c:pt idx="177">
                  <c:v>66.209999999999994</c:v>
                </c:pt>
                <c:pt idx="178">
                  <c:v>65.489999999999995</c:v>
                </c:pt>
                <c:pt idx="179">
                  <c:v>64.37</c:v>
                </c:pt>
                <c:pt idx="180">
                  <c:v>67.31</c:v>
                </c:pt>
                <c:pt idx="181">
                  <c:v>64.84</c:v>
                </c:pt>
                <c:pt idx="182">
                  <c:v>62.79</c:v>
                </c:pt>
                <c:pt idx="183">
                  <c:v>68.58</c:v>
                </c:pt>
                <c:pt idx="184">
                  <c:v>70.52</c:v>
                </c:pt>
                <c:pt idx="185">
                  <c:v>68.61</c:v>
                </c:pt>
                <c:pt idx="186">
                  <c:v>69.87</c:v>
                </c:pt>
              </c:numCache>
            </c:numRef>
          </c:val>
          <c:smooth val="1"/>
          <c:extLst>
            <c:ext xmlns:c16="http://schemas.microsoft.com/office/drawing/2014/chart" uri="{C3380CC4-5D6E-409C-BE32-E72D297353CC}">
              <c16:uniqueId val="{00000001-3EB5-4E3B-9EDF-AC6124FC785C}"/>
            </c:ext>
          </c:extLst>
        </c:ser>
        <c:dLbls>
          <c:showLegendKey val="0"/>
          <c:showVal val="0"/>
          <c:showCatName val="0"/>
          <c:showSerName val="0"/>
          <c:showPercent val="0"/>
          <c:showBubbleSize val="0"/>
        </c:dLbls>
        <c:marker val="1"/>
        <c:smooth val="0"/>
        <c:axId val="334373248"/>
        <c:axId val="334371456"/>
      </c:lineChart>
      <c:dateAx>
        <c:axId val="334228864"/>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34369920"/>
        <c:crosses val="autoZero"/>
        <c:auto val="0"/>
        <c:lblOffset val="0"/>
        <c:baseTimeUnit val="days"/>
      </c:dateAx>
      <c:valAx>
        <c:axId val="334369920"/>
        <c:scaling>
          <c:orientation val="minMax"/>
          <c:min val="4000"/>
        </c:scaling>
        <c:delete val="0"/>
        <c:axPos val="l"/>
        <c:numFmt formatCode="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34228864"/>
        <c:crosses val="autoZero"/>
        <c:crossBetween val="between"/>
      </c:valAx>
      <c:valAx>
        <c:axId val="334371456"/>
        <c:scaling>
          <c:orientation val="minMax"/>
          <c:min val="20"/>
        </c:scaling>
        <c:delete val="0"/>
        <c:axPos val="r"/>
        <c:numFmt formatCode="#,##0_);[Red]\(#,##0\)" sourceLinked="0"/>
        <c:majorTickMark val="out"/>
        <c:minorTickMark val="none"/>
        <c:tickLblPos val="nextTo"/>
        <c:spPr>
          <a:ln w="3175">
            <a:solidFill>
              <a:sysClr val="windowText" lastClr="000000"/>
            </a:solidFill>
          </a:ln>
        </c:spPr>
        <c:crossAx val="334373248"/>
        <c:crosses val="max"/>
        <c:crossBetween val="between"/>
      </c:valAx>
      <c:dateAx>
        <c:axId val="334373248"/>
        <c:scaling>
          <c:orientation val="minMax"/>
        </c:scaling>
        <c:delete val="1"/>
        <c:axPos val="b"/>
        <c:numFmt formatCode="yyyy/mm/dd;@" sourceLinked="1"/>
        <c:majorTickMark val="out"/>
        <c:minorTickMark val="none"/>
        <c:tickLblPos val="nextTo"/>
        <c:crossAx val="334371456"/>
        <c:crosses val="autoZero"/>
        <c:auto val="0"/>
        <c:lblOffset val="100"/>
        <c:baseTimeUnit val="years"/>
      </c:dateAx>
    </c:plotArea>
    <c:legend>
      <c:legendPos val="r"/>
      <c:layout>
        <c:manualLayout>
          <c:xMode val="edge"/>
          <c:yMode val="edge"/>
          <c:x val="9.8452539198019592E-2"/>
          <c:y val="2.3337707786526686E-3"/>
          <c:w val="0.82506483230016781"/>
          <c:h val="0.1375287391401656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6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6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243E67-41AE-4357-91B6-D2C918D25A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543</Words>
  <Characters>3096</Characters>
  <Application>Microsoft Office Word</Application>
  <DocSecurity>0</DocSecurity>
  <Lines>25</Lines>
  <Paragraphs>7</Paragraphs>
  <ScaleCrop>false</ScaleCrop>
  <Company>Microsoft</Company>
  <LinksUpToDate>false</LinksUpToDate>
  <CharactersWithSpaces>3632</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程潇潇</cp:lastModifiedBy>
  <cp:revision>2</cp:revision>
  <cp:lastPrinted>2019-06-26T06:05:00Z</cp:lastPrinted>
  <dcterms:created xsi:type="dcterms:W3CDTF">2021-08-09T08:40:00Z</dcterms:created>
  <dcterms:modified xsi:type="dcterms:W3CDTF">2021-08-09T08:40:00Z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