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7A" w:rsidRDefault="00F760C3">
      <w:pPr>
        <w:jc w:val="center"/>
        <w:rPr>
          <w:b/>
        </w:rPr>
      </w:pPr>
      <w:bookmarkStart w:id="0" w:name="_GoBack"/>
      <w:r>
        <w:rPr>
          <w:rFonts w:hint="eastAsia"/>
          <w:b/>
        </w:rPr>
        <w:t>富荣量化</w:t>
      </w:r>
      <w:r w:rsidR="00A57468">
        <w:rPr>
          <w:rFonts w:hint="eastAsia"/>
          <w:b/>
        </w:rPr>
        <w:t>：</w:t>
      </w:r>
      <w:r w:rsidR="006943CF">
        <w:rPr>
          <w:rFonts w:hint="eastAsia"/>
          <w:b/>
        </w:rPr>
        <w:t>大小盘分化减弱</w:t>
      </w:r>
      <w:bookmarkEnd w:id="0"/>
    </w:p>
    <w:p w:rsidR="00A1467A" w:rsidRDefault="00A1467A">
      <w:pPr>
        <w:ind w:firstLineChars="200" w:firstLine="480"/>
      </w:pPr>
    </w:p>
    <w:p w:rsidR="00D74A5C" w:rsidRDefault="006943CF" w:rsidP="00E84F1E">
      <w:pPr>
        <w:ind w:firstLineChars="200" w:firstLine="480"/>
        <w:rPr>
          <w:rFonts w:hint="eastAsia"/>
        </w:rPr>
      </w:pPr>
      <w:r>
        <w:rPr>
          <w:rFonts w:hint="eastAsia"/>
        </w:rPr>
        <w:t>经历剧烈下跌后，</w:t>
      </w:r>
      <w:r w:rsidR="00A57468">
        <w:rPr>
          <w:rFonts w:hint="eastAsia"/>
        </w:rPr>
        <w:t>上</w:t>
      </w:r>
      <w:r>
        <w:rPr>
          <w:rFonts w:hint="eastAsia"/>
        </w:rPr>
        <w:t>周市场全线反弹，6</w:t>
      </w:r>
      <w:proofErr w:type="gramStart"/>
      <w:r>
        <w:rPr>
          <w:rFonts w:hint="eastAsia"/>
        </w:rPr>
        <w:t>大宽基指数</w:t>
      </w:r>
      <w:proofErr w:type="gramEnd"/>
      <w:r>
        <w:rPr>
          <w:rFonts w:hint="eastAsia"/>
        </w:rPr>
        <w:t>全线收涨，</w:t>
      </w:r>
      <w:r w:rsidR="007258F0">
        <w:rPr>
          <w:rFonts w:hint="eastAsia"/>
        </w:rPr>
        <w:t>从</w:t>
      </w:r>
      <w:r w:rsidR="00F760C3">
        <w:rPr>
          <w:rFonts w:hint="eastAsia"/>
          <w:lang w:eastAsia="zh-Hans"/>
        </w:rPr>
        <w:t>市场最终表现来看</w:t>
      </w:r>
      <w:r w:rsidR="00A57468">
        <w:rPr>
          <w:rFonts w:hint="eastAsia"/>
        </w:rPr>
        <w:t>上</w:t>
      </w:r>
      <w:r w:rsidR="00F760C3">
        <w:rPr>
          <w:rFonts w:hint="eastAsia"/>
          <w:lang w:eastAsia="zh-Hans"/>
        </w:rPr>
        <w:t>周</w:t>
      </w:r>
      <w:proofErr w:type="gramStart"/>
      <w:r w:rsidR="00F760C3">
        <w:rPr>
          <w:rFonts w:hint="eastAsia"/>
          <w:lang w:eastAsia="zh-Hans"/>
        </w:rPr>
        <w:t>各宽基指数</w:t>
      </w:r>
      <w:proofErr w:type="gramEnd"/>
      <w:r w:rsidR="00F760C3">
        <w:rPr>
          <w:rFonts w:hint="eastAsia"/>
          <w:lang w:eastAsia="zh-Hans"/>
        </w:rPr>
        <w:t>表现如下</w:t>
      </w:r>
      <w:r w:rsidR="00F760C3">
        <w:rPr>
          <w:lang w:eastAsia="zh-Hans"/>
        </w:rPr>
        <w:t>（</w:t>
      </w:r>
      <w:r w:rsidR="00F760C3">
        <w:rPr>
          <w:rFonts w:hint="eastAsia"/>
          <w:lang w:eastAsia="zh-Hans"/>
        </w:rPr>
        <w:t>图</w:t>
      </w:r>
      <w:r w:rsidR="00F760C3">
        <w:rPr>
          <w:lang w:eastAsia="zh-Hans"/>
        </w:rPr>
        <w:t>1）：</w:t>
      </w:r>
      <w:r w:rsidR="00F760C3">
        <w:rPr>
          <w:rFonts w:hint="eastAsia"/>
          <w:lang w:eastAsia="zh-Hans"/>
        </w:rPr>
        <w:t>上证指数</w:t>
      </w:r>
      <w:r>
        <w:rPr>
          <w:rFonts w:hint="eastAsia"/>
        </w:rPr>
        <w:t>上涨1.79</w:t>
      </w:r>
      <w:r w:rsidR="00F760C3">
        <w:rPr>
          <w:lang w:eastAsia="zh-Hans"/>
        </w:rPr>
        <w:t>%，</w:t>
      </w:r>
      <w:r w:rsidR="00F760C3">
        <w:rPr>
          <w:rFonts w:hint="eastAsia"/>
          <w:lang w:eastAsia="zh-Hans"/>
        </w:rPr>
        <w:t>深证成指</w:t>
      </w:r>
      <w:r>
        <w:rPr>
          <w:rFonts w:hint="eastAsia"/>
        </w:rPr>
        <w:t>上涨2.45</w:t>
      </w:r>
      <w:r w:rsidR="00F760C3">
        <w:rPr>
          <w:lang w:eastAsia="zh-Hans"/>
        </w:rPr>
        <w:t>%</w:t>
      </w:r>
      <w:r w:rsidR="00A57468">
        <w:rPr>
          <w:rFonts w:hint="eastAsia"/>
        </w:rPr>
        <w:t>，</w:t>
      </w:r>
      <w:r w:rsidR="00F760C3">
        <w:rPr>
          <w:rFonts w:hint="eastAsia"/>
          <w:lang w:eastAsia="zh-Hans"/>
        </w:rPr>
        <w:t>沪深</w:t>
      </w:r>
      <w:r w:rsidR="00F760C3">
        <w:rPr>
          <w:lang w:eastAsia="zh-Hans"/>
        </w:rPr>
        <w:t>300</w:t>
      </w:r>
      <w:r w:rsidR="00F760C3">
        <w:rPr>
          <w:rFonts w:hint="eastAsia"/>
          <w:lang w:eastAsia="zh-Hans"/>
        </w:rPr>
        <w:t>指数</w:t>
      </w:r>
      <w:r>
        <w:rPr>
          <w:rFonts w:hint="eastAsia"/>
        </w:rPr>
        <w:t>上涨2.29</w:t>
      </w:r>
      <w:r w:rsidR="00F760C3">
        <w:rPr>
          <w:lang w:eastAsia="zh-Hans"/>
        </w:rPr>
        <w:t>%</w:t>
      </w:r>
      <w:r w:rsidR="00A57468">
        <w:rPr>
          <w:rFonts w:hint="eastAsia"/>
        </w:rPr>
        <w:t>，</w:t>
      </w:r>
      <w:r w:rsidR="00F760C3">
        <w:rPr>
          <w:rFonts w:hint="eastAsia"/>
          <w:lang w:eastAsia="zh-Hans"/>
        </w:rPr>
        <w:t>中证</w:t>
      </w:r>
      <w:r w:rsidR="00F760C3">
        <w:rPr>
          <w:lang w:eastAsia="zh-Hans"/>
        </w:rPr>
        <w:t>500</w:t>
      </w:r>
      <w:r w:rsidR="00FE7118">
        <w:rPr>
          <w:rFonts w:hint="eastAsia"/>
          <w:lang w:eastAsia="zh-Hans"/>
        </w:rPr>
        <w:t>指数</w:t>
      </w:r>
      <w:r>
        <w:rPr>
          <w:rFonts w:hint="eastAsia"/>
        </w:rPr>
        <w:t>上涨</w:t>
      </w:r>
      <w:r w:rsidR="00A57468">
        <w:rPr>
          <w:rFonts w:hint="eastAsia"/>
        </w:rPr>
        <w:t>2.54</w:t>
      </w:r>
      <w:r w:rsidR="0095695E">
        <w:rPr>
          <w:rFonts w:hint="eastAsia"/>
        </w:rPr>
        <w:t>%</w:t>
      </w:r>
      <w:r w:rsidR="00A57468">
        <w:rPr>
          <w:rFonts w:hint="eastAsia"/>
        </w:rPr>
        <w:t>，</w:t>
      </w:r>
      <w:r w:rsidR="00FE7118">
        <w:rPr>
          <w:rFonts w:hint="eastAsia"/>
          <w:lang w:eastAsia="zh-Hans"/>
        </w:rPr>
        <w:t>创业板指</w:t>
      </w:r>
      <w:r>
        <w:rPr>
          <w:rFonts w:hint="eastAsia"/>
        </w:rPr>
        <w:t>上涨1.47</w:t>
      </w:r>
      <w:r w:rsidR="0095695E">
        <w:rPr>
          <w:rFonts w:hint="eastAsia"/>
        </w:rPr>
        <w:t>%</w:t>
      </w:r>
      <w:r w:rsidR="00F760C3">
        <w:rPr>
          <w:lang w:eastAsia="zh-Hans"/>
        </w:rPr>
        <w:t>，</w:t>
      </w:r>
      <w:r>
        <w:rPr>
          <w:rFonts w:hint="eastAsia"/>
        </w:rPr>
        <w:t>上证50指数</w:t>
      </w:r>
      <w:r w:rsidR="00D74A5C">
        <w:rPr>
          <w:rFonts w:hint="eastAsia"/>
        </w:rPr>
        <w:t>上涨</w:t>
      </w:r>
      <w:r>
        <w:rPr>
          <w:rFonts w:hint="eastAsia"/>
        </w:rPr>
        <w:t>2.01</w:t>
      </w:r>
      <w:r w:rsidR="00D74A5C">
        <w:rPr>
          <w:rFonts w:hint="eastAsia"/>
        </w:rPr>
        <w:t>%。</w:t>
      </w:r>
      <w:r>
        <w:rPr>
          <w:rFonts w:hint="eastAsia"/>
        </w:rPr>
        <w:t>前期</w:t>
      </w:r>
      <w:r w:rsidR="00A57468">
        <w:rPr>
          <w:rFonts w:hint="eastAsia"/>
        </w:rPr>
        <w:t>市场</w:t>
      </w:r>
      <w:r>
        <w:rPr>
          <w:rFonts w:hint="eastAsia"/>
        </w:rPr>
        <w:t>大小盘</w:t>
      </w:r>
      <w:r w:rsidR="00D74A5C">
        <w:rPr>
          <w:rFonts w:hint="eastAsia"/>
        </w:rPr>
        <w:t>分化严重</w:t>
      </w:r>
      <w:r w:rsidR="00A57468">
        <w:rPr>
          <w:rFonts w:hint="eastAsia"/>
        </w:rPr>
        <w:t>的状况</w:t>
      </w:r>
      <w:r>
        <w:rPr>
          <w:rFonts w:hint="eastAsia"/>
        </w:rPr>
        <w:t>有所减弱</w:t>
      </w:r>
      <w:r w:rsidR="00D74A5C">
        <w:rPr>
          <w:rFonts w:hint="eastAsia"/>
        </w:rPr>
        <w:t>，创业板指</w:t>
      </w:r>
      <w:proofErr w:type="gramStart"/>
      <w:r w:rsidR="00D74A5C">
        <w:rPr>
          <w:rFonts w:hint="eastAsia"/>
        </w:rPr>
        <w:t>和科创</w:t>
      </w:r>
      <w:proofErr w:type="gramEnd"/>
      <w:r w:rsidR="00D74A5C">
        <w:rPr>
          <w:rFonts w:hint="eastAsia"/>
        </w:rPr>
        <w:t>50</w:t>
      </w:r>
      <w:r w:rsidR="00D43A00">
        <w:rPr>
          <w:rFonts w:hint="eastAsia"/>
        </w:rPr>
        <w:t>不如上证50和沪深300</w:t>
      </w:r>
      <w:r w:rsidR="00A57468">
        <w:rPr>
          <w:rFonts w:hint="eastAsia"/>
        </w:rPr>
        <w:t>的</w:t>
      </w:r>
      <w:r w:rsidR="00D43A00">
        <w:rPr>
          <w:rFonts w:hint="eastAsia"/>
        </w:rPr>
        <w:t>反弹力度</w:t>
      </w:r>
      <w:r w:rsidR="00D74A5C">
        <w:rPr>
          <w:rFonts w:hint="eastAsia"/>
        </w:rPr>
        <w:t>，其中</w:t>
      </w:r>
      <w:proofErr w:type="gramStart"/>
      <w:r w:rsidR="00D43A00">
        <w:rPr>
          <w:rFonts w:hint="eastAsia"/>
        </w:rPr>
        <w:t>中</w:t>
      </w:r>
      <w:proofErr w:type="gramEnd"/>
      <w:r w:rsidR="00D43A00">
        <w:rPr>
          <w:rFonts w:hint="eastAsia"/>
        </w:rPr>
        <w:t>证500指数再次强势上涨</w:t>
      </w:r>
      <w:r w:rsidR="00A57468">
        <w:rPr>
          <w:rFonts w:hint="eastAsia"/>
        </w:rPr>
        <w:t>2.54</w:t>
      </w:r>
      <w:r w:rsidR="00D43A00">
        <w:rPr>
          <w:rFonts w:hint="eastAsia"/>
        </w:rPr>
        <w:t>%</w:t>
      </w:r>
      <w:r w:rsidR="00D74A5C">
        <w:rPr>
          <w:rFonts w:hint="eastAsia"/>
        </w:rPr>
        <w:t>。</w:t>
      </w:r>
      <w:r w:rsidR="00F760C3">
        <w:rPr>
          <w:rFonts w:hint="eastAsia"/>
          <w:lang w:eastAsia="zh-Hans"/>
        </w:rPr>
        <w:t>从行业来看</w:t>
      </w:r>
      <w:r w:rsidR="00F760C3">
        <w:rPr>
          <w:lang w:eastAsia="zh-Hans"/>
        </w:rPr>
        <w:t>，</w:t>
      </w:r>
      <w:r w:rsidR="00A57468">
        <w:rPr>
          <w:rFonts w:hint="eastAsia"/>
        </w:rPr>
        <w:t>上</w:t>
      </w:r>
      <w:r w:rsidR="00F760C3">
        <w:rPr>
          <w:rFonts w:hint="eastAsia"/>
          <w:lang w:eastAsia="zh-Hans"/>
        </w:rPr>
        <w:t>周</w:t>
      </w:r>
      <w:r w:rsidR="00D43A00">
        <w:rPr>
          <w:rFonts w:hint="eastAsia"/>
        </w:rPr>
        <w:t>国防军工</w:t>
      </w:r>
      <w:r w:rsidR="00D74A5C">
        <w:rPr>
          <w:rFonts w:hint="eastAsia"/>
        </w:rPr>
        <w:t>（</w:t>
      </w:r>
      <w:r w:rsidR="00D43A00">
        <w:rPr>
          <w:rFonts w:hint="eastAsia"/>
        </w:rPr>
        <w:t>10.42</w:t>
      </w:r>
      <w:r w:rsidR="00D74A5C">
        <w:rPr>
          <w:rFonts w:hint="eastAsia"/>
        </w:rPr>
        <w:t>%）</w:t>
      </w:r>
      <w:r w:rsidR="007258F0">
        <w:rPr>
          <w:rFonts w:hint="eastAsia"/>
        </w:rPr>
        <w:t>、</w:t>
      </w:r>
      <w:r w:rsidR="00D43A00">
        <w:rPr>
          <w:rFonts w:hint="eastAsia"/>
        </w:rPr>
        <w:t>汽车</w:t>
      </w:r>
      <w:r w:rsidR="00D74A5C">
        <w:rPr>
          <w:rFonts w:hint="eastAsia"/>
        </w:rPr>
        <w:t>（</w:t>
      </w:r>
      <w:r w:rsidR="00D43A00">
        <w:rPr>
          <w:rFonts w:hint="eastAsia"/>
        </w:rPr>
        <w:t>8.16</w:t>
      </w:r>
      <w:r w:rsidR="00D74A5C">
        <w:rPr>
          <w:rFonts w:hint="eastAsia"/>
        </w:rPr>
        <w:t>%</w:t>
      </w:r>
      <w:r w:rsidR="00D43A00">
        <w:rPr>
          <w:rFonts w:hint="eastAsia"/>
        </w:rPr>
        <w:t>），建筑材料</w:t>
      </w:r>
      <w:r w:rsidR="00D74A5C">
        <w:rPr>
          <w:rFonts w:hint="eastAsia"/>
        </w:rPr>
        <w:t>（</w:t>
      </w:r>
      <w:r w:rsidR="00D43A00">
        <w:rPr>
          <w:rFonts w:hint="eastAsia"/>
        </w:rPr>
        <w:t>7.71</w:t>
      </w:r>
      <w:r w:rsidR="00D74A5C">
        <w:rPr>
          <w:rFonts w:hint="eastAsia"/>
        </w:rPr>
        <w:t>%</w:t>
      </w:r>
      <w:r w:rsidR="00D43A00">
        <w:rPr>
          <w:rFonts w:hint="eastAsia"/>
        </w:rPr>
        <w:t>），综合</w:t>
      </w:r>
      <w:r w:rsidR="00D74A5C">
        <w:rPr>
          <w:rFonts w:hint="eastAsia"/>
        </w:rPr>
        <w:t>（</w:t>
      </w:r>
      <w:r w:rsidR="00D43A00">
        <w:rPr>
          <w:rFonts w:hint="eastAsia"/>
        </w:rPr>
        <w:t>6.71</w:t>
      </w:r>
      <w:r w:rsidR="00D74A5C">
        <w:rPr>
          <w:rFonts w:hint="eastAsia"/>
        </w:rPr>
        <w:t>%）以及</w:t>
      </w:r>
      <w:r w:rsidR="00D43A00">
        <w:rPr>
          <w:rFonts w:hint="eastAsia"/>
        </w:rPr>
        <w:t>机械设备</w:t>
      </w:r>
      <w:r w:rsidR="00D74A5C">
        <w:rPr>
          <w:rFonts w:hint="eastAsia"/>
        </w:rPr>
        <w:t>（</w:t>
      </w:r>
      <w:r w:rsidR="00D43A00">
        <w:rPr>
          <w:rFonts w:hint="eastAsia"/>
        </w:rPr>
        <w:t>6.47</w:t>
      </w:r>
      <w:r w:rsidR="00D74A5C">
        <w:rPr>
          <w:rFonts w:hint="eastAsia"/>
        </w:rPr>
        <w:t>%）表现较好；</w:t>
      </w:r>
      <w:r w:rsidR="005A3D7C">
        <w:rPr>
          <w:rFonts w:hint="eastAsia"/>
        </w:rPr>
        <w:t>表现较为差异的行业为：</w:t>
      </w:r>
      <w:r w:rsidR="00D43A00">
        <w:rPr>
          <w:rFonts w:hint="eastAsia"/>
        </w:rPr>
        <w:t>钢铁</w:t>
      </w:r>
      <w:r w:rsidR="00211359">
        <w:rPr>
          <w:rFonts w:hint="eastAsia"/>
        </w:rPr>
        <w:t>（-</w:t>
      </w:r>
      <w:r w:rsidR="00D43A00">
        <w:rPr>
          <w:rFonts w:hint="eastAsia"/>
        </w:rPr>
        <w:t>3.43%</w:t>
      </w:r>
      <w:r w:rsidR="00211359">
        <w:rPr>
          <w:rFonts w:hint="eastAsia"/>
        </w:rPr>
        <w:t>），</w:t>
      </w:r>
      <w:r w:rsidR="00D43A00">
        <w:rPr>
          <w:rFonts w:hint="eastAsia"/>
        </w:rPr>
        <w:t>传媒</w:t>
      </w:r>
      <w:r w:rsidR="00211359">
        <w:rPr>
          <w:rFonts w:hint="eastAsia"/>
        </w:rPr>
        <w:t>（</w:t>
      </w:r>
      <w:r w:rsidR="00D43A00">
        <w:rPr>
          <w:rFonts w:hint="eastAsia"/>
        </w:rPr>
        <w:t>-2.69</w:t>
      </w:r>
      <w:r w:rsidR="00211359">
        <w:rPr>
          <w:rFonts w:hint="eastAsia"/>
        </w:rPr>
        <w:t>%），</w:t>
      </w:r>
      <w:r w:rsidR="00D43A00">
        <w:rPr>
          <w:rFonts w:hint="eastAsia"/>
        </w:rPr>
        <w:t>电子</w:t>
      </w:r>
      <w:r w:rsidR="00211359">
        <w:rPr>
          <w:rFonts w:hint="eastAsia"/>
        </w:rPr>
        <w:t>（</w:t>
      </w:r>
      <w:r w:rsidR="00D43A00">
        <w:rPr>
          <w:rFonts w:hint="eastAsia"/>
        </w:rPr>
        <w:t>-0.42</w:t>
      </w:r>
      <w:r w:rsidR="00211359">
        <w:rPr>
          <w:rFonts w:hint="eastAsia"/>
        </w:rPr>
        <w:t>%），</w:t>
      </w:r>
      <w:r w:rsidR="00D43A00">
        <w:rPr>
          <w:rFonts w:hint="eastAsia"/>
        </w:rPr>
        <w:t>银行</w:t>
      </w:r>
      <w:r w:rsidR="00211359">
        <w:rPr>
          <w:rFonts w:hint="eastAsia"/>
        </w:rPr>
        <w:t>（</w:t>
      </w:r>
      <w:r w:rsidR="00D43A00">
        <w:rPr>
          <w:rFonts w:hint="eastAsia"/>
        </w:rPr>
        <w:t>0.34</w:t>
      </w:r>
      <w:r w:rsidR="00211359">
        <w:rPr>
          <w:rFonts w:hint="eastAsia"/>
        </w:rPr>
        <w:t>%）</w:t>
      </w:r>
      <w:r w:rsidR="00D43A00">
        <w:rPr>
          <w:rFonts w:hint="eastAsia"/>
        </w:rPr>
        <w:t>，医药生物（0.90%）</w:t>
      </w:r>
      <w:r w:rsidR="005A3D7C">
        <w:rPr>
          <w:rFonts w:hint="eastAsia"/>
        </w:rPr>
        <w:t>等。</w:t>
      </w:r>
      <w:r w:rsidR="00D43A00">
        <w:rPr>
          <w:rFonts w:hint="eastAsia"/>
        </w:rPr>
        <w:t>周四、周五市场冲高回落，反弹力度下降，市场短期内大概率要进入震荡时期。</w:t>
      </w:r>
    </w:p>
    <w:p w:rsidR="00A57468" w:rsidRDefault="00A57468" w:rsidP="00A57468">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A1467A" w:rsidRDefault="00D43A00" w:rsidP="00F760C3">
      <w:r>
        <w:rPr>
          <w:noProof/>
        </w:rPr>
        <w:drawing>
          <wp:inline distT="0" distB="0" distL="0" distR="0">
            <wp:extent cx="5274310" cy="3956248"/>
            <wp:effectExtent l="0" t="0" r="2540" b="6350"/>
            <wp:docPr id="2" name="图片 2" descr="C:\Users\qiuzh\AppData\Roaming\Foxmail7\Temp-23940-20210809081030\fox(08-09-08-3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3940-20210809081030\fox(08-09-08-30-36).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6248"/>
                    </a:xfrm>
                    <a:prstGeom prst="rect">
                      <a:avLst/>
                    </a:prstGeom>
                    <a:noFill/>
                    <a:ln>
                      <a:noFill/>
                    </a:ln>
                  </pic:spPr>
                </pic:pic>
              </a:graphicData>
            </a:graphic>
          </wp:inline>
        </w:drawing>
      </w:r>
    </w:p>
    <w:p w:rsidR="00F760C3" w:rsidRDefault="00F760C3" w:rsidP="00F760C3">
      <w:r>
        <w:rPr>
          <w:rFonts w:hint="eastAsia"/>
        </w:rPr>
        <w:t>数据：Wind；整理：富荣量化</w:t>
      </w:r>
    </w:p>
    <w:p w:rsidR="00A1467A" w:rsidRDefault="00A1467A" w:rsidP="00F760C3">
      <w:pPr>
        <w:rPr>
          <w:lang w:eastAsia="zh-Hans"/>
        </w:rPr>
      </w:pPr>
    </w:p>
    <w:p w:rsidR="002734CF" w:rsidRDefault="00F760C3" w:rsidP="00F760C3">
      <w:pPr>
        <w:ind w:firstLineChars="200" w:firstLine="480"/>
        <w:rPr>
          <w:rFonts w:hint="eastAsia"/>
        </w:rPr>
      </w:pPr>
      <w:r>
        <w:rPr>
          <w:rFonts w:hint="eastAsia"/>
        </w:rPr>
        <w:lastRenderedPageBreak/>
        <w:t>从资金流动来看，</w:t>
      </w:r>
      <w:r w:rsidR="00A57468">
        <w:rPr>
          <w:rFonts w:hint="eastAsia"/>
        </w:rPr>
        <w:t>上</w:t>
      </w:r>
      <w:r>
        <w:rPr>
          <w:rFonts w:hint="eastAsia"/>
        </w:rPr>
        <w:t>周</w:t>
      </w:r>
      <w:r>
        <w:rPr>
          <w:rFonts w:hint="eastAsia"/>
          <w:lang w:eastAsia="zh-Hans"/>
        </w:rPr>
        <w:t>北向资金</w:t>
      </w:r>
      <w:r w:rsidR="00EF35B7">
        <w:rPr>
          <w:rFonts w:hint="eastAsia"/>
        </w:rPr>
        <w:t>净流入100.89亿</w:t>
      </w:r>
      <w:r w:rsidR="00A57468">
        <w:rPr>
          <w:rFonts w:hint="eastAsia"/>
        </w:rPr>
        <w:t>，</w:t>
      </w:r>
      <w:r w:rsidR="00E84F1E">
        <w:rPr>
          <w:rFonts w:hint="eastAsia"/>
          <w:lang w:eastAsia="zh-Hans"/>
        </w:rPr>
        <w:t>其中沪股通流</w:t>
      </w:r>
      <w:r w:rsidR="00EF35B7">
        <w:rPr>
          <w:rFonts w:hint="eastAsia"/>
        </w:rPr>
        <w:t>流入23.81</w:t>
      </w:r>
      <w:r>
        <w:rPr>
          <w:rFonts w:hint="eastAsia"/>
          <w:lang w:eastAsia="zh-Hans"/>
        </w:rPr>
        <w:t>亿</w:t>
      </w:r>
      <w:r>
        <w:rPr>
          <w:lang w:eastAsia="zh-Hans"/>
        </w:rPr>
        <w:t>，</w:t>
      </w:r>
      <w:r>
        <w:rPr>
          <w:rFonts w:hint="eastAsia"/>
          <w:lang w:eastAsia="zh-Hans"/>
        </w:rPr>
        <w:t>深股通流入</w:t>
      </w:r>
      <w:r w:rsidR="00EF35B7">
        <w:rPr>
          <w:rFonts w:hint="eastAsia"/>
          <w:lang w:eastAsia="zh-Hans"/>
        </w:rPr>
        <w:t>77.08</w:t>
      </w:r>
      <w:r>
        <w:rPr>
          <w:rFonts w:hint="eastAsia"/>
          <w:lang w:eastAsia="zh-Hans"/>
        </w:rPr>
        <w:t>亿</w:t>
      </w:r>
      <w:r>
        <w:rPr>
          <w:lang w:eastAsia="zh-Hans"/>
        </w:rPr>
        <w:t>。</w:t>
      </w:r>
      <w:r>
        <w:rPr>
          <w:rFonts w:hint="eastAsia"/>
        </w:rPr>
        <w:t>从市场波动率来看，</w:t>
      </w:r>
      <w:r w:rsidR="00EF35B7">
        <w:rPr>
          <w:rFonts w:hint="eastAsia"/>
        </w:rPr>
        <w:t>随着市场反弹，</w:t>
      </w:r>
      <w:r w:rsidR="00A57468">
        <w:rPr>
          <w:rFonts w:hint="eastAsia"/>
        </w:rPr>
        <w:t>上</w:t>
      </w:r>
      <w:r w:rsidR="00E84F1E">
        <w:rPr>
          <w:rFonts w:hint="eastAsia"/>
        </w:rPr>
        <w:t>周期权隐含波动率</w:t>
      </w:r>
      <w:r w:rsidR="00EF35B7">
        <w:rPr>
          <w:rFonts w:hint="eastAsia"/>
        </w:rPr>
        <w:t>随之回落</w:t>
      </w:r>
      <w:r w:rsidR="005A3D7C">
        <w:rPr>
          <w:rFonts w:hint="eastAsia"/>
        </w:rPr>
        <w:t>，</w:t>
      </w:r>
      <w:r w:rsidR="00EF35B7">
        <w:rPr>
          <w:rFonts w:hint="eastAsia"/>
        </w:rPr>
        <w:t>但市场不确定依然存在</w:t>
      </w:r>
      <w:r w:rsidR="00EE5498">
        <w:rPr>
          <w:rFonts w:hint="eastAsia"/>
        </w:rPr>
        <w:t>，</w:t>
      </w:r>
      <w:r w:rsidR="00EF35B7">
        <w:rPr>
          <w:rFonts w:hint="eastAsia"/>
        </w:rPr>
        <w:t>认沽波动率远高于认购波动率，市场反弹趋于弱势</w:t>
      </w:r>
      <w:r w:rsidR="00A57468">
        <w:rPr>
          <w:rFonts w:hint="eastAsia"/>
        </w:rPr>
        <w:t>。</w:t>
      </w:r>
      <w:r w:rsidR="00EF35B7">
        <w:rPr>
          <w:rFonts w:hint="eastAsia"/>
        </w:rPr>
        <w:t>接下来的交易日内，市场可能回踩，波动率短期内维持</w:t>
      </w:r>
      <w:r w:rsidR="005A3D7C">
        <w:rPr>
          <w:rFonts w:hint="eastAsia"/>
        </w:rPr>
        <w:t>震荡</w:t>
      </w:r>
      <w:r w:rsidR="00EF35B7">
        <w:rPr>
          <w:rFonts w:hint="eastAsia"/>
        </w:rPr>
        <w:t>的概率比较大。当</w:t>
      </w:r>
      <w:r w:rsidR="005A3D7C">
        <w:rPr>
          <w:rFonts w:hint="eastAsia"/>
        </w:rPr>
        <w:t>市场企</w:t>
      </w:r>
      <w:proofErr w:type="gramStart"/>
      <w:r w:rsidR="005A3D7C">
        <w:rPr>
          <w:rFonts w:hint="eastAsia"/>
        </w:rPr>
        <w:t>稳</w:t>
      </w:r>
      <w:r w:rsidR="00EF35B7">
        <w:rPr>
          <w:rFonts w:hint="eastAsia"/>
        </w:rPr>
        <w:t>进入</w:t>
      </w:r>
      <w:proofErr w:type="gramEnd"/>
      <w:r w:rsidR="00EF35B7">
        <w:rPr>
          <w:rFonts w:hint="eastAsia"/>
        </w:rPr>
        <w:t>震荡格局后</w:t>
      </w:r>
      <w:r w:rsidR="005A3D7C">
        <w:rPr>
          <w:rFonts w:hint="eastAsia"/>
        </w:rPr>
        <w:t>，波动率</w:t>
      </w:r>
      <w:r w:rsidR="00EF35B7">
        <w:rPr>
          <w:rFonts w:hint="eastAsia"/>
        </w:rPr>
        <w:t>下降速度会加快</w:t>
      </w:r>
      <w:r w:rsidR="00EE5498">
        <w:rPr>
          <w:rFonts w:hint="eastAsia"/>
        </w:rPr>
        <w:t>。（图</w:t>
      </w:r>
      <w:r w:rsidR="00A57468">
        <w:rPr>
          <w:rFonts w:hint="eastAsia"/>
        </w:rPr>
        <w:t>2</w:t>
      </w:r>
      <w:r w:rsidR="00EE5498">
        <w:rPr>
          <w:rFonts w:hint="eastAsia"/>
        </w:rPr>
        <w:t>）</w:t>
      </w:r>
    </w:p>
    <w:p w:rsidR="00A57468" w:rsidRDefault="00A57468" w:rsidP="00F760C3">
      <w:pPr>
        <w:ind w:firstLineChars="200" w:firstLine="480"/>
        <w:rPr>
          <w:rFonts w:hint="eastAsia"/>
        </w:rPr>
      </w:pPr>
    </w:p>
    <w:p w:rsidR="00A57468" w:rsidRDefault="00A57468" w:rsidP="00A57468">
      <w:pPr>
        <w:jc w:val="center"/>
      </w:pPr>
      <w:r>
        <w:rPr>
          <w:rFonts w:hint="eastAsia"/>
        </w:rPr>
        <w:t>图 2： 沪深300波动率指数</w:t>
      </w:r>
    </w:p>
    <w:p w:rsidR="00A57468" w:rsidRDefault="00A57468" w:rsidP="00F760C3">
      <w:pPr>
        <w:ind w:firstLineChars="200" w:firstLine="480"/>
      </w:pPr>
    </w:p>
    <w:p w:rsidR="00F760C3" w:rsidRDefault="00EF35B7" w:rsidP="005A3D7C">
      <w:r>
        <w:rPr>
          <w:noProof/>
        </w:rPr>
        <w:drawing>
          <wp:inline distT="0" distB="0" distL="0" distR="0" wp14:anchorId="526C314B" wp14:editId="58601B7A">
            <wp:extent cx="5274310" cy="3733528"/>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733528"/>
                    </a:xfrm>
                    <a:prstGeom prst="rect">
                      <a:avLst/>
                    </a:prstGeom>
                  </pic:spPr>
                </pic:pic>
              </a:graphicData>
            </a:graphic>
          </wp:inline>
        </w:drawing>
      </w:r>
    </w:p>
    <w:p w:rsidR="00F760C3" w:rsidRDefault="00F760C3" w:rsidP="00F760C3">
      <w:pPr>
        <w:rPr>
          <w:rFonts w:hint="eastAsia"/>
        </w:rPr>
      </w:pPr>
      <w:r>
        <w:rPr>
          <w:rFonts w:hint="eastAsia"/>
        </w:rPr>
        <w:t>数据：Wind；计算：富荣量化</w:t>
      </w:r>
    </w:p>
    <w:p w:rsidR="00A57468" w:rsidRDefault="00A57468" w:rsidP="00F760C3"/>
    <w:p w:rsidR="00A1467A" w:rsidRDefault="00A1467A"/>
    <w:p w:rsidR="00A1467A" w:rsidRDefault="00071DD0">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w:t>
      </w:r>
      <w:r>
        <w:rPr>
          <w:rFonts w:ascii="微软雅黑" w:eastAsia="微软雅黑" w:hAnsi="微软雅黑" w:hint="eastAsia"/>
          <w:color w:val="474747"/>
          <w:shd w:val="clear" w:color="auto" w:fill="FFFFFF"/>
        </w:rPr>
        <w:lastRenderedPageBreak/>
        <w:t>资料、观点和预测等仅供参考，在任何时候均不构成对任何人的个人推荐。市场有风险，投资需谨慎。</w:t>
      </w:r>
    </w:p>
    <w:p w:rsidR="00A1467A" w:rsidRDefault="00A1467A">
      <w:pPr>
        <w:jc w:val="center"/>
      </w:pPr>
    </w:p>
    <w:sectPr w:rsidR="00A146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DBC" w:rsidRDefault="00863DBC" w:rsidP="00A57468">
      <w:pPr>
        <w:spacing w:line="240" w:lineRule="auto"/>
      </w:pPr>
      <w:r>
        <w:separator/>
      </w:r>
    </w:p>
  </w:endnote>
  <w:endnote w:type="continuationSeparator" w:id="0">
    <w:p w:rsidR="00863DBC" w:rsidRDefault="00863DBC" w:rsidP="00A574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DBC" w:rsidRDefault="00863DBC" w:rsidP="00A57468">
      <w:pPr>
        <w:spacing w:line="240" w:lineRule="auto"/>
      </w:pPr>
      <w:r>
        <w:separator/>
      </w:r>
    </w:p>
  </w:footnote>
  <w:footnote w:type="continuationSeparator" w:id="0">
    <w:p w:rsidR="00863DBC" w:rsidRDefault="00863DBC" w:rsidP="00A57468">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3F6B89"/>
    <w:rsid w:val="FFC34C89"/>
    <w:rsid w:val="0000012D"/>
    <w:rsid w:val="00023027"/>
    <w:rsid w:val="00035595"/>
    <w:rsid w:val="00070AA2"/>
    <w:rsid w:val="00071DD0"/>
    <w:rsid w:val="00074AEA"/>
    <w:rsid w:val="00161CBB"/>
    <w:rsid w:val="0018534E"/>
    <w:rsid w:val="001867FC"/>
    <w:rsid w:val="001D19B6"/>
    <w:rsid w:val="001D556F"/>
    <w:rsid w:val="001D6061"/>
    <w:rsid w:val="0020342A"/>
    <w:rsid w:val="002062DE"/>
    <w:rsid w:val="00211359"/>
    <w:rsid w:val="002129BA"/>
    <w:rsid w:val="002416ED"/>
    <w:rsid w:val="002563D9"/>
    <w:rsid w:val="002734CF"/>
    <w:rsid w:val="002A093A"/>
    <w:rsid w:val="002B15CF"/>
    <w:rsid w:val="002C4C07"/>
    <w:rsid w:val="002C7EF7"/>
    <w:rsid w:val="002E17CD"/>
    <w:rsid w:val="00374124"/>
    <w:rsid w:val="00386DFB"/>
    <w:rsid w:val="003B1CAC"/>
    <w:rsid w:val="003B5122"/>
    <w:rsid w:val="003D637F"/>
    <w:rsid w:val="003F6050"/>
    <w:rsid w:val="004157F5"/>
    <w:rsid w:val="00444648"/>
    <w:rsid w:val="00454A3A"/>
    <w:rsid w:val="004A5394"/>
    <w:rsid w:val="004E3614"/>
    <w:rsid w:val="004E52FE"/>
    <w:rsid w:val="00525A53"/>
    <w:rsid w:val="00531B02"/>
    <w:rsid w:val="005A2D48"/>
    <w:rsid w:val="005A3D7C"/>
    <w:rsid w:val="005C4905"/>
    <w:rsid w:val="005C760F"/>
    <w:rsid w:val="006943CF"/>
    <w:rsid w:val="006965D2"/>
    <w:rsid w:val="006B1D85"/>
    <w:rsid w:val="006C7CF6"/>
    <w:rsid w:val="006E639C"/>
    <w:rsid w:val="007258F0"/>
    <w:rsid w:val="0073379B"/>
    <w:rsid w:val="00747B9D"/>
    <w:rsid w:val="007528BE"/>
    <w:rsid w:val="00756EC7"/>
    <w:rsid w:val="007D5907"/>
    <w:rsid w:val="007D7875"/>
    <w:rsid w:val="007F6A29"/>
    <w:rsid w:val="00810078"/>
    <w:rsid w:val="00830122"/>
    <w:rsid w:val="00830C71"/>
    <w:rsid w:val="008540B7"/>
    <w:rsid w:val="00863DBC"/>
    <w:rsid w:val="008916E0"/>
    <w:rsid w:val="00893C6A"/>
    <w:rsid w:val="00896001"/>
    <w:rsid w:val="008A74C1"/>
    <w:rsid w:val="008B1754"/>
    <w:rsid w:val="008B27E8"/>
    <w:rsid w:val="008B4D1A"/>
    <w:rsid w:val="008D03D4"/>
    <w:rsid w:val="008F60FD"/>
    <w:rsid w:val="00907C93"/>
    <w:rsid w:val="0095695E"/>
    <w:rsid w:val="00981BC3"/>
    <w:rsid w:val="00987C63"/>
    <w:rsid w:val="009953B9"/>
    <w:rsid w:val="009A6EBC"/>
    <w:rsid w:val="009D02A8"/>
    <w:rsid w:val="00A07990"/>
    <w:rsid w:val="00A1467A"/>
    <w:rsid w:val="00A47AFD"/>
    <w:rsid w:val="00A51293"/>
    <w:rsid w:val="00A57468"/>
    <w:rsid w:val="00A61347"/>
    <w:rsid w:val="00A842A3"/>
    <w:rsid w:val="00A90927"/>
    <w:rsid w:val="00AA2D2E"/>
    <w:rsid w:val="00AD037A"/>
    <w:rsid w:val="00B14C31"/>
    <w:rsid w:val="00B5310C"/>
    <w:rsid w:val="00B551D4"/>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3A00"/>
    <w:rsid w:val="00D46833"/>
    <w:rsid w:val="00D74A5C"/>
    <w:rsid w:val="00DD21CB"/>
    <w:rsid w:val="00DD26E5"/>
    <w:rsid w:val="00DD2E6A"/>
    <w:rsid w:val="00DD6213"/>
    <w:rsid w:val="00DF6F9A"/>
    <w:rsid w:val="00E23413"/>
    <w:rsid w:val="00E619FD"/>
    <w:rsid w:val="00E62551"/>
    <w:rsid w:val="00E84F1E"/>
    <w:rsid w:val="00E86C8A"/>
    <w:rsid w:val="00E87750"/>
    <w:rsid w:val="00E94CFB"/>
    <w:rsid w:val="00EA7100"/>
    <w:rsid w:val="00EB7D3C"/>
    <w:rsid w:val="00EE5498"/>
    <w:rsid w:val="00EF2A7A"/>
    <w:rsid w:val="00EF35B7"/>
    <w:rsid w:val="00EF75F8"/>
    <w:rsid w:val="00F1138A"/>
    <w:rsid w:val="00F13186"/>
    <w:rsid w:val="00F64709"/>
    <w:rsid w:val="00F760C3"/>
    <w:rsid w:val="00FA2748"/>
    <w:rsid w:val="00FB18F7"/>
    <w:rsid w:val="00FC0454"/>
    <w:rsid w:val="00FC5D34"/>
    <w:rsid w:val="00FD6898"/>
    <w:rsid w:val="00FE711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Words>
  <Characters>702</Characters>
  <Application>Microsoft Office Word</Application>
  <DocSecurity>0</DocSecurity>
  <Lines>5</Lines>
  <Paragraphs>1</Paragraphs>
  <ScaleCrop>false</ScaleCrop>
  <Company>微软中国</Company>
  <LinksUpToDate>false</LinksUpToDate>
  <CharactersWithSpaces>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2021-08-09T02:33:00Z</dcterms:created>
  <dcterms:modified xsi:type="dcterms:W3CDTF">2021-08-09T02:33:00Z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