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Pr="004C3E2B" w:rsidRDefault="001357FD" w:rsidP="009A2BA0">
      <w:pPr>
        <w:spacing w:beforeLines="100" w:before="312"/>
        <w:jc w:val="center"/>
        <w:rPr>
          <w:rFonts w:ascii="楷体" w:eastAsia="楷体" w:hAnsi="楷体"/>
          <w:b/>
          <w:sz w:val="44"/>
          <w:szCs w:val="44"/>
        </w:rPr>
      </w:pPr>
      <w:r w:rsidRPr="004C3E2B">
        <w:rPr>
          <w:rFonts w:ascii="楷体" w:eastAsia="楷体" w:hAnsi="楷体" w:hint="eastAsia"/>
          <w:b/>
          <w:sz w:val="44"/>
          <w:szCs w:val="44"/>
        </w:rPr>
        <w:t>富</w:t>
      </w:r>
      <w:proofErr w:type="gramStart"/>
      <w:r w:rsidRPr="004C3E2B">
        <w:rPr>
          <w:rFonts w:ascii="楷体" w:eastAsia="楷体" w:hAnsi="楷体" w:hint="eastAsia"/>
          <w:b/>
          <w:sz w:val="44"/>
          <w:szCs w:val="44"/>
        </w:rPr>
        <w:t>荣基金</w:t>
      </w:r>
      <w:proofErr w:type="gramEnd"/>
      <w:r w:rsidR="00960960" w:rsidRPr="004C3E2B">
        <w:rPr>
          <w:rFonts w:ascii="楷体" w:eastAsia="楷体" w:hAnsi="楷体" w:hint="eastAsia"/>
          <w:b/>
          <w:sz w:val="44"/>
          <w:szCs w:val="44"/>
        </w:rPr>
        <w:t>固定收益</w:t>
      </w:r>
      <w:r w:rsidR="00F24889" w:rsidRPr="004C3E2B">
        <w:rPr>
          <w:rFonts w:ascii="楷体" w:eastAsia="楷体" w:hAnsi="楷体" w:hint="eastAsia"/>
          <w:b/>
          <w:sz w:val="44"/>
          <w:szCs w:val="44"/>
        </w:rPr>
        <w:t>周报</w:t>
      </w:r>
    </w:p>
    <w:p w14:paraId="08CBB8BB" w14:textId="07DA6AF3" w:rsidR="00832986" w:rsidRPr="00500BB1" w:rsidRDefault="00832986" w:rsidP="00E543BE">
      <w:pPr>
        <w:widowControl/>
        <w:jc w:val="center"/>
        <w:rPr>
          <w:rFonts w:ascii="楷体" w:eastAsia="楷体" w:hAnsi="楷体"/>
          <w:sz w:val="28"/>
          <w:szCs w:val="28"/>
          <w:highlight w:val="yellow"/>
        </w:rPr>
      </w:pPr>
      <w:r w:rsidRPr="009600F4">
        <w:rPr>
          <w:rFonts w:ascii="楷体" w:eastAsia="楷体" w:hAnsi="楷体" w:hint="eastAsia"/>
          <w:sz w:val="28"/>
          <w:szCs w:val="28"/>
        </w:rPr>
        <w:t>——</w:t>
      </w:r>
      <w:r w:rsidR="00CE1B84">
        <w:rPr>
          <w:rFonts w:ascii="楷体" w:eastAsia="楷体" w:hAnsi="楷体" w:hint="eastAsia"/>
          <w:sz w:val="28"/>
          <w:szCs w:val="28"/>
        </w:rPr>
        <w:t>地方债</w:t>
      </w:r>
      <w:r w:rsidR="008E52D0">
        <w:rPr>
          <w:rFonts w:ascii="楷体" w:eastAsia="楷体" w:hAnsi="楷体" w:hint="eastAsia"/>
          <w:sz w:val="28"/>
          <w:szCs w:val="28"/>
        </w:rPr>
        <w:t>放量</w:t>
      </w:r>
      <w:r w:rsidR="00CE1B84">
        <w:rPr>
          <w:rFonts w:ascii="楷体" w:eastAsia="楷体" w:hAnsi="楷体" w:hint="eastAsia"/>
          <w:sz w:val="28"/>
          <w:szCs w:val="28"/>
        </w:rPr>
        <w:t>担忧</w:t>
      </w:r>
      <w:r w:rsidR="00CD02EA" w:rsidRPr="009600F4">
        <w:rPr>
          <w:rFonts w:ascii="楷体" w:eastAsia="楷体" w:hAnsi="楷体" w:hint="eastAsia"/>
          <w:sz w:val="28"/>
          <w:szCs w:val="28"/>
        </w:rPr>
        <w:t>，</w:t>
      </w:r>
      <w:r w:rsidR="00CE1B84">
        <w:rPr>
          <w:rFonts w:ascii="楷体" w:eastAsia="楷体" w:hAnsi="楷体" w:hint="eastAsia"/>
          <w:sz w:val="28"/>
          <w:szCs w:val="28"/>
        </w:rPr>
        <w:t>债市出现调整</w:t>
      </w:r>
      <w:r w:rsidR="00BC1DA3" w:rsidRPr="00500BB1">
        <w:rPr>
          <w:rFonts w:ascii="楷体" w:eastAsia="楷体" w:hAnsi="楷体"/>
          <w:sz w:val="28"/>
          <w:szCs w:val="28"/>
          <w:highlight w:val="yellow"/>
        </w:rPr>
        <w:t xml:space="preserve"> </w:t>
      </w:r>
    </w:p>
    <w:p w14:paraId="1B2C4A22" w14:textId="5FDE3D1C" w:rsidR="005E5CB1" w:rsidRPr="003B6164" w:rsidRDefault="005E5CB1" w:rsidP="005E5CB1">
      <w:pPr>
        <w:pStyle w:val="Header1"/>
        <w:spacing w:before="240"/>
        <w:rPr>
          <w:rFonts w:ascii="华文楷体" w:hAnsi="华文楷体"/>
          <w:b w:val="0"/>
          <w:color w:val="auto"/>
          <w:sz w:val="24"/>
          <w:szCs w:val="24"/>
        </w:rPr>
      </w:pPr>
      <w:r w:rsidRPr="003B6164">
        <w:rPr>
          <w:rFonts w:hint="eastAsia"/>
          <w:color w:val="C45911" w:themeColor="accent2" w:themeShade="BF"/>
        </w:rPr>
        <w:t>一、</w:t>
      </w:r>
      <w:r w:rsidR="008F4A92" w:rsidRPr="003B6164">
        <w:rPr>
          <w:rFonts w:hint="eastAsia"/>
          <w:color w:val="C45911" w:themeColor="accent2" w:themeShade="BF"/>
        </w:rPr>
        <w:t>本周</w:t>
      </w:r>
      <w:r w:rsidR="007A1586" w:rsidRPr="007A1586">
        <w:rPr>
          <w:rFonts w:hint="eastAsia"/>
          <w:color w:val="C45911" w:themeColor="accent2" w:themeShade="BF"/>
        </w:rPr>
        <w:t>专题</w:t>
      </w:r>
      <w:r w:rsidR="008F4A92" w:rsidRPr="003B6164">
        <w:rPr>
          <w:rFonts w:hint="eastAsia"/>
          <w:color w:val="C45911" w:themeColor="accent2" w:themeShade="BF"/>
        </w:rPr>
        <w:t>：</w:t>
      </w:r>
      <w:r w:rsidR="004242D8" w:rsidRPr="003B6164">
        <w:rPr>
          <w:color w:val="C45911" w:themeColor="accent2" w:themeShade="BF"/>
        </w:rPr>
        <w:t xml:space="preserve"> </w:t>
      </w:r>
    </w:p>
    <w:p w14:paraId="64D32455" w14:textId="77777777" w:rsidR="003F4793" w:rsidRPr="003F4793" w:rsidRDefault="003F4793" w:rsidP="003F4793">
      <w:pPr>
        <w:pStyle w:val="Header1"/>
        <w:spacing w:before="240"/>
        <w:ind w:firstLine="480"/>
        <w:rPr>
          <w:rFonts w:ascii="华文楷体" w:hAnsi="华文楷体"/>
          <w:b w:val="0"/>
          <w:color w:val="auto"/>
          <w:sz w:val="24"/>
          <w:szCs w:val="24"/>
        </w:rPr>
      </w:pPr>
      <w:r w:rsidRPr="003F4793">
        <w:rPr>
          <w:rFonts w:ascii="华文楷体" w:hAnsi="华文楷体" w:hint="eastAsia"/>
          <w:b w:val="0"/>
          <w:color w:val="auto"/>
          <w:sz w:val="24"/>
          <w:szCs w:val="24"/>
        </w:rPr>
        <w:t>近期地方债供给问题再次成为市场关注的焦点。</w:t>
      </w:r>
    </w:p>
    <w:p w14:paraId="26A68024" w14:textId="2E27F285" w:rsidR="003F4793" w:rsidRDefault="003F4793" w:rsidP="00CD1AE8">
      <w:pPr>
        <w:pStyle w:val="Header1"/>
        <w:spacing w:before="240"/>
        <w:ind w:firstLine="480"/>
        <w:rPr>
          <w:rFonts w:ascii="华文楷体" w:hAnsi="华文楷体"/>
          <w:b w:val="0"/>
          <w:color w:val="auto"/>
          <w:sz w:val="24"/>
          <w:szCs w:val="24"/>
        </w:rPr>
      </w:pPr>
      <w:r w:rsidRPr="003F4793">
        <w:rPr>
          <w:rFonts w:ascii="华文楷体" w:hAnsi="华文楷体" w:hint="eastAsia"/>
          <w:b w:val="0"/>
          <w:color w:val="auto"/>
          <w:sz w:val="24"/>
          <w:szCs w:val="24"/>
        </w:rPr>
        <w:t>（1）发行量方面，我们认为，目前财政部已下达的额度大概率能发完。</w:t>
      </w:r>
      <w:r w:rsidR="006A1096">
        <w:rPr>
          <w:rFonts w:ascii="华文楷体" w:hAnsi="华文楷体" w:hint="eastAsia"/>
          <w:b w:val="0"/>
          <w:color w:val="auto"/>
          <w:sz w:val="24"/>
          <w:szCs w:val="24"/>
        </w:rPr>
        <w:t>上半年地方债发行的规模较小，一定程度上是因为经济</w:t>
      </w:r>
      <w:proofErr w:type="gramStart"/>
      <w:r w:rsidR="006A1096">
        <w:rPr>
          <w:rFonts w:ascii="华文楷体" w:hAnsi="华文楷体" w:hint="eastAsia"/>
          <w:b w:val="0"/>
          <w:color w:val="auto"/>
          <w:sz w:val="24"/>
          <w:szCs w:val="24"/>
        </w:rPr>
        <w:t>稳增长</w:t>
      </w:r>
      <w:proofErr w:type="gramEnd"/>
      <w:r w:rsidR="006A1096">
        <w:rPr>
          <w:rFonts w:ascii="华文楷体" w:hAnsi="华文楷体" w:hint="eastAsia"/>
          <w:b w:val="0"/>
          <w:color w:val="auto"/>
          <w:sz w:val="24"/>
          <w:szCs w:val="24"/>
        </w:rPr>
        <w:t>压力不大</w:t>
      </w:r>
      <w:r w:rsidRPr="003F4793">
        <w:rPr>
          <w:rFonts w:ascii="华文楷体" w:hAnsi="华文楷体" w:hint="eastAsia"/>
          <w:b w:val="0"/>
          <w:color w:val="auto"/>
          <w:sz w:val="24"/>
          <w:szCs w:val="24"/>
        </w:rPr>
        <w:t>，财政“蓄力”。但展望下半年，经济</w:t>
      </w:r>
      <w:proofErr w:type="gramStart"/>
      <w:r w:rsidRPr="003F4793">
        <w:rPr>
          <w:rFonts w:ascii="华文楷体" w:hAnsi="华文楷体" w:hint="eastAsia"/>
          <w:b w:val="0"/>
          <w:color w:val="auto"/>
          <w:sz w:val="24"/>
          <w:szCs w:val="24"/>
        </w:rPr>
        <w:t>稳增长</w:t>
      </w:r>
      <w:proofErr w:type="gramEnd"/>
      <w:r w:rsidRPr="003F4793">
        <w:rPr>
          <w:rFonts w:ascii="华文楷体" w:hAnsi="华文楷体" w:hint="eastAsia"/>
          <w:b w:val="0"/>
          <w:color w:val="auto"/>
          <w:sz w:val="24"/>
          <w:szCs w:val="24"/>
        </w:rPr>
        <w:t>压力较上半年或有明显增加，对财政发力以及地方债发行的需求上升，地方债发行对于拉动基建和保民生都有重要作用。（2）在发行节奏方面，我们认为，今年四季度，尤其是年末12月或仍将有大量地方债发行。从近几年有关地方债发行节奏的表述上看，新增限额一般都要求在 9、10 月份发行完毕。但近期，21世纪经济报道提及“按照监管要求，地方将预留部分专项债额度在今年12月发行，这部分资金需在明年年初支出形成实物工作量”。同时，根据已披露的各地预算调整方案，浙江、四川、重庆等地明确将预留额度年底发、明年一季度使用。（3）展望后市，市场较关心后续或超万亿元的单月供给是否会对利率造成压力</w:t>
      </w:r>
      <w:r w:rsidR="006A1096">
        <w:rPr>
          <w:rFonts w:ascii="华文楷体" w:hAnsi="华文楷体" w:hint="eastAsia"/>
          <w:b w:val="0"/>
          <w:color w:val="auto"/>
          <w:sz w:val="24"/>
          <w:szCs w:val="24"/>
        </w:rPr>
        <w:t>。</w:t>
      </w:r>
      <w:r w:rsidRPr="003F4793">
        <w:rPr>
          <w:rFonts w:ascii="华文楷体" w:hAnsi="华文楷体" w:hint="eastAsia"/>
          <w:b w:val="0"/>
          <w:color w:val="auto"/>
          <w:sz w:val="24"/>
          <w:szCs w:val="24"/>
        </w:rPr>
        <w:t>对此，我们认为，在央行意在维持流动性合理充裕的背景下，地方债供给对流动性的影响整体有限， 但由于今年地方债供给持续偏慢、市场预期屡屡落空，市场在供给高峰真正来临时仍会有一定冲击。</w:t>
      </w:r>
    </w:p>
    <w:p w14:paraId="7EEDEF05" w14:textId="3D32E894" w:rsidR="00E0626C" w:rsidRPr="007353FF" w:rsidRDefault="005E5CB1" w:rsidP="009A2BA0">
      <w:pPr>
        <w:pStyle w:val="Header1"/>
        <w:spacing w:before="240"/>
        <w:rPr>
          <w:color w:val="C45911" w:themeColor="accent2" w:themeShade="BF"/>
        </w:rPr>
      </w:pPr>
      <w:r w:rsidRPr="007353FF">
        <w:rPr>
          <w:rFonts w:hint="eastAsia"/>
          <w:color w:val="C45911" w:themeColor="accent2" w:themeShade="BF"/>
        </w:rPr>
        <w:t>二</w:t>
      </w:r>
      <w:r w:rsidR="00E0626C" w:rsidRPr="007353FF">
        <w:rPr>
          <w:rFonts w:hint="eastAsia"/>
          <w:color w:val="C45911" w:themeColor="accent2" w:themeShade="BF"/>
        </w:rPr>
        <w:t>、上周回顾</w:t>
      </w:r>
    </w:p>
    <w:p w14:paraId="704BC20A" w14:textId="651144BD" w:rsidR="00E0626C" w:rsidRPr="007A1586" w:rsidRDefault="00E0626C" w:rsidP="009A2BA0">
      <w:pPr>
        <w:pStyle w:val="Header2"/>
        <w:rPr>
          <w:sz w:val="28"/>
          <w:szCs w:val="21"/>
        </w:rPr>
      </w:pPr>
      <w:r w:rsidRPr="00500BB1">
        <w:rPr>
          <w:rFonts w:hint="eastAsia"/>
          <w:sz w:val="28"/>
          <w:szCs w:val="21"/>
          <w:lang w:eastAsia="zh-CN"/>
        </w:rPr>
        <w:t>1</w:t>
      </w:r>
      <w:r w:rsidRPr="00500BB1">
        <w:rPr>
          <w:rFonts w:hint="eastAsia"/>
          <w:sz w:val="28"/>
          <w:szCs w:val="21"/>
          <w:lang w:eastAsia="zh-CN"/>
        </w:rPr>
        <w:t>、</w:t>
      </w:r>
      <w:r w:rsidRPr="00CD2B4D">
        <w:rPr>
          <w:rFonts w:hint="eastAsia"/>
          <w:sz w:val="28"/>
          <w:szCs w:val="21"/>
        </w:rPr>
        <w:t>利率债</w:t>
      </w:r>
    </w:p>
    <w:p w14:paraId="33F356F9" w14:textId="451FC443" w:rsidR="00A917BC" w:rsidRPr="00500BB1" w:rsidRDefault="003F4793" w:rsidP="007A1586">
      <w:pPr>
        <w:pStyle w:val="Header1"/>
        <w:spacing w:before="240"/>
        <w:ind w:firstLine="480"/>
        <w:rPr>
          <w:rFonts w:ascii="华文楷体" w:hAnsi="华文楷体"/>
          <w:sz w:val="24"/>
          <w:szCs w:val="24"/>
          <w:highlight w:val="yellow"/>
        </w:rPr>
      </w:pPr>
      <w:r w:rsidRPr="003F4793">
        <w:rPr>
          <w:rFonts w:ascii="华文楷体" w:hAnsi="华文楷体" w:hint="eastAsia"/>
          <w:b w:val="0"/>
          <w:color w:val="auto"/>
          <w:sz w:val="24"/>
          <w:szCs w:val="24"/>
        </w:rPr>
        <w:t>国内疫情仍在扩散，资金面收紧、地方债供给担忧叠加前期的情绪过热，债市出现较大幅度的调整，10年国债活跃</w:t>
      </w:r>
      <w:proofErr w:type="gramStart"/>
      <w:r w:rsidRPr="003F4793">
        <w:rPr>
          <w:rFonts w:ascii="华文楷体" w:hAnsi="华文楷体" w:hint="eastAsia"/>
          <w:b w:val="0"/>
          <w:color w:val="auto"/>
          <w:sz w:val="24"/>
          <w:szCs w:val="24"/>
        </w:rPr>
        <w:t>券</w:t>
      </w:r>
      <w:proofErr w:type="gramEnd"/>
      <w:r w:rsidRPr="003F4793">
        <w:rPr>
          <w:rFonts w:ascii="华文楷体" w:hAnsi="华文楷体" w:hint="eastAsia"/>
          <w:b w:val="0"/>
          <w:color w:val="auto"/>
          <w:sz w:val="24"/>
          <w:szCs w:val="24"/>
        </w:rPr>
        <w:t>全周上行7</w:t>
      </w:r>
      <w:r w:rsidR="006A1096" w:rsidRPr="006A1096">
        <w:rPr>
          <w:rFonts w:ascii="华文楷体" w:hAnsi="华文楷体"/>
          <w:b w:val="0"/>
          <w:color w:val="auto"/>
          <w:sz w:val="24"/>
          <w:szCs w:val="24"/>
        </w:rPr>
        <w:t>BP</w:t>
      </w:r>
      <w:r w:rsidRPr="003F4793">
        <w:rPr>
          <w:rFonts w:ascii="华文楷体" w:hAnsi="华文楷体" w:hint="eastAsia"/>
          <w:b w:val="0"/>
          <w:color w:val="auto"/>
          <w:sz w:val="24"/>
          <w:szCs w:val="24"/>
        </w:rPr>
        <w:t>。全周1Y、5Y、10Y国债中债估值分别变动+6.9BP、+5.2BP和+6.5BP，10-1Y国债利差下行0.4</w:t>
      </w:r>
      <w:r w:rsidR="006A1096" w:rsidRPr="003F4793">
        <w:rPr>
          <w:rFonts w:ascii="华文楷体" w:hAnsi="华文楷体" w:hint="eastAsia"/>
          <w:b w:val="0"/>
          <w:color w:val="auto"/>
          <w:sz w:val="24"/>
          <w:szCs w:val="24"/>
        </w:rPr>
        <w:t>BP</w:t>
      </w:r>
      <w:r w:rsidRPr="003F4793">
        <w:rPr>
          <w:rFonts w:ascii="华文楷体" w:hAnsi="华文楷体" w:hint="eastAsia"/>
          <w:b w:val="0"/>
          <w:color w:val="auto"/>
          <w:sz w:val="24"/>
          <w:szCs w:val="24"/>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B41E24" w14:paraId="26C17AB1" w14:textId="77777777" w:rsidTr="00202D86">
        <w:trPr>
          <w:jc w:val="center"/>
        </w:trPr>
        <w:tc>
          <w:tcPr>
            <w:tcW w:w="4939" w:type="dxa"/>
            <w:vAlign w:val="center"/>
          </w:tcPr>
          <w:p w14:paraId="6C73AA55" w14:textId="11937E54" w:rsidR="00E0626C" w:rsidRPr="00B41E24" w:rsidRDefault="00E0626C" w:rsidP="00BA168E">
            <w:pPr>
              <w:pStyle w:val="ChartHeading"/>
              <w:jc w:val="both"/>
            </w:pPr>
            <w:r w:rsidRPr="00B41E24">
              <w:rPr>
                <w:rFonts w:hint="eastAsia"/>
              </w:rPr>
              <w:t>图表</w:t>
            </w:r>
            <w:r w:rsidRPr="00B41E24">
              <w:t xml:space="preserve">. </w:t>
            </w:r>
            <w:r w:rsidRPr="00B41E24">
              <w:rPr>
                <w:rFonts w:hint="eastAsia"/>
              </w:rPr>
              <w:t>国债收益率曲线和变化</w:t>
            </w:r>
          </w:p>
        </w:tc>
        <w:tc>
          <w:tcPr>
            <w:tcW w:w="4938" w:type="dxa"/>
            <w:vAlign w:val="center"/>
          </w:tcPr>
          <w:p w14:paraId="2C5A7EDC" w14:textId="7D7F9BC1" w:rsidR="00E0626C" w:rsidRPr="00B41E24" w:rsidRDefault="00E0626C" w:rsidP="009A2BA0">
            <w:pPr>
              <w:pStyle w:val="ChartHeading"/>
              <w:jc w:val="both"/>
            </w:pPr>
            <w:r w:rsidRPr="00B41E24">
              <w:rPr>
                <w:rFonts w:hint="eastAsia"/>
              </w:rPr>
              <w:t>图表</w:t>
            </w:r>
            <w:r w:rsidRPr="00B41E24">
              <w:t xml:space="preserve">. </w:t>
            </w:r>
            <w:proofErr w:type="gramStart"/>
            <w:r w:rsidRPr="00B41E24">
              <w:rPr>
                <w:rFonts w:hint="eastAsia"/>
              </w:rPr>
              <w:t>国开债收益率曲线</w:t>
            </w:r>
            <w:proofErr w:type="gramEnd"/>
            <w:r w:rsidRPr="00B41E24">
              <w:rPr>
                <w:rFonts w:hint="eastAsia"/>
              </w:rPr>
              <w:t>和变化</w:t>
            </w:r>
          </w:p>
        </w:tc>
      </w:tr>
      <w:tr w:rsidR="00E0626C" w:rsidRPr="00B41E24" w14:paraId="1094FBBD" w14:textId="77777777" w:rsidTr="003F4793">
        <w:tblPrEx>
          <w:tblCellMar>
            <w:left w:w="108" w:type="dxa"/>
            <w:right w:w="108" w:type="dxa"/>
          </w:tblCellMar>
        </w:tblPrEx>
        <w:trPr>
          <w:trHeight w:val="2854"/>
          <w:jc w:val="center"/>
        </w:trPr>
        <w:tc>
          <w:tcPr>
            <w:tcW w:w="4939" w:type="dxa"/>
            <w:vAlign w:val="center"/>
          </w:tcPr>
          <w:p w14:paraId="678C97B0" w14:textId="1304FD30" w:rsidR="00E0626C" w:rsidRPr="00B41E24" w:rsidRDefault="003F4793" w:rsidP="002104B2">
            <w:pPr>
              <w:rPr>
                <w:noProof/>
              </w:rPr>
            </w:pPr>
            <w:r>
              <w:rPr>
                <w:noProof/>
              </w:rPr>
              <w:drawing>
                <wp:inline distT="0" distB="0" distL="0" distR="0" wp14:anchorId="4171DA6D" wp14:editId="47D56615">
                  <wp:extent cx="2999105" cy="1776095"/>
                  <wp:effectExtent l="0" t="0" r="0" b="0"/>
                  <wp:docPr id="4" name="图表 4">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17A42E68" w14:textId="5105F22C" w:rsidR="00E0626C" w:rsidRPr="00B41E24" w:rsidRDefault="003F4793" w:rsidP="009A2BA0">
            <w:pPr>
              <w:jc w:val="center"/>
              <w:rPr>
                <w:noProof/>
                <w:szCs w:val="18"/>
              </w:rPr>
            </w:pPr>
            <w:r>
              <w:rPr>
                <w:noProof/>
              </w:rPr>
              <w:drawing>
                <wp:inline distT="0" distB="0" distL="0" distR="0" wp14:anchorId="6C28512E" wp14:editId="61BF51B0">
                  <wp:extent cx="2998470" cy="1811655"/>
                  <wp:effectExtent l="0" t="0" r="0" b="0"/>
                  <wp:docPr id="3" name="图表 3">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500BB1" w14:paraId="70E50E5B" w14:textId="77777777" w:rsidTr="00202D86">
        <w:trPr>
          <w:trHeight w:val="64"/>
          <w:jc w:val="center"/>
        </w:trPr>
        <w:tc>
          <w:tcPr>
            <w:tcW w:w="4939" w:type="dxa"/>
            <w:vAlign w:val="center"/>
          </w:tcPr>
          <w:p w14:paraId="3E8A3EBA"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c>
          <w:tcPr>
            <w:tcW w:w="4938" w:type="dxa"/>
            <w:vAlign w:val="center"/>
          </w:tcPr>
          <w:p w14:paraId="589540D5" w14:textId="77777777" w:rsidR="00E0626C" w:rsidRPr="00B41E24" w:rsidRDefault="00E0626C" w:rsidP="009A2BA0">
            <w:pPr>
              <w:pStyle w:val="Source"/>
              <w:jc w:val="both"/>
              <w:rPr>
                <w:kern w:val="0"/>
              </w:rPr>
            </w:pPr>
            <w:r w:rsidRPr="00B41E24">
              <w:rPr>
                <w:rFonts w:hint="eastAsia"/>
                <w:kern w:val="0"/>
              </w:rPr>
              <w:t>资料来源：万得，富</w:t>
            </w:r>
            <w:proofErr w:type="gramStart"/>
            <w:r w:rsidRPr="00B41E24">
              <w:rPr>
                <w:rFonts w:hint="eastAsia"/>
                <w:kern w:val="0"/>
              </w:rPr>
              <w:t>荣基金</w:t>
            </w:r>
            <w:proofErr w:type="gramEnd"/>
          </w:p>
        </w:tc>
      </w:tr>
    </w:tbl>
    <w:p w14:paraId="1E64B73D" w14:textId="1D9B94CF" w:rsidR="00E0626C" w:rsidRPr="00500BB1" w:rsidRDefault="00E0626C" w:rsidP="009A2BA0">
      <w:pPr>
        <w:pStyle w:val="Body-text"/>
        <w:spacing w:after="0"/>
        <w:rPr>
          <w:highlight w:val="yellow"/>
          <w:lang w:eastAsia="zh-CN"/>
        </w:rPr>
      </w:pPr>
    </w:p>
    <w:p w14:paraId="18D67482" w14:textId="1CC7DD47" w:rsidR="00E0626C" w:rsidRPr="00CD2B4D" w:rsidRDefault="007A1586" w:rsidP="009A2BA0">
      <w:pPr>
        <w:pStyle w:val="Header2"/>
        <w:rPr>
          <w:rFonts w:eastAsia="PMingLiU"/>
          <w:sz w:val="28"/>
          <w:szCs w:val="21"/>
        </w:rPr>
      </w:pPr>
      <w:r>
        <w:rPr>
          <w:sz w:val="28"/>
          <w:szCs w:val="21"/>
          <w:lang w:eastAsia="zh-CN"/>
        </w:rPr>
        <w:t>2</w:t>
      </w:r>
      <w:r w:rsidR="00E0626C" w:rsidRPr="00CD2B4D">
        <w:rPr>
          <w:rFonts w:hint="eastAsia"/>
          <w:sz w:val="28"/>
          <w:szCs w:val="21"/>
          <w:lang w:eastAsia="zh-CN"/>
        </w:rPr>
        <w:t>、</w:t>
      </w:r>
      <w:r w:rsidR="00E0626C" w:rsidRPr="00CD2B4D">
        <w:rPr>
          <w:rFonts w:hint="eastAsia"/>
          <w:sz w:val="28"/>
          <w:szCs w:val="21"/>
        </w:rPr>
        <w:t>信用债</w:t>
      </w:r>
    </w:p>
    <w:p w14:paraId="33FDD8BC" w14:textId="2AD5433D" w:rsidR="00D97370" w:rsidRDefault="003F4793" w:rsidP="003F4793">
      <w:pPr>
        <w:pStyle w:val="Body-text"/>
        <w:spacing w:after="240"/>
        <w:ind w:firstLineChars="200" w:firstLine="480"/>
        <w:rPr>
          <w:rFonts w:ascii="华文楷体" w:hAnsi="华文楷体"/>
          <w:sz w:val="24"/>
          <w:szCs w:val="24"/>
          <w:lang w:eastAsia="zh-CN"/>
        </w:rPr>
      </w:pPr>
      <w:r w:rsidRPr="003F4793">
        <w:rPr>
          <w:rFonts w:ascii="华文楷体" w:hAnsi="华文楷体" w:hint="eastAsia"/>
          <w:sz w:val="24"/>
          <w:szCs w:val="24"/>
          <w:lang w:eastAsia="zh-CN"/>
        </w:rPr>
        <w:lastRenderedPageBreak/>
        <w:t>信用</w:t>
      </w:r>
      <w:proofErr w:type="gramStart"/>
      <w:r w:rsidRPr="003F4793">
        <w:rPr>
          <w:rFonts w:ascii="华文楷体" w:hAnsi="华文楷体" w:hint="eastAsia"/>
          <w:sz w:val="24"/>
          <w:szCs w:val="24"/>
          <w:lang w:eastAsia="zh-CN"/>
        </w:rPr>
        <w:t>债出现</w:t>
      </w:r>
      <w:proofErr w:type="gramEnd"/>
      <w:r w:rsidRPr="003F4793">
        <w:rPr>
          <w:rFonts w:ascii="华文楷体" w:hAnsi="华文楷体" w:hint="eastAsia"/>
          <w:sz w:val="24"/>
          <w:szCs w:val="24"/>
          <w:lang w:eastAsia="zh-CN"/>
        </w:rPr>
        <w:t>调整</w:t>
      </w:r>
      <w:r w:rsidR="002D3316" w:rsidRPr="002D3316">
        <w:rPr>
          <w:rFonts w:ascii="华文楷体" w:hAnsi="华文楷体" w:hint="eastAsia"/>
          <w:sz w:val="24"/>
          <w:szCs w:val="24"/>
          <w:lang w:eastAsia="zh-CN"/>
        </w:rPr>
        <w:t>。</w:t>
      </w:r>
      <w:r w:rsidRPr="003F4793">
        <w:rPr>
          <w:rFonts w:ascii="华文楷体" w:hAnsi="华文楷体" w:hint="eastAsia"/>
          <w:sz w:val="24"/>
          <w:szCs w:val="24"/>
          <w:lang w:eastAsia="zh-CN"/>
        </w:rPr>
        <w:t>1Y期限</w:t>
      </w:r>
      <w:proofErr w:type="gramStart"/>
      <w:r w:rsidRPr="003F4793">
        <w:rPr>
          <w:rFonts w:ascii="华文楷体" w:hAnsi="华文楷体" w:hint="eastAsia"/>
          <w:sz w:val="24"/>
          <w:szCs w:val="24"/>
          <w:lang w:eastAsia="zh-CN"/>
        </w:rPr>
        <w:t>短融变化</w:t>
      </w:r>
      <w:proofErr w:type="gramEnd"/>
      <w:r w:rsidRPr="003F4793">
        <w:rPr>
          <w:rFonts w:ascii="华文楷体" w:hAnsi="华文楷体" w:hint="eastAsia"/>
          <w:sz w:val="24"/>
          <w:szCs w:val="24"/>
          <w:lang w:eastAsia="zh-CN"/>
        </w:rPr>
        <w:t>-1~5BP，3年AAA企业</w:t>
      </w:r>
      <w:proofErr w:type="gramStart"/>
      <w:r w:rsidRPr="003F4793">
        <w:rPr>
          <w:rFonts w:ascii="华文楷体" w:hAnsi="华文楷体" w:hint="eastAsia"/>
          <w:sz w:val="24"/>
          <w:szCs w:val="24"/>
          <w:lang w:eastAsia="zh-CN"/>
        </w:rPr>
        <w:t>债变化</w:t>
      </w:r>
      <w:proofErr w:type="gramEnd"/>
      <w:r w:rsidRPr="003F4793">
        <w:rPr>
          <w:rFonts w:ascii="华文楷体" w:hAnsi="华文楷体" w:hint="eastAsia"/>
          <w:sz w:val="24"/>
          <w:szCs w:val="24"/>
          <w:lang w:eastAsia="zh-CN"/>
        </w:rPr>
        <w:t>3~8BP，5Y企业</w:t>
      </w:r>
      <w:proofErr w:type="gramStart"/>
      <w:r w:rsidRPr="003F4793">
        <w:rPr>
          <w:rFonts w:ascii="华文楷体" w:hAnsi="华文楷体" w:hint="eastAsia"/>
          <w:sz w:val="24"/>
          <w:szCs w:val="24"/>
          <w:lang w:eastAsia="zh-CN"/>
        </w:rPr>
        <w:t>债变化</w:t>
      </w:r>
      <w:proofErr w:type="gramEnd"/>
      <w:r w:rsidRPr="003F4793">
        <w:rPr>
          <w:rFonts w:ascii="华文楷体" w:hAnsi="华文楷体" w:hint="eastAsia"/>
          <w:sz w:val="24"/>
          <w:szCs w:val="24"/>
          <w:lang w:eastAsia="zh-CN"/>
        </w:rPr>
        <w:t xml:space="preserve">4~7BP左右， </w:t>
      </w:r>
      <w:proofErr w:type="gramStart"/>
      <w:r w:rsidRPr="003F4793">
        <w:rPr>
          <w:rFonts w:ascii="华文楷体" w:hAnsi="华文楷体" w:hint="eastAsia"/>
          <w:sz w:val="24"/>
          <w:szCs w:val="24"/>
          <w:lang w:eastAsia="zh-CN"/>
        </w:rPr>
        <w:t>城投债</w:t>
      </w:r>
      <w:proofErr w:type="gramEnd"/>
      <w:r w:rsidRPr="003F4793">
        <w:rPr>
          <w:rFonts w:ascii="华文楷体" w:hAnsi="华文楷体" w:hint="eastAsia"/>
          <w:sz w:val="24"/>
          <w:szCs w:val="24"/>
          <w:lang w:eastAsia="zh-CN"/>
        </w:rPr>
        <w:t>3Y期限品种变化-4~2BP，5Y品种变化-2~7BP，7Y品种变化-2~1BP左右。具体来看收益率分位数，1Y品种收益率分位数在9%~12%以内</w:t>
      </w:r>
      <w:r w:rsidR="006A1096">
        <w:rPr>
          <w:rFonts w:ascii="华文楷体" w:hAnsi="华文楷体" w:hint="eastAsia"/>
          <w:sz w:val="24"/>
          <w:szCs w:val="24"/>
          <w:lang w:eastAsia="zh-CN"/>
        </w:rPr>
        <w:t>，</w:t>
      </w:r>
      <w:r w:rsidRPr="003F4793">
        <w:rPr>
          <w:rFonts w:ascii="华文楷体" w:hAnsi="华文楷体" w:hint="eastAsia"/>
          <w:sz w:val="24"/>
          <w:szCs w:val="24"/>
          <w:lang w:eastAsia="zh-CN"/>
        </w:rPr>
        <w:t>3Y品种收益率分位数在5%~10%区间</w:t>
      </w:r>
      <w:r w:rsidR="006A1096">
        <w:rPr>
          <w:rFonts w:ascii="华文楷体" w:hAnsi="华文楷体" w:hint="eastAsia"/>
          <w:sz w:val="24"/>
          <w:szCs w:val="24"/>
          <w:lang w:eastAsia="zh-CN"/>
        </w:rPr>
        <w:t>，</w:t>
      </w:r>
      <w:r w:rsidRPr="003F4793">
        <w:rPr>
          <w:rFonts w:ascii="华文楷体" w:hAnsi="华文楷体" w:hint="eastAsia"/>
          <w:sz w:val="24"/>
          <w:szCs w:val="24"/>
          <w:lang w:eastAsia="zh-CN"/>
        </w:rPr>
        <w:t>5Y及7Y等中长期</w:t>
      </w:r>
      <w:proofErr w:type="gramStart"/>
      <w:r w:rsidRPr="003F4793">
        <w:rPr>
          <w:rFonts w:ascii="华文楷体" w:hAnsi="华文楷体" w:hint="eastAsia"/>
          <w:sz w:val="24"/>
          <w:szCs w:val="24"/>
          <w:lang w:eastAsia="zh-CN"/>
        </w:rPr>
        <w:t>限品种</w:t>
      </w:r>
      <w:proofErr w:type="gramEnd"/>
      <w:r w:rsidRPr="003F4793">
        <w:rPr>
          <w:rFonts w:ascii="华文楷体" w:hAnsi="华文楷体" w:hint="eastAsia"/>
          <w:sz w:val="24"/>
          <w:szCs w:val="24"/>
          <w:lang w:eastAsia="zh-CN"/>
        </w:rPr>
        <w:t>处于3%~8%分位数。</w:t>
      </w:r>
    </w:p>
    <w:p w14:paraId="65D1F2BE" w14:textId="77777777" w:rsidR="00CD1AE8" w:rsidRPr="00F10CFD" w:rsidRDefault="00CD1AE8" w:rsidP="003F4793">
      <w:pPr>
        <w:pStyle w:val="Body-text"/>
        <w:spacing w:after="240"/>
        <w:ind w:firstLineChars="200" w:firstLine="480"/>
        <w:rPr>
          <w:rFonts w:ascii="华文楷体" w:hAnsi="华文楷体"/>
          <w:color w:val="FF0000"/>
          <w:sz w:val="24"/>
          <w:szCs w:val="24"/>
          <w:highlight w:val="yellow"/>
          <w:lang w:eastAsia="zh-CN"/>
        </w:rPr>
      </w:pPr>
    </w:p>
    <w:tbl>
      <w:tblPr>
        <w:tblW w:w="9713" w:type="dxa"/>
        <w:jc w:val="center"/>
        <w:tblCellMar>
          <w:left w:w="0" w:type="dxa"/>
          <w:right w:w="0" w:type="dxa"/>
        </w:tblCellMar>
        <w:tblLook w:val="01E0" w:firstRow="1" w:lastRow="1" w:firstColumn="1" w:lastColumn="1" w:noHBand="0" w:noVBand="0"/>
      </w:tblPr>
      <w:tblGrid>
        <w:gridCol w:w="9864"/>
      </w:tblGrid>
      <w:tr w:rsidR="00E0626C" w:rsidRPr="00B41E24" w14:paraId="5602CC82" w14:textId="77777777" w:rsidTr="00220902">
        <w:trPr>
          <w:trHeight w:val="360"/>
          <w:jc w:val="center"/>
        </w:trPr>
        <w:tc>
          <w:tcPr>
            <w:tcW w:w="9713" w:type="dxa"/>
            <w:vAlign w:val="center"/>
          </w:tcPr>
          <w:p w14:paraId="1C0DBC70" w14:textId="4A8BBE5E" w:rsidR="00E0626C" w:rsidRPr="00B41E24" w:rsidRDefault="00E0626C" w:rsidP="009A2BA0">
            <w:pPr>
              <w:pStyle w:val="ChartHeading"/>
              <w:jc w:val="both"/>
            </w:pPr>
            <w:r w:rsidRPr="00B41E24">
              <w:rPr>
                <w:rFonts w:hint="eastAsia"/>
              </w:rPr>
              <w:t>图表</w:t>
            </w:r>
            <w:r w:rsidRPr="00B41E24">
              <w:t xml:space="preserve">. </w:t>
            </w:r>
            <w:r w:rsidR="00F966B6" w:rsidRPr="00B41E24">
              <w:rPr>
                <w:rFonts w:hint="eastAsia"/>
              </w:rPr>
              <w:t>信用债收益率、利差变化情况</w:t>
            </w:r>
          </w:p>
        </w:tc>
      </w:tr>
      <w:tr w:rsidR="00E0626C" w:rsidRPr="00B41E24" w14:paraId="1114B583" w14:textId="77777777" w:rsidTr="007A1586">
        <w:tblPrEx>
          <w:tblCellMar>
            <w:left w:w="108" w:type="dxa"/>
            <w:right w:w="108" w:type="dxa"/>
          </w:tblCellMar>
        </w:tblPrEx>
        <w:trPr>
          <w:trHeight w:val="74"/>
          <w:jc w:val="center"/>
        </w:trPr>
        <w:tc>
          <w:tcPr>
            <w:tcW w:w="9713" w:type="dxa"/>
            <w:vAlign w:val="center"/>
          </w:tcPr>
          <w:tbl>
            <w:tblPr>
              <w:tblW w:w="9638" w:type="dxa"/>
              <w:tblLook w:val="04A0" w:firstRow="1" w:lastRow="0" w:firstColumn="1" w:lastColumn="0" w:noHBand="0" w:noVBand="1"/>
            </w:tblPr>
            <w:tblGrid>
              <w:gridCol w:w="1309"/>
              <w:gridCol w:w="740"/>
              <w:gridCol w:w="920"/>
              <w:gridCol w:w="920"/>
              <w:gridCol w:w="920"/>
              <w:gridCol w:w="1149"/>
              <w:gridCol w:w="920"/>
              <w:gridCol w:w="920"/>
              <w:gridCol w:w="920"/>
              <w:gridCol w:w="920"/>
            </w:tblGrid>
            <w:tr w:rsidR="003F4793" w:rsidRPr="003F4793" w14:paraId="15070232" w14:textId="77777777" w:rsidTr="00585D46">
              <w:trPr>
                <w:trHeight w:val="310"/>
              </w:trPr>
              <w:tc>
                <w:tcPr>
                  <w:tcW w:w="1309" w:type="dxa"/>
                  <w:tcBorders>
                    <w:top w:val="nil"/>
                    <w:left w:val="nil"/>
                    <w:bottom w:val="single" w:sz="12" w:space="0" w:color="FFFFFF"/>
                    <w:right w:val="single" w:sz="8" w:space="0" w:color="FFFFFF"/>
                  </w:tcBorders>
                  <w:shd w:val="clear" w:color="000000" w:fill="F79646"/>
                  <w:noWrap/>
                  <w:hideMark/>
                </w:tcPr>
                <w:p w14:paraId="413AFE14" w14:textId="60A0BCC0"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收益率(%)</w:t>
                  </w:r>
                </w:p>
              </w:tc>
              <w:tc>
                <w:tcPr>
                  <w:tcW w:w="740" w:type="dxa"/>
                  <w:tcBorders>
                    <w:top w:val="nil"/>
                    <w:left w:val="nil"/>
                    <w:bottom w:val="single" w:sz="12" w:space="0" w:color="FFFFFF"/>
                    <w:right w:val="single" w:sz="8" w:space="0" w:color="FFFFFF"/>
                  </w:tcBorders>
                  <w:shd w:val="clear" w:color="000000" w:fill="F79646"/>
                  <w:noWrap/>
                  <w:hideMark/>
                </w:tcPr>
                <w:p w14:paraId="0F3218AA" w14:textId="777C47C1"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0FE8EB9B" w14:textId="3846FF0B"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75A35579" w14:textId="71353E72"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12FDB1" w14:textId="5EE3983B"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719B3728" w14:textId="1D50AFC3"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6A9FDAC9" w14:textId="5D8582F1"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1994889" w14:textId="422DC385"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40805862" w14:textId="0F03B98B"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6CB6C50" w14:textId="02611D52"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r>
            <w:tr w:rsidR="003F4793" w:rsidRPr="003F4793" w14:paraId="759A3C98" w14:textId="77777777" w:rsidTr="00585D46">
              <w:trPr>
                <w:trHeight w:val="321"/>
              </w:trPr>
              <w:tc>
                <w:tcPr>
                  <w:tcW w:w="1309" w:type="dxa"/>
                  <w:tcBorders>
                    <w:top w:val="nil"/>
                    <w:left w:val="nil"/>
                    <w:bottom w:val="single" w:sz="8" w:space="0" w:color="FFFFFF"/>
                    <w:right w:val="single" w:sz="8" w:space="0" w:color="FFFFFF"/>
                  </w:tcBorders>
                  <w:shd w:val="clear" w:color="000000" w:fill="FCD5B4"/>
                  <w:noWrap/>
                  <w:hideMark/>
                </w:tcPr>
                <w:p w14:paraId="48EBF66E" w14:textId="5C842ED3"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CP</w:t>
                  </w:r>
                </w:p>
              </w:tc>
              <w:tc>
                <w:tcPr>
                  <w:tcW w:w="740" w:type="dxa"/>
                  <w:tcBorders>
                    <w:top w:val="nil"/>
                    <w:left w:val="nil"/>
                    <w:bottom w:val="single" w:sz="8" w:space="0" w:color="FFFFFF"/>
                    <w:right w:val="single" w:sz="8" w:space="0" w:color="FFFFFF"/>
                  </w:tcBorders>
                  <w:shd w:val="clear" w:color="000000" w:fill="FCD5B4"/>
                  <w:noWrap/>
                  <w:hideMark/>
                </w:tcPr>
                <w:p w14:paraId="1F59B1A1" w14:textId="218D35A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2.68 </w:t>
                  </w:r>
                </w:p>
              </w:tc>
              <w:tc>
                <w:tcPr>
                  <w:tcW w:w="920" w:type="dxa"/>
                  <w:tcBorders>
                    <w:top w:val="nil"/>
                    <w:left w:val="nil"/>
                    <w:bottom w:val="single" w:sz="8" w:space="0" w:color="FFFFFF"/>
                    <w:right w:val="single" w:sz="8" w:space="0" w:color="FFFFFF"/>
                  </w:tcBorders>
                  <w:shd w:val="clear" w:color="000000" w:fill="FCD5B4"/>
                  <w:noWrap/>
                  <w:hideMark/>
                </w:tcPr>
                <w:p w14:paraId="4F0034E5" w14:textId="430F831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2.79 </w:t>
                  </w:r>
                </w:p>
              </w:tc>
              <w:tc>
                <w:tcPr>
                  <w:tcW w:w="920" w:type="dxa"/>
                  <w:tcBorders>
                    <w:top w:val="nil"/>
                    <w:left w:val="nil"/>
                    <w:bottom w:val="single" w:sz="8" w:space="0" w:color="FFFFFF"/>
                    <w:right w:val="single" w:sz="8" w:space="0" w:color="FFFFFF"/>
                  </w:tcBorders>
                  <w:shd w:val="clear" w:color="000000" w:fill="FCD5B4"/>
                  <w:noWrap/>
                  <w:hideMark/>
                </w:tcPr>
                <w:p w14:paraId="55FA1300" w14:textId="2B0E845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3.00 </w:t>
                  </w:r>
                </w:p>
              </w:tc>
              <w:tc>
                <w:tcPr>
                  <w:tcW w:w="920" w:type="dxa"/>
                  <w:tcBorders>
                    <w:top w:val="nil"/>
                    <w:left w:val="nil"/>
                    <w:bottom w:val="single" w:sz="8" w:space="0" w:color="FFFFFF"/>
                    <w:right w:val="single" w:sz="8" w:space="0" w:color="FFFFFF"/>
                  </w:tcBorders>
                  <w:shd w:val="clear" w:color="000000" w:fill="FCD5B4"/>
                  <w:noWrap/>
                  <w:hideMark/>
                </w:tcPr>
                <w:p w14:paraId="75B7D0B9" w14:textId="4B1438F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5.32 </w:t>
                  </w:r>
                </w:p>
              </w:tc>
              <w:tc>
                <w:tcPr>
                  <w:tcW w:w="1149" w:type="dxa"/>
                  <w:tcBorders>
                    <w:top w:val="nil"/>
                    <w:left w:val="nil"/>
                    <w:bottom w:val="single" w:sz="8" w:space="0" w:color="FFFFFF"/>
                    <w:right w:val="single" w:sz="8" w:space="0" w:color="FFFFFF"/>
                  </w:tcBorders>
                  <w:shd w:val="clear" w:color="000000" w:fill="FCD5B4"/>
                  <w:noWrap/>
                  <w:hideMark/>
                </w:tcPr>
                <w:p w14:paraId="27CF2E5D" w14:textId="1C880CF1"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CP</w:t>
                  </w:r>
                </w:p>
              </w:tc>
              <w:tc>
                <w:tcPr>
                  <w:tcW w:w="920" w:type="dxa"/>
                  <w:tcBorders>
                    <w:top w:val="nil"/>
                    <w:left w:val="nil"/>
                    <w:bottom w:val="single" w:sz="8" w:space="0" w:color="FFFFFF"/>
                    <w:right w:val="single" w:sz="8" w:space="0" w:color="FFFFFF"/>
                  </w:tcBorders>
                  <w:shd w:val="clear" w:color="000000" w:fill="FCD5B4"/>
                  <w:noWrap/>
                  <w:hideMark/>
                </w:tcPr>
                <w:p w14:paraId="523261A7" w14:textId="05CDDF1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0.46 </w:t>
                  </w:r>
                </w:p>
              </w:tc>
              <w:tc>
                <w:tcPr>
                  <w:tcW w:w="920" w:type="dxa"/>
                  <w:tcBorders>
                    <w:top w:val="nil"/>
                    <w:left w:val="nil"/>
                    <w:bottom w:val="single" w:sz="8" w:space="0" w:color="FFFFFF"/>
                    <w:right w:val="single" w:sz="8" w:space="0" w:color="FFFFFF"/>
                  </w:tcBorders>
                  <w:shd w:val="clear" w:color="000000" w:fill="FCD5B4"/>
                  <w:noWrap/>
                  <w:hideMark/>
                </w:tcPr>
                <w:p w14:paraId="71D92286" w14:textId="5CEA785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0.57 </w:t>
                  </w:r>
                </w:p>
              </w:tc>
              <w:tc>
                <w:tcPr>
                  <w:tcW w:w="920" w:type="dxa"/>
                  <w:tcBorders>
                    <w:top w:val="nil"/>
                    <w:left w:val="nil"/>
                    <w:bottom w:val="single" w:sz="8" w:space="0" w:color="FFFFFF"/>
                    <w:right w:val="single" w:sz="8" w:space="0" w:color="FFFFFF"/>
                  </w:tcBorders>
                  <w:shd w:val="clear" w:color="000000" w:fill="FCD5B4"/>
                  <w:noWrap/>
                  <w:hideMark/>
                </w:tcPr>
                <w:p w14:paraId="320E6D3C" w14:textId="0B7BD73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0.78 </w:t>
                  </w:r>
                </w:p>
              </w:tc>
              <w:tc>
                <w:tcPr>
                  <w:tcW w:w="920" w:type="dxa"/>
                  <w:tcBorders>
                    <w:top w:val="nil"/>
                    <w:left w:val="nil"/>
                    <w:bottom w:val="single" w:sz="8" w:space="0" w:color="FFFFFF"/>
                    <w:right w:val="single" w:sz="8" w:space="0" w:color="FFFFFF"/>
                  </w:tcBorders>
                  <w:shd w:val="clear" w:color="000000" w:fill="FCD5B4"/>
                  <w:noWrap/>
                  <w:hideMark/>
                </w:tcPr>
                <w:p w14:paraId="6E8168B1" w14:textId="4CE5D3A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3.10 </w:t>
                  </w:r>
                </w:p>
              </w:tc>
            </w:tr>
            <w:tr w:rsidR="003F4793" w:rsidRPr="003F4793" w14:paraId="3A66D0A6"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39137B72" w14:textId="2C6EC018"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MTN3Y</w:t>
                  </w:r>
                </w:p>
              </w:tc>
              <w:tc>
                <w:tcPr>
                  <w:tcW w:w="740" w:type="dxa"/>
                  <w:tcBorders>
                    <w:top w:val="nil"/>
                    <w:left w:val="nil"/>
                    <w:bottom w:val="single" w:sz="8" w:space="0" w:color="FFFFFF"/>
                    <w:right w:val="single" w:sz="8" w:space="0" w:color="FFFFFF"/>
                  </w:tcBorders>
                  <w:shd w:val="clear" w:color="000000" w:fill="FDE9D9"/>
                  <w:noWrap/>
                  <w:hideMark/>
                </w:tcPr>
                <w:p w14:paraId="3B73915E" w14:textId="47B3CA0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3.05 </w:t>
                  </w:r>
                </w:p>
              </w:tc>
              <w:tc>
                <w:tcPr>
                  <w:tcW w:w="920" w:type="dxa"/>
                  <w:tcBorders>
                    <w:top w:val="nil"/>
                    <w:left w:val="nil"/>
                    <w:bottom w:val="single" w:sz="8" w:space="0" w:color="FFFFFF"/>
                    <w:right w:val="single" w:sz="8" w:space="0" w:color="FFFFFF"/>
                  </w:tcBorders>
                  <w:shd w:val="clear" w:color="000000" w:fill="FDE9D9"/>
                  <w:noWrap/>
                  <w:hideMark/>
                </w:tcPr>
                <w:p w14:paraId="5B9C8B87" w14:textId="22A1FFC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3.19 </w:t>
                  </w:r>
                </w:p>
              </w:tc>
              <w:tc>
                <w:tcPr>
                  <w:tcW w:w="920" w:type="dxa"/>
                  <w:tcBorders>
                    <w:top w:val="nil"/>
                    <w:left w:val="nil"/>
                    <w:bottom w:val="single" w:sz="8" w:space="0" w:color="FFFFFF"/>
                    <w:right w:val="single" w:sz="8" w:space="0" w:color="FFFFFF"/>
                  </w:tcBorders>
                  <w:shd w:val="clear" w:color="000000" w:fill="FDE9D9"/>
                  <w:noWrap/>
                  <w:hideMark/>
                </w:tcPr>
                <w:p w14:paraId="1FA1A5B8" w14:textId="6586FEA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3.70 </w:t>
                  </w:r>
                </w:p>
              </w:tc>
              <w:tc>
                <w:tcPr>
                  <w:tcW w:w="920" w:type="dxa"/>
                  <w:tcBorders>
                    <w:top w:val="nil"/>
                    <w:left w:val="nil"/>
                    <w:bottom w:val="single" w:sz="8" w:space="0" w:color="FFFFFF"/>
                    <w:right w:val="single" w:sz="8" w:space="0" w:color="FFFFFF"/>
                  </w:tcBorders>
                  <w:shd w:val="clear" w:color="000000" w:fill="FDE9D9"/>
                  <w:noWrap/>
                  <w:hideMark/>
                </w:tcPr>
                <w:p w14:paraId="175F37FF" w14:textId="169B6D5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6.01 </w:t>
                  </w:r>
                </w:p>
              </w:tc>
              <w:tc>
                <w:tcPr>
                  <w:tcW w:w="1149" w:type="dxa"/>
                  <w:tcBorders>
                    <w:top w:val="nil"/>
                    <w:left w:val="nil"/>
                    <w:bottom w:val="single" w:sz="8" w:space="0" w:color="FFFFFF"/>
                    <w:right w:val="single" w:sz="8" w:space="0" w:color="FFFFFF"/>
                  </w:tcBorders>
                  <w:shd w:val="clear" w:color="000000" w:fill="FDE9D9"/>
                  <w:noWrap/>
                  <w:hideMark/>
                </w:tcPr>
                <w:p w14:paraId="3AF3F54C" w14:textId="45A98713"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MTN3Y</w:t>
                  </w:r>
                </w:p>
              </w:tc>
              <w:tc>
                <w:tcPr>
                  <w:tcW w:w="920" w:type="dxa"/>
                  <w:tcBorders>
                    <w:top w:val="nil"/>
                    <w:left w:val="nil"/>
                    <w:bottom w:val="single" w:sz="8" w:space="0" w:color="FFFFFF"/>
                    <w:right w:val="single" w:sz="8" w:space="0" w:color="FFFFFF"/>
                  </w:tcBorders>
                  <w:shd w:val="clear" w:color="000000" w:fill="FDE9D9"/>
                  <w:noWrap/>
                  <w:hideMark/>
                </w:tcPr>
                <w:p w14:paraId="3C163F46" w14:textId="576B1B1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0.46 </w:t>
                  </w:r>
                </w:p>
              </w:tc>
              <w:tc>
                <w:tcPr>
                  <w:tcW w:w="920" w:type="dxa"/>
                  <w:tcBorders>
                    <w:top w:val="nil"/>
                    <w:left w:val="nil"/>
                    <w:bottom w:val="single" w:sz="8" w:space="0" w:color="FFFFFF"/>
                    <w:right w:val="single" w:sz="8" w:space="0" w:color="FFFFFF"/>
                  </w:tcBorders>
                  <w:shd w:val="clear" w:color="000000" w:fill="FDE9D9"/>
                  <w:noWrap/>
                  <w:hideMark/>
                </w:tcPr>
                <w:p w14:paraId="3C863207" w14:textId="147484C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0.60 </w:t>
                  </w:r>
                </w:p>
              </w:tc>
              <w:tc>
                <w:tcPr>
                  <w:tcW w:w="920" w:type="dxa"/>
                  <w:tcBorders>
                    <w:top w:val="nil"/>
                    <w:left w:val="nil"/>
                    <w:bottom w:val="single" w:sz="8" w:space="0" w:color="FFFFFF"/>
                    <w:right w:val="single" w:sz="8" w:space="0" w:color="FFFFFF"/>
                  </w:tcBorders>
                  <w:shd w:val="clear" w:color="000000" w:fill="FDE9D9"/>
                  <w:noWrap/>
                  <w:hideMark/>
                </w:tcPr>
                <w:p w14:paraId="033A08F8" w14:textId="3CC5403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1.11 </w:t>
                  </w:r>
                </w:p>
              </w:tc>
              <w:tc>
                <w:tcPr>
                  <w:tcW w:w="920" w:type="dxa"/>
                  <w:tcBorders>
                    <w:top w:val="nil"/>
                    <w:left w:val="nil"/>
                    <w:bottom w:val="single" w:sz="8" w:space="0" w:color="FFFFFF"/>
                    <w:right w:val="single" w:sz="8" w:space="0" w:color="FFFFFF"/>
                  </w:tcBorders>
                  <w:shd w:val="clear" w:color="000000" w:fill="FDE9D9"/>
                  <w:noWrap/>
                  <w:hideMark/>
                </w:tcPr>
                <w:p w14:paraId="6476BE13" w14:textId="496ADF6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3.42 </w:t>
                  </w:r>
                </w:p>
              </w:tc>
            </w:tr>
            <w:tr w:rsidR="003F4793" w:rsidRPr="003F4793" w14:paraId="1D6AAB92"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155F3072" w14:textId="6B532338"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MTN5Y</w:t>
                  </w:r>
                </w:p>
              </w:tc>
              <w:tc>
                <w:tcPr>
                  <w:tcW w:w="740" w:type="dxa"/>
                  <w:tcBorders>
                    <w:top w:val="nil"/>
                    <w:left w:val="nil"/>
                    <w:bottom w:val="single" w:sz="8" w:space="0" w:color="FFFFFF"/>
                    <w:right w:val="single" w:sz="8" w:space="0" w:color="FFFFFF"/>
                  </w:tcBorders>
                  <w:shd w:val="clear" w:color="000000" w:fill="FCD5B4"/>
                  <w:noWrap/>
                  <w:hideMark/>
                </w:tcPr>
                <w:p w14:paraId="7FD24B78" w14:textId="5F2D6F0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3.41 </w:t>
                  </w:r>
                </w:p>
              </w:tc>
              <w:tc>
                <w:tcPr>
                  <w:tcW w:w="920" w:type="dxa"/>
                  <w:tcBorders>
                    <w:top w:val="nil"/>
                    <w:left w:val="nil"/>
                    <w:bottom w:val="single" w:sz="8" w:space="0" w:color="FFFFFF"/>
                    <w:right w:val="single" w:sz="8" w:space="0" w:color="FFFFFF"/>
                  </w:tcBorders>
                  <w:shd w:val="clear" w:color="000000" w:fill="FCD5B4"/>
                  <w:noWrap/>
                  <w:hideMark/>
                </w:tcPr>
                <w:p w14:paraId="41A6346D" w14:textId="751070A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3.63 </w:t>
                  </w:r>
                </w:p>
              </w:tc>
              <w:tc>
                <w:tcPr>
                  <w:tcW w:w="920" w:type="dxa"/>
                  <w:tcBorders>
                    <w:top w:val="nil"/>
                    <w:left w:val="nil"/>
                    <w:bottom w:val="single" w:sz="8" w:space="0" w:color="FFFFFF"/>
                    <w:right w:val="single" w:sz="8" w:space="0" w:color="FFFFFF"/>
                  </w:tcBorders>
                  <w:shd w:val="clear" w:color="000000" w:fill="FCD5B4"/>
                  <w:noWrap/>
                  <w:hideMark/>
                </w:tcPr>
                <w:p w14:paraId="203620ED" w14:textId="5DB9394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4.26 </w:t>
                  </w:r>
                </w:p>
              </w:tc>
              <w:tc>
                <w:tcPr>
                  <w:tcW w:w="920" w:type="dxa"/>
                  <w:tcBorders>
                    <w:top w:val="nil"/>
                    <w:left w:val="nil"/>
                    <w:bottom w:val="single" w:sz="8" w:space="0" w:color="FFFFFF"/>
                    <w:right w:val="single" w:sz="8" w:space="0" w:color="FFFFFF"/>
                  </w:tcBorders>
                  <w:shd w:val="clear" w:color="000000" w:fill="FCD5B4"/>
                  <w:noWrap/>
                  <w:hideMark/>
                </w:tcPr>
                <w:p w14:paraId="5799EA14" w14:textId="651BBE6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6.51 </w:t>
                  </w:r>
                </w:p>
              </w:tc>
              <w:tc>
                <w:tcPr>
                  <w:tcW w:w="1149" w:type="dxa"/>
                  <w:tcBorders>
                    <w:top w:val="nil"/>
                    <w:left w:val="nil"/>
                    <w:bottom w:val="single" w:sz="8" w:space="0" w:color="FFFFFF"/>
                    <w:right w:val="single" w:sz="8" w:space="0" w:color="FFFFFF"/>
                  </w:tcBorders>
                  <w:shd w:val="clear" w:color="000000" w:fill="FCD5B4"/>
                  <w:noWrap/>
                  <w:hideMark/>
                </w:tcPr>
                <w:p w14:paraId="46B5F421" w14:textId="20DD82D1"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MTN5Y</w:t>
                  </w:r>
                </w:p>
              </w:tc>
              <w:tc>
                <w:tcPr>
                  <w:tcW w:w="920" w:type="dxa"/>
                  <w:tcBorders>
                    <w:top w:val="nil"/>
                    <w:left w:val="nil"/>
                    <w:bottom w:val="single" w:sz="8" w:space="0" w:color="FFFFFF"/>
                    <w:right w:val="single" w:sz="8" w:space="0" w:color="FFFFFF"/>
                  </w:tcBorders>
                  <w:shd w:val="clear" w:color="000000" w:fill="FCD5B4"/>
                  <w:noWrap/>
                  <w:hideMark/>
                </w:tcPr>
                <w:p w14:paraId="4D638149" w14:textId="5944128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0.69 </w:t>
                  </w:r>
                </w:p>
              </w:tc>
              <w:tc>
                <w:tcPr>
                  <w:tcW w:w="920" w:type="dxa"/>
                  <w:tcBorders>
                    <w:top w:val="nil"/>
                    <w:left w:val="nil"/>
                    <w:bottom w:val="single" w:sz="8" w:space="0" w:color="FFFFFF"/>
                    <w:right w:val="single" w:sz="8" w:space="0" w:color="FFFFFF"/>
                  </w:tcBorders>
                  <w:shd w:val="clear" w:color="000000" w:fill="FCD5B4"/>
                  <w:noWrap/>
                  <w:hideMark/>
                </w:tcPr>
                <w:p w14:paraId="7D63AB8D" w14:textId="7EDC4BE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0.91 </w:t>
                  </w:r>
                </w:p>
              </w:tc>
              <w:tc>
                <w:tcPr>
                  <w:tcW w:w="920" w:type="dxa"/>
                  <w:tcBorders>
                    <w:top w:val="nil"/>
                    <w:left w:val="nil"/>
                    <w:bottom w:val="single" w:sz="8" w:space="0" w:color="FFFFFF"/>
                    <w:right w:val="single" w:sz="8" w:space="0" w:color="FFFFFF"/>
                  </w:tcBorders>
                  <w:shd w:val="clear" w:color="000000" w:fill="FCD5B4"/>
                  <w:noWrap/>
                  <w:hideMark/>
                </w:tcPr>
                <w:p w14:paraId="73B93ED9" w14:textId="6244771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1.54 </w:t>
                  </w:r>
                </w:p>
              </w:tc>
              <w:tc>
                <w:tcPr>
                  <w:tcW w:w="920" w:type="dxa"/>
                  <w:tcBorders>
                    <w:top w:val="nil"/>
                    <w:left w:val="nil"/>
                    <w:bottom w:val="single" w:sz="8" w:space="0" w:color="FFFFFF"/>
                    <w:right w:val="single" w:sz="8" w:space="0" w:color="FFFFFF"/>
                  </w:tcBorders>
                  <w:shd w:val="clear" w:color="000000" w:fill="FCD5B4"/>
                  <w:noWrap/>
                  <w:hideMark/>
                </w:tcPr>
                <w:p w14:paraId="24AD0A23" w14:textId="7F1CF71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3.79 </w:t>
                  </w:r>
                </w:p>
              </w:tc>
            </w:tr>
            <w:tr w:rsidR="003F4793" w:rsidRPr="003F4793" w14:paraId="3DB9FAE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2044C520" w14:textId="644723C9"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企业债3Y</w:t>
                  </w:r>
                </w:p>
              </w:tc>
              <w:tc>
                <w:tcPr>
                  <w:tcW w:w="740" w:type="dxa"/>
                  <w:tcBorders>
                    <w:top w:val="nil"/>
                    <w:left w:val="nil"/>
                    <w:bottom w:val="single" w:sz="8" w:space="0" w:color="FFFFFF"/>
                    <w:right w:val="single" w:sz="8" w:space="0" w:color="FFFFFF"/>
                  </w:tcBorders>
                  <w:shd w:val="clear" w:color="000000" w:fill="FDE9D9"/>
                  <w:noWrap/>
                  <w:hideMark/>
                </w:tcPr>
                <w:p w14:paraId="094B223D" w14:textId="38A4789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3.06 </w:t>
                  </w:r>
                </w:p>
              </w:tc>
              <w:tc>
                <w:tcPr>
                  <w:tcW w:w="920" w:type="dxa"/>
                  <w:tcBorders>
                    <w:top w:val="nil"/>
                    <w:left w:val="nil"/>
                    <w:bottom w:val="single" w:sz="8" w:space="0" w:color="FFFFFF"/>
                    <w:right w:val="single" w:sz="8" w:space="0" w:color="FFFFFF"/>
                  </w:tcBorders>
                  <w:shd w:val="clear" w:color="000000" w:fill="FDE9D9"/>
                  <w:noWrap/>
                  <w:hideMark/>
                </w:tcPr>
                <w:p w14:paraId="226D27D3" w14:textId="212A412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3.25 </w:t>
                  </w:r>
                </w:p>
              </w:tc>
              <w:tc>
                <w:tcPr>
                  <w:tcW w:w="920" w:type="dxa"/>
                  <w:tcBorders>
                    <w:top w:val="nil"/>
                    <w:left w:val="nil"/>
                    <w:bottom w:val="single" w:sz="8" w:space="0" w:color="FFFFFF"/>
                    <w:right w:val="single" w:sz="8" w:space="0" w:color="FFFFFF"/>
                  </w:tcBorders>
                  <w:shd w:val="clear" w:color="000000" w:fill="FDE9D9"/>
                  <w:noWrap/>
                  <w:hideMark/>
                </w:tcPr>
                <w:p w14:paraId="509D7CD4" w14:textId="1F326DC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3.75 </w:t>
                  </w:r>
                </w:p>
              </w:tc>
              <w:tc>
                <w:tcPr>
                  <w:tcW w:w="920" w:type="dxa"/>
                  <w:tcBorders>
                    <w:top w:val="nil"/>
                    <w:left w:val="nil"/>
                    <w:bottom w:val="single" w:sz="8" w:space="0" w:color="FFFFFF"/>
                    <w:right w:val="single" w:sz="8" w:space="0" w:color="FFFFFF"/>
                  </w:tcBorders>
                  <w:shd w:val="clear" w:color="000000" w:fill="FDE9D9"/>
                  <w:noWrap/>
                  <w:hideMark/>
                </w:tcPr>
                <w:p w14:paraId="44CAAD2D" w14:textId="59704EF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6.06 </w:t>
                  </w:r>
                </w:p>
              </w:tc>
              <w:tc>
                <w:tcPr>
                  <w:tcW w:w="1149" w:type="dxa"/>
                  <w:tcBorders>
                    <w:top w:val="nil"/>
                    <w:left w:val="nil"/>
                    <w:bottom w:val="single" w:sz="8" w:space="0" w:color="FFFFFF"/>
                    <w:right w:val="single" w:sz="8" w:space="0" w:color="FFFFFF"/>
                  </w:tcBorders>
                  <w:shd w:val="clear" w:color="000000" w:fill="FDE9D9"/>
                  <w:noWrap/>
                  <w:hideMark/>
                </w:tcPr>
                <w:p w14:paraId="2E628139" w14:textId="12A0E60B"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企业债3Y</w:t>
                  </w:r>
                </w:p>
              </w:tc>
              <w:tc>
                <w:tcPr>
                  <w:tcW w:w="920" w:type="dxa"/>
                  <w:tcBorders>
                    <w:top w:val="nil"/>
                    <w:left w:val="nil"/>
                    <w:bottom w:val="single" w:sz="8" w:space="0" w:color="FFFFFF"/>
                    <w:right w:val="single" w:sz="8" w:space="0" w:color="FFFFFF"/>
                  </w:tcBorders>
                  <w:shd w:val="clear" w:color="000000" w:fill="FDE9D9"/>
                  <w:noWrap/>
                  <w:hideMark/>
                </w:tcPr>
                <w:p w14:paraId="14043470" w14:textId="135AADE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0.47 </w:t>
                  </w:r>
                </w:p>
              </w:tc>
              <w:tc>
                <w:tcPr>
                  <w:tcW w:w="920" w:type="dxa"/>
                  <w:tcBorders>
                    <w:top w:val="nil"/>
                    <w:left w:val="nil"/>
                    <w:bottom w:val="single" w:sz="8" w:space="0" w:color="FFFFFF"/>
                    <w:right w:val="single" w:sz="8" w:space="0" w:color="FFFFFF"/>
                  </w:tcBorders>
                  <w:shd w:val="clear" w:color="000000" w:fill="FDE9D9"/>
                  <w:noWrap/>
                  <w:hideMark/>
                </w:tcPr>
                <w:p w14:paraId="005C602B" w14:textId="2ACF510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0.66 </w:t>
                  </w:r>
                </w:p>
              </w:tc>
              <w:tc>
                <w:tcPr>
                  <w:tcW w:w="920" w:type="dxa"/>
                  <w:tcBorders>
                    <w:top w:val="nil"/>
                    <w:left w:val="nil"/>
                    <w:bottom w:val="single" w:sz="8" w:space="0" w:color="FFFFFF"/>
                    <w:right w:val="single" w:sz="8" w:space="0" w:color="FFFFFF"/>
                  </w:tcBorders>
                  <w:shd w:val="clear" w:color="000000" w:fill="FDE9D9"/>
                  <w:noWrap/>
                  <w:hideMark/>
                </w:tcPr>
                <w:p w14:paraId="72E1FCED" w14:textId="280B451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1.16 </w:t>
                  </w:r>
                </w:p>
              </w:tc>
              <w:tc>
                <w:tcPr>
                  <w:tcW w:w="920" w:type="dxa"/>
                  <w:tcBorders>
                    <w:top w:val="nil"/>
                    <w:left w:val="nil"/>
                    <w:bottom w:val="single" w:sz="8" w:space="0" w:color="FFFFFF"/>
                    <w:right w:val="single" w:sz="8" w:space="0" w:color="FFFFFF"/>
                  </w:tcBorders>
                  <w:shd w:val="clear" w:color="000000" w:fill="FDE9D9"/>
                  <w:noWrap/>
                  <w:hideMark/>
                </w:tcPr>
                <w:p w14:paraId="62B10FDA" w14:textId="7340CC6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3.47 </w:t>
                  </w:r>
                </w:p>
              </w:tc>
            </w:tr>
            <w:tr w:rsidR="003F4793" w:rsidRPr="003F4793" w14:paraId="6E6959B5"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22DA7E07" w14:textId="3432F2BC"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企业债5Y</w:t>
                  </w:r>
                </w:p>
              </w:tc>
              <w:tc>
                <w:tcPr>
                  <w:tcW w:w="740" w:type="dxa"/>
                  <w:tcBorders>
                    <w:top w:val="nil"/>
                    <w:left w:val="nil"/>
                    <w:bottom w:val="single" w:sz="8" w:space="0" w:color="FFFFFF"/>
                    <w:right w:val="single" w:sz="8" w:space="0" w:color="FFFFFF"/>
                  </w:tcBorders>
                  <w:shd w:val="clear" w:color="000000" w:fill="FCD5B4"/>
                  <w:noWrap/>
                  <w:hideMark/>
                </w:tcPr>
                <w:p w14:paraId="3321A8C9" w14:textId="3673214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3.35 </w:t>
                  </w:r>
                </w:p>
              </w:tc>
              <w:tc>
                <w:tcPr>
                  <w:tcW w:w="920" w:type="dxa"/>
                  <w:tcBorders>
                    <w:top w:val="nil"/>
                    <w:left w:val="nil"/>
                    <w:bottom w:val="single" w:sz="8" w:space="0" w:color="FFFFFF"/>
                    <w:right w:val="single" w:sz="8" w:space="0" w:color="FFFFFF"/>
                  </w:tcBorders>
                  <w:shd w:val="clear" w:color="000000" w:fill="FCD5B4"/>
                  <w:noWrap/>
                  <w:hideMark/>
                </w:tcPr>
                <w:p w14:paraId="2D55037C" w14:textId="637E12D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3.60 </w:t>
                  </w:r>
                </w:p>
              </w:tc>
              <w:tc>
                <w:tcPr>
                  <w:tcW w:w="920" w:type="dxa"/>
                  <w:tcBorders>
                    <w:top w:val="nil"/>
                    <w:left w:val="nil"/>
                    <w:bottom w:val="single" w:sz="8" w:space="0" w:color="FFFFFF"/>
                    <w:right w:val="single" w:sz="8" w:space="0" w:color="FFFFFF"/>
                  </w:tcBorders>
                  <w:shd w:val="clear" w:color="000000" w:fill="FCD5B4"/>
                  <w:noWrap/>
                  <w:hideMark/>
                </w:tcPr>
                <w:p w14:paraId="31736512" w14:textId="6E7304E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4.24 </w:t>
                  </w:r>
                </w:p>
              </w:tc>
              <w:tc>
                <w:tcPr>
                  <w:tcW w:w="920" w:type="dxa"/>
                  <w:tcBorders>
                    <w:top w:val="nil"/>
                    <w:left w:val="nil"/>
                    <w:bottom w:val="single" w:sz="8" w:space="0" w:color="FFFFFF"/>
                    <w:right w:val="single" w:sz="8" w:space="0" w:color="FFFFFF"/>
                  </w:tcBorders>
                  <w:shd w:val="clear" w:color="000000" w:fill="FCD5B4"/>
                  <w:noWrap/>
                  <w:hideMark/>
                </w:tcPr>
                <w:p w14:paraId="32F91FC8" w14:textId="51CB431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6.54 </w:t>
                  </w:r>
                </w:p>
              </w:tc>
              <w:tc>
                <w:tcPr>
                  <w:tcW w:w="1149" w:type="dxa"/>
                  <w:tcBorders>
                    <w:top w:val="nil"/>
                    <w:left w:val="nil"/>
                    <w:bottom w:val="single" w:sz="8" w:space="0" w:color="FFFFFF"/>
                    <w:right w:val="single" w:sz="8" w:space="0" w:color="FFFFFF"/>
                  </w:tcBorders>
                  <w:shd w:val="clear" w:color="000000" w:fill="FCD5B4"/>
                  <w:noWrap/>
                  <w:hideMark/>
                </w:tcPr>
                <w:p w14:paraId="1A4516FF" w14:textId="25D1733D"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企业债5Y</w:t>
                  </w:r>
                </w:p>
              </w:tc>
              <w:tc>
                <w:tcPr>
                  <w:tcW w:w="920" w:type="dxa"/>
                  <w:tcBorders>
                    <w:top w:val="nil"/>
                    <w:left w:val="nil"/>
                    <w:bottom w:val="single" w:sz="8" w:space="0" w:color="FFFFFF"/>
                    <w:right w:val="single" w:sz="8" w:space="0" w:color="FFFFFF"/>
                  </w:tcBorders>
                  <w:shd w:val="clear" w:color="000000" w:fill="FCD5B4"/>
                  <w:noWrap/>
                  <w:hideMark/>
                </w:tcPr>
                <w:p w14:paraId="678FF838" w14:textId="51165C5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0.63 </w:t>
                  </w:r>
                </w:p>
              </w:tc>
              <w:tc>
                <w:tcPr>
                  <w:tcW w:w="920" w:type="dxa"/>
                  <w:tcBorders>
                    <w:top w:val="nil"/>
                    <w:left w:val="nil"/>
                    <w:bottom w:val="single" w:sz="8" w:space="0" w:color="FFFFFF"/>
                    <w:right w:val="single" w:sz="8" w:space="0" w:color="FFFFFF"/>
                  </w:tcBorders>
                  <w:shd w:val="clear" w:color="000000" w:fill="FCD5B4"/>
                  <w:noWrap/>
                  <w:hideMark/>
                </w:tcPr>
                <w:p w14:paraId="19327668" w14:textId="2C5B5A2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0.88 </w:t>
                  </w:r>
                </w:p>
              </w:tc>
              <w:tc>
                <w:tcPr>
                  <w:tcW w:w="920" w:type="dxa"/>
                  <w:tcBorders>
                    <w:top w:val="nil"/>
                    <w:left w:val="nil"/>
                    <w:bottom w:val="single" w:sz="8" w:space="0" w:color="FFFFFF"/>
                    <w:right w:val="single" w:sz="8" w:space="0" w:color="FFFFFF"/>
                  </w:tcBorders>
                  <w:shd w:val="clear" w:color="000000" w:fill="FCD5B4"/>
                  <w:noWrap/>
                  <w:hideMark/>
                </w:tcPr>
                <w:p w14:paraId="3FF52323" w14:textId="36FBC5B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1.52 </w:t>
                  </w:r>
                </w:p>
              </w:tc>
              <w:tc>
                <w:tcPr>
                  <w:tcW w:w="920" w:type="dxa"/>
                  <w:tcBorders>
                    <w:top w:val="nil"/>
                    <w:left w:val="nil"/>
                    <w:bottom w:val="single" w:sz="8" w:space="0" w:color="FFFFFF"/>
                    <w:right w:val="single" w:sz="8" w:space="0" w:color="FFFFFF"/>
                  </w:tcBorders>
                  <w:shd w:val="clear" w:color="000000" w:fill="FCD5B4"/>
                  <w:noWrap/>
                  <w:hideMark/>
                </w:tcPr>
                <w:p w14:paraId="3A51C7C3" w14:textId="139212B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3.82 </w:t>
                  </w:r>
                </w:p>
              </w:tc>
            </w:tr>
            <w:tr w:rsidR="003F4793" w:rsidRPr="003F4793" w14:paraId="10282E85"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5AA354BC" w14:textId="02D40963"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企业债7Y</w:t>
                  </w:r>
                </w:p>
              </w:tc>
              <w:tc>
                <w:tcPr>
                  <w:tcW w:w="740" w:type="dxa"/>
                  <w:tcBorders>
                    <w:top w:val="nil"/>
                    <w:left w:val="nil"/>
                    <w:bottom w:val="single" w:sz="8" w:space="0" w:color="FFFFFF"/>
                    <w:right w:val="single" w:sz="8" w:space="0" w:color="FFFFFF"/>
                  </w:tcBorders>
                  <w:shd w:val="clear" w:color="000000" w:fill="FDE9D9"/>
                  <w:noWrap/>
                  <w:hideMark/>
                </w:tcPr>
                <w:p w14:paraId="46F6A45C" w14:textId="0671C14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3.58 </w:t>
                  </w:r>
                </w:p>
              </w:tc>
              <w:tc>
                <w:tcPr>
                  <w:tcW w:w="920" w:type="dxa"/>
                  <w:tcBorders>
                    <w:top w:val="nil"/>
                    <w:left w:val="nil"/>
                    <w:bottom w:val="single" w:sz="8" w:space="0" w:color="FFFFFF"/>
                    <w:right w:val="single" w:sz="8" w:space="0" w:color="FFFFFF"/>
                  </w:tcBorders>
                  <w:shd w:val="clear" w:color="000000" w:fill="FDE9D9"/>
                  <w:noWrap/>
                  <w:hideMark/>
                </w:tcPr>
                <w:p w14:paraId="7F0C451E" w14:textId="5AE305C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3.83 </w:t>
                  </w:r>
                </w:p>
              </w:tc>
              <w:tc>
                <w:tcPr>
                  <w:tcW w:w="920" w:type="dxa"/>
                  <w:tcBorders>
                    <w:top w:val="nil"/>
                    <w:left w:val="nil"/>
                    <w:bottom w:val="single" w:sz="8" w:space="0" w:color="FFFFFF"/>
                    <w:right w:val="single" w:sz="8" w:space="0" w:color="FFFFFF"/>
                  </w:tcBorders>
                  <w:shd w:val="clear" w:color="000000" w:fill="FDE9D9"/>
                  <w:noWrap/>
                  <w:hideMark/>
                </w:tcPr>
                <w:p w14:paraId="14C49F17" w14:textId="6C6FA05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4.47 </w:t>
                  </w:r>
                </w:p>
              </w:tc>
              <w:tc>
                <w:tcPr>
                  <w:tcW w:w="920" w:type="dxa"/>
                  <w:tcBorders>
                    <w:top w:val="nil"/>
                    <w:left w:val="nil"/>
                    <w:bottom w:val="single" w:sz="8" w:space="0" w:color="FFFFFF"/>
                    <w:right w:val="single" w:sz="8" w:space="0" w:color="FFFFFF"/>
                  </w:tcBorders>
                  <w:shd w:val="clear" w:color="000000" w:fill="FDE9D9"/>
                  <w:noWrap/>
                  <w:hideMark/>
                </w:tcPr>
                <w:p w14:paraId="5617ED53" w14:textId="32DA595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6.77 </w:t>
                  </w:r>
                </w:p>
              </w:tc>
              <w:tc>
                <w:tcPr>
                  <w:tcW w:w="1149" w:type="dxa"/>
                  <w:tcBorders>
                    <w:top w:val="nil"/>
                    <w:left w:val="nil"/>
                    <w:bottom w:val="single" w:sz="8" w:space="0" w:color="FFFFFF"/>
                    <w:right w:val="single" w:sz="8" w:space="0" w:color="FFFFFF"/>
                  </w:tcBorders>
                  <w:shd w:val="clear" w:color="000000" w:fill="FDE9D9"/>
                  <w:noWrap/>
                  <w:hideMark/>
                </w:tcPr>
                <w:p w14:paraId="6EF87D4A" w14:textId="502903F1"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企业债7Y</w:t>
                  </w:r>
                </w:p>
              </w:tc>
              <w:tc>
                <w:tcPr>
                  <w:tcW w:w="920" w:type="dxa"/>
                  <w:tcBorders>
                    <w:top w:val="nil"/>
                    <w:left w:val="nil"/>
                    <w:bottom w:val="single" w:sz="8" w:space="0" w:color="FFFFFF"/>
                    <w:right w:val="single" w:sz="8" w:space="0" w:color="FFFFFF"/>
                  </w:tcBorders>
                  <w:shd w:val="clear" w:color="000000" w:fill="FDE9D9"/>
                  <w:noWrap/>
                  <w:hideMark/>
                </w:tcPr>
                <w:p w14:paraId="4DEB6E8D" w14:textId="3874FBE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0.70 </w:t>
                  </w:r>
                </w:p>
              </w:tc>
              <w:tc>
                <w:tcPr>
                  <w:tcW w:w="920" w:type="dxa"/>
                  <w:tcBorders>
                    <w:top w:val="nil"/>
                    <w:left w:val="nil"/>
                    <w:bottom w:val="single" w:sz="8" w:space="0" w:color="FFFFFF"/>
                    <w:right w:val="single" w:sz="8" w:space="0" w:color="FFFFFF"/>
                  </w:tcBorders>
                  <w:shd w:val="clear" w:color="000000" w:fill="FDE9D9"/>
                  <w:noWrap/>
                  <w:hideMark/>
                </w:tcPr>
                <w:p w14:paraId="5BFCFC00" w14:textId="06EDC26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0.95 </w:t>
                  </w:r>
                </w:p>
              </w:tc>
              <w:tc>
                <w:tcPr>
                  <w:tcW w:w="920" w:type="dxa"/>
                  <w:tcBorders>
                    <w:top w:val="nil"/>
                    <w:left w:val="nil"/>
                    <w:bottom w:val="single" w:sz="8" w:space="0" w:color="FFFFFF"/>
                    <w:right w:val="single" w:sz="8" w:space="0" w:color="FFFFFF"/>
                  </w:tcBorders>
                  <w:shd w:val="clear" w:color="000000" w:fill="FDE9D9"/>
                  <w:noWrap/>
                  <w:hideMark/>
                </w:tcPr>
                <w:p w14:paraId="135C719B" w14:textId="6AA27C5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1.59 </w:t>
                  </w:r>
                </w:p>
              </w:tc>
              <w:tc>
                <w:tcPr>
                  <w:tcW w:w="920" w:type="dxa"/>
                  <w:tcBorders>
                    <w:top w:val="nil"/>
                    <w:left w:val="nil"/>
                    <w:bottom w:val="single" w:sz="8" w:space="0" w:color="FFFFFF"/>
                    <w:right w:val="single" w:sz="8" w:space="0" w:color="FFFFFF"/>
                  </w:tcBorders>
                  <w:shd w:val="clear" w:color="000000" w:fill="FDE9D9"/>
                  <w:noWrap/>
                  <w:hideMark/>
                </w:tcPr>
                <w:p w14:paraId="5C7F0679" w14:textId="62333E2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3.89 </w:t>
                  </w:r>
                </w:p>
              </w:tc>
            </w:tr>
            <w:tr w:rsidR="003F4793" w:rsidRPr="003F4793" w14:paraId="4B34B1BF"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708D60A2" w14:textId="0BD7DCB3"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7AC10927" w14:textId="226A660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3.09 </w:t>
                  </w:r>
                </w:p>
              </w:tc>
              <w:tc>
                <w:tcPr>
                  <w:tcW w:w="920" w:type="dxa"/>
                  <w:tcBorders>
                    <w:top w:val="nil"/>
                    <w:left w:val="nil"/>
                    <w:bottom w:val="single" w:sz="8" w:space="0" w:color="FFFFFF"/>
                    <w:right w:val="single" w:sz="8" w:space="0" w:color="FFFFFF"/>
                  </w:tcBorders>
                  <w:shd w:val="clear" w:color="000000" w:fill="FCD5B4"/>
                  <w:noWrap/>
                  <w:hideMark/>
                </w:tcPr>
                <w:p w14:paraId="5A89295C" w14:textId="089D3E7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3.23 </w:t>
                  </w:r>
                </w:p>
              </w:tc>
              <w:tc>
                <w:tcPr>
                  <w:tcW w:w="920" w:type="dxa"/>
                  <w:tcBorders>
                    <w:top w:val="nil"/>
                    <w:left w:val="nil"/>
                    <w:bottom w:val="single" w:sz="8" w:space="0" w:color="FFFFFF"/>
                    <w:right w:val="single" w:sz="8" w:space="0" w:color="FFFFFF"/>
                  </w:tcBorders>
                  <w:shd w:val="clear" w:color="000000" w:fill="FCD5B4"/>
                  <w:noWrap/>
                  <w:hideMark/>
                </w:tcPr>
                <w:p w14:paraId="5B048291" w14:textId="18ED4FF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3.33 </w:t>
                  </w:r>
                </w:p>
              </w:tc>
              <w:tc>
                <w:tcPr>
                  <w:tcW w:w="920" w:type="dxa"/>
                  <w:tcBorders>
                    <w:top w:val="nil"/>
                    <w:left w:val="nil"/>
                    <w:bottom w:val="single" w:sz="8" w:space="0" w:color="FFFFFF"/>
                    <w:right w:val="single" w:sz="8" w:space="0" w:color="FFFFFF"/>
                  </w:tcBorders>
                  <w:shd w:val="clear" w:color="000000" w:fill="FCD5B4"/>
                  <w:noWrap/>
                  <w:hideMark/>
                </w:tcPr>
                <w:p w14:paraId="5711CDD7" w14:textId="14673FC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5.94 </w:t>
                  </w:r>
                </w:p>
              </w:tc>
              <w:tc>
                <w:tcPr>
                  <w:tcW w:w="1149" w:type="dxa"/>
                  <w:tcBorders>
                    <w:top w:val="nil"/>
                    <w:left w:val="nil"/>
                    <w:bottom w:val="single" w:sz="8" w:space="0" w:color="FFFFFF"/>
                    <w:right w:val="single" w:sz="8" w:space="0" w:color="FFFFFF"/>
                  </w:tcBorders>
                  <w:shd w:val="clear" w:color="000000" w:fill="FCD5B4"/>
                  <w:noWrap/>
                  <w:hideMark/>
                </w:tcPr>
                <w:p w14:paraId="611290CA" w14:textId="6A693EBE"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20496D80" w14:textId="224AA85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0.50 </w:t>
                  </w:r>
                </w:p>
              </w:tc>
              <w:tc>
                <w:tcPr>
                  <w:tcW w:w="920" w:type="dxa"/>
                  <w:tcBorders>
                    <w:top w:val="nil"/>
                    <w:left w:val="nil"/>
                    <w:bottom w:val="single" w:sz="8" w:space="0" w:color="FFFFFF"/>
                    <w:right w:val="single" w:sz="8" w:space="0" w:color="FFFFFF"/>
                  </w:tcBorders>
                  <w:shd w:val="clear" w:color="000000" w:fill="FCD5B4"/>
                  <w:noWrap/>
                  <w:hideMark/>
                </w:tcPr>
                <w:p w14:paraId="3BFA925B" w14:textId="1D6743A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0.64 </w:t>
                  </w:r>
                </w:p>
              </w:tc>
              <w:tc>
                <w:tcPr>
                  <w:tcW w:w="920" w:type="dxa"/>
                  <w:tcBorders>
                    <w:top w:val="nil"/>
                    <w:left w:val="nil"/>
                    <w:bottom w:val="single" w:sz="8" w:space="0" w:color="FFFFFF"/>
                    <w:right w:val="single" w:sz="8" w:space="0" w:color="FFFFFF"/>
                  </w:tcBorders>
                  <w:shd w:val="clear" w:color="000000" w:fill="FCD5B4"/>
                  <w:noWrap/>
                  <w:hideMark/>
                </w:tcPr>
                <w:p w14:paraId="16CD7225" w14:textId="0BDD9B9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0.74 </w:t>
                  </w:r>
                </w:p>
              </w:tc>
              <w:tc>
                <w:tcPr>
                  <w:tcW w:w="920" w:type="dxa"/>
                  <w:tcBorders>
                    <w:top w:val="nil"/>
                    <w:left w:val="nil"/>
                    <w:bottom w:val="single" w:sz="8" w:space="0" w:color="FFFFFF"/>
                    <w:right w:val="single" w:sz="8" w:space="0" w:color="FFFFFF"/>
                  </w:tcBorders>
                  <w:shd w:val="clear" w:color="000000" w:fill="FCD5B4"/>
                  <w:noWrap/>
                  <w:hideMark/>
                </w:tcPr>
                <w:p w14:paraId="62A0BB0C" w14:textId="310680B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3.35 </w:t>
                  </w:r>
                </w:p>
              </w:tc>
            </w:tr>
            <w:tr w:rsidR="003F4793" w:rsidRPr="003F4793" w14:paraId="410B429A"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3F93C5ED" w14:textId="2A2F6A7D"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31CF143" w14:textId="5B9A0A6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3.41 </w:t>
                  </w:r>
                </w:p>
              </w:tc>
              <w:tc>
                <w:tcPr>
                  <w:tcW w:w="920" w:type="dxa"/>
                  <w:tcBorders>
                    <w:top w:val="nil"/>
                    <w:left w:val="nil"/>
                    <w:bottom w:val="single" w:sz="8" w:space="0" w:color="FFFFFF"/>
                    <w:right w:val="single" w:sz="8" w:space="0" w:color="FFFFFF"/>
                  </w:tcBorders>
                  <w:shd w:val="clear" w:color="000000" w:fill="FDE9D9"/>
                  <w:noWrap/>
                  <w:hideMark/>
                </w:tcPr>
                <w:p w14:paraId="28605ADA" w14:textId="2D9905B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3.60 </w:t>
                  </w:r>
                </w:p>
              </w:tc>
              <w:tc>
                <w:tcPr>
                  <w:tcW w:w="920" w:type="dxa"/>
                  <w:tcBorders>
                    <w:top w:val="nil"/>
                    <w:left w:val="nil"/>
                    <w:bottom w:val="single" w:sz="8" w:space="0" w:color="FFFFFF"/>
                    <w:right w:val="single" w:sz="8" w:space="0" w:color="FFFFFF"/>
                  </w:tcBorders>
                  <w:shd w:val="clear" w:color="000000" w:fill="FDE9D9"/>
                  <w:noWrap/>
                  <w:hideMark/>
                </w:tcPr>
                <w:p w14:paraId="138A29ED" w14:textId="6F7C69E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3.96 </w:t>
                  </w:r>
                </w:p>
              </w:tc>
              <w:tc>
                <w:tcPr>
                  <w:tcW w:w="920" w:type="dxa"/>
                  <w:tcBorders>
                    <w:top w:val="nil"/>
                    <w:left w:val="nil"/>
                    <w:bottom w:val="single" w:sz="8" w:space="0" w:color="FFFFFF"/>
                    <w:right w:val="single" w:sz="8" w:space="0" w:color="FFFFFF"/>
                  </w:tcBorders>
                  <w:shd w:val="clear" w:color="000000" w:fill="FDE9D9"/>
                  <w:noWrap/>
                  <w:hideMark/>
                </w:tcPr>
                <w:p w14:paraId="36771C93" w14:textId="6CC80F9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6.88 </w:t>
                  </w:r>
                </w:p>
              </w:tc>
              <w:tc>
                <w:tcPr>
                  <w:tcW w:w="1149" w:type="dxa"/>
                  <w:tcBorders>
                    <w:top w:val="nil"/>
                    <w:left w:val="nil"/>
                    <w:bottom w:val="single" w:sz="8" w:space="0" w:color="FFFFFF"/>
                    <w:right w:val="single" w:sz="8" w:space="0" w:color="FFFFFF"/>
                  </w:tcBorders>
                  <w:shd w:val="clear" w:color="000000" w:fill="FDE9D9"/>
                  <w:noWrap/>
                  <w:hideMark/>
                </w:tcPr>
                <w:p w14:paraId="12900514" w14:textId="73512931"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1F834B" w14:textId="0434390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0.69 </w:t>
                  </w:r>
                </w:p>
              </w:tc>
              <w:tc>
                <w:tcPr>
                  <w:tcW w:w="920" w:type="dxa"/>
                  <w:tcBorders>
                    <w:top w:val="nil"/>
                    <w:left w:val="nil"/>
                    <w:bottom w:val="single" w:sz="8" w:space="0" w:color="FFFFFF"/>
                    <w:right w:val="single" w:sz="8" w:space="0" w:color="FFFFFF"/>
                  </w:tcBorders>
                  <w:shd w:val="clear" w:color="000000" w:fill="FDE9D9"/>
                  <w:noWrap/>
                  <w:hideMark/>
                </w:tcPr>
                <w:p w14:paraId="65FCA278" w14:textId="703CC52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0.88 </w:t>
                  </w:r>
                </w:p>
              </w:tc>
              <w:tc>
                <w:tcPr>
                  <w:tcW w:w="920" w:type="dxa"/>
                  <w:tcBorders>
                    <w:top w:val="nil"/>
                    <w:left w:val="nil"/>
                    <w:bottom w:val="single" w:sz="8" w:space="0" w:color="FFFFFF"/>
                    <w:right w:val="single" w:sz="8" w:space="0" w:color="FFFFFF"/>
                  </w:tcBorders>
                  <w:shd w:val="clear" w:color="000000" w:fill="FDE9D9"/>
                  <w:noWrap/>
                  <w:hideMark/>
                </w:tcPr>
                <w:p w14:paraId="27F1C7B6" w14:textId="512950C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1.25 </w:t>
                  </w:r>
                </w:p>
              </w:tc>
              <w:tc>
                <w:tcPr>
                  <w:tcW w:w="920" w:type="dxa"/>
                  <w:tcBorders>
                    <w:top w:val="nil"/>
                    <w:left w:val="nil"/>
                    <w:bottom w:val="single" w:sz="8" w:space="0" w:color="FFFFFF"/>
                    <w:right w:val="single" w:sz="8" w:space="0" w:color="FFFFFF"/>
                  </w:tcBorders>
                  <w:shd w:val="clear" w:color="000000" w:fill="FDE9D9"/>
                  <w:noWrap/>
                  <w:hideMark/>
                </w:tcPr>
                <w:p w14:paraId="01875D19" w14:textId="33EB8BF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4.17 </w:t>
                  </w:r>
                </w:p>
              </w:tc>
            </w:tr>
            <w:tr w:rsidR="003F4793" w:rsidRPr="003F4793" w14:paraId="3E035994" w14:textId="77777777" w:rsidTr="00585D46">
              <w:trPr>
                <w:trHeight w:val="310"/>
              </w:trPr>
              <w:tc>
                <w:tcPr>
                  <w:tcW w:w="1309" w:type="dxa"/>
                  <w:tcBorders>
                    <w:top w:val="nil"/>
                    <w:left w:val="nil"/>
                    <w:bottom w:val="nil"/>
                    <w:right w:val="nil"/>
                  </w:tcBorders>
                  <w:shd w:val="clear" w:color="000000" w:fill="FCD5B4"/>
                  <w:noWrap/>
                  <w:hideMark/>
                </w:tcPr>
                <w:p w14:paraId="6806E277" w14:textId="2F1ED3B6"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6B2AD056" w14:textId="1ADAFC5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3.60 </w:t>
                  </w:r>
                </w:p>
              </w:tc>
              <w:tc>
                <w:tcPr>
                  <w:tcW w:w="920" w:type="dxa"/>
                  <w:tcBorders>
                    <w:top w:val="nil"/>
                    <w:left w:val="nil"/>
                    <w:bottom w:val="single" w:sz="8" w:space="0" w:color="FFFFFF"/>
                    <w:right w:val="single" w:sz="8" w:space="0" w:color="FFFFFF"/>
                  </w:tcBorders>
                  <w:shd w:val="clear" w:color="000000" w:fill="FCD5B4"/>
                  <w:noWrap/>
                  <w:hideMark/>
                </w:tcPr>
                <w:p w14:paraId="64875CAA" w14:textId="37CDBD7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3.84 </w:t>
                  </w:r>
                </w:p>
              </w:tc>
              <w:tc>
                <w:tcPr>
                  <w:tcW w:w="920" w:type="dxa"/>
                  <w:tcBorders>
                    <w:top w:val="nil"/>
                    <w:left w:val="nil"/>
                    <w:bottom w:val="single" w:sz="8" w:space="0" w:color="FFFFFF"/>
                    <w:right w:val="single" w:sz="8" w:space="0" w:color="FFFFFF"/>
                  </w:tcBorders>
                  <w:shd w:val="clear" w:color="000000" w:fill="FCD5B4"/>
                  <w:noWrap/>
                  <w:hideMark/>
                </w:tcPr>
                <w:p w14:paraId="37FAD57A" w14:textId="395E91F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4.34 </w:t>
                  </w:r>
                </w:p>
              </w:tc>
              <w:tc>
                <w:tcPr>
                  <w:tcW w:w="920" w:type="dxa"/>
                  <w:tcBorders>
                    <w:top w:val="nil"/>
                    <w:left w:val="nil"/>
                    <w:bottom w:val="single" w:sz="8" w:space="0" w:color="FFFFFF"/>
                    <w:right w:val="single" w:sz="8" w:space="0" w:color="FFFFFF"/>
                  </w:tcBorders>
                  <w:shd w:val="clear" w:color="000000" w:fill="FCD5B4"/>
                  <w:noWrap/>
                  <w:hideMark/>
                </w:tcPr>
                <w:p w14:paraId="2CDC7C7E" w14:textId="465621A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7.26 </w:t>
                  </w:r>
                </w:p>
              </w:tc>
              <w:tc>
                <w:tcPr>
                  <w:tcW w:w="1149" w:type="dxa"/>
                  <w:tcBorders>
                    <w:top w:val="nil"/>
                    <w:left w:val="nil"/>
                    <w:bottom w:val="nil"/>
                    <w:right w:val="nil"/>
                  </w:tcBorders>
                  <w:shd w:val="clear" w:color="000000" w:fill="FCD5B4"/>
                  <w:noWrap/>
                  <w:hideMark/>
                </w:tcPr>
                <w:p w14:paraId="21A0B914" w14:textId="62BB2D88"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2DE8FCCC" w14:textId="30785FC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0.71 </w:t>
                  </w:r>
                </w:p>
              </w:tc>
              <w:tc>
                <w:tcPr>
                  <w:tcW w:w="920" w:type="dxa"/>
                  <w:tcBorders>
                    <w:top w:val="nil"/>
                    <w:left w:val="nil"/>
                    <w:bottom w:val="single" w:sz="8" w:space="0" w:color="FFFFFF"/>
                    <w:right w:val="single" w:sz="8" w:space="0" w:color="FFFFFF"/>
                  </w:tcBorders>
                  <w:shd w:val="clear" w:color="000000" w:fill="FCD5B4"/>
                  <w:noWrap/>
                  <w:hideMark/>
                </w:tcPr>
                <w:p w14:paraId="5E36F15A" w14:textId="046255A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0.95 </w:t>
                  </w:r>
                </w:p>
              </w:tc>
              <w:tc>
                <w:tcPr>
                  <w:tcW w:w="920" w:type="dxa"/>
                  <w:tcBorders>
                    <w:top w:val="nil"/>
                    <w:left w:val="nil"/>
                    <w:bottom w:val="single" w:sz="8" w:space="0" w:color="FFFFFF"/>
                    <w:right w:val="single" w:sz="8" w:space="0" w:color="FFFFFF"/>
                  </w:tcBorders>
                  <w:shd w:val="clear" w:color="000000" w:fill="FCD5B4"/>
                  <w:noWrap/>
                  <w:hideMark/>
                </w:tcPr>
                <w:p w14:paraId="7CD60254" w14:textId="1821DF4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1.45 </w:t>
                  </w:r>
                </w:p>
              </w:tc>
              <w:tc>
                <w:tcPr>
                  <w:tcW w:w="920" w:type="dxa"/>
                  <w:tcBorders>
                    <w:top w:val="nil"/>
                    <w:left w:val="nil"/>
                    <w:bottom w:val="single" w:sz="8" w:space="0" w:color="FFFFFF"/>
                    <w:right w:val="single" w:sz="8" w:space="0" w:color="FFFFFF"/>
                  </w:tcBorders>
                  <w:shd w:val="clear" w:color="000000" w:fill="FCD5B4"/>
                  <w:noWrap/>
                  <w:hideMark/>
                </w:tcPr>
                <w:p w14:paraId="39243B4A" w14:textId="2C806C8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4.37 </w:t>
                  </w:r>
                </w:p>
              </w:tc>
            </w:tr>
            <w:tr w:rsidR="003F4793" w:rsidRPr="003F4793" w14:paraId="7406B1F6" w14:textId="77777777" w:rsidTr="00585D46">
              <w:trPr>
                <w:trHeight w:val="160"/>
              </w:trPr>
              <w:tc>
                <w:tcPr>
                  <w:tcW w:w="1309" w:type="dxa"/>
                  <w:tcBorders>
                    <w:top w:val="nil"/>
                    <w:left w:val="nil"/>
                    <w:bottom w:val="nil"/>
                    <w:right w:val="nil"/>
                  </w:tcBorders>
                  <w:shd w:val="clear" w:color="auto" w:fill="auto"/>
                  <w:noWrap/>
                  <w:hideMark/>
                </w:tcPr>
                <w:p w14:paraId="2190587C" w14:textId="77777777" w:rsidR="003F4793" w:rsidRPr="003F4793" w:rsidRDefault="003F4793" w:rsidP="003F4793">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399F5F18"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20FF196"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8B3E77A"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8C400F3" w14:textId="77777777" w:rsidR="003F4793" w:rsidRPr="003F4793" w:rsidRDefault="003F4793" w:rsidP="003F4793">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326524A6"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6D3BBAE2"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277D745A"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E56B1A"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64A8616" w14:textId="77777777" w:rsidR="003F4793" w:rsidRPr="003F4793" w:rsidRDefault="003F4793" w:rsidP="003F4793">
                  <w:pPr>
                    <w:widowControl/>
                    <w:jc w:val="center"/>
                    <w:rPr>
                      <w:rFonts w:ascii="KaiTi" w:eastAsia="KaiTi" w:hAnsi="KaiTi"/>
                      <w:kern w:val="0"/>
                      <w:sz w:val="20"/>
                      <w:szCs w:val="20"/>
                    </w:rPr>
                  </w:pPr>
                </w:p>
              </w:tc>
            </w:tr>
            <w:tr w:rsidR="003F4793" w:rsidRPr="003F4793" w14:paraId="67AF4F87" w14:textId="77777777" w:rsidTr="00585D46">
              <w:trPr>
                <w:trHeight w:val="74"/>
              </w:trPr>
              <w:tc>
                <w:tcPr>
                  <w:tcW w:w="1309" w:type="dxa"/>
                  <w:tcBorders>
                    <w:top w:val="nil"/>
                    <w:left w:val="nil"/>
                    <w:bottom w:val="single" w:sz="12" w:space="0" w:color="FFFFFF"/>
                    <w:right w:val="single" w:sz="8" w:space="0" w:color="FFFFFF"/>
                  </w:tcBorders>
                  <w:shd w:val="clear" w:color="000000" w:fill="F79646"/>
                  <w:noWrap/>
                  <w:hideMark/>
                </w:tcPr>
                <w:p w14:paraId="3FE61E82" w14:textId="128ABE10" w:rsidR="003F4793" w:rsidRPr="003F4793" w:rsidRDefault="003F4793" w:rsidP="003F4793">
                  <w:pPr>
                    <w:widowControl/>
                    <w:jc w:val="center"/>
                    <w:rPr>
                      <w:rFonts w:ascii="KaiTi" w:eastAsia="KaiTi" w:hAnsi="KaiTi" w:cs="宋体"/>
                      <w:b/>
                      <w:bCs/>
                      <w:color w:val="FFFFFF"/>
                      <w:kern w:val="0"/>
                      <w:sz w:val="20"/>
                      <w:szCs w:val="20"/>
                    </w:rPr>
                  </w:pPr>
                  <w:proofErr w:type="gramStart"/>
                  <w:r w:rsidRPr="003F4793">
                    <w:rPr>
                      <w:rFonts w:ascii="KaiTi" w:eastAsia="KaiTi" w:hAnsi="KaiTi" w:hint="eastAsia"/>
                    </w:rPr>
                    <w:t>周变化</w:t>
                  </w:r>
                  <w:proofErr w:type="gramEnd"/>
                  <w:r w:rsidRPr="003F4793">
                    <w:rPr>
                      <w:rFonts w:ascii="KaiTi" w:eastAsia="KaiTi" w:hAnsi="KaiTi" w:hint="eastAsia"/>
                    </w:rPr>
                    <w:t>(BP)</w:t>
                  </w:r>
                </w:p>
              </w:tc>
              <w:tc>
                <w:tcPr>
                  <w:tcW w:w="740" w:type="dxa"/>
                  <w:tcBorders>
                    <w:top w:val="nil"/>
                    <w:left w:val="nil"/>
                    <w:bottom w:val="single" w:sz="12" w:space="0" w:color="FFFFFF"/>
                    <w:right w:val="single" w:sz="8" w:space="0" w:color="FFFFFF"/>
                  </w:tcBorders>
                  <w:shd w:val="clear" w:color="000000" w:fill="F79646"/>
                  <w:noWrap/>
                  <w:hideMark/>
                </w:tcPr>
                <w:p w14:paraId="7A2D29AE" w14:textId="6F8748A2"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31A4EADA" w14:textId="296C3EDE"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1ED283BD" w14:textId="05423F25"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D14BBA3" w14:textId="32B5CD16"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6F6F04C0" w14:textId="4D57F453"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11161DDB" w14:textId="68EF6081"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188427D0" w14:textId="7DFCD8D7"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0F81475" w14:textId="6D69942C"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8358154" w14:textId="206709B3"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r>
            <w:tr w:rsidR="003F4793" w:rsidRPr="003F4793" w14:paraId="691FA2FB" w14:textId="77777777" w:rsidTr="00585D46">
              <w:trPr>
                <w:trHeight w:val="321"/>
              </w:trPr>
              <w:tc>
                <w:tcPr>
                  <w:tcW w:w="1309" w:type="dxa"/>
                  <w:tcBorders>
                    <w:top w:val="nil"/>
                    <w:left w:val="nil"/>
                    <w:bottom w:val="single" w:sz="8" w:space="0" w:color="FFFFFF"/>
                    <w:right w:val="single" w:sz="8" w:space="0" w:color="FFFFFF"/>
                  </w:tcBorders>
                  <w:shd w:val="clear" w:color="000000" w:fill="FCD5B4"/>
                  <w:noWrap/>
                  <w:hideMark/>
                </w:tcPr>
                <w:p w14:paraId="4B8AC9FB" w14:textId="1420D50A"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CP</w:t>
                  </w:r>
                </w:p>
              </w:tc>
              <w:tc>
                <w:tcPr>
                  <w:tcW w:w="740" w:type="dxa"/>
                  <w:tcBorders>
                    <w:top w:val="nil"/>
                    <w:left w:val="nil"/>
                    <w:bottom w:val="single" w:sz="8" w:space="0" w:color="FFFFFF"/>
                    <w:right w:val="single" w:sz="8" w:space="0" w:color="FFFFFF"/>
                  </w:tcBorders>
                  <w:shd w:val="clear" w:color="000000" w:fill="FCD5B4"/>
                  <w:noWrap/>
                  <w:hideMark/>
                </w:tcPr>
                <w:p w14:paraId="26737727" w14:textId="04E1792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2.5 </w:t>
                  </w:r>
                </w:p>
              </w:tc>
              <w:tc>
                <w:tcPr>
                  <w:tcW w:w="920" w:type="dxa"/>
                  <w:tcBorders>
                    <w:top w:val="nil"/>
                    <w:left w:val="nil"/>
                    <w:bottom w:val="single" w:sz="8" w:space="0" w:color="FFFFFF"/>
                    <w:right w:val="single" w:sz="8" w:space="0" w:color="FFFFFF"/>
                  </w:tcBorders>
                  <w:shd w:val="clear" w:color="000000" w:fill="FCD5B4"/>
                  <w:noWrap/>
                  <w:hideMark/>
                </w:tcPr>
                <w:p w14:paraId="36AEEC42" w14:textId="5094195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2.5 </w:t>
                  </w:r>
                </w:p>
              </w:tc>
              <w:tc>
                <w:tcPr>
                  <w:tcW w:w="920" w:type="dxa"/>
                  <w:tcBorders>
                    <w:top w:val="nil"/>
                    <w:left w:val="nil"/>
                    <w:bottom w:val="single" w:sz="8" w:space="0" w:color="FFFFFF"/>
                    <w:right w:val="single" w:sz="8" w:space="0" w:color="FFFFFF"/>
                  </w:tcBorders>
                  <w:shd w:val="clear" w:color="000000" w:fill="FCD5B4"/>
                  <w:noWrap/>
                  <w:hideMark/>
                </w:tcPr>
                <w:p w14:paraId="6FAA78B0" w14:textId="158AFC2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-0.5 </w:t>
                  </w:r>
                </w:p>
              </w:tc>
              <w:tc>
                <w:tcPr>
                  <w:tcW w:w="920" w:type="dxa"/>
                  <w:tcBorders>
                    <w:top w:val="nil"/>
                    <w:left w:val="nil"/>
                    <w:bottom w:val="single" w:sz="8" w:space="0" w:color="FFFFFF"/>
                    <w:right w:val="single" w:sz="8" w:space="0" w:color="FFFFFF"/>
                  </w:tcBorders>
                  <w:shd w:val="clear" w:color="000000" w:fill="FCD5B4"/>
                  <w:noWrap/>
                  <w:hideMark/>
                </w:tcPr>
                <w:p w14:paraId="79E4FA89" w14:textId="4058D0F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5.5 </w:t>
                  </w:r>
                </w:p>
              </w:tc>
              <w:tc>
                <w:tcPr>
                  <w:tcW w:w="1149" w:type="dxa"/>
                  <w:tcBorders>
                    <w:top w:val="nil"/>
                    <w:left w:val="nil"/>
                    <w:bottom w:val="single" w:sz="8" w:space="0" w:color="FFFFFF"/>
                    <w:right w:val="single" w:sz="8" w:space="0" w:color="FFFFFF"/>
                  </w:tcBorders>
                  <w:shd w:val="clear" w:color="000000" w:fill="FCD5B4"/>
                  <w:noWrap/>
                  <w:hideMark/>
                </w:tcPr>
                <w:p w14:paraId="606C4AAF" w14:textId="0A339DF9"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CP</w:t>
                  </w:r>
                </w:p>
              </w:tc>
              <w:tc>
                <w:tcPr>
                  <w:tcW w:w="920" w:type="dxa"/>
                  <w:tcBorders>
                    <w:top w:val="nil"/>
                    <w:left w:val="nil"/>
                    <w:bottom w:val="single" w:sz="8" w:space="0" w:color="FFFFFF"/>
                    <w:right w:val="single" w:sz="8" w:space="0" w:color="FFFFFF"/>
                  </w:tcBorders>
                  <w:shd w:val="clear" w:color="000000" w:fill="FCD5B4"/>
                  <w:noWrap/>
                  <w:hideMark/>
                </w:tcPr>
                <w:p w14:paraId="357A1196" w14:textId="2C537AE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-4.5 </w:t>
                  </w:r>
                </w:p>
              </w:tc>
              <w:tc>
                <w:tcPr>
                  <w:tcW w:w="920" w:type="dxa"/>
                  <w:tcBorders>
                    <w:top w:val="nil"/>
                    <w:left w:val="nil"/>
                    <w:bottom w:val="single" w:sz="8" w:space="0" w:color="FFFFFF"/>
                    <w:right w:val="single" w:sz="8" w:space="0" w:color="FFFFFF"/>
                  </w:tcBorders>
                  <w:shd w:val="clear" w:color="000000" w:fill="FCD5B4"/>
                  <w:noWrap/>
                  <w:hideMark/>
                </w:tcPr>
                <w:p w14:paraId="2701848E" w14:textId="26823BE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-4.5 </w:t>
                  </w:r>
                </w:p>
              </w:tc>
              <w:tc>
                <w:tcPr>
                  <w:tcW w:w="920" w:type="dxa"/>
                  <w:tcBorders>
                    <w:top w:val="nil"/>
                    <w:left w:val="nil"/>
                    <w:bottom w:val="single" w:sz="8" w:space="0" w:color="FFFFFF"/>
                    <w:right w:val="single" w:sz="8" w:space="0" w:color="FFFFFF"/>
                  </w:tcBorders>
                  <w:shd w:val="clear" w:color="000000" w:fill="FCD5B4"/>
                  <w:noWrap/>
                  <w:hideMark/>
                </w:tcPr>
                <w:p w14:paraId="004705FE" w14:textId="69BFA1B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-7.5 </w:t>
                  </w:r>
                </w:p>
              </w:tc>
              <w:tc>
                <w:tcPr>
                  <w:tcW w:w="920" w:type="dxa"/>
                  <w:tcBorders>
                    <w:top w:val="nil"/>
                    <w:left w:val="nil"/>
                    <w:bottom w:val="single" w:sz="8" w:space="0" w:color="FFFFFF"/>
                    <w:right w:val="single" w:sz="8" w:space="0" w:color="FFFFFF"/>
                  </w:tcBorders>
                  <w:shd w:val="clear" w:color="000000" w:fill="FCD5B4"/>
                  <w:noWrap/>
                  <w:hideMark/>
                </w:tcPr>
                <w:p w14:paraId="3FBDA2E9" w14:textId="38F1C28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-1.5 </w:t>
                  </w:r>
                </w:p>
              </w:tc>
            </w:tr>
            <w:tr w:rsidR="003F4793" w:rsidRPr="003F4793" w14:paraId="497D492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7DBC5358" w14:textId="3962412F"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MTN3Y</w:t>
                  </w:r>
                </w:p>
              </w:tc>
              <w:tc>
                <w:tcPr>
                  <w:tcW w:w="740" w:type="dxa"/>
                  <w:tcBorders>
                    <w:top w:val="nil"/>
                    <w:left w:val="nil"/>
                    <w:bottom w:val="single" w:sz="8" w:space="0" w:color="FFFFFF"/>
                    <w:right w:val="single" w:sz="8" w:space="0" w:color="FFFFFF"/>
                  </w:tcBorders>
                  <w:shd w:val="clear" w:color="000000" w:fill="FDE9D9"/>
                  <w:noWrap/>
                  <w:hideMark/>
                </w:tcPr>
                <w:p w14:paraId="3CD640D8" w14:textId="7B558BD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3.6 </w:t>
                  </w:r>
                </w:p>
              </w:tc>
              <w:tc>
                <w:tcPr>
                  <w:tcW w:w="920" w:type="dxa"/>
                  <w:tcBorders>
                    <w:top w:val="nil"/>
                    <w:left w:val="nil"/>
                    <w:bottom w:val="single" w:sz="8" w:space="0" w:color="FFFFFF"/>
                    <w:right w:val="single" w:sz="8" w:space="0" w:color="FFFFFF"/>
                  </w:tcBorders>
                  <w:shd w:val="clear" w:color="000000" w:fill="FDE9D9"/>
                  <w:noWrap/>
                  <w:hideMark/>
                </w:tcPr>
                <w:p w14:paraId="02826B46" w14:textId="589E222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1.6 </w:t>
                  </w:r>
                </w:p>
              </w:tc>
              <w:tc>
                <w:tcPr>
                  <w:tcW w:w="920" w:type="dxa"/>
                  <w:tcBorders>
                    <w:top w:val="nil"/>
                    <w:left w:val="nil"/>
                    <w:bottom w:val="single" w:sz="8" w:space="0" w:color="FFFFFF"/>
                    <w:right w:val="single" w:sz="8" w:space="0" w:color="FFFFFF"/>
                  </w:tcBorders>
                  <w:shd w:val="clear" w:color="000000" w:fill="FDE9D9"/>
                  <w:noWrap/>
                  <w:hideMark/>
                </w:tcPr>
                <w:p w14:paraId="605A16DF" w14:textId="1910EB5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4.6 </w:t>
                  </w:r>
                </w:p>
              </w:tc>
              <w:tc>
                <w:tcPr>
                  <w:tcW w:w="920" w:type="dxa"/>
                  <w:tcBorders>
                    <w:top w:val="nil"/>
                    <w:left w:val="nil"/>
                    <w:bottom w:val="single" w:sz="8" w:space="0" w:color="FFFFFF"/>
                    <w:right w:val="single" w:sz="8" w:space="0" w:color="FFFFFF"/>
                  </w:tcBorders>
                  <w:shd w:val="clear" w:color="000000" w:fill="FDE9D9"/>
                  <w:noWrap/>
                  <w:hideMark/>
                </w:tcPr>
                <w:p w14:paraId="7B2C5CED" w14:textId="32B8643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9.6 </w:t>
                  </w:r>
                </w:p>
              </w:tc>
              <w:tc>
                <w:tcPr>
                  <w:tcW w:w="1149" w:type="dxa"/>
                  <w:tcBorders>
                    <w:top w:val="nil"/>
                    <w:left w:val="nil"/>
                    <w:bottom w:val="single" w:sz="8" w:space="0" w:color="FFFFFF"/>
                    <w:right w:val="single" w:sz="8" w:space="0" w:color="FFFFFF"/>
                  </w:tcBorders>
                  <w:shd w:val="clear" w:color="000000" w:fill="FDE9D9"/>
                  <w:noWrap/>
                  <w:hideMark/>
                </w:tcPr>
                <w:p w14:paraId="6FF5E0DD" w14:textId="0BAD5F67"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MTN3Y</w:t>
                  </w:r>
                </w:p>
              </w:tc>
              <w:tc>
                <w:tcPr>
                  <w:tcW w:w="920" w:type="dxa"/>
                  <w:tcBorders>
                    <w:top w:val="nil"/>
                    <w:left w:val="nil"/>
                    <w:bottom w:val="single" w:sz="8" w:space="0" w:color="FFFFFF"/>
                    <w:right w:val="single" w:sz="8" w:space="0" w:color="FFFFFF"/>
                  </w:tcBorders>
                  <w:shd w:val="clear" w:color="000000" w:fill="FDE9D9"/>
                  <w:noWrap/>
                  <w:hideMark/>
                </w:tcPr>
                <w:p w14:paraId="46C0665C" w14:textId="2E3FE22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-0.1 </w:t>
                  </w:r>
                </w:p>
              </w:tc>
              <w:tc>
                <w:tcPr>
                  <w:tcW w:w="920" w:type="dxa"/>
                  <w:tcBorders>
                    <w:top w:val="nil"/>
                    <w:left w:val="nil"/>
                    <w:bottom w:val="single" w:sz="8" w:space="0" w:color="FFFFFF"/>
                    <w:right w:val="single" w:sz="8" w:space="0" w:color="FFFFFF"/>
                  </w:tcBorders>
                  <w:shd w:val="clear" w:color="000000" w:fill="FDE9D9"/>
                  <w:noWrap/>
                  <w:hideMark/>
                </w:tcPr>
                <w:p w14:paraId="5E23BCCC" w14:textId="45564CD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-2.1 </w:t>
                  </w:r>
                </w:p>
              </w:tc>
              <w:tc>
                <w:tcPr>
                  <w:tcW w:w="920" w:type="dxa"/>
                  <w:tcBorders>
                    <w:top w:val="nil"/>
                    <w:left w:val="nil"/>
                    <w:bottom w:val="single" w:sz="8" w:space="0" w:color="FFFFFF"/>
                    <w:right w:val="single" w:sz="8" w:space="0" w:color="FFFFFF"/>
                  </w:tcBorders>
                  <w:shd w:val="clear" w:color="000000" w:fill="FDE9D9"/>
                  <w:noWrap/>
                  <w:hideMark/>
                </w:tcPr>
                <w:p w14:paraId="1C0ED519" w14:textId="1786843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0.9 </w:t>
                  </w:r>
                </w:p>
              </w:tc>
              <w:tc>
                <w:tcPr>
                  <w:tcW w:w="920" w:type="dxa"/>
                  <w:tcBorders>
                    <w:top w:val="nil"/>
                    <w:left w:val="nil"/>
                    <w:bottom w:val="single" w:sz="8" w:space="0" w:color="FFFFFF"/>
                    <w:right w:val="single" w:sz="8" w:space="0" w:color="FFFFFF"/>
                  </w:tcBorders>
                  <w:shd w:val="clear" w:color="000000" w:fill="FDE9D9"/>
                  <w:noWrap/>
                  <w:hideMark/>
                </w:tcPr>
                <w:p w14:paraId="0011E4A5" w14:textId="3417FEA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5.9 </w:t>
                  </w:r>
                </w:p>
              </w:tc>
            </w:tr>
            <w:tr w:rsidR="003F4793" w:rsidRPr="003F4793" w14:paraId="0CE9EDD9"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666B8A39" w14:textId="3C13BAA0"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MTN5Y</w:t>
                  </w:r>
                </w:p>
              </w:tc>
              <w:tc>
                <w:tcPr>
                  <w:tcW w:w="740" w:type="dxa"/>
                  <w:tcBorders>
                    <w:top w:val="nil"/>
                    <w:left w:val="nil"/>
                    <w:bottom w:val="single" w:sz="8" w:space="0" w:color="FFFFFF"/>
                    <w:right w:val="single" w:sz="8" w:space="0" w:color="FFFFFF"/>
                  </w:tcBorders>
                  <w:shd w:val="clear" w:color="000000" w:fill="FCD5B4"/>
                  <w:noWrap/>
                  <w:hideMark/>
                </w:tcPr>
                <w:p w14:paraId="46A29143" w14:textId="6E6640E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8.3 </w:t>
                  </w:r>
                </w:p>
              </w:tc>
              <w:tc>
                <w:tcPr>
                  <w:tcW w:w="920" w:type="dxa"/>
                  <w:tcBorders>
                    <w:top w:val="nil"/>
                    <w:left w:val="nil"/>
                    <w:bottom w:val="single" w:sz="8" w:space="0" w:color="FFFFFF"/>
                    <w:right w:val="single" w:sz="8" w:space="0" w:color="FFFFFF"/>
                  </w:tcBorders>
                  <w:shd w:val="clear" w:color="000000" w:fill="FCD5B4"/>
                  <w:noWrap/>
                  <w:hideMark/>
                </w:tcPr>
                <w:p w14:paraId="65AB8809" w14:textId="03E7F7D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8.4 </w:t>
                  </w:r>
                </w:p>
              </w:tc>
              <w:tc>
                <w:tcPr>
                  <w:tcW w:w="920" w:type="dxa"/>
                  <w:tcBorders>
                    <w:top w:val="nil"/>
                    <w:left w:val="nil"/>
                    <w:bottom w:val="single" w:sz="8" w:space="0" w:color="FFFFFF"/>
                    <w:right w:val="single" w:sz="8" w:space="0" w:color="FFFFFF"/>
                  </w:tcBorders>
                  <w:shd w:val="clear" w:color="000000" w:fill="FCD5B4"/>
                  <w:noWrap/>
                  <w:hideMark/>
                </w:tcPr>
                <w:p w14:paraId="008EB32A" w14:textId="60292AD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11.4 </w:t>
                  </w:r>
                </w:p>
              </w:tc>
              <w:tc>
                <w:tcPr>
                  <w:tcW w:w="920" w:type="dxa"/>
                  <w:tcBorders>
                    <w:top w:val="nil"/>
                    <w:left w:val="nil"/>
                    <w:bottom w:val="single" w:sz="8" w:space="0" w:color="FFFFFF"/>
                    <w:right w:val="single" w:sz="8" w:space="0" w:color="FFFFFF"/>
                  </w:tcBorders>
                  <w:shd w:val="clear" w:color="000000" w:fill="FCD5B4"/>
                  <w:noWrap/>
                  <w:hideMark/>
                </w:tcPr>
                <w:p w14:paraId="7D7C0954" w14:textId="77AC2A4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10.4 </w:t>
                  </w:r>
                </w:p>
              </w:tc>
              <w:tc>
                <w:tcPr>
                  <w:tcW w:w="1149" w:type="dxa"/>
                  <w:tcBorders>
                    <w:top w:val="nil"/>
                    <w:left w:val="nil"/>
                    <w:bottom w:val="single" w:sz="8" w:space="0" w:color="FFFFFF"/>
                    <w:right w:val="single" w:sz="8" w:space="0" w:color="FFFFFF"/>
                  </w:tcBorders>
                  <w:shd w:val="clear" w:color="000000" w:fill="FCD5B4"/>
                  <w:noWrap/>
                  <w:hideMark/>
                </w:tcPr>
                <w:p w14:paraId="1A7EC8C4" w14:textId="7AC05919"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MTN5Y</w:t>
                  </w:r>
                </w:p>
              </w:tc>
              <w:tc>
                <w:tcPr>
                  <w:tcW w:w="920" w:type="dxa"/>
                  <w:tcBorders>
                    <w:top w:val="nil"/>
                    <w:left w:val="nil"/>
                    <w:bottom w:val="single" w:sz="8" w:space="0" w:color="FFFFFF"/>
                    <w:right w:val="single" w:sz="8" w:space="0" w:color="FFFFFF"/>
                  </w:tcBorders>
                  <w:shd w:val="clear" w:color="000000" w:fill="FCD5B4"/>
                  <w:noWrap/>
                  <w:hideMark/>
                </w:tcPr>
                <w:p w14:paraId="0CE8BFC7" w14:textId="33AFC3F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3.1 </w:t>
                  </w:r>
                </w:p>
              </w:tc>
              <w:tc>
                <w:tcPr>
                  <w:tcW w:w="920" w:type="dxa"/>
                  <w:tcBorders>
                    <w:top w:val="nil"/>
                    <w:left w:val="nil"/>
                    <w:bottom w:val="single" w:sz="8" w:space="0" w:color="FFFFFF"/>
                    <w:right w:val="single" w:sz="8" w:space="0" w:color="FFFFFF"/>
                  </w:tcBorders>
                  <w:shd w:val="clear" w:color="000000" w:fill="FCD5B4"/>
                  <w:noWrap/>
                  <w:hideMark/>
                </w:tcPr>
                <w:p w14:paraId="5811EE16" w14:textId="2C3DBE6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3.1 </w:t>
                  </w:r>
                </w:p>
              </w:tc>
              <w:tc>
                <w:tcPr>
                  <w:tcW w:w="920" w:type="dxa"/>
                  <w:tcBorders>
                    <w:top w:val="nil"/>
                    <w:left w:val="nil"/>
                    <w:bottom w:val="single" w:sz="8" w:space="0" w:color="FFFFFF"/>
                    <w:right w:val="single" w:sz="8" w:space="0" w:color="FFFFFF"/>
                  </w:tcBorders>
                  <w:shd w:val="clear" w:color="000000" w:fill="FCD5B4"/>
                  <w:noWrap/>
                  <w:hideMark/>
                </w:tcPr>
                <w:p w14:paraId="42E7B60E" w14:textId="10D80DA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6.2 </w:t>
                  </w:r>
                </w:p>
              </w:tc>
              <w:tc>
                <w:tcPr>
                  <w:tcW w:w="920" w:type="dxa"/>
                  <w:tcBorders>
                    <w:top w:val="nil"/>
                    <w:left w:val="nil"/>
                    <w:bottom w:val="single" w:sz="8" w:space="0" w:color="FFFFFF"/>
                    <w:right w:val="single" w:sz="8" w:space="0" w:color="FFFFFF"/>
                  </w:tcBorders>
                  <w:shd w:val="clear" w:color="000000" w:fill="FCD5B4"/>
                  <w:noWrap/>
                  <w:hideMark/>
                </w:tcPr>
                <w:p w14:paraId="4E401EC9" w14:textId="56577F8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 xml:space="preserve">5.2 </w:t>
                  </w:r>
                </w:p>
              </w:tc>
            </w:tr>
            <w:tr w:rsidR="003F4793" w:rsidRPr="003F4793" w14:paraId="4B96FC1F"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055655BC" w14:textId="71A3B9F3"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企业债3Y</w:t>
                  </w:r>
                </w:p>
              </w:tc>
              <w:tc>
                <w:tcPr>
                  <w:tcW w:w="740" w:type="dxa"/>
                  <w:tcBorders>
                    <w:top w:val="nil"/>
                    <w:left w:val="nil"/>
                    <w:bottom w:val="single" w:sz="8" w:space="0" w:color="FFFFFF"/>
                    <w:right w:val="single" w:sz="8" w:space="0" w:color="FFFFFF"/>
                  </w:tcBorders>
                  <w:shd w:val="clear" w:color="000000" w:fill="FDE9D9"/>
                  <w:noWrap/>
                  <w:hideMark/>
                </w:tcPr>
                <w:p w14:paraId="5C23ADBD" w14:textId="7262FE4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5.0 </w:t>
                  </w:r>
                </w:p>
              </w:tc>
              <w:tc>
                <w:tcPr>
                  <w:tcW w:w="920" w:type="dxa"/>
                  <w:tcBorders>
                    <w:top w:val="nil"/>
                    <w:left w:val="nil"/>
                    <w:bottom w:val="single" w:sz="8" w:space="0" w:color="FFFFFF"/>
                    <w:right w:val="single" w:sz="8" w:space="0" w:color="FFFFFF"/>
                  </w:tcBorders>
                  <w:shd w:val="clear" w:color="000000" w:fill="FDE9D9"/>
                  <w:noWrap/>
                  <w:hideMark/>
                </w:tcPr>
                <w:p w14:paraId="5FCD1E73" w14:textId="3901632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3.0 </w:t>
                  </w:r>
                </w:p>
              </w:tc>
              <w:tc>
                <w:tcPr>
                  <w:tcW w:w="920" w:type="dxa"/>
                  <w:tcBorders>
                    <w:top w:val="nil"/>
                    <w:left w:val="nil"/>
                    <w:bottom w:val="single" w:sz="8" w:space="0" w:color="FFFFFF"/>
                    <w:right w:val="single" w:sz="8" w:space="0" w:color="FFFFFF"/>
                  </w:tcBorders>
                  <w:shd w:val="clear" w:color="000000" w:fill="FDE9D9"/>
                  <w:noWrap/>
                  <w:hideMark/>
                </w:tcPr>
                <w:p w14:paraId="5B16061B" w14:textId="5E5D0D4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4.0 </w:t>
                  </w:r>
                </w:p>
              </w:tc>
              <w:tc>
                <w:tcPr>
                  <w:tcW w:w="920" w:type="dxa"/>
                  <w:tcBorders>
                    <w:top w:val="nil"/>
                    <w:left w:val="nil"/>
                    <w:bottom w:val="single" w:sz="8" w:space="0" w:color="FFFFFF"/>
                    <w:right w:val="single" w:sz="8" w:space="0" w:color="FFFFFF"/>
                  </w:tcBorders>
                  <w:shd w:val="clear" w:color="000000" w:fill="FDE9D9"/>
                  <w:noWrap/>
                  <w:hideMark/>
                </w:tcPr>
                <w:p w14:paraId="76F51BF6" w14:textId="7532AB4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8.0 </w:t>
                  </w:r>
                </w:p>
              </w:tc>
              <w:tc>
                <w:tcPr>
                  <w:tcW w:w="1149" w:type="dxa"/>
                  <w:tcBorders>
                    <w:top w:val="nil"/>
                    <w:left w:val="nil"/>
                    <w:bottom w:val="single" w:sz="8" w:space="0" w:color="FFFFFF"/>
                    <w:right w:val="single" w:sz="8" w:space="0" w:color="FFFFFF"/>
                  </w:tcBorders>
                  <w:shd w:val="clear" w:color="000000" w:fill="FDE9D9"/>
                  <w:noWrap/>
                  <w:hideMark/>
                </w:tcPr>
                <w:p w14:paraId="343EAA9F" w14:textId="24A19502"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企业债3Y</w:t>
                  </w:r>
                </w:p>
              </w:tc>
              <w:tc>
                <w:tcPr>
                  <w:tcW w:w="920" w:type="dxa"/>
                  <w:tcBorders>
                    <w:top w:val="nil"/>
                    <w:left w:val="nil"/>
                    <w:bottom w:val="single" w:sz="8" w:space="0" w:color="FFFFFF"/>
                    <w:right w:val="single" w:sz="8" w:space="0" w:color="FFFFFF"/>
                  </w:tcBorders>
                  <w:shd w:val="clear" w:color="000000" w:fill="FDE9D9"/>
                  <w:noWrap/>
                  <w:hideMark/>
                </w:tcPr>
                <w:p w14:paraId="63247225" w14:textId="1AD3FE3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1.3 </w:t>
                  </w:r>
                </w:p>
              </w:tc>
              <w:tc>
                <w:tcPr>
                  <w:tcW w:w="920" w:type="dxa"/>
                  <w:tcBorders>
                    <w:top w:val="nil"/>
                    <w:left w:val="nil"/>
                    <w:bottom w:val="single" w:sz="8" w:space="0" w:color="FFFFFF"/>
                    <w:right w:val="single" w:sz="8" w:space="0" w:color="FFFFFF"/>
                  </w:tcBorders>
                  <w:shd w:val="clear" w:color="000000" w:fill="FDE9D9"/>
                  <w:noWrap/>
                  <w:hideMark/>
                </w:tcPr>
                <w:p w14:paraId="083BF439" w14:textId="15244EB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-0.7 </w:t>
                  </w:r>
                </w:p>
              </w:tc>
              <w:tc>
                <w:tcPr>
                  <w:tcW w:w="920" w:type="dxa"/>
                  <w:tcBorders>
                    <w:top w:val="nil"/>
                    <w:left w:val="nil"/>
                    <w:bottom w:val="single" w:sz="8" w:space="0" w:color="FFFFFF"/>
                    <w:right w:val="single" w:sz="8" w:space="0" w:color="FFFFFF"/>
                  </w:tcBorders>
                  <w:shd w:val="clear" w:color="000000" w:fill="FDE9D9"/>
                  <w:noWrap/>
                  <w:hideMark/>
                </w:tcPr>
                <w:p w14:paraId="7F14EF11" w14:textId="6114D83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0.3 </w:t>
                  </w:r>
                </w:p>
              </w:tc>
              <w:tc>
                <w:tcPr>
                  <w:tcW w:w="920" w:type="dxa"/>
                  <w:tcBorders>
                    <w:top w:val="nil"/>
                    <w:left w:val="nil"/>
                    <w:bottom w:val="single" w:sz="8" w:space="0" w:color="FFFFFF"/>
                    <w:right w:val="single" w:sz="8" w:space="0" w:color="FFFFFF"/>
                  </w:tcBorders>
                  <w:shd w:val="clear" w:color="000000" w:fill="FDE9D9"/>
                  <w:noWrap/>
                  <w:hideMark/>
                </w:tcPr>
                <w:p w14:paraId="61246080" w14:textId="4482FE6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4.3 </w:t>
                  </w:r>
                </w:p>
              </w:tc>
            </w:tr>
            <w:tr w:rsidR="003F4793" w:rsidRPr="003F4793" w14:paraId="445C2E7B"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7A530122" w14:textId="02A1E928"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企业债5Y</w:t>
                  </w:r>
                </w:p>
              </w:tc>
              <w:tc>
                <w:tcPr>
                  <w:tcW w:w="740" w:type="dxa"/>
                  <w:tcBorders>
                    <w:top w:val="nil"/>
                    <w:left w:val="nil"/>
                    <w:bottom w:val="single" w:sz="8" w:space="0" w:color="FFFFFF"/>
                    <w:right w:val="single" w:sz="8" w:space="0" w:color="FFFFFF"/>
                  </w:tcBorders>
                  <w:shd w:val="clear" w:color="000000" w:fill="FCD5B4"/>
                  <w:noWrap/>
                  <w:hideMark/>
                </w:tcPr>
                <w:p w14:paraId="5D5F6751" w14:textId="25B6D87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 </w:t>
                  </w:r>
                </w:p>
              </w:tc>
              <w:tc>
                <w:tcPr>
                  <w:tcW w:w="920" w:type="dxa"/>
                  <w:tcBorders>
                    <w:top w:val="nil"/>
                    <w:left w:val="nil"/>
                    <w:bottom w:val="single" w:sz="8" w:space="0" w:color="FFFFFF"/>
                    <w:right w:val="single" w:sz="8" w:space="0" w:color="FFFFFF"/>
                  </w:tcBorders>
                  <w:shd w:val="clear" w:color="000000" w:fill="FCD5B4"/>
                  <w:noWrap/>
                  <w:hideMark/>
                </w:tcPr>
                <w:p w14:paraId="300B72E8" w14:textId="1F17C64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 </w:t>
                  </w:r>
                </w:p>
              </w:tc>
              <w:tc>
                <w:tcPr>
                  <w:tcW w:w="920" w:type="dxa"/>
                  <w:tcBorders>
                    <w:top w:val="nil"/>
                    <w:left w:val="nil"/>
                    <w:bottom w:val="single" w:sz="8" w:space="0" w:color="FFFFFF"/>
                    <w:right w:val="single" w:sz="8" w:space="0" w:color="FFFFFF"/>
                  </w:tcBorders>
                  <w:shd w:val="clear" w:color="000000" w:fill="FCD5B4"/>
                  <w:noWrap/>
                  <w:hideMark/>
                </w:tcPr>
                <w:p w14:paraId="4243F803" w14:textId="18884E6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 </w:t>
                  </w:r>
                </w:p>
              </w:tc>
              <w:tc>
                <w:tcPr>
                  <w:tcW w:w="920" w:type="dxa"/>
                  <w:tcBorders>
                    <w:top w:val="nil"/>
                    <w:left w:val="nil"/>
                    <w:bottom w:val="single" w:sz="8" w:space="0" w:color="FFFFFF"/>
                    <w:right w:val="single" w:sz="8" w:space="0" w:color="FFFFFF"/>
                  </w:tcBorders>
                  <w:shd w:val="clear" w:color="000000" w:fill="FCD5B4"/>
                  <w:noWrap/>
                  <w:hideMark/>
                </w:tcPr>
                <w:p w14:paraId="448E5ABD" w14:textId="67151D3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6.8 </w:t>
                  </w:r>
                </w:p>
              </w:tc>
              <w:tc>
                <w:tcPr>
                  <w:tcW w:w="1149" w:type="dxa"/>
                  <w:tcBorders>
                    <w:top w:val="nil"/>
                    <w:left w:val="nil"/>
                    <w:bottom w:val="single" w:sz="8" w:space="0" w:color="FFFFFF"/>
                    <w:right w:val="single" w:sz="8" w:space="0" w:color="FFFFFF"/>
                  </w:tcBorders>
                  <w:shd w:val="clear" w:color="000000" w:fill="FCD5B4"/>
                  <w:noWrap/>
                  <w:hideMark/>
                </w:tcPr>
                <w:p w14:paraId="243BE1B9" w14:textId="6AD59142"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企业债5Y</w:t>
                  </w:r>
                </w:p>
              </w:tc>
              <w:tc>
                <w:tcPr>
                  <w:tcW w:w="920" w:type="dxa"/>
                  <w:tcBorders>
                    <w:top w:val="nil"/>
                    <w:left w:val="nil"/>
                    <w:bottom w:val="single" w:sz="8" w:space="0" w:color="FFFFFF"/>
                    <w:right w:val="single" w:sz="8" w:space="0" w:color="FFFFFF"/>
                  </w:tcBorders>
                  <w:shd w:val="clear" w:color="000000" w:fill="FCD5B4"/>
                  <w:noWrap/>
                  <w:hideMark/>
                </w:tcPr>
                <w:p w14:paraId="284F409D" w14:textId="104C994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-1.4 </w:t>
                  </w:r>
                </w:p>
              </w:tc>
              <w:tc>
                <w:tcPr>
                  <w:tcW w:w="920" w:type="dxa"/>
                  <w:tcBorders>
                    <w:top w:val="nil"/>
                    <w:left w:val="nil"/>
                    <w:bottom w:val="single" w:sz="8" w:space="0" w:color="FFFFFF"/>
                    <w:right w:val="single" w:sz="8" w:space="0" w:color="FFFFFF"/>
                  </w:tcBorders>
                  <w:shd w:val="clear" w:color="000000" w:fill="FCD5B4"/>
                  <w:noWrap/>
                  <w:hideMark/>
                </w:tcPr>
                <w:p w14:paraId="036E88AD" w14:textId="51C4170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-1.4 </w:t>
                  </w:r>
                </w:p>
              </w:tc>
              <w:tc>
                <w:tcPr>
                  <w:tcW w:w="920" w:type="dxa"/>
                  <w:tcBorders>
                    <w:top w:val="nil"/>
                    <w:left w:val="nil"/>
                    <w:bottom w:val="single" w:sz="8" w:space="0" w:color="FFFFFF"/>
                    <w:right w:val="single" w:sz="8" w:space="0" w:color="FFFFFF"/>
                  </w:tcBorders>
                  <w:shd w:val="clear" w:color="000000" w:fill="FCD5B4"/>
                  <w:noWrap/>
                  <w:hideMark/>
                </w:tcPr>
                <w:p w14:paraId="427E0CD2" w14:textId="308242E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-1.4 </w:t>
                  </w:r>
                </w:p>
              </w:tc>
              <w:tc>
                <w:tcPr>
                  <w:tcW w:w="920" w:type="dxa"/>
                  <w:tcBorders>
                    <w:top w:val="nil"/>
                    <w:left w:val="nil"/>
                    <w:bottom w:val="single" w:sz="8" w:space="0" w:color="FFFFFF"/>
                    <w:right w:val="single" w:sz="8" w:space="0" w:color="FFFFFF"/>
                  </w:tcBorders>
                  <w:shd w:val="clear" w:color="000000" w:fill="FCD5B4"/>
                  <w:noWrap/>
                  <w:hideMark/>
                </w:tcPr>
                <w:p w14:paraId="78BEA210" w14:textId="657F085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1.6 </w:t>
                  </w:r>
                </w:p>
              </w:tc>
            </w:tr>
            <w:tr w:rsidR="003F4793" w:rsidRPr="003F4793" w14:paraId="3191787A"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1F700977" w14:textId="23AD282A"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企业债7Y</w:t>
                  </w:r>
                </w:p>
              </w:tc>
              <w:tc>
                <w:tcPr>
                  <w:tcW w:w="740" w:type="dxa"/>
                  <w:tcBorders>
                    <w:top w:val="nil"/>
                    <w:left w:val="nil"/>
                    <w:bottom w:val="single" w:sz="8" w:space="0" w:color="FFFFFF"/>
                    <w:right w:val="single" w:sz="8" w:space="0" w:color="FFFFFF"/>
                  </w:tcBorders>
                  <w:shd w:val="clear" w:color="000000" w:fill="FDE9D9"/>
                  <w:noWrap/>
                  <w:hideMark/>
                </w:tcPr>
                <w:p w14:paraId="2827D979" w14:textId="79A08E0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1BCEB620" w14:textId="70C2CE6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642DA1D2" w14:textId="2C8BF16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45A5D7F8" w14:textId="29A580A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6.4 </w:t>
                  </w:r>
                </w:p>
              </w:tc>
              <w:tc>
                <w:tcPr>
                  <w:tcW w:w="1149" w:type="dxa"/>
                  <w:tcBorders>
                    <w:top w:val="nil"/>
                    <w:left w:val="nil"/>
                    <w:bottom w:val="single" w:sz="8" w:space="0" w:color="FFFFFF"/>
                    <w:right w:val="single" w:sz="8" w:space="0" w:color="FFFFFF"/>
                  </w:tcBorders>
                  <w:shd w:val="clear" w:color="000000" w:fill="FDE9D9"/>
                  <w:noWrap/>
                  <w:hideMark/>
                </w:tcPr>
                <w:p w14:paraId="065B2767" w14:textId="70875522"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企业债7Y</w:t>
                  </w:r>
                </w:p>
              </w:tc>
              <w:tc>
                <w:tcPr>
                  <w:tcW w:w="920" w:type="dxa"/>
                  <w:tcBorders>
                    <w:top w:val="nil"/>
                    <w:left w:val="nil"/>
                    <w:bottom w:val="single" w:sz="8" w:space="0" w:color="FFFFFF"/>
                    <w:right w:val="single" w:sz="8" w:space="0" w:color="FFFFFF"/>
                  </w:tcBorders>
                  <w:shd w:val="clear" w:color="000000" w:fill="FDE9D9"/>
                  <w:noWrap/>
                  <w:hideMark/>
                </w:tcPr>
                <w:p w14:paraId="720359E1" w14:textId="4CCF2AC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059C072D" w14:textId="702188A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4DCBF554" w14:textId="5FAF9D6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-3.5 </w:t>
                  </w:r>
                </w:p>
              </w:tc>
              <w:tc>
                <w:tcPr>
                  <w:tcW w:w="920" w:type="dxa"/>
                  <w:tcBorders>
                    <w:top w:val="nil"/>
                    <w:left w:val="nil"/>
                    <w:bottom w:val="single" w:sz="8" w:space="0" w:color="FFFFFF"/>
                    <w:right w:val="single" w:sz="8" w:space="0" w:color="FFFFFF"/>
                  </w:tcBorders>
                  <w:shd w:val="clear" w:color="000000" w:fill="FDE9D9"/>
                  <w:noWrap/>
                  <w:hideMark/>
                </w:tcPr>
                <w:p w14:paraId="248F8942" w14:textId="28709D2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-0.5 </w:t>
                  </w:r>
                </w:p>
              </w:tc>
            </w:tr>
            <w:tr w:rsidR="003F4793" w:rsidRPr="003F4793" w14:paraId="30D8B86F"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34C7AF72" w14:textId="17CF8C18"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BA27B0F" w14:textId="3BBB6D4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2.3 </w:t>
                  </w:r>
                </w:p>
              </w:tc>
              <w:tc>
                <w:tcPr>
                  <w:tcW w:w="920" w:type="dxa"/>
                  <w:tcBorders>
                    <w:top w:val="nil"/>
                    <w:left w:val="nil"/>
                    <w:bottom w:val="single" w:sz="8" w:space="0" w:color="FFFFFF"/>
                    <w:right w:val="single" w:sz="8" w:space="0" w:color="FFFFFF"/>
                  </w:tcBorders>
                  <w:shd w:val="clear" w:color="000000" w:fill="FCD5B4"/>
                  <w:noWrap/>
                  <w:hideMark/>
                </w:tcPr>
                <w:p w14:paraId="5357D5B3" w14:textId="1605D37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1.3 </w:t>
                  </w:r>
                </w:p>
              </w:tc>
              <w:tc>
                <w:tcPr>
                  <w:tcW w:w="920" w:type="dxa"/>
                  <w:tcBorders>
                    <w:top w:val="nil"/>
                    <w:left w:val="nil"/>
                    <w:bottom w:val="single" w:sz="8" w:space="0" w:color="FFFFFF"/>
                    <w:right w:val="single" w:sz="8" w:space="0" w:color="FFFFFF"/>
                  </w:tcBorders>
                  <w:shd w:val="clear" w:color="000000" w:fill="FCD5B4"/>
                  <w:noWrap/>
                  <w:hideMark/>
                </w:tcPr>
                <w:p w14:paraId="6BAE198E" w14:textId="68154C7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-1.7 </w:t>
                  </w:r>
                </w:p>
              </w:tc>
              <w:tc>
                <w:tcPr>
                  <w:tcW w:w="920" w:type="dxa"/>
                  <w:tcBorders>
                    <w:top w:val="nil"/>
                    <w:left w:val="nil"/>
                    <w:bottom w:val="single" w:sz="8" w:space="0" w:color="FFFFFF"/>
                    <w:right w:val="single" w:sz="8" w:space="0" w:color="FFFFFF"/>
                  </w:tcBorders>
                  <w:shd w:val="clear" w:color="000000" w:fill="FCD5B4"/>
                  <w:noWrap/>
                  <w:hideMark/>
                </w:tcPr>
                <w:p w14:paraId="11173B26" w14:textId="171251E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-3.8 </w:t>
                  </w:r>
                </w:p>
              </w:tc>
              <w:tc>
                <w:tcPr>
                  <w:tcW w:w="1149" w:type="dxa"/>
                  <w:tcBorders>
                    <w:top w:val="nil"/>
                    <w:left w:val="nil"/>
                    <w:bottom w:val="single" w:sz="8" w:space="0" w:color="FFFFFF"/>
                    <w:right w:val="single" w:sz="8" w:space="0" w:color="FFFFFF"/>
                  </w:tcBorders>
                  <w:shd w:val="clear" w:color="000000" w:fill="FCD5B4"/>
                  <w:noWrap/>
                  <w:hideMark/>
                </w:tcPr>
                <w:p w14:paraId="4344DD46" w14:textId="6EFD1EEE"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3E9904F" w14:textId="1710084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-1.5 </w:t>
                  </w:r>
                </w:p>
              </w:tc>
              <w:tc>
                <w:tcPr>
                  <w:tcW w:w="920" w:type="dxa"/>
                  <w:tcBorders>
                    <w:top w:val="nil"/>
                    <w:left w:val="nil"/>
                    <w:bottom w:val="single" w:sz="8" w:space="0" w:color="FFFFFF"/>
                    <w:right w:val="single" w:sz="8" w:space="0" w:color="FFFFFF"/>
                  </w:tcBorders>
                  <w:shd w:val="clear" w:color="000000" w:fill="FCD5B4"/>
                  <w:noWrap/>
                  <w:hideMark/>
                </w:tcPr>
                <w:p w14:paraId="72520448" w14:textId="326FC28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-2.5 </w:t>
                  </w:r>
                </w:p>
              </w:tc>
              <w:tc>
                <w:tcPr>
                  <w:tcW w:w="920" w:type="dxa"/>
                  <w:tcBorders>
                    <w:top w:val="nil"/>
                    <w:left w:val="nil"/>
                    <w:bottom w:val="single" w:sz="8" w:space="0" w:color="FFFFFF"/>
                    <w:right w:val="single" w:sz="8" w:space="0" w:color="FFFFFF"/>
                  </w:tcBorders>
                  <w:shd w:val="clear" w:color="000000" w:fill="FCD5B4"/>
                  <w:noWrap/>
                  <w:hideMark/>
                </w:tcPr>
                <w:p w14:paraId="4F7B3956" w14:textId="3519745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-5.5 </w:t>
                  </w:r>
                </w:p>
              </w:tc>
              <w:tc>
                <w:tcPr>
                  <w:tcW w:w="920" w:type="dxa"/>
                  <w:tcBorders>
                    <w:top w:val="nil"/>
                    <w:left w:val="nil"/>
                    <w:bottom w:val="single" w:sz="8" w:space="0" w:color="FFFFFF"/>
                    <w:right w:val="single" w:sz="8" w:space="0" w:color="FFFFFF"/>
                  </w:tcBorders>
                  <w:shd w:val="clear" w:color="000000" w:fill="FCD5B4"/>
                  <w:noWrap/>
                  <w:hideMark/>
                </w:tcPr>
                <w:p w14:paraId="455389C2" w14:textId="4563CD0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-7.5 </w:t>
                  </w:r>
                </w:p>
              </w:tc>
            </w:tr>
            <w:tr w:rsidR="003F4793" w:rsidRPr="003F4793" w14:paraId="6A7B0CBC"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052855D1" w14:textId="0EAA1DEA"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lastRenderedPageBreak/>
                    <w:t>城投债</w:t>
                  </w:r>
                  <w:proofErr w:type="gramEnd"/>
                  <w:r w:rsidRPr="003F4793">
                    <w:rPr>
                      <w:rFonts w:ascii="KaiTi" w:eastAsia="KaiTi" w:hAnsi="KaiTi"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7770DE15" w14:textId="540677A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7.1 </w:t>
                  </w:r>
                </w:p>
              </w:tc>
              <w:tc>
                <w:tcPr>
                  <w:tcW w:w="920" w:type="dxa"/>
                  <w:tcBorders>
                    <w:top w:val="nil"/>
                    <w:left w:val="nil"/>
                    <w:bottom w:val="single" w:sz="8" w:space="0" w:color="FFFFFF"/>
                    <w:right w:val="single" w:sz="8" w:space="0" w:color="FFFFFF"/>
                  </w:tcBorders>
                  <w:shd w:val="clear" w:color="000000" w:fill="FDE9D9"/>
                  <w:noWrap/>
                  <w:hideMark/>
                </w:tcPr>
                <w:p w14:paraId="4004BD72" w14:textId="7AC6BDE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7.1 </w:t>
                  </w:r>
                </w:p>
              </w:tc>
              <w:tc>
                <w:tcPr>
                  <w:tcW w:w="920" w:type="dxa"/>
                  <w:tcBorders>
                    <w:top w:val="nil"/>
                    <w:left w:val="nil"/>
                    <w:bottom w:val="single" w:sz="8" w:space="0" w:color="FFFFFF"/>
                    <w:right w:val="single" w:sz="8" w:space="0" w:color="FFFFFF"/>
                  </w:tcBorders>
                  <w:shd w:val="clear" w:color="000000" w:fill="FDE9D9"/>
                  <w:noWrap/>
                  <w:hideMark/>
                </w:tcPr>
                <w:p w14:paraId="10E494F6" w14:textId="0829C5E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0.1 </w:t>
                  </w:r>
                </w:p>
              </w:tc>
              <w:tc>
                <w:tcPr>
                  <w:tcW w:w="920" w:type="dxa"/>
                  <w:tcBorders>
                    <w:top w:val="nil"/>
                    <w:left w:val="nil"/>
                    <w:bottom w:val="single" w:sz="8" w:space="0" w:color="FFFFFF"/>
                    <w:right w:val="single" w:sz="8" w:space="0" w:color="FFFFFF"/>
                  </w:tcBorders>
                  <w:shd w:val="clear" w:color="000000" w:fill="FDE9D9"/>
                  <w:noWrap/>
                  <w:hideMark/>
                </w:tcPr>
                <w:p w14:paraId="2C334CFA" w14:textId="16339CA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-1.9 </w:t>
                  </w:r>
                </w:p>
              </w:tc>
              <w:tc>
                <w:tcPr>
                  <w:tcW w:w="1149" w:type="dxa"/>
                  <w:tcBorders>
                    <w:top w:val="nil"/>
                    <w:left w:val="nil"/>
                    <w:bottom w:val="single" w:sz="8" w:space="0" w:color="FFFFFF"/>
                    <w:right w:val="single" w:sz="8" w:space="0" w:color="FFFFFF"/>
                  </w:tcBorders>
                  <w:shd w:val="clear" w:color="000000" w:fill="FDE9D9"/>
                  <w:noWrap/>
                  <w:hideMark/>
                </w:tcPr>
                <w:p w14:paraId="471CE1B8" w14:textId="63863CF8"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3A0C33F3" w14:textId="6BBB32C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1.9 </w:t>
                  </w:r>
                </w:p>
              </w:tc>
              <w:tc>
                <w:tcPr>
                  <w:tcW w:w="920" w:type="dxa"/>
                  <w:tcBorders>
                    <w:top w:val="nil"/>
                    <w:left w:val="nil"/>
                    <w:bottom w:val="single" w:sz="8" w:space="0" w:color="FFFFFF"/>
                    <w:right w:val="single" w:sz="8" w:space="0" w:color="FFFFFF"/>
                  </w:tcBorders>
                  <w:shd w:val="clear" w:color="000000" w:fill="FDE9D9"/>
                  <w:noWrap/>
                  <w:hideMark/>
                </w:tcPr>
                <w:p w14:paraId="0131BE88" w14:textId="6B3497A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1.9 </w:t>
                  </w:r>
                </w:p>
              </w:tc>
              <w:tc>
                <w:tcPr>
                  <w:tcW w:w="920" w:type="dxa"/>
                  <w:tcBorders>
                    <w:top w:val="nil"/>
                    <w:left w:val="nil"/>
                    <w:bottom w:val="single" w:sz="8" w:space="0" w:color="FFFFFF"/>
                    <w:right w:val="single" w:sz="8" w:space="0" w:color="FFFFFF"/>
                  </w:tcBorders>
                  <w:shd w:val="clear" w:color="000000" w:fill="FDE9D9"/>
                  <w:noWrap/>
                  <w:hideMark/>
                </w:tcPr>
                <w:p w14:paraId="6C67254B" w14:textId="62CB4A3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-5.1 </w:t>
                  </w:r>
                </w:p>
              </w:tc>
              <w:tc>
                <w:tcPr>
                  <w:tcW w:w="920" w:type="dxa"/>
                  <w:tcBorders>
                    <w:top w:val="nil"/>
                    <w:left w:val="nil"/>
                    <w:bottom w:val="single" w:sz="8" w:space="0" w:color="FFFFFF"/>
                    <w:right w:val="single" w:sz="8" w:space="0" w:color="FFFFFF"/>
                  </w:tcBorders>
                  <w:shd w:val="clear" w:color="000000" w:fill="FDE9D9"/>
                  <w:noWrap/>
                  <w:hideMark/>
                </w:tcPr>
                <w:p w14:paraId="4C0EAFCC" w14:textId="0AE4AEE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-7.1 </w:t>
                  </w:r>
                </w:p>
              </w:tc>
            </w:tr>
            <w:tr w:rsidR="003F4793" w:rsidRPr="003F4793" w14:paraId="3B417DAA" w14:textId="77777777" w:rsidTr="00585D46">
              <w:trPr>
                <w:trHeight w:val="310"/>
              </w:trPr>
              <w:tc>
                <w:tcPr>
                  <w:tcW w:w="1309" w:type="dxa"/>
                  <w:tcBorders>
                    <w:top w:val="nil"/>
                    <w:left w:val="nil"/>
                    <w:bottom w:val="nil"/>
                    <w:right w:val="nil"/>
                  </w:tcBorders>
                  <w:shd w:val="clear" w:color="000000" w:fill="FCD5B4"/>
                  <w:noWrap/>
                  <w:hideMark/>
                </w:tcPr>
                <w:p w14:paraId="0DA46A28" w14:textId="4EDAB968"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77893C8C" w14:textId="1737FC7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1.2 </w:t>
                  </w:r>
                </w:p>
              </w:tc>
              <w:tc>
                <w:tcPr>
                  <w:tcW w:w="920" w:type="dxa"/>
                  <w:tcBorders>
                    <w:top w:val="nil"/>
                    <w:left w:val="nil"/>
                    <w:bottom w:val="single" w:sz="8" w:space="0" w:color="FFFFFF"/>
                    <w:right w:val="single" w:sz="8" w:space="0" w:color="FFFFFF"/>
                  </w:tcBorders>
                  <w:shd w:val="clear" w:color="000000" w:fill="FCD5B4"/>
                  <w:noWrap/>
                  <w:hideMark/>
                </w:tcPr>
                <w:p w14:paraId="66E4B3A7" w14:textId="15B4844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0.2 </w:t>
                  </w:r>
                </w:p>
              </w:tc>
              <w:tc>
                <w:tcPr>
                  <w:tcW w:w="920" w:type="dxa"/>
                  <w:tcBorders>
                    <w:top w:val="nil"/>
                    <w:left w:val="nil"/>
                    <w:bottom w:val="single" w:sz="8" w:space="0" w:color="FFFFFF"/>
                    <w:right w:val="single" w:sz="8" w:space="0" w:color="FFFFFF"/>
                  </w:tcBorders>
                  <w:shd w:val="clear" w:color="000000" w:fill="FCD5B4"/>
                  <w:noWrap/>
                  <w:hideMark/>
                </w:tcPr>
                <w:p w14:paraId="6ECD03FA" w14:textId="4222183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0.2 </w:t>
                  </w:r>
                </w:p>
              </w:tc>
              <w:tc>
                <w:tcPr>
                  <w:tcW w:w="920" w:type="dxa"/>
                  <w:tcBorders>
                    <w:top w:val="nil"/>
                    <w:left w:val="nil"/>
                    <w:bottom w:val="single" w:sz="8" w:space="0" w:color="FFFFFF"/>
                    <w:right w:val="single" w:sz="8" w:space="0" w:color="FFFFFF"/>
                  </w:tcBorders>
                  <w:shd w:val="clear" w:color="000000" w:fill="FCD5B4"/>
                  <w:noWrap/>
                  <w:hideMark/>
                </w:tcPr>
                <w:p w14:paraId="4A1E86C1" w14:textId="6A0E5D0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-1.8 </w:t>
                  </w:r>
                </w:p>
              </w:tc>
              <w:tc>
                <w:tcPr>
                  <w:tcW w:w="1149" w:type="dxa"/>
                  <w:tcBorders>
                    <w:top w:val="nil"/>
                    <w:left w:val="nil"/>
                    <w:bottom w:val="nil"/>
                    <w:right w:val="nil"/>
                  </w:tcBorders>
                  <w:shd w:val="clear" w:color="000000" w:fill="FCD5B4"/>
                  <w:noWrap/>
                  <w:hideMark/>
                </w:tcPr>
                <w:p w14:paraId="10247A8D" w14:textId="353B6A09"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627E1DEE" w14:textId="46276DB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-5.8 </w:t>
                  </w:r>
                </w:p>
              </w:tc>
              <w:tc>
                <w:tcPr>
                  <w:tcW w:w="920" w:type="dxa"/>
                  <w:tcBorders>
                    <w:top w:val="nil"/>
                    <w:left w:val="nil"/>
                    <w:bottom w:val="single" w:sz="8" w:space="0" w:color="FFFFFF"/>
                    <w:right w:val="single" w:sz="8" w:space="0" w:color="FFFFFF"/>
                  </w:tcBorders>
                  <w:shd w:val="clear" w:color="000000" w:fill="FCD5B4"/>
                  <w:noWrap/>
                  <w:hideMark/>
                </w:tcPr>
                <w:p w14:paraId="1B4F21D5" w14:textId="706AA51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-6.8 </w:t>
                  </w:r>
                </w:p>
              </w:tc>
              <w:tc>
                <w:tcPr>
                  <w:tcW w:w="920" w:type="dxa"/>
                  <w:tcBorders>
                    <w:top w:val="nil"/>
                    <w:left w:val="nil"/>
                    <w:bottom w:val="single" w:sz="8" w:space="0" w:color="FFFFFF"/>
                    <w:right w:val="single" w:sz="8" w:space="0" w:color="FFFFFF"/>
                  </w:tcBorders>
                  <w:shd w:val="clear" w:color="000000" w:fill="FCD5B4"/>
                  <w:noWrap/>
                  <w:hideMark/>
                </w:tcPr>
                <w:p w14:paraId="45D1B136" w14:textId="5CC49991"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-6.8 </w:t>
                  </w:r>
                </w:p>
              </w:tc>
              <w:tc>
                <w:tcPr>
                  <w:tcW w:w="920" w:type="dxa"/>
                  <w:tcBorders>
                    <w:top w:val="nil"/>
                    <w:left w:val="nil"/>
                    <w:bottom w:val="single" w:sz="8" w:space="0" w:color="FFFFFF"/>
                    <w:right w:val="single" w:sz="8" w:space="0" w:color="FFFFFF"/>
                  </w:tcBorders>
                  <w:shd w:val="clear" w:color="000000" w:fill="FCD5B4"/>
                  <w:noWrap/>
                  <w:hideMark/>
                </w:tcPr>
                <w:p w14:paraId="18882D60" w14:textId="3A9AA2E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 xml:space="preserve">-8.8 </w:t>
                  </w:r>
                </w:p>
              </w:tc>
            </w:tr>
            <w:tr w:rsidR="003F4793" w:rsidRPr="003F4793" w14:paraId="42AE38BD" w14:textId="77777777" w:rsidTr="00585D46">
              <w:trPr>
                <w:trHeight w:val="160"/>
              </w:trPr>
              <w:tc>
                <w:tcPr>
                  <w:tcW w:w="1309" w:type="dxa"/>
                  <w:tcBorders>
                    <w:top w:val="nil"/>
                    <w:left w:val="nil"/>
                    <w:bottom w:val="nil"/>
                    <w:right w:val="nil"/>
                  </w:tcBorders>
                  <w:shd w:val="clear" w:color="auto" w:fill="auto"/>
                  <w:noWrap/>
                  <w:hideMark/>
                </w:tcPr>
                <w:p w14:paraId="5A7EA8AA" w14:textId="77777777" w:rsidR="003F4793" w:rsidRPr="003F4793" w:rsidRDefault="003F4793" w:rsidP="003F4793">
                  <w:pPr>
                    <w:widowControl/>
                    <w:jc w:val="center"/>
                    <w:rPr>
                      <w:rFonts w:ascii="KaiTi" w:eastAsia="KaiTi" w:hAnsi="KaiTi" w:cs="Calibri"/>
                      <w:color w:val="000000"/>
                      <w:kern w:val="0"/>
                      <w:szCs w:val="21"/>
                    </w:rPr>
                  </w:pPr>
                </w:p>
              </w:tc>
              <w:tc>
                <w:tcPr>
                  <w:tcW w:w="740" w:type="dxa"/>
                  <w:tcBorders>
                    <w:top w:val="nil"/>
                    <w:left w:val="nil"/>
                    <w:bottom w:val="nil"/>
                    <w:right w:val="nil"/>
                  </w:tcBorders>
                  <w:shd w:val="clear" w:color="auto" w:fill="auto"/>
                  <w:noWrap/>
                  <w:hideMark/>
                </w:tcPr>
                <w:p w14:paraId="48196DA8"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12908F17"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4ECE1CA7"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542E0E74" w14:textId="77777777" w:rsidR="003F4793" w:rsidRPr="003F4793" w:rsidRDefault="003F4793" w:rsidP="003F4793">
                  <w:pPr>
                    <w:widowControl/>
                    <w:jc w:val="center"/>
                    <w:rPr>
                      <w:rFonts w:ascii="KaiTi" w:eastAsia="KaiTi" w:hAnsi="KaiTi"/>
                      <w:kern w:val="0"/>
                      <w:sz w:val="20"/>
                      <w:szCs w:val="20"/>
                    </w:rPr>
                  </w:pPr>
                </w:p>
              </w:tc>
              <w:tc>
                <w:tcPr>
                  <w:tcW w:w="1149" w:type="dxa"/>
                  <w:tcBorders>
                    <w:top w:val="nil"/>
                    <w:left w:val="nil"/>
                    <w:bottom w:val="nil"/>
                    <w:right w:val="nil"/>
                  </w:tcBorders>
                  <w:shd w:val="clear" w:color="auto" w:fill="auto"/>
                  <w:noWrap/>
                  <w:hideMark/>
                </w:tcPr>
                <w:p w14:paraId="05ED658A"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F5D1A19"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31BF2F6A"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0E8AB294" w14:textId="77777777" w:rsidR="003F4793" w:rsidRPr="003F4793" w:rsidRDefault="003F4793" w:rsidP="003F4793">
                  <w:pPr>
                    <w:widowControl/>
                    <w:jc w:val="center"/>
                    <w:rPr>
                      <w:rFonts w:ascii="KaiTi" w:eastAsia="KaiTi" w:hAnsi="KaiTi"/>
                      <w:kern w:val="0"/>
                      <w:sz w:val="20"/>
                      <w:szCs w:val="20"/>
                    </w:rPr>
                  </w:pPr>
                </w:p>
              </w:tc>
              <w:tc>
                <w:tcPr>
                  <w:tcW w:w="920" w:type="dxa"/>
                  <w:tcBorders>
                    <w:top w:val="nil"/>
                    <w:left w:val="nil"/>
                    <w:bottom w:val="nil"/>
                    <w:right w:val="nil"/>
                  </w:tcBorders>
                  <w:shd w:val="clear" w:color="auto" w:fill="auto"/>
                  <w:noWrap/>
                  <w:hideMark/>
                </w:tcPr>
                <w:p w14:paraId="79F18CA9" w14:textId="77777777" w:rsidR="003F4793" w:rsidRPr="003F4793" w:rsidRDefault="003F4793" w:rsidP="003F4793">
                  <w:pPr>
                    <w:widowControl/>
                    <w:jc w:val="center"/>
                    <w:rPr>
                      <w:rFonts w:ascii="KaiTi" w:eastAsia="KaiTi" w:hAnsi="KaiTi"/>
                      <w:kern w:val="0"/>
                      <w:sz w:val="20"/>
                      <w:szCs w:val="20"/>
                    </w:rPr>
                  </w:pPr>
                </w:p>
              </w:tc>
            </w:tr>
            <w:tr w:rsidR="003F4793" w:rsidRPr="003F4793" w14:paraId="2463192E" w14:textId="77777777" w:rsidTr="00585D46">
              <w:trPr>
                <w:trHeight w:val="310"/>
              </w:trPr>
              <w:tc>
                <w:tcPr>
                  <w:tcW w:w="1309" w:type="dxa"/>
                  <w:tcBorders>
                    <w:top w:val="nil"/>
                    <w:left w:val="nil"/>
                    <w:bottom w:val="single" w:sz="12" w:space="0" w:color="FFFFFF"/>
                    <w:right w:val="single" w:sz="8" w:space="0" w:color="FFFFFF"/>
                  </w:tcBorders>
                  <w:shd w:val="clear" w:color="000000" w:fill="F79646"/>
                  <w:noWrap/>
                  <w:hideMark/>
                </w:tcPr>
                <w:p w14:paraId="30C3828D" w14:textId="03E9B45D"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收益率分位</w:t>
                  </w:r>
                </w:p>
              </w:tc>
              <w:tc>
                <w:tcPr>
                  <w:tcW w:w="740" w:type="dxa"/>
                  <w:tcBorders>
                    <w:top w:val="nil"/>
                    <w:left w:val="nil"/>
                    <w:bottom w:val="single" w:sz="12" w:space="0" w:color="FFFFFF"/>
                    <w:right w:val="single" w:sz="8" w:space="0" w:color="FFFFFF"/>
                  </w:tcBorders>
                  <w:shd w:val="clear" w:color="000000" w:fill="F79646"/>
                  <w:noWrap/>
                  <w:hideMark/>
                </w:tcPr>
                <w:p w14:paraId="57743789" w14:textId="4DC9047F"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20835438" w14:textId="2AB849AE"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6942ACD3" w14:textId="4C734B5D"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3DED1B9B" w14:textId="07EB302E"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1149" w:type="dxa"/>
                  <w:tcBorders>
                    <w:top w:val="nil"/>
                    <w:left w:val="nil"/>
                    <w:bottom w:val="single" w:sz="12" w:space="0" w:color="FFFFFF"/>
                    <w:right w:val="single" w:sz="8" w:space="0" w:color="FFFFFF"/>
                  </w:tcBorders>
                  <w:shd w:val="clear" w:color="000000" w:fill="F79646"/>
                  <w:noWrap/>
                  <w:hideMark/>
                </w:tcPr>
                <w:p w14:paraId="4C48D3F0" w14:textId="03C3EC26"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息差</w:t>
                  </w:r>
                </w:p>
              </w:tc>
              <w:tc>
                <w:tcPr>
                  <w:tcW w:w="920" w:type="dxa"/>
                  <w:tcBorders>
                    <w:top w:val="nil"/>
                    <w:left w:val="nil"/>
                    <w:bottom w:val="single" w:sz="12" w:space="0" w:color="FFFFFF"/>
                    <w:right w:val="single" w:sz="8" w:space="0" w:color="FFFFFF"/>
                  </w:tcBorders>
                  <w:shd w:val="clear" w:color="000000" w:fill="F79646"/>
                  <w:noWrap/>
                  <w:hideMark/>
                </w:tcPr>
                <w:p w14:paraId="20F774BB" w14:textId="58F462EA"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AAA</w:t>
                  </w:r>
                </w:p>
              </w:tc>
              <w:tc>
                <w:tcPr>
                  <w:tcW w:w="920" w:type="dxa"/>
                  <w:tcBorders>
                    <w:top w:val="nil"/>
                    <w:left w:val="nil"/>
                    <w:bottom w:val="single" w:sz="12" w:space="0" w:color="FFFFFF"/>
                    <w:right w:val="single" w:sz="8" w:space="0" w:color="FFFFFF"/>
                  </w:tcBorders>
                  <w:shd w:val="clear" w:color="000000" w:fill="F79646"/>
                  <w:noWrap/>
                  <w:hideMark/>
                </w:tcPr>
                <w:p w14:paraId="5045FBE8" w14:textId="7CA8B230"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27DDC22F" w14:textId="296E4209"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c>
                <w:tcPr>
                  <w:tcW w:w="920" w:type="dxa"/>
                  <w:tcBorders>
                    <w:top w:val="nil"/>
                    <w:left w:val="nil"/>
                    <w:bottom w:val="single" w:sz="12" w:space="0" w:color="FFFFFF"/>
                    <w:right w:val="single" w:sz="8" w:space="0" w:color="FFFFFF"/>
                  </w:tcBorders>
                  <w:shd w:val="clear" w:color="000000" w:fill="F79646"/>
                  <w:noWrap/>
                  <w:hideMark/>
                </w:tcPr>
                <w:p w14:paraId="016F42D2" w14:textId="348DBA13" w:rsidR="003F4793" w:rsidRPr="003F4793" w:rsidRDefault="003F4793" w:rsidP="003F4793">
                  <w:pPr>
                    <w:widowControl/>
                    <w:jc w:val="center"/>
                    <w:rPr>
                      <w:rFonts w:ascii="KaiTi" w:eastAsia="KaiTi" w:hAnsi="KaiTi" w:cs="宋体"/>
                      <w:b/>
                      <w:bCs/>
                      <w:color w:val="FFFFFF"/>
                      <w:kern w:val="0"/>
                      <w:sz w:val="20"/>
                      <w:szCs w:val="20"/>
                    </w:rPr>
                  </w:pPr>
                  <w:r w:rsidRPr="003F4793">
                    <w:rPr>
                      <w:rFonts w:ascii="KaiTi" w:eastAsia="KaiTi" w:hAnsi="KaiTi" w:hint="eastAsia"/>
                    </w:rPr>
                    <w:t>AA-</w:t>
                  </w:r>
                </w:p>
              </w:tc>
            </w:tr>
            <w:tr w:rsidR="003F4793" w:rsidRPr="003F4793" w14:paraId="6BCEED0C" w14:textId="77777777" w:rsidTr="00585D46">
              <w:trPr>
                <w:trHeight w:val="321"/>
              </w:trPr>
              <w:tc>
                <w:tcPr>
                  <w:tcW w:w="1309" w:type="dxa"/>
                  <w:tcBorders>
                    <w:top w:val="nil"/>
                    <w:left w:val="nil"/>
                    <w:bottom w:val="single" w:sz="8" w:space="0" w:color="FFFFFF"/>
                    <w:right w:val="single" w:sz="8" w:space="0" w:color="FFFFFF"/>
                  </w:tcBorders>
                  <w:shd w:val="clear" w:color="000000" w:fill="FCD5B4"/>
                  <w:noWrap/>
                  <w:hideMark/>
                </w:tcPr>
                <w:p w14:paraId="08C9B79B" w14:textId="6BA92F52"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CP</w:t>
                  </w:r>
                </w:p>
              </w:tc>
              <w:tc>
                <w:tcPr>
                  <w:tcW w:w="740" w:type="dxa"/>
                  <w:tcBorders>
                    <w:top w:val="nil"/>
                    <w:left w:val="nil"/>
                    <w:bottom w:val="single" w:sz="8" w:space="0" w:color="FFFFFF"/>
                    <w:right w:val="single" w:sz="8" w:space="0" w:color="FFFFFF"/>
                  </w:tcBorders>
                  <w:shd w:val="clear" w:color="000000" w:fill="FCD5B4"/>
                  <w:noWrap/>
                  <w:hideMark/>
                </w:tcPr>
                <w:p w14:paraId="3D9575A3" w14:textId="312F372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12%</w:t>
                  </w:r>
                </w:p>
              </w:tc>
              <w:tc>
                <w:tcPr>
                  <w:tcW w:w="920" w:type="dxa"/>
                  <w:tcBorders>
                    <w:top w:val="nil"/>
                    <w:left w:val="nil"/>
                    <w:bottom w:val="single" w:sz="8" w:space="0" w:color="FFFFFF"/>
                    <w:right w:val="single" w:sz="8" w:space="0" w:color="FFFFFF"/>
                  </w:tcBorders>
                  <w:shd w:val="clear" w:color="000000" w:fill="FCD5B4"/>
                  <w:noWrap/>
                  <w:hideMark/>
                </w:tcPr>
                <w:p w14:paraId="29CEB283" w14:textId="305745F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9%</w:t>
                  </w:r>
                </w:p>
              </w:tc>
              <w:tc>
                <w:tcPr>
                  <w:tcW w:w="920" w:type="dxa"/>
                  <w:tcBorders>
                    <w:top w:val="nil"/>
                    <w:left w:val="nil"/>
                    <w:bottom w:val="single" w:sz="8" w:space="0" w:color="FFFFFF"/>
                    <w:right w:val="single" w:sz="8" w:space="0" w:color="FFFFFF"/>
                  </w:tcBorders>
                  <w:shd w:val="clear" w:color="000000" w:fill="FCD5B4"/>
                  <w:noWrap/>
                  <w:hideMark/>
                </w:tcPr>
                <w:p w14:paraId="79A327E6" w14:textId="4B122F2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9%</w:t>
                  </w:r>
                </w:p>
              </w:tc>
              <w:tc>
                <w:tcPr>
                  <w:tcW w:w="920" w:type="dxa"/>
                  <w:tcBorders>
                    <w:top w:val="nil"/>
                    <w:left w:val="nil"/>
                    <w:bottom w:val="single" w:sz="8" w:space="0" w:color="FFFFFF"/>
                    <w:right w:val="single" w:sz="8" w:space="0" w:color="FFFFFF"/>
                  </w:tcBorders>
                  <w:shd w:val="clear" w:color="000000" w:fill="FCD5B4"/>
                  <w:noWrap/>
                  <w:hideMark/>
                </w:tcPr>
                <w:p w14:paraId="033E9A5E" w14:textId="1ACF730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44%</w:t>
                  </w:r>
                </w:p>
              </w:tc>
              <w:tc>
                <w:tcPr>
                  <w:tcW w:w="1149" w:type="dxa"/>
                  <w:tcBorders>
                    <w:top w:val="nil"/>
                    <w:left w:val="nil"/>
                    <w:bottom w:val="single" w:sz="8" w:space="0" w:color="FFFFFF"/>
                    <w:right w:val="single" w:sz="8" w:space="0" w:color="FFFFFF"/>
                  </w:tcBorders>
                  <w:shd w:val="clear" w:color="000000" w:fill="FCD5B4"/>
                  <w:noWrap/>
                  <w:hideMark/>
                </w:tcPr>
                <w:p w14:paraId="13B4CCB6" w14:textId="258CB63A"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CP</w:t>
                  </w:r>
                </w:p>
              </w:tc>
              <w:tc>
                <w:tcPr>
                  <w:tcW w:w="920" w:type="dxa"/>
                  <w:tcBorders>
                    <w:top w:val="nil"/>
                    <w:left w:val="nil"/>
                    <w:bottom w:val="single" w:sz="8" w:space="0" w:color="FFFFFF"/>
                    <w:right w:val="single" w:sz="8" w:space="0" w:color="FFFFFF"/>
                  </w:tcBorders>
                  <w:shd w:val="clear" w:color="000000" w:fill="FCD5B4"/>
                  <w:noWrap/>
                  <w:hideMark/>
                </w:tcPr>
                <w:p w14:paraId="1A1E1D51" w14:textId="4710C11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1%</w:t>
                  </w:r>
                </w:p>
              </w:tc>
              <w:tc>
                <w:tcPr>
                  <w:tcW w:w="920" w:type="dxa"/>
                  <w:tcBorders>
                    <w:top w:val="nil"/>
                    <w:left w:val="nil"/>
                    <w:bottom w:val="single" w:sz="8" w:space="0" w:color="FFFFFF"/>
                    <w:right w:val="single" w:sz="8" w:space="0" w:color="FFFFFF"/>
                  </w:tcBorders>
                  <w:shd w:val="clear" w:color="000000" w:fill="FCD5B4"/>
                  <w:noWrap/>
                  <w:hideMark/>
                </w:tcPr>
                <w:p w14:paraId="10576394" w14:textId="132950D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0%</w:t>
                  </w:r>
                </w:p>
              </w:tc>
              <w:tc>
                <w:tcPr>
                  <w:tcW w:w="920" w:type="dxa"/>
                  <w:tcBorders>
                    <w:top w:val="nil"/>
                    <w:left w:val="nil"/>
                    <w:bottom w:val="single" w:sz="8" w:space="0" w:color="FFFFFF"/>
                    <w:right w:val="single" w:sz="8" w:space="0" w:color="FFFFFF"/>
                  </w:tcBorders>
                  <w:shd w:val="clear" w:color="000000" w:fill="FCD5B4"/>
                  <w:noWrap/>
                  <w:hideMark/>
                </w:tcPr>
                <w:p w14:paraId="0393CC42" w14:textId="768D9AAE"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0%</w:t>
                  </w:r>
                </w:p>
              </w:tc>
              <w:tc>
                <w:tcPr>
                  <w:tcW w:w="920" w:type="dxa"/>
                  <w:tcBorders>
                    <w:top w:val="nil"/>
                    <w:left w:val="nil"/>
                    <w:bottom w:val="single" w:sz="8" w:space="0" w:color="FFFFFF"/>
                    <w:right w:val="single" w:sz="8" w:space="0" w:color="FFFFFF"/>
                  </w:tcBorders>
                  <w:shd w:val="clear" w:color="000000" w:fill="FCD5B4"/>
                  <w:noWrap/>
                  <w:hideMark/>
                </w:tcPr>
                <w:p w14:paraId="580FA8E3" w14:textId="4C5975B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65%</w:t>
                  </w:r>
                </w:p>
              </w:tc>
            </w:tr>
            <w:tr w:rsidR="003F4793" w:rsidRPr="003F4793" w14:paraId="3DF945E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7C68C45D" w14:textId="5A1628E4"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MTN3Y</w:t>
                  </w:r>
                </w:p>
              </w:tc>
              <w:tc>
                <w:tcPr>
                  <w:tcW w:w="740" w:type="dxa"/>
                  <w:tcBorders>
                    <w:top w:val="nil"/>
                    <w:left w:val="nil"/>
                    <w:bottom w:val="single" w:sz="8" w:space="0" w:color="FFFFFF"/>
                    <w:right w:val="single" w:sz="8" w:space="0" w:color="FFFFFF"/>
                  </w:tcBorders>
                  <w:shd w:val="clear" w:color="000000" w:fill="FDE9D9"/>
                  <w:noWrap/>
                  <w:hideMark/>
                </w:tcPr>
                <w:p w14:paraId="5A423046" w14:textId="685B044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9%</w:t>
                  </w:r>
                </w:p>
              </w:tc>
              <w:tc>
                <w:tcPr>
                  <w:tcW w:w="920" w:type="dxa"/>
                  <w:tcBorders>
                    <w:top w:val="nil"/>
                    <w:left w:val="nil"/>
                    <w:bottom w:val="single" w:sz="8" w:space="0" w:color="FFFFFF"/>
                    <w:right w:val="single" w:sz="8" w:space="0" w:color="FFFFFF"/>
                  </w:tcBorders>
                  <w:shd w:val="clear" w:color="000000" w:fill="FDE9D9"/>
                  <w:noWrap/>
                  <w:hideMark/>
                </w:tcPr>
                <w:p w14:paraId="3842DD73" w14:textId="0F8E240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6%</w:t>
                  </w:r>
                </w:p>
              </w:tc>
              <w:tc>
                <w:tcPr>
                  <w:tcW w:w="920" w:type="dxa"/>
                  <w:tcBorders>
                    <w:top w:val="nil"/>
                    <w:left w:val="nil"/>
                    <w:bottom w:val="single" w:sz="8" w:space="0" w:color="FFFFFF"/>
                    <w:right w:val="single" w:sz="8" w:space="0" w:color="FFFFFF"/>
                  </w:tcBorders>
                  <w:shd w:val="clear" w:color="000000" w:fill="FDE9D9"/>
                  <w:noWrap/>
                  <w:hideMark/>
                </w:tcPr>
                <w:p w14:paraId="78364D74" w14:textId="036EA84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7%</w:t>
                  </w:r>
                </w:p>
              </w:tc>
              <w:tc>
                <w:tcPr>
                  <w:tcW w:w="920" w:type="dxa"/>
                  <w:tcBorders>
                    <w:top w:val="nil"/>
                    <w:left w:val="nil"/>
                    <w:bottom w:val="single" w:sz="8" w:space="0" w:color="FFFFFF"/>
                    <w:right w:val="single" w:sz="8" w:space="0" w:color="FFFFFF"/>
                  </w:tcBorders>
                  <w:shd w:val="clear" w:color="000000" w:fill="FDE9D9"/>
                  <w:noWrap/>
                  <w:hideMark/>
                </w:tcPr>
                <w:p w14:paraId="564662AF" w14:textId="301350C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44%</w:t>
                  </w:r>
                </w:p>
              </w:tc>
              <w:tc>
                <w:tcPr>
                  <w:tcW w:w="1149" w:type="dxa"/>
                  <w:tcBorders>
                    <w:top w:val="nil"/>
                    <w:left w:val="nil"/>
                    <w:bottom w:val="single" w:sz="8" w:space="0" w:color="FFFFFF"/>
                    <w:right w:val="single" w:sz="8" w:space="0" w:color="FFFFFF"/>
                  </w:tcBorders>
                  <w:shd w:val="clear" w:color="000000" w:fill="FDE9D9"/>
                  <w:noWrap/>
                  <w:hideMark/>
                </w:tcPr>
                <w:p w14:paraId="6544C40A" w14:textId="571BF0C7"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MTN3Y</w:t>
                  </w:r>
                </w:p>
              </w:tc>
              <w:tc>
                <w:tcPr>
                  <w:tcW w:w="920" w:type="dxa"/>
                  <w:tcBorders>
                    <w:top w:val="nil"/>
                    <w:left w:val="nil"/>
                    <w:bottom w:val="single" w:sz="8" w:space="0" w:color="FFFFFF"/>
                    <w:right w:val="single" w:sz="8" w:space="0" w:color="FFFFFF"/>
                  </w:tcBorders>
                  <w:shd w:val="clear" w:color="000000" w:fill="FDE9D9"/>
                  <w:noWrap/>
                  <w:hideMark/>
                </w:tcPr>
                <w:p w14:paraId="1A21A620" w14:textId="66283FC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0%</w:t>
                  </w:r>
                </w:p>
              </w:tc>
              <w:tc>
                <w:tcPr>
                  <w:tcW w:w="920" w:type="dxa"/>
                  <w:tcBorders>
                    <w:top w:val="nil"/>
                    <w:left w:val="nil"/>
                    <w:bottom w:val="single" w:sz="8" w:space="0" w:color="FFFFFF"/>
                    <w:right w:val="single" w:sz="8" w:space="0" w:color="FFFFFF"/>
                  </w:tcBorders>
                  <w:shd w:val="clear" w:color="000000" w:fill="FDE9D9"/>
                  <w:noWrap/>
                  <w:hideMark/>
                </w:tcPr>
                <w:p w14:paraId="17EEE215" w14:textId="3F27FB2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0%</w:t>
                  </w:r>
                </w:p>
              </w:tc>
              <w:tc>
                <w:tcPr>
                  <w:tcW w:w="920" w:type="dxa"/>
                  <w:tcBorders>
                    <w:top w:val="nil"/>
                    <w:left w:val="nil"/>
                    <w:bottom w:val="single" w:sz="8" w:space="0" w:color="FFFFFF"/>
                    <w:right w:val="single" w:sz="8" w:space="0" w:color="FFFFFF"/>
                  </w:tcBorders>
                  <w:shd w:val="clear" w:color="000000" w:fill="FDE9D9"/>
                  <w:noWrap/>
                  <w:hideMark/>
                </w:tcPr>
                <w:p w14:paraId="42640BE8" w14:textId="04D1AC6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7%</w:t>
                  </w:r>
                </w:p>
              </w:tc>
              <w:tc>
                <w:tcPr>
                  <w:tcW w:w="920" w:type="dxa"/>
                  <w:tcBorders>
                    <w:top w:val="nil"/>
                    <w:left w:val="nil"/>
                    <w:bottom w:val="single" w:sz="8" w:space="0" w:color="FFFFFF"/>
                    <w:right w:val="single" w:sz="8" w:space="0" w:color="FFFFFF"/>
                  </w:tcBorders>
                  <w:shd w:val="clear" w:color="000000" w:fill="FDE9D9"/>
                  <w:noWrap/>
                  <w:hideMark/>
                </w:tcPr>
                <w:p w14:paraId="132999AD" w14:textId="7C2EA8B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65%</w:t>
                  </w:r>
                </w:p>
              </w:tc>
            </w:tr>
            <w:tr w:rsidR="003F4793" w:rsidRPr="003F4793" w14:paraId="311BF477"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1EFAC63F" w14:textId="36AFC345"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MTN5Y</w:t>
                  </w:r>
                </w:p>
              </w:tc>
              <w:tc>
                <w:tcPr>
                  <w:tcW w:w="740" w:type="dxa"/>
                  <w:tcBorders>
                    <w:top w:val="nil"/>
                    <w:left w:val="nil"/>
                    <w:bottom w:val="single" w:sz="8" w:space="0" w:color="FFFFFF"/>
                    <w:right w:val="single" w:sz="8" w:space="0" w:color="FFFFFF"/>
                  </w:tcBorders>
                  <w:shd w:val="clear" w:color="000000" w:fill="FCD5B4"/>
                  <w:noWrap/>
                  <w:hideMark/>
                </w:tcPr>
                <w:p w14:paraId="15941BE2" w14:textId="140C3CF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8%</w:t>
                  </w:r>
                </w:p>
              </w:tc>
              <w:tc>
                <w:tcPr>
                  <w:tcW w:w="920" w:type="dxa"/>
                  <w:tcBorders>
                    <w:top w:val="nil"/>
                    <w:left w:val="nil"/>
                    <w:bottom w:val="single" w:sz="8" w:space="0" w:color="FFFFFF"/>
                    <w:right w:val="single" w:sz="8" w:space="0" w:color="FFFFFF"/>
                  </w:tcBorders>
                  <w:shd w:val="clear" w:color="000000" w:fill="FCD5B4"/>
                  <w:noWrap/>
                  <w:hideMark/>
                </w:tcPr>
                <w:p w14:paraId="6DFE5B08" w14:textId="4E3F596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5%</w:t>
                  </w:r>
                </w:p>
              </w:tc>
              <w:tc>
                <w:tcPr>
                  <w:tcW w:w="920" w:type="dxa"/>
                  <w:tcBorders>
                    <w:top w:val="nil"/>
                    <w:left w:val="nil"/>
                    <w:bottom w:val="single" w:sz="8" w:space="0" w:color="FFFFFF"/>
                    <w:right w:val="single" w:sz="8" w:space="0" w:color="FFFFFF"/>
                  </w:tcBorders>
                  <w:shd w:val="clear" w:color="000000" w:fill="FCD5B4"/>
                  <w:noWrap/>
                  <w:hideMark/>
                </w:tcPr>
                <w:p w14:paraId="51F72902" w14:textId="586AC0E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7%</w:t>
                  </w:r>
                </w:p>
              </w:tc>
              <w:tc>
                <w:tcPr>
                  <w:tcW w:w="920" w:type="dxa"/>
                  <w:tcBorders>
                    <w:top w:val="nil"/>
                    <w:left w:val="nil"/>
                    <w:bottom w:val="single" w:sz="8" w:space="0" w:color="FFFFFF"/>
                    <w:right w:val="single" w:sz="8" w:space="0" w:color="FFFFFF"/>
                  </w:tcBorders>
                  <w:shd w:val="clear" w:color="000000" w:fill="FCD5B4"/>
                  <w:noWrap/>
                  <w:hideMark/>
                </w:tcPr>
                <w:p w14:paraId="11ED092C" w14:textId="69E93BE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44%</w:t>
                  </w:r>
                </w:p>
              </w:tc>
              <w:tc>
                <w:tcPr>
                  <w:tcW w:w="1149" w:type="dxa"/>
                  <w:tcBorders>
                    <w:top w:val="nil"/>
                    <w:left w:val="nil"/>
                    <w:bottom w:val="single" w:sz="8" w:space="0" w:color="FFFFFF"/>
                    <w:right w:val="single" w:sz="8" w:space="0" w:color="FFFFFF"/>
                  </w:tcBorders>
                  <w:shd w:val="clear" w:color="000000" w:fill="FCD5B4"/>
                  <w:noWrap/>
                  <w:hideMark/>
                </w:tcPr>
                <w:p w14:paraId="4D858F7C" w14:textId="048D03E7"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rPr>
                    <w:t>MTN5Y</w:t>
                  </w:r>
                </w:p>
              </w:tc>
              <w:tc>
                <w:tcPr>
                  <w:tcW w:w="920" w:type="dxa"/>
                  <w:tcBorders>
                    <w:top w:val="nil"/>
                    <w:left w:val="nil"/>
                    <w:bottom w:val="single" w:sz="8" w:space="0" w:color="FFFFFF"/>
                    <w:right w:val="single" w:sz="8" w:space="0" w:color="FFFFFF"/>
                  </w:tcBorders>
                  <w:shd w:val="clear" w:color="000000" w:fill="FCD5B4"/>
                  <w:noWrap/>
                  <w:hideMark/>
                </w:tcPr>
                <w:p w14:paraId="17DE7239" w14:textId="6AED8B9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6%</w:t>
                  </w:r>
                </w:p>
              </w:tc>
              <w:tc>
                <w:tcPr>
                  <w:tcW w:w="920" w:type="dxa"/>
                  <w:tcBorders>
                    <w:top w:val="nil"/>
                    <w:left w:val="nil"/>
                    <w:bottom w:val="single" w:sz="8" w:space="0" w:color="FFFFFF"/>
                    <w:right w:val="single" w:sz="8" w:space="0" w:color="FFFFFF"/>
                  </w:tcBorders>
                  <w:shd w:val="clear" w:color="000000" w:fill="FCD5B4"/>
                  <w:noWrap/>
                  <w:hideMark/>
                </w:tcPr>
                <w:p w14:paraId="4BD0B6F1" w14:textId="761735B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2%</w:t>
                  </w:r>
                </w:p>
              </w:tc>
              <w:tc>
                <w:tcPr>
                  <w:tcW w:w="920" w:type="dxa"/>
                  <w:tcBorders>
                    <w:top w:val="nil"/>
                    <w:left w:val="nil"/>
                    <w:bottom w:val="single" w:sz="8" w:space="0" w:color="FFFFFF"/>
                    <w:right w:val="single" w:sz="8" w:space="0" w:color="FFFFFF"/>
                  </w:tcBorders>
                  <w:shd w:val="clear" w:color="000000" w:fill="FCD5B4"/>
                  <w:noWrap/>
                  <w:hideMark/>
                </w:tcPr>
                <w:p w14:paraId="21072B45" w14:textId="61EF599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13%</w:t>
                  </w:r>
                </w:p>
              </w:tc>
              <w:tc>
                <w:tcPr>
                  <w:tcW w:w="920" w:type="dxa"/>
                  <w:tcBorders>
                    <w:top w:val="nil"/>
                    <w:left w:val="nil"/>
                    <w:bottom w:val="single" w:sz="8" w:space="0" w:color="FFFFFF"/>
                    <w:right w:val="single" w:sz="8" w:space="0" w:color="FFFFFF"/>
                  </w:tcBorders>
                  <w:shd w:val="clear" w:color="000000" w:fill="FCD5B4"/>
                  <w:noWrap/>
                  <w:hideMark/>
                </w:tcPr>
                <w:p w14:paraId="2B13C93D" w14:textId="3A9DBEC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rPr>
                    <w:t>69%</w:t>
                  </w:r>
                </w:p>
              </w:tc>
            </w:tr>
            <w:tr w:rsidR="003F4793" w:rsidRPr="003F4793" w14:paraId="61191F62"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187E41C4" w14:textId="18A5C4FE"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企业债3Y</w:t>
                  </w:r>
                </w:p>
              </w:tc>
              <w:tc>
                <w:tcPr>
                  <w:tcW w:w="740" w:type="dxa"/>
                  <w:tcBorders>
                    <w:top w:val="nil"/>
                    <w:left w:val="nil"/>
                    <w:bottom w:val="single" w:sz="8" w:space="0" w:color="FFFFFF"/>
                    <w:right w:val="single" w:sz="8" w:space="0" w:color="FFFFFF"/>
                  </w:tcBorders>
                  <w:shd w:val="clear" w:color="000000" w:fill="FDE9D9"/>
                  <w:noWrap/>
                  <w:hideMark/>
                </w:tcPr>
                <w:p w14:paraId="3EADA916" w14:textId="7E6FC68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273C8344" w14:textId="5EF6E51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57848C1D" w14:textId="7E12C70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13000828" w14:textId="6165BC99"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43%</w:t>
                  </w:r>
                </w:p>
              </w:tc>
              <w:tc>
                <w:tcPr>
                  <w:tcW w:w="1149" w:type="dxa"/>
                  <w:tcBorders>
                    <w:top w:val="nil"/>
                    <w:left w:val="nil"/>
                    <w:bottom w:val="single" w:sz="8" w:space="0" w:color="FFFFFF"/>
                    <w:right w:val="single" w:sz="8" w:space="0" w:color="FFFFFF"/>
                  </w:tcBorders>
                  <w:shd w:val="clear" w:color="000000" w:fill="FDE9D9"/>
                  <w:noWrap/>
                  <w:hideMark/>
                </w:tcPr>
                <w:p w14:paraId="0345B549" w14:textId="230A5D1A"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企业债3Y</w:t>
                  </w:r>
                </w:p>
              </w:tc>
              <w:tc>
                <w:tcPr>
                  <w:tcW w:w="920" w:type="dxa"/>
                  <w:tcBorders>
                    <w:top w:val="nil"/>
                    <w:left w:val="nil"/>
                    <w:bottom w:val="single" w:sz="8" w:space="0" w:color="FFFFFF"/>
                    <w:right w:val="single" w:sz="8" w:space="0" w:color="FFFFFF"/>
                  </w:tcBorders>
                  <w:shd w:val="clear" w:color="000000" w:fill="FDE9D9"/>
                  <w:noWrap/>
                  <w:hideMark/>
                </w:tcPr>
                <w:p w14:paraId="24486153" w14:textId="760EAFD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0%</w:t>
                  </w:r>
                </w:p>
              </w:tc>
              <w:tc>
                <w:tcPr>
                  <w:tcW w:w="920" w:type="dxa"/>
                  <w:tcBorders>
                    <w:top w:val="nil"/>
                    <w:left w:val="nil"/>
                    <w:bottom w:val="single" w:sz="8" w:space="0" w:color="FFFFFF"/>
                    <w:right w:val="single" w:sz="8" w:space="0" w:color="FFFFFF"/>
                  </w:tcBorders>
                  <w:shd w:val="clear" w:color="000000" w:fill="FDE9D9"/>
                  <w:noWrap/>
                  <w:hideMark/>
                </w:tcPr>
                <w:p w14:paraId="07CA82A7" w14:textId="2F3EC22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0%</w:t>
                  </w:r>
                </w:p>
              </w:tc>
              <w:tc>
                <w:tcPr>
                  <w:tcW w:w="920" w:type="dxa"/>
                  <w:tcBorders>
                    <w:top w:val="nil"/>
                    <w:left w:val="nil"/>
                    <w:bottom w:val="single" w:sz="8" w:space="0" w:color="FFFFFF"/>
                    <w:right w:val="single" w:sz="8" w:space="0" w:color="FFFFFF"/>
                  </w:tcBorders>
                  <w:shd w:val="clear" w:color="000000" w:fill="FDE9D9"/>
                  <w:noWrap/>
                  <w:hideMark/>
                </w:tcPr>
                <w:p w14:paraId="7F02EE72" w14:textId="7DD6829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10%</w:t>
                  </w:r>
                </w:p>
              </w:tc>
              <w:tc>
                <w:tcPr>
                  <w:tcW w:w="920" w:type="dxa"/>
                  <w:tcBorders>
                    <w:top w:val="nil"/>
                    <w:left w:val="nil"/>
                    <w:bottom w:val="single" w:sz="8" w:space="0" w:color="FFFFFF"/>
                    <w:right w:val="single" w:sz="8" w:space="0" w:color="FFFFFF"/>
                  </w:tcBorders>
                  <w:shd w:val="clear" w:color="000000" w:fill="FDE9D9"/>
                  <w:noWrap/>
                  <w:hideMark/>
                </w:tcPr>
                <w:p w14:paraId="2E828AF2" w14:textId="6A44008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67%</w:t>
                  </w:r>
                </w:p>
              </w:tc>
            </w:tr>
            <w:tr w:rsidR="003F4793" w:rsidRPr="003F4793" w14:paraId="60838313"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1BD5D8A8" w14:textId="67994A48"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企业债5Y</w:t>
                  </w:r>
                </w:p>
              </w:tc>
              <w:tc>
                <w:tcPr>
                  <w:tcW w:w="740" w:type="dxa"/>
                  <w:tcBorders>
                    <w:top w:val="nil"/>
                    <w:left w:val="nil"/>
                    <w:bottom w:val="single" w:sz="8" w:space="0" w:color="FFFFFF"/>
                    <w:right w:val="single" w:sz="8" w:space="0" w:color="FFFFFF"/>
                  </w:tcBorders>
                  <w:shd w:val="clear" w:color="000000" w:fill="FCD5B4"/>
                  <w:noWrap/>
                  <w:hideMark/>
                </w:tcPr>
                <w:p w14:paraId="75E567A4" w14:textId="3330FD2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7CC5EAC5" w14:textId="737B9FB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4FCC92DC" w14:textId="2629DD98"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762ACF2C" w14:textId="019242C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42%</w:t>
                  </w:r>
                </w:p>
              </w:tc>
              <w:tc>
                <w:tcPr>
                  <w:tcW w:w="1149" w:type="dxa"/>
                  <w:tcBorders>
                    <w:top w:val="nil"/>
                    <w:left w:val="nil"/>
                    <w:bottom w:val="single" w:sz="8" w:space="0" w:color="FFFFFF"/>
                    <w:right w:val="single" w:sz="8" w:space="0" w:color="FFFFFF"/>
                  </w:tcBorders>
                  <w:shd w:val="clear" w:color="000000" w:fill="FCD5B4"/>
                  <w:noWrap/>
                  <w:hideMark/>
                </w:tcPr>
                <w:p w14:paraId="635AAF3D" w14:textId="38169D5C"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企业债5Y</w:t>
                  </w:r>
                </w:p>
              </w:tc>
              <w:tc>
                <w:tcPr>
                  <w:tcW w:w="920" w:type="dxa"/>
                  <w:tcBorders>
                    <w:top w:val="nil"/>
                    <w:left w:val="nil"/>
                    <w:bottom w:val="single" w:sz="8" w:space="0" w:color="FFFFFF"/>
                    <w:right w:val="single" w:sz="8" w:space="0" w:color="FFFFFF"/>
                  </w:tcBorders>
                  <w:shd w:val="clear" w:color="000000" w:fill="FCD5B4"/>
                  <w:noWrap/>
                  <w:hideMark/>
                </w:tcPr>
                <w:p w14:paraId="29019280" w14:textId="46D9D56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w:t>
                  </w:r>
                </w:p>
              </w:tc>
              <w:tc>
                <w:tcPr>
                  <w:tcW w:w="920" w:type="dxa"/>
                  <w:tcBorders>
                    <w:top w:val="nil"/>
                    <w:left w:val="nil"/>
                    <w:bottom w:val="single" w:sz="8" w:space="0" w:color="FFFFFF"/>
                    <w:right w:val="single" w:sz="8" w:space="0" w:color="FFFFFF"/>
                  </w:tcBorders>
                  <w:shd w:val="clear" w:color="000000" w:fill="FCD5B4"/>
                  <w:noWrap/>
                  <w:hideMark/>
                </w:tcPr>
                <w:p w14:paraId="3C5DFC16" w14:textId="270F34F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7C9CABAF" w14:textId="1236DD2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12%</w:t>
                  </w:r>
                </w:p>
              </w:tc>
              <w:tc>
                <w:tcPr>
                  <w:tcW w:w="920" w:type="dxa"/>
                  <w:tcBorders>
                    <w:top w:val="nil"/>
                    <w:left w:val="nil"/>
                    <w:bottom w:val="single" w:sz="8" w:space="0" w:color="FFFFFF"/>
                    <w:right w:val="single" w:sz="8" w:space="0" w:color="FFFFFF"/>
                  </w:tcBorders>
                  <w:shd w:val="clear" w:color="000000" w:fill="FCD5B4"/>
                  <w:noWrap/>
                  <w:hideMark/>
                </w:tcPr>
                <w:p w14:paraId="217354A8" w14:textId="74EB7E5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70%</w:t>
                  </w:r>
                </w:p>
              </w:tc>
            </w:tr>
            <w:tr w:rsidR="003F4793" w:rsidRPr="003F4793" w14:paraId="2C298517"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30486C22" w14:textId="19AA32FA"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企业债7Y</w:t>
                  </w:r>
                </w:p>
              </w:tc>
              <w:tc>
                <w:tcPr>
                  <w:tcW w:w="740" w:type="dxa"/>
                  <w:tcBorders>
                    <w:top w:val="nil"/>
                    <w:left w:val="nil"/>
                    <w:bottom w:val="single" w:sz="8" w:space="0" w:color="FFFFFF"/>
                    <w:right w:val="single" w:sz="8" w:space="0" w:color="FFFFFF"/>
                  </w:tcBorders>
                  <w:shd w:val="clear" w:color="000000" w:fill="FDE9D9"/>
                  <w:noWrap/>
                  <w:hideMark/>
                </w:tcPr>
                <w:p w14:paraId="65693455" w14:textId="0BBF464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100994DF" w14:textId="0EBA4EE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3%</w:t>
                  </w:r>
                </w:p>
              </w:tc>
              <w:tc>
                <w:tcPr>
                  <w:tcW w:w="920" w:type="dxa"/>
                  <w:tcBorders>
                    <w:top w:val="nil"/>
                    <w:left w:val="nil"/>
                    <w:bottom w:val="single" w:sz="8" w:space="0" w:color="FFFFFF"/>
                    <w:right w:val="single" w:sz="8" w:space="0" w:color="FFFFFF"/>
                  </w:tcBorders>
                  <w:shd w:val="clear" w:color="000000" w:fill="FDE9D9"/>
                  <w:noWrap/>
                  <w:hideMark/>
                </w:tcPr>
                <w:p w14:paraId="5AA0E961" w14:textId="447C3A9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5%</w:t>
                  </w:r>
                </w:p>
              </w:tc>
              <w:tc>
                <w:tcPr>
                  <w:tcW w:w="920" w:type="dxa"/>
                  <w:tcBorders>
                    <w:top w:val="nil"/>
                    <w:left w:val="nil"/>
                    <w:bottom w:val="single" w:sz="8" w:space="0" w:color="FFFFFF"/>
                    <w:right w:val="single" w:sz="8" w:space="0" w:color="FFFFFF"/>
                  </w:tcBorders>
                  <w:shd w:val="clear" w:color="000000" w:fill="FDE9D9"/>
                  <w:noWrap/>
                  <w:hideMark/>
                </w:tcPr>
                <w:p w14:paraId="6A261B2F" w14:textId="1C54D75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33%</w:t>
                  </w:r>
                </w:p>
              </w:tc>
              <w:tc>
                <w:tcPr>
                  <w:tcW w:w="1149" w:type="dxa"/>
                  <w:tcBorders>
                    <w:top w:val="nil"/>
                    <w:left w:val="nil"/>
                    <w:bottom w:val="single" w:sz="8" w:space="0" w:color="FFFFFF"/>
                    <w:right w:val="single" w:sz="8" w:space="0" w:color="FFFFFF"/>
                  </w:tcBorders>
                  <w:shd w:val="clear" w:color="000000" w:fill="FDE9D9"/>
                  <w:noWrap/>
                  <w:hideMark/>
                </w:tcPr>
                <w:p w14:paraId="52EDB7F5" w14:textId="107BE78B" w:rsidR="003F4793" w:rsidRPr="003F4793" w:rsidRDefault="003F4793" w:rsidP="003F4793">
                  <w:pPr>
                    <w:widowControl/>
                    <w:jc w:val="center"/>
                    <w:rPr>
                      <w:rFonts w:ascii="KaiTi" w:eastAsia="KaiTi" w:hAnsi="KaiTi" w:cs="宋体"/>
                      <w:color w:val="000000"/>
                      <w:kern w:val="0"/>
                      <w:sz w:val="20"/>
                      <w:szCs w:val="20"/>
                    </w:rPr>
                  </w:pPr>
                  <w:r w:rsidRPr="003F4793">
                    <w:rPr>
                      <w:rFonts w:ascii="KaiTi" w:eastAsia="KaiTi" w:hAnsi="KaiTi" w:hint="eastAsia"/>
                    </w:rPr>
                    <w:t>企业债7Y</w:t>
                  </w:r>
                </w:p>
              </w:tc>
              <w:tc>
                <w:tcPr>
                  <w:tcW w:w="920" w:type="dxa"/>
                  <w:tcBorders>
                    <w:top w:val="nil"/>
                    <w:left w:val="nil"/>
                    <w:bottom w:val="single" w:sz="8" w:space="0" w:color="FFFFFF"/>
                    <w:right w:val="single" w:sz="8" w:space="0" w:color="FFFFFF"/>
                  </w:tcBorders>
                  <w:shd w:val="clear" w:color="000000" w:fill="FDE9D9"/>
                  <w:noWrap/>
                  <w:hideMark/>
                </w:tcPr>
                <w:p w14:paraId="04B722B3" w14:textId="376267E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w:t>
                  </w:r>
                </w:p>
              </w:tc>
              <w:tc>
                <w:tcPr>
                  <w:tcW w:w="920" w:type="dxa"/>
                  <w:tcBorders>
                    <w:top w:val="nil"/>
                    <w:left w:val="nil"/>
                    <w:bottom w:val="single" w:sz="8" w:space="0" w:color="FFFFFF"/>
                    <w:right w:val="single" w:sz="8" w:space="0" w:color="FFFFFF"/>
                  </w:tcBorders>
                  <w:shd w:val="clear" w:color="000000" w:fill="FDE9D9"/>
                  <w:noWrap/>
                  <w:hideMark/>
                </w:tcPr>
                <w:p w14:paraId="00BAE7B3" w14:textId="18E07AF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2%</w:t>
                  </w:r>
                </w:p>
              </w:tc>
              <w:tc>
                <w:tcPr>
                  <w:tcW w:w="920" w:type="dxa"/>
                  <w:tcBorders>
                    <w:top w:val="nil"/>
                    <w:left w:val="nil"/>
                    <w:bottom w:val="single" w:sz="8" w:space="0" w:color="FFFFFF"/>
                    <w:right w:val="single" w:sz="8" w:space="0" w:color="FFFFFF"/>
                  </w:tcBorders>
                  <w:shd w:val="clear" w:color="000000" w:fill="FDE9D9"/>
                  <w:noWrap/>
                  <w:hideMark/>
                </w:tcPr>
                <w:p w14:paraId="1D577A1F" w14:textId="40BB0FBC"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3FF4C4AA" w14:textId="2BEC1B1D"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63%</w:t>
                  </w:r>
                </w:p>
              </w:tc>
            </w:tr>
            <w:tr w:rsidR="003F4793" w:rsidRPr="003F4793" w14:paraId="21DC06D6" w14:textId="77777777" w:rsidTr="00585D46">
              <w:trPr>
                <w:trHeight w:val="310"/>
              </w:trPr>
              <w:tc>
                <w:tcPr>
                  <w:tcW w:w="1309" w:type="dxa"/>
                  <w:tcBorders>
                    <w:top w:val="nil"/>
                    <w:left w:val="nil"/>
                    <w:bottom w:val="single" w:sz="8" w:space="0" w:color="FFFFFF"/>
                    <w:right w:val="single" w:sz="8" w:space="0" w:color="FFFFFF"/>
                  </w:tcBorders>
                  <w:shd w:val="clear" w:color="000000" w:fill="FCD5B4"/>
                  <w:noWrap/>
                  <w:hideMark/>
                </w:tcPr>
                <w:p w14:paraId="4FE37E8C" w14:textId="6F4A4F37"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3Y</w:t>
                  </w:r>
                </w:p>
              </w:tc>
              <w:tc>
                <w:tcPr>
                  <w:tcW w:w="740" w:type="dxa"/>
                  <w:tcBorders>
                    <w:top w:val="nil"/>
                    <w:left w:val="nil"/>
                    <w:bottom w:val="single" w:sz="8" w:space="0" w:color="FFFFFF"/>
                    <w:right w:val="single" w:sz="8" w:space="0" w:color="FFFFFF"/>
                  </w:tcBorders>
                  <w:shd w:val="clear" w:color="000000" w:fill="FCD5B4"/>
                  <w:noWrap/>
                  <w:hideMark/>
                </w:tcPr>
                <w:p w14:paraId="657AADBA" w14:textId="47FAE63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w:t>
                  </w:r>
                </w:p>
              </w:tc>
              <w:tc>
                <w:tcPr>
                  <w:tcW w:w="920" w:type="dxa"/>
                  <w:tcBorders>
                    <w:top w:val="nil"/>
                    <w:left w:val="nil"/>
                    <w:bottom w:val="single" w:sz="8" w:space="0" w:color="FFFFFF"/>
                    <w:right w:val="single" w:sz="8" w:space="0" w:color="FFFFFF"/>
                  </w:tcBorders>
                  <w:shd w:val="clear" w:color="000000" w:fill="FCD5B4"/>
                  <w:noWrap/>
                  <w:hideMark/>
                </w:tcPr>
                <w:p w14:paraId="2E67B5DA" w14:textId="56FBD91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CD5B4"/>
                  <w:noWrap/>
                  <w:hideMark/>
                </w:tcPr>
                <w:p w14:paraId="5BB83AA5" w14:textId="77E7CA2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45AEAC99" w14:textId="1ADA718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47%</w:t>
                  </w:r>
                </w:p>
              </w:tc>
              <w:tc>
                <w:tcPr>
                  <w:tcW w:w="1149" w:type="dxa"/>
                  <w:tcBorders>
                    <w:top w:val="nil"/>
                    <w:left w:val="nil"/>
                    <w:bottom w:val="single" w:sz="8" w:space="0" w:color="FFFFFF"/>
                    <w:right w:val="single" w:sz="8" w:space="0" w:color="FFFFFF"/>
                  </w:tcBorders>
                  <w:shd w:val="clear" w:color="000000" w:fill="FCD5B4"/>
                  <w:noWrap/>
                  <w:hideMark/>
                </w:tcPr>
                <w:p w14:paraId="59204F8F" w14:textId="1C39F089"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3Y</w:t>
                  </w:r>
                </w:p>
              </w:tc>
              <w:tc>
                <w:tcPr>
                  <w:tcW w:w="920" w:type="dxa"/>
                  <w:tcBorders>
                    <w:top w:val="nil"/>
                    <w:left w:val="nil"/>
                    <w:bottom w:val="single" w:sz="8" w:space="0" w:color="FFFFFF"/>
                    <w:right w:val="single" w:sz="8" w:space="0" w:color="FFFFFF"/>
                  </w:tcBorders>
                  <w:shd w:val="clear" w:color="000000" w:fill="FCD5B4"/>
                  <w:noWrap/>
                  <w:hideMark/>
                </w:tcPr>
                <w:p w14:paraId="479902F5" w14:textId="64DFFE5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54133AF5" w14:textId="4A5D40C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00C9AD90" w14:textId="4065699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0%</w:t>
                  </w:r>
                </w:p>
              </w:tc>
              <w:tc>
                <w:tcPr>
                  <w:tcW w:w="920" w:type="dxa"/>
                  <w:tcBorders>
                    <w:top w:val="nil"/>
                    <w:left w:val="nil"/>
                    <w:bottom w:val="single" w:sz="8" w:space="0" w:color="FFFFFF"/>
                    <w:right w:val="single" w:sz="8" w:space="0" w:color="FFFFFF"/>
                  </w:tcBorders>
                  <w:shd w:val="clear" w:color="000000" w:fill="FCD5B4"/>
                  <w:noWrap/>
                  <w:hideMark/>
                </w:tcPr>
                <w:p w14:paraId="541417A5" w14:textId="701FFB9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68%</w:t>
                  </w:r>
                </w:p>
              </w:tc>
            </w:tr>
            <w:tr w:rsidR="003F4793" w:rsidRPr="003F4793" w14:paraId="0EA4170B" w14:textId="77777777" w:rsidTr="00585D46">
              <w:trPr>
                <w:trHeight w:val="310"/>
              </w:trPr>
              <w:tc>
                <w:tcPr>
                  <w:tcW w:w="1309" w:type="dxa"/>
                  <w:tcBorders>
                    <w:top w:val="nil"/>
                    <w:left w:val="nil"/>
                    <w:bottom w:val="single" w:sz="8" w:space="0" w:color="FFFFFF"/>
                    <w:right w:val="single" w:sz="8" w:space="0" w:color="FFFFFF"/>
                  </w:tcBorders>
                  <w:shd w:val="clear" w:color="000000" w:fill="FDE9D9"/>
                  <w:noWrap/>
                  <w:hideMark/>
                </w:tcPr>
                <w:p w14:paraId="10FF0248" w14:textId="0136462C"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5Y</w:t>
                  </w:r>
                </w:p>
              </w:tc>
              <w:tc>
                <w:tcPr>
                  <w:tcW w:w="740" w:type="dxa"/>
                  <w:tcBorders>
                    <w:top w:val="nil"/>
                    <w:left w:val="nil"/>
                    <w:bottom w:val="single" w:sz="8" w:space="0" w:color="FFFFFF"/>
                    <w:right w:val="single" w:sz="8" w:space="0" w:color="FFFFFF"/>
                  </w:tcBorders>
                  <w:shd w:val="clear" w:color="000000" w:fill="FDE9D9"/>
                  <w:noWrap/>
                  <w:hideMark/>
                </w:tcPr>
                <w:p w14:paraId="22074306" w14:textId="0D90956A"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0BA2FFDF" w14:textId="43429742"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073EB474" w14:textId="71B0F91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7%</w:t>
                  </w:r>
                </w:p>
              </w:tc>
              <w:tc>
                <w:tcPr>
                  <w:tcW w:w="920" w:type="dxa"/>
                  <w:tcBorders>
                    <w:top w:val="nil"/>
                    <w:left w:val="nil"/>
                    <w:bottom w:val="single" w:sz="8" w:space="0" w:color="FFFFFF"/>
                    <w:right w:val="single" w:sz="8" w:space="0" w:color="FFFFFF"/>
                  </w:tcBorders>
                  <w:shd w:val="clear" w:color="000000" w:fill="FDE9D9"/>
                  <w:noWrap/>
                  <w:hideMark/>
                </w:tcPr>
                <w:p w14:paraId="0B9D8097" w14:textId="0559D146"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63%</w:t>
                  </w:r>
                </w:p>
              </w:tc>
              <w:tc>
                <w:tcPr>
                  <w:tcW w:w="1149" w:type="dxa"/>
                  <w:tcBorders>
                    <w:top w:val="nil"/>
                    <w:left w:val="nil"/>
                    <w:bottom w:val="single" w:sz="8" w:space="0" w:color="FFFFFF"/>
                    <w:right w:val="single" w:sz="8" w:space="0" w:color="FFFFFF"/>
                  </w:tcBorders>
                  <w:shd w:val="clear" w:color="000000" w:fill="FDE9D9"/>
                  <w:noWrap/>
                  <w:hideMark/>
                </w:tcPr>
                <w:p w14:paraId="345AC80B" w14:textId="52D95E1F"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5Y</w:t>
                  </w:r>
                </w:p>
              </w:tc>
              <w:tc>
                <w:tcPr>
                  <w:tcW w:w="920" w:type="dxa"/>
                  <w:tcBorders>
                    <w:top w:val="nil"/>
                    <w:left w:val="nil"/>
                    <w:bottom w:val="single" w:sz="8" w:space="0" w:color="FFFFFF"/>
                    <w:right w:val="single" w:sz="8" w:space="0" w:color="FFFFFF"/>
                  </w:tcBorders>
                  <w:shd w:val="clear" w:color="000000" w:fill="FDE9D9"/>
                  <w:noWrap/>
                  <w:hideMark/>
                </w:tcPr>
                <w:p w14:paraId="19B927C3" w14:textId="31A19044"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w:t>
                  </w:r>
                </w:p>
              </w:tc>
              <w:tc>
                <w:tcPr>
                  <w:tcW w:w="920" w:type="dxa"/>
                  <w:tcBorders>
                    <w:top w:val="nil"/>
                    <w:left w:val="nil"/>
                    <w:bottom w:val="single" w:sz="8" w:space="0" w:color="FFFFFF"/>
                    <w:right w:val="single" w:sz="8" w:space="0" w:color="FFFFFF"/>
                  </w:tcBorders>
                  <w:shd w:val="clear" w:color="000000" w:fill="FDE9D9"/>
                  <w:noWrap/>
                  <w:hideMark/>
                </w:tcPr>
                <w:p w14:paraId="6F372E8A" w14:textId="0BC1E83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DE9D9"/>
                  <w:noWrap/>
                  <w:hideMark/>
                </w:tcPr>
                <w:p w14:paraId="33016802" w14:textId="7F4DBF2B"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9%</w:t>
                  </w:r>
                </w:p>
              </w:tc>
              <w:tc>
                <w:tcPr>
                  <w:tcW w:w="920" w:type="dxa"/>
                  <w:tcBorders>
                    <w:top w:val="nil"/>
                    <w:left w:val="nil"/>
                    <w:bottom w:val="single" w:sz="8" w:space="0" w:color="FFFFFF"/>
                    <w:right w:val="single" w:sz="8" w:space="0" w:color="FFFFFF"/>
                  </w:tcBorders>
                  <w:shd w:val="clear" w:color="000000" w:fill="FFC7CE"/>
                  <w:noWrap/>
                  <w:hideMark/>
                </w:tcPr>
                <w:p w14:paraId="57FFE293" w14:textId="2F27735E" w:rsidR="003F4793" w:rsidRPr="003F4793" w:rsidRDefault="003F4793" w:rsidP="003F4793">
                  <w:pPr>
                    <w:widowControl/>
                    <w:jc w:val="center"/>
                    <w:rPr>
                      <w:rFonts w:ascii="KaiTi" w:eastAsia="KaiTi" w:hAnsi="KaiTi" w:cs="Calibri"/>
                      <w:color w:val="9C0006"/>
                      <w:kern w:val="0"/>
                      <w:szCs w:val="21"/>
                    </w:rPr>
                  </w:pPr>
                  <w:r w:rsidRPr="003F4793">
                    <w:rPr>
                      <w:rFonts w:ascii="KaiTi" w:eastAsia="KaiTi" w:hAnsi="KaiTi" w:hint="eastAsia"/>
                    </w:rPr>
                    <w:t>84%</w:t>
                  </w:r>
                </w:p>
              </w:tc>
            </w:tr>
            <w:tr w:rsidR="003F4793" w:rsidRPr="003F4793" w14:paraId="72207D52" w14:textId="77777777" w:rsidTr="00585D46">
              <w:trPr>
                <w:trHeight w:val="310"/>
              </w:trPr>
              <w:tc>
                <w:tcPr>
                  <w:tcW w:w="1309" w:type="dxa"/>
                  <w:tcBorders>
                    <w:top w:val="nil"/>
                    <w:left w:val="nil"/>
                    <w:bottom w:val="nil"/>
                    <w:right w:val="nil"/>
                  </w:tcBorders>
                  <w:shd w:val="clear" w:color="000000" w:fill="FCD5B4"/>
                  <w:noWrap/>
                  <w:hideMark/>
                </w:tcPr>
                <w:p w14:paraId="4814BB37" w14:textId="625F273B"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7Y</w:t>
                  </w:r>
                </w:p>
              </w:tc>
              <w:tc>
                <w:tcPr>
                  <w:tcW w:w="740" w:type="dxa"/>
                  <w:tcBorders>
                    <w:top w:val="nil"/>
                    <w:left w:val="nil"/>
                    <w:bottom w:val="single" w:sz="8" w:space="0" w:color="FFFFFF"/>
                    <w:right w:val="single" w:sz="8" w:space="0" w:color="FFFFFF"/>
                  </w:tcBorders>
                  <w:shd w:val="clear" w:color="000000" w:fill="FCD5B4"/>
                  <w:noWrap/>
                  <w:hideMark/>
                </w:tcPr>
                <w:p w14:paraId="5E5F0BFD" w14:textId="44F7DEF7"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4%</w:t>
                  </w:r>
                </w:p>
              </w:tc>
              <w:tc>
                <w:tcPr>
                  <w:tcW w:w="920" w:type="dxa"/>
                  <w:tcBorders>
                    <w:top w:val="nil"/>
                    <w:left w:val="nil"/>
                    <w:bottom w:val="single" w:sz="8" w:space="0" w:color="FFFFFF"/>
                    <w:right w:val="single" w:sz="8" w:space="0" w:color="FFFFFF"/>
                  </w:tcBorders>
                  <w:shd w:val="clear" w:color="000000" w:fill="FCD5B4"/>
                  <w:noWrap/>
                  <w:hideMark/>
                </w:tcPr>
                <w:p w14:paraId="7F5BCF09" w14:textId="2ACAC720"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5%</w:t>
                  </w:r>
                </w:p>
              </w:tc>
              <w:tc>
                <w:tcPr>
                  <w:tcW w:w="920" w:type="dxa"/>
                  <w:tcBorders>
                    <w:top w:val="nil"/>
                    <w:left w:val="nil"/>
                    <w:bottom w:val="single" w:sz="8" w:space="0" w:color="FFFFFF"/>
                    <w:right w:val="single" w:sz="8" w:space="0" w:color="FFFFFF"/>
                  </w:tcBorders>
                  <w:shd w:val="clear" w:color="000000" w:fill="FCD5B4"/>
                  <w:noWrap/>
                  <w:hideMark/>
                </w:tcPr>
                <w:p w14:paraId="00227C37" w14:textId="5540E13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CD5B4"/>
                  <w:noWrap/>
                  <w:hideMark/>
                </w:tcPr>
                <w:p w14:paraId="46040BD8" w14:textId="79A3D5B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60%</w:t>
                  </w:r>
                </w:p>
              </w:tc>
              <w:tc>
                <w:tcPr>
                  <w:tcW w:w="1149" w:type="dxa"/>
                  <w:tcBorders>
                    <w:top w:val="nil"/>
                    <w:left w:val="nil"/>
                    <w:bottom w:val="nil"/>
                    <w:right w:val="nil"/>
                  </w:tcBorders>
                  <w:shd w:val="clear" w:color="000000" w:fill="FCD5B4"/>
                  <w:noWrap/>
                  <w:hideMark/>
                </w:tcPr>
                <w:p w14:paraId="24472A59" w14:textId="42A00EBC" w:rsidR="003F4793" w:rsidRPr="003F4793" w:rsidRDefault="003F4793" w:rsidP="003F4793">
                  <w:pPr>
                    <w:widowControl/>
                    <w:jc w:val="center"/>
                    <w:rPr>
                      <w:rFonts w:ascii="KaiTi" w:eastAsia="KaiTi" w:hAnsi="KaiTi" w:cs="宋体"/>
                      <w:color w:val="000000"/>
                      <w:kern w:val="0"/>
                      <w:sz w:val="20"/>
                      <w:szCs w:val="20"/>
                    </w:rPr>
                  </w:pPr>
                  <w:proofErr w:type="gramStart"/>
                  <w:r w:rsidRPr="003F4793">
                    <w:rPr>
                      <w:rFonts w:ascii="KaiTi" w:eastAsia="KaiTi" w:hAnsi="KaiTi" w:hint="eastAsia"/>
                    </w:rPr>
                    <w:t>城投债</w:t>
                  </w:r>
                  <w:proofErr w:type="gramEnd"/>
                  <w:r w:rsidRPr="003F4793">
                    <w:rPr>
                      <w:rFonts w:ascii="KaiTi" w:eastAsia="KaiTi" w:hAnsi="KaiTi" w:hint="eastAsia"/>
                    </w:rPr>
                    <w:t>7Y</w:t>
                  </w:r>
                </w:p>
              </w:tc>
              <w:tc>
                <w:tcPr>
                  <w:tcW w:w="920" w:type="dxa"/>
                  <w:tcBorders>
                    <w:top w:val="nil"/>
                    <w:left w:val="nil"/>
                    <w:bottom w:val="single" w:sz="8" w:space="0" w:color="FFFFFF"/>
                    <w:right w:val="single" w:sz="8" w:space="0" w:color="FFFFFF"/>
                  </w:tcBorders>
                  <w:shd w:val="clear" w:color="000000" w:fill="FCD5B4"/>
                  <w:noWrap/>
                  <w:hideMark/>
                </w:tcPr>
                <w:p w14:paraId="59306821" w14:textId="78C20035"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3%</w:t>
                  </w:r>
                </w:p>
              </w:tc>
              <w:tc>
                <w:tcPr>
                  <w:tcW w:w="920" w:type="dxa"/>
                  <w:tcBorders>
                    <w:top w:val="nil"/>
                    <w:left w:val="nil"/>
                    <w:bottom w:val="single" w:sz="8" w:space="0" w:color="FFFFFF"/>
                    <w:right w:val="single" w:sz="8" w:space="0" w:color="FFFFFF"/>
                  </w:tcBorders>
                  <w:shd w:val="clear" w:color="000000" w:fill="FCD5B4"/>
                  <w:noWrap/>
                  <w:hideMark/>
                </w:tcPr>
                <w:p w14:paraId="3117A4FD" w14:textId="1659581F"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3%</w:t>
                  </w:r>
                </w:p>
              </w:tc>
              <w:tc>
                <w:tcPr>
                  <w:tcW w:w="920" w:type="dxa"/>
                  <w:tcBorders>
                    <w:top w:val="nil"/>
                    <w:left w:val="nil"/>
                    <w:bottom w:val="single" w:sz="8" w:space="0" w:color="FFFFFF"/>
                    <w:right w:val="single" w:sz="8" w:space="0" w:color="FFFFFF"/>
                  </w:tcBorders>
                  <w:shd w:val="clear" w:color="000000" w:fill="FCD5B4"/>
                  <w:noWrap/>
                  <w:hideMark/>
                </w:tcPr>
                <w:p w14:paraId="73214012" w14:textId="2DFD5053" w:rsidR="003F4793" w:rsidRPr="003F4793" w:rsidRDefault="003F4793" w:rsidP="003F4793">
                  <w:pPr>
                    <w:widowControl/>
                    <w:jc w:val="center"/>
                    <w:rPr>
                      <w:rFonts w:ascii="KaiTi" w:eastAsia="KaiTi" w:hAnsi="KaiTi" w:cs="Calibri"/>
                      <w:color w:val="000000"/>
                      <w:kern w:val="0"/>
                      <w:szCs w:val="21"/>
                    </w:rPr>
                  </w:pPr>
                  <w:r w:rsidRPr="003F4793">
                    <w:rPr>
                      <w:rFonts w:ascii="KaiTi" w:eastAsia="KaiTi" w:hAnsi="KaiTi" w:hint="eastAsia"/>
                    </w:rPr>
                    <w:t>6%</w:t>
                  </w:r>
                </w:p>
              </w:tc>
              <w:tc>
                <w:tcPr>
                  <w:tcW w:w="920" w:type="dxa"/>
                  <w:tcBorders>
                    <w:top w:val="nil"/>
                    <w:left w:val="nil"/>
                    <w:bottom w:val="single" w:sz="8" w:space="0" w:color="FFFFFF"/>
                    <w:right w:val="single" w:sz="8" w:space="0" w:color="FFFFFF"/>
                  </w:tcBorders>
                  <w:shd w:val="clear" w:color="000000" w:fill="FFC7CE"/>
                  <w:noWrap/>
                  <w:hideMark/>
                </w:tcPr>
                <w:p w14:paraId="5DA3DB4A" w14:textId="02380D74" w:rsidR="003F4793" w:rsidRPr="003F4793" w:rsidRDefault="003F4793" w:rsidP="003F4793">
                  <w:pPr>
                    <w:widowControl/>
                    <w:jc w:val="center"/>
                    <w:rPr>
                      <w:rFonts w:ascii="KaiTi" w:eastAsia="KaiTi" w:hAnsi="KaiTi" w:cs="Calibri"/>
                      <w:color w:val="9C0006"/>
                      <w:kern w:val="0"/>
                      <w:szCs w:val="21"/>
                    </w:rPr>
                  </w:pPr>
                  <w:r w:rsidRPr="003F4793">
                    <w:rPr>
                      <w:rFonts w:ascii="KaiTi" w:eastAsia="KaiTi" w:hAnsi="KaiTi" w:hint="eastAsia"/>
                    </w:rPr>
                    <w:t>81%</w:t>
                  </w:r>
                </w:p>
              </w:tc>
            </w:tr>
          </w:tbl>
          <w:p w14:paraId="446C7D6E" w14:textId="294F6511" w:rsidR="00E0626C" w:rsidRPr="003F4793" w:rsidRDefault="00E0626C" w:rsidP="0092340D">
            <w:pPr>
              <w:rPr>
                <w:rFonts w:ascii="KaiTi" w:eastAsia="KaiTi" w:hAnsi="KaiTi"/>
                <w:noProof/>
                <w:szCs w:val="18"/>
              </w:rPr>
            </w:pPr>
          </w:p>
        </w:tc>
      </w:tr>
      <w:tr w:rsidR="00E0626C" w:rsidRPr="00B41E24" w14:paraId="01D36A65" w14:textId="77777777" w:rsidTr="00220902">
        <w:trPr>
          <w:trHeight w:val="60"/>
          <w:jc w:val="center"/>
        </w:trPr>
        <w:tc>
          <w:tcPr>
            <w:tcW w:w="9713" w:type="dxa"/>
            <w:vAlign w:val="center"/>
          </w:tcPr>
          <w:p w14:paraId="6284202E" w14:textId="2B61B5A0" w:rsidR="00E0626C" w:rsidRPr="00B41E24" w:rsidRDefault="00E0626C" w:rsidP="009A2BA0">
            <w:pPr>
              <w:pStyle w:val="Source"/>
              <w:jc w:val="both"/>
              <w:rPr>
                <w:kern w:val="0"/>
              </w:rPr>
            </w:pPr>
            <w:r w:rsidRPr="00B41E24">
              <w:rPr>
                <w:rFonts w:hint="eastAsia"/>
                <w:kern w:val="0"/>
              </w:rPr>
              <w:lastRenderedPageBreak/>
              <w:t>资料来源：万得，富荣基金；利差基准为同期限国债</w:t>
            </w:r>
          </w:p>
        </w:tc>
      </w:tr>
    </w:tbl>
    <w:p w14:paraId="26A54476" w14:textId="77777777" w:rsidR="00E0626C" w:rsidRPr="00B41E24" w:rsidRDefault="00E0626C" w:rsidP="009A2BA0">
      <w:pPr>
        <w:pStyle w:val="Body-text"/>
        <w:spacing w:after="0"/>
        <w:rPr>
          <w:lang w:eastAsia="zh-CN"/>
        </w:rPr>
      </w:pPr>
    </w:p>
    <w:p w14:paraId="36CAED5C" w14:textId="77777777" w:rsidR="00CD1AE8" w:rsidRDefault="00CD1AE8" w:rsidP="009A2BA0">
      <w:pPr>
        <w:pStyle w:val="Header2"/>
        <w:rPr>
          <w:sz w:val="28"/>
          <w:szCs w:val="21"/>
          <w:lang w:eastAsia="zh-CN"/>
        </w:rPr>
      </w:pPr>
    </w:p>
    <w:p w14:paraId="2D403D4F" w14:textId="3112BC34" w:rsidR="00E0626C" w:rsidRPr="00CD2B4D" w:rsidRDefault="007A1586" w:rsidP="009A2BA0">
      <w:pPr>
        <w:pStyle w:val="Header2"/>
        <w:rPr>
          <w:rFonts w:eastAsia="PMingLiU"/>
          <w:sz w:val="28"/>
          <w:szCs w:val="21"/>
          <w:lang w:eastAsia="zh-CN"/>
        </w:rPr>
      </w:pPr>
      <w:r>
        <w:rPr>
          <w:sz w:val="28"/>
          <w:szCs w:val="21"/>
          <w:lang w:eastAsia="zh-CN"/>
        </w:rPr>
        <w:t>3</w:t>
      </w:r>
      <w:r w:rsidR="00E0626C" w:rsidRPr="00CD2B4D">
        <w:rPr>
          <w:rFonts w:hint="eastAsia"/>
          <w:sz w:val="28"/>
          <w:szCs w:val="21"/>
          <w:lang w:eastAsia="zh-CN"/>
        </w:rPr>
        <w:t>、</w:t>
      </w:r>
      <w:r w:rsidR="00E0626C" w:rsidRPr="00CD2B4D">
        <w:rPr>
          <w:rFonts w:hint="eastAsia"/>
          <w:sz w:val="28"/>
          <w:szCs w:val="21"/>
        </w:rPr>
        <w:t>可转债</w:t>
      </w:r>
    </w:p>
    <w:p w14:paraId="0457D77B" w14:textId="277348DE" w:rsidR="002D3316" w:rsidRPr="007A1586" w:rsidRDefault="003F4793" w:rsidP="002D3316">
      <w:pPr>
        <w:pStyle w:val="Body-text"/>
        <w:spacing w:after="240"/>
        <w:ind w:firstLineChars="200" w:firstLine="480"/>
        <w:rPr>
          <w:rFonts w:ascii="华文楷体" w:hAnsi="华文楷体"/>
          <w:sz w:val="24"/>
          <w:szCs w:val="24"/>
          <w:lang w:eastAsia="zh-CN"/>
        </w:rPr>
      </w:pPr>
      <w:r w:rsidRPr="003F4793">
        <w:rPr>
          <w:rFonts w:ascii="华文楷体" w:hAnsi="华文楷体" w:hint="eastAsia"/>
          <w:sz w:val="24"/>
          <w:szCs w:val="24"/>
          <w:lang w:eastAsia="zh-CN"/>
        </w:rPr>
        <w:t>权益主要指数仍在分化，小盘股全周</w:t>
      </w:r>
      <w:proofErr w:type="gramStart"/>
      <w:r w:rsidRPr="003F4793">
        <w:rPr>
          <w:rFonts w:ascii="华文楷体" w:hAnsi="华文楷体" w:hint="eastAsia"/>
          <w:sz w:val="24"/>
          <w:szCs w:val="24"/>
          <w:lang w:eastAsia="zh-CN"/>
        </w:rPr>
        <w:t>看继续</w:t>
      </w:r>
      <w:proofErr w:type="gramEnd"/>
      <w:r w:rsidRPr="003F4793">
        <w:rPr>
          <w:rFonts w:ascii="华文楷体" w:hAnsi="华文楷体" w:hint="eastAsia"/>
          <w:sz w:val="24"/>
          <w:szCs w:val="24"/>
          <w:lang w:eastAsia="zh-CN"/>
        </w:rPr>
        <w:t>强于大盘</w:t>
      </w:r>
      <w:r w:rsidR="006A1096">
        <w:rPr>
          <w:rFonts w:ascii="华文楷体" w:hAnsi="华文楷体" w:hint="eastAsia"/>
          <w:sz w:val="24"/>
          <w:szCs w:val="24"/>
          <w:lang w:eastAsia="zh-CN"/>
        </w:rPr>
        <w:t>股</w:t>
      </w:r>
      <w:r w:rsidRPr="003F4793">
        <w:rPr>
          <w:rFonts w:ascii="华文楷体" w:hAnsi="华文楷体" w:hint="eastAsia"/>
          <w:sz w:val="24"/>
          <w:szCs w:val="24"/>
          <w:lang w:eastAsia="zh-CN"/>
        </w:rPr>
        <w:t>，但周内出现一定的反转迹象。具体看，上证综指上涨1.68%</w:t>
      </w:r>
      <w:r w:rsidR="006A1096">
        <w:rPr>
          <w:rFonts w:ascii="华文楷体" w:hAnsi="华文楷体" w:hint="eastAsia"/>
          <w:sz w:val="24"/>
          <w:szCs w:val="24"/>
          <w:lang w:eastAsia="zh-CN"/>
        </w:rPr>
        <w:t>，</w:t>
      </w:r>
      <w:r w:rsidRPr="003F4793">
        <w:rPr>
          <w:rFonts w:ascii="华文楷体" w:hAnsi="华文楷体" w:hint="eastAsia"/>
          <w:sz w:val="24"/>
          <w:szCs w:val="24"/>
          <w:lang w:eastAsia="zh-CN"/>
        </w:rPr>
        <w:t>上证50指数上涨0.69%，沪深300指数上涨0.50%，中证500指数上涨2.16%，</w:t>
      </w:r>
      <w:proofErr w:type="gramStart"/>
      <w:r w:rsidRPr="003F4793">
        <w:rPr>
          <w:rFonts w:ascii="华文楷体" w:hAnsi="华文楷体" w:hint="eastAsia"/>
          <w:sz w:val="24"/>
          <w:szCs w:val="24"/>
          <w:lang w:eastAsia="zh-CN"/>
        </w:rPr>
        <w:t>创业板受部分</w:t>
      </w:r>
      <w:proofErr w:type="gramEnd"/>
      <w:r w:rsidRPr="003F4793">
        <w:rPr>
          <w:rFonts w:ascii="华文楷体" w:hAnsi="华文楷体" w:hint="eastAsia"/>
          <w:sz w:val="24"/>
          <w:szCs w:val="24"/>
          <w:lang w:eastAsia="zh-CN"/>
        </w:rPr>
        <w:t>热门成长赛道拖累大跌4.18%。</w:t>
      </w:r>
      <w:proofErr w:type="gramStart"/>
      <w:r w:rsidRPr="003F4793">
        <w:rPr>
          <w:rFonts w:ascii="华文楷体" w:hAnsi="华文楷体" w:hint="eastAsia"/>
          <w:sz w:val="24"/>
          <w:szCs w:val="24"/>
          <w:lang w:eastAsia="zh-CN"/>
        </w:rPr>
        <w:t>中证转债</w:t>
      </w:r>
      <w:proofErr w:type="gramEnd"/>
      <w:r w:rsidRPr="003F4793">
        <w:rPr>
          <w:rFonts w:ascii="华文楷体" w:hAnsi="华文楷体" w:hint="eastAsia"/>
          <w:sz w:val="24"/>
          <w:szCs w:val="24"/>
          <w:lang w:eastAsia="zh-CN"/>
        </w:rPr>
        <w:t>涨幅1.11%，表现强于沪深300及上证50指数。</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9864B5" w14:paraId="7CDD9AAA" w14:textId="77777777" w:rsidTr="006F21C0">
        <w:trPr>
          <w:jc w:val="center"/>
        </w:trPr>
        <w:tc>
          <w:tcPr>
            <w:tcW w:w="4939" w:type="dxa"/>
            <w:vAlign w:val="center"/>
          </w:tcPr>
          <w:p w14:paraId="13C69F6A" w14:textId="03E04781" w:rsidR="00E0626C" w:rsidRPr="009864B5" w:rsidRDefault="00E0626C" w:rsidP="009A2BA0">
            <w:pPr>
              <w:pStyle w:val="ChartHeading"/>
              <w:jc w:val="both"/>
            </w:pPr>
            <w:r w:rsidRPr="009864B5">
              <w:rPr>
                <w:rFonts w:hint="eastAsia"/>
              </w:rPr>
              <w:t>图表</w:t>
            </w:r>
            <w:r w:rsidRPr="009864B5">
              <w:t xml:space="preserve">. </w:t>
            </w:r>
            <w:r w:rsidR="00005D9A" w:rsidRPr="009864B5">
              <w:rPr>
                <w:rFonts w:hint="eastAsia"/>
              </w:rPr>
              <w:t>A</w:t>
            </w:r>
            <w:r w:rsidR="00005D9A" w:rsidRPr="009864B5">
              <w:rPr>
                <w:rFonts w:hint="eastAsia"/>
              </w:rPr>
              <w:t>股</w:t>
            </w:r>
            <w:r w:rsidRPr="009864B5">
              <w:rPr>
                <w:rFonts w:hint="eastAsia"/>
              </w:rPr>
              <w:t>主要指数交易和估值情况</w:t>
            </w:r>
          </w:p>
        </w:tc>
        <w:tc>
          <w:tcPr>
            <w:tcW w:w="4938" w:type="dxa"/>
            <w:vAlign w:val="center"/>
          </w:tcPr>
          <w:p w14:paraId="45DE5131" w14:textId="48699973" w:rsidR="00E0626C" w:rsidRPr="009864B5" w:rsidRDefault="00E0626C" w:rsidP="009A2BA0">
            <w:pPr>
              <w:pStyle w:val="ChartHeading"/>
              <w:jc w:val="both"/>
            </w:pPr>
            <w:r w:rsidRPr="009864B5">
              <w:rPr>
                <w:rFonts w:hint="eastAsia"/>
              </w:rPr>
              <w:t>图表</w:t>
            </w:r>
            <w:r w:rsidRPr="009864B5">
              <w:t xml:space="preserve">. </w:t>
            </w:r>
            <w:r w:rsidR="00416C5F" w:rsidRPr="009864B5">
              <w:rPr>
                <w:rFonts w:hint="eastAsia"/>
              </w:rPr>
              <w:t>转</w:t>
            </w:r>
            <w:proofErr w:type="gramStart"/>
            <w:r w:rsidR="00416C5F" w:rsidRPr="009864B5">
              <w:rPr>
                <w:rFonts w:hint="eastAsia"/>
              </w:rPr>
              <w:t>债指数</w:t>
            </w:r>
            <w:proofErr w:type="gramEnd"/>
            <w:r w:rsidR="00416C5F" w:rsidRPr="009864B5">
              <w:rPr>
                <w:rFonts w:hint="eastAsia"/>
              </w:rPr>
              <w:t>与股指累计变化</w:t>
            </w:r>
          </w:p>
        </w:tc>
      </w:tr>
      <w:tr w:rsidR="00E0626C" w:rsidRPr="009864B5" w14:paraId="2CD3B9EE" w14:textId="77777777" w:rsidTr="00CD1AE8">
        <w:tblPrEx>
          <w:tblCellMar>
            <w:left w:w="108" w:type="dxa"/>
            <w:right w:w="108" w:type="dxa"/>
          </w:tblCellMar>
        </w:tblPrEx>
        <w:trPr>
          <w:trHeight w:val="2921"/>
          <w:jc w:val="center"/>
        </w:trPr>
        <w:tc>
          <w:tcPr>
            <w:tcW w:w="4939" w:type="dxa"/>
            <w:vAlign w:val="center"/>
          </w:tcPr>
          <w:p w14:paraId="5C83721A" w14:textId="7AE1146F" w:rsidR="00E0626C" w:rsidRPr="009864B5" w:rsidRDefault="000D5A58" w:rsidP="00345C30">
            <w:pPr>
              <w:widowControl/>
              <w:jc w:val="left"/>
              <w:rPr>
                <w:rFonts w:ascii="宋体" w:hAnsi="宋体" w:cs="宋体"/>
                <w:kern w:val="0"/>
                <w:sz w:val="24"/>
                <w:szCs w:val="24"/>
              </w:rPr>
            </w:pPr>
            <w:r w:rsidRPr="009864B5">
              <w:rPr>
                <w:rFonts w:ascii="宋体" w:hAnsi="宋体" w:cs="宋体"/>
                <w:noProof/>
                <w:kern w:val="0"/>
                <w:sz w:val="24"/>
                <w:szCs w:val="24"/>
              </w:rPr>
              <w:drawing>
                <wp:inline distT="0" distB="0" distL="0" distR="0" wp14:anchorId="3B61FF58" wp14:editId="772C8A94">
                  <wp:extent cx="3050131" cy="1715057"/>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1"/>
                          <a:stretch>
                            <a:fillRect/>
                          </a:stretch>
                        </pic:blipFill>
                        <pic:spPr bwMode="auto">
                          <a:xfrm>
                            <a:off x="0" y="0"/>
                            <a:ext cx="3050131" cy="1715057"/>
                          </a:xfrm>
                          <a:prstGeom prst="rect">
                            <a:avLst/>
                          </a:prstGeom>
                          <a:noFill/>
                          <a:ln>
                            <a:noFill/>
                          </a:ln>
                        </pic:spPr>
                      </pic:pic>
                    </a:graphicData>
                  </a:graphic>
                </wp:inline>
              </w:drawing>
            </w:r>
          </w:p>
        </w:tc>
        <w:tc>
          <w:tcPr>
            <w:tcW w:w="4938" w:type="dxa"/>
            <w:vAlign w:val="center"/>
          </w:tcPr>
          <w:p w14:paraId="39BD4383" w14:textId="00C92873" w:rsidR="00E0626C" w:rsidRPr="009864B5" w:rsidRDefault="00CD1AE8" w:rsidP="009A2BA0">
            <w:pPr>
              <w:jc w:val="center"/>
              <w:rPr>
                <w:noProof/>
                <w:szCs w:val="18"/>
              </w:rPr>
            </w:pPr>
            <w:r>
              <w:rPr>
                <w:noProof/>
              </w:rPr>
              <w:drawing>
                <wp:inline distT="0" distB="0" distL="0" distR="0" wp14:anchorId="40216A11" wp14:editId="5CEEE10C">
                  <wp:extent cx="2996814" cy="1863367"/>
                  <wp:effectExtent l="0" t="0" r="0" b="3810"/>
                  <wp:docPr id="6" name="图表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9864B5" w14:paraId="14E5D572" w14:textId="77777777" w:rsidTr="006F21C0">
        <w:trPr>
          <w:trHeight w:val="64"/>
          <w:jc w:val="center"/>
        </w:trPr>
        <w:tc>
          <w:tcPr>
            <w:tcW w:w="4939" w:type="dxa"/>
            <w:vAlign w:val="center"/>
          </w:tcPr>
          <w:p w14:paraId="5190A1EC" w14:textId="77777777" w:rsidR="00E0626C" w:rsidRPr="009864B5" w:rsidRDefault="00E0626C" w:rsidP="009A2BA0">
            <w:pPr>
              <w:pStyle w:val="Source"/>
              <w:jc w:val="both"/>
              <w:rPr>
                <w:kern w:val="0"/>
              </w:rPr>
            </w:pPr>
            <w:r w:rsidRPr="009864B5">
              <w:rPr>
                <w:rFonts w:hint="eastAsia"/>
                <w:kern w:val="0"/>
              </w:rPr>
              <w:lastRenderedPageBreak/>
              <w:t>资料来源：万得，富</w:t>
            </w:r>
            <w:proofErr w:type="gramStart"/>
            <w:r w:rsidRPr="009864B5">
              <w:rPr>
                <w:rFonts w:hint="eastAsia"/>
                <w:kern w:val="0"/>
              </w:rPr>
              <w:t>荣基金</w:t>
            </w:r>
            <w:proofErr w:type="gramEnd"/>
          </w:p>
        </w:tc>
        <w:tc>
          <w:tcPr>
            <w:tcW w:w="4938" w:type="dxa"/>
            <w:vAlign w:val="center"/>
          </w:tcPr>
          <w:p w14:paraId="34A0B8FF" w14:textId="77777777" w:rsidR="00E0626C" w:rsidRPr="009864B5" w:rsidRDefault="00E0626C" w:rsidP="009A2BA0">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4E844C6C" w14:textId="3D204079" w:rsidR="00E0626C" w:rsidRDefault="00E0626C" w:rsidP="009A2BA0">
      <w:pPr>
        <w:pStyle w:val="Body-text"/>
        <w:spacing w:after="0"/>
        <w:rPr>
          <w:lang w:eastAsia="zh-CN"/>
        </w:rPr>
      </w:pPr>
    </w:p>
    <w:p w14:paraId="310684E7" w14:textId="1BF83506" w:rsidR="007A1586" w:rsidRPr="00CD2B4D" w:rsidRDefault="007A1586" w:rsidP="007A1586">
      <w:pPr>
        <w:pStyle w:val="Header2"/>
        <w:rPr>
          <w:rFonts w:eastAsia="PMingLiU"/>
          <w:sz w:val="28"/>
          <w:szCs w:val="21"/>
        </w:rPr>
      </w:pPr>
      <w:r>
        <w:rPr>
          <w:sz w:val="28"/>
          <w:szCs w:val="21"/>
          <w:lang w:eastAsia="zh-CN"/>
        </w:rPr>
        <w:t>4</w:t>
      </w:r>
      <w:r w:rsidRPr="00CD2B4D">
        <w:rPr>
          <w:rFonts w:hint="eastAsia"/>
          <w:sz w:val="28"/>
          <w:szCs w:val="21"/>
          <w:lang w:eastAsia="zh-CN"/>
        </w:rPr>
        <w:t>、</w:t>
      </w:r>
      <w:r w:rsidRPr="007A1586">
        <w:rPr>
          <w:rFonts w:hint="eastAsia"/>
          <w:sz w:val="28"/>
          <w:szCs w:val="21"/>
        </w:rPr>
        <w:t>其</w:t>
      </w:r>
      <w:r w:rsidR="006A1096">
        <w:rPr>
          <w:rFonts w:hint="eastAsia"/>
          <w:sz w:val="28"/>
          <w:szCs w:val="21"/>
          <w:lang w:eastAsia="zh-CN"/>
        </w:rPr>
        <w:t>它</w:t>
      </w:r>
      <w:r w:rsidRPr="007A1586">
        <w:rPr>
          <w:rFonts w:hint="eastAsia"/>
          <w:sz w:val="28"/>
          <w:szCs w:val="21"/>
        </w:rPr>
        <w:t>资产</w:t>
      </w:r>
    </w:p>
    <w:p w14:paraId="195646D0" w14:textId="3E20135F" w:rsidR="007A1586" w:rsidRDefault="003F4793" w:rsidP="007A1586">
      <w:pPr>
        <w:pStyle w:val="Body-text"/>
        <w:spacing w:after="240"/>
        <w:ind w:firstLineChars="200" w:firstLine="480"/>
        <w:rPr>
          <w:rFonts w:ascii="华文楷体" w:hAnsi="华文楷体"/>
          <w:sz w:val="24"/>
          <w:szCs w:val="24"/>
          <w:lang w:eastAsia="zh-CN"/>
        </w:rPr>
      </w:pPr>
      <w:r w:rsidRPr="003F4793">
        <w:rPr>
          <w:rFonts w:ascii="华文楷体" w:hAnsi="华文楷体" w:hint="eastAsia"/>
          <w:sz w:val="24"/>
          <w:szCs w:val="24"/>
          <w:lang w:eastAsia="zh-CN"/>
        </w:rPr>
        <w:t>其</w:t>
      </w:r>
      <w:r w:rsidR="006A1096">
        <w:rPr>
          <w:rFonts w:ascii="华文楷体" w:hAnsi="华文楷体" w:hint="eastAsia"/>
          <w:sz w:val="24"/>
          <w:szCs w:val="24"/>
          <w:lang w:eastAsia="zh-CN"/>
        </w:rPr>
        <w:t>它</w:t>
      </w:r>
      <w:r w:rsidRPr="003F4793">
        <w:rPr>
          <w:rFonts w:ascii="华文楷体" w:hAnsi="华文楷体" w:hint="eastAsia"/>
          <w:sz w:val="24"/>
          <w:szCs w:val="24"/>
          <w:lang w:eastAsia="zh-CN"/>
        </w:rPr>
        <w:t>资产方面，在岸人民币对美元先升后贬，全周变化不大</w:t>
      </w:r>
      <w:r w:rsidR="00E44F44">
        <w:rPr>
          <w:rFonts w:ascii="华文楷体" w:hAnsi="华文楷体" w:hint="eastAsia"/>
          <w:sz w:val="24"/>
          <w:szCs w:val="24"/>
          <w:lang w:eastAsia="zh-CN"/>
        </w:rPr>
        <w:t>；</w:t>
      </w:r>
      <w:r w:rsidRPr="003F4793">
        <w:rPr>
          <w:rFonts w:ascii="华文楷体" w:hAnsi="华文楷体" w:hint="eastAsia"/>
          <w:sz w:val="24"/>
          <w:szCs w:val="24"/>
          <w:lang w:eastAsia="zh-CN"/>
        </w:rPr>
        <w:t>伦敦金现触底反弹上涨0.94%至1799.92美元</w:t>
      </w:r>
      <w:r w:rsidR="00E44F44">
        <w:rPr>
          <w:rFonts w:ascii="华文楷体" w:hAnsi="华文楷体" w:hint="eastAsia"/>
          <w:sz w:val="24"/>
          <w:szCs w:val="24"/>
          <w:lang w:eastAsia="zh-CN"/>
        </w:rPr>
        <w:t>；</w:t>
      </w:r>
      <w:proofErr w:type="gramStart"/>
      <w:r w:rsidRPr="003F4793">
        <w:rPr>
          <w:rFonts w:ascii="华文楷体" w:hAnsi="华文楷体" w:hint="eastAsia"/>
          <w:sz w:val="24"/>
          <w:szCs w:val="24"/>
          <w:lang w:eastAsia="zh-CN"/>
        </w:rPr>
        <w:t>标普</w:t>
      </w:r>
      <w:proofErr w:type="gramEnd"/>
      <w:r w:rsidRPr="003F4793">
        <w:rPr>
          <w:rFonts w:ascii="华文楷体" w:hAnsi="华文楷体" w:hint="eastAsia"/>
          <w:sz w:val="24"/>
          <w:szCs w:val="24"/>
          <w:lang w:eastAsia="zh-CN"/>
        </w:rPr>
        <w:t>500指数上涨0.71%</w:t>
      </w:r>
      <w:proofErr w:type="gramStart"/>
      <w:r w:rsidRPr="003F4793">
        <w:rPr>
          <w:rFonts w:ascii="华文楷体" w:hAnsi="华文楷体" w:hint="eastAsia"/>
          <w:sz w:val="24"/>
          <w:szCs w:val="24"/>
          <w:lang w:eastAsia="zh-CN"/>
        </w:rPr>
        <w:t>续创历史</w:t>
      </w:r>
      <w:proofErr w:type="gramEnd"/>
      <w:r w:rsidRPr="003F4793">
        <w:rPr>
          <w:rFonts w:ascii="华文楷体" w:hAnsi="华文楷体" w:hint="eastAsia"/>
          <w:sz w:val="24"/>
          <w:szCs w:val="24"/>
          <w:lang w:eastAsia="zh-CN"/>
        </w:rPr>
        <w:t>新高</w:t>
      </w:r>
      <w:r w:rsidR="00E44F44">
        <w:rPr>
          <w:rFonts w:ascii="华文楷体" w:hAnsi="华文楷体" w:hint="eastAsia"/>
          <w:sz w:val="24"/>
          <w:szCs w:val="24"/>
          <w:lang w:eastAsia="zh-CN"/>
        </w:rPr>
        <w:t>；</w:t>
      </w:r>
      <w:proofErr w:type="gramStart"/>
      <w:r w:rsidRPr="003F4793">
        <w:rPr>
          <w:rFonts w:ascii="华文楷体" w:hAnsi="华文楷体" w:hint="eastAsia"/>
          <w:sz w:val="24"/>
          <w:szCs w:val="24"/>
          <w:lang w:eastAsia="zh-CN"/>
        </w:rPr>
        <w:t>布油价格</w:t>
      </w:r>
      <w:proofErr w:type="gramEnd"/>
      <w:r w:rsidRPr="003F4793">
        <w:rPr>
          <w:rFonts w:ascii="华文楷体" w:hAnsi="华文楷体" w:hint="eastAsia"/>
          <w:sz w:val="24"/>
          <w:szCs w:val="24"/>
          <w:lang w:eastAsia="zh-CN"/>
        </w:rPr>
        <w:t>微跌0.64%至70.25美元每桶</w:t>
      </w:r>
      <w:r w:rsidR="00E44F44">
        <w:rPr>
          <w:rFonts w:ascii="华文楷体" w:hAnsi="华文楷体" w:hint="eastAsia"/>
          <w:sz w:val="24"/>
          <w:szCs w:val="24"/>
          <w:lang w:eastAsia="zh-CN"/>
        </w:rPr>
        <w:t>；</w:t>
      </w:r>
      <w:r w:rsidRPr="003F4793">
        <w:rPr>
          <w:rFonts w:ascii="华文楷体" w:hAnsi="华文楷体" w:hint="eastAsia"/>
          <w:sz w:val="24"/>
          <w:szCs w:val="24"/>
          <w:lang w:eastAsia="zh-CN"/>
        </w:rPr>
        <w:t>LME铜上涨0.55%</w:t>
      </w:r>
      <w:r w:rsidR="00E44F44">
        <w:rPr>
          <w:rFonts w:ascii="华文楷体" w:hAnsi="华文楷体" w:hint="eastAsia"/>
          <w:sz w:val="24"/>
          <w:szCs w:val="24"/>
          <w:lang w:eastAsia="zh-CN"/>
        </w:rPr>
        <w:t>；</w:t>
      </w:r>
      <w:r w:rsidRPr="003F4793">
        <w:rPr>
          <w:rFonts w:ascii="华文楷体" w:hAnsi="华文楷体" w:hint="eastAsia"/>
          <w:sz w:val="24"/>
          <w:szCs w:val="24"/>
          <w:lang w:eastAsia="zh-CN"/>
        </w:rPr>
        <w:t>10年美债震荡下行1.8</w:t>
      </w:r>
      <w:r w:rsidR="00E44F44">
        <w:rPr>
          <w:rFonts w:ascii="华文楷体" w:hAnsi="华文楷体" w:hint="eastAsia"/>
          <w:sz w:val="24"/>
          <w:szCs w:val="24"/>
          <w:lang w:eastAsia="zh-CN"/>
        </w:rPr>
        <w:t>BP</w:t>
      </w:r>
      <w:r w:rsidRPr="003F4793">
        <w:rPr>
          <w:rFonts w:ascii="华文楷体" w:hAnsi="华文楷体" w:hint="eastAsia"/>
          <w:sz w:val="24"/>
          <w:szCs w:val="24"/>
          <w:lang w:eastAsia="zh-CN"/>
        </w:rPr>
        <w:t>收于1.283%。</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FC1FA4" w:rsidRPr="009864B5" w14:paraId="32605E27" w14:textId="77777777" w:rsidTr="00A6753F">
        <w:trPr>
          <w:trHeight w:val="202"/>
          <w:jc w:val="center"/>
        </w:trPr>
        <w:tc>
          <w:tcPr>
            <w:tcW w:w="4939" w:type="dxa"/>
            <w:vAlign w:val="center"/>
          </w:tcPr>
          <w:p w14:paraId="157B53B4" w14:textId="19E426CF" w:rsidR="00FC1FA4" w:rsidRPr="009864B5" w:rsidRDefault="00FC1FA4" w:rsidP="00692D2B">
            <w:pPr>
              <w:pStyle w:val="ChartHeading"/>
              <w:jc w:val="both"/>
            </w:pPr>
            <w:r w:rsidRPr="009864B5">
              <w:rPr>
                <w:rFonts w:hint="eastAsia"/>
              </w:rPr>
              <w:t>图表</w:t>
            </w:r>
            <w:r w:rsidRPr="009864B5">
              <w:t xml:space="preserve">. </w:t>
            </w:r>
            <w:r>
              <w:rPr>
                <w:rFonts w:hint="eastAsia"/>
              </w:rPr>
              <w:t>人民币汇率</w:t>
            </w:r>
            <w:r w:rsidRPr="009864B5">
              <w:t xml:space="preserve"> </w:t>
            </w:r>
          </w:p>
        </w:tc>
        <w:tc>
          <w:tcPr>
            <w:tcW w:w="4938" w:type="dxa"/>
            <w:vAlign w:val="center"/>
          </w:tcPr>
          <w:p w14:paraId="3746CE2D" w14:textId="6B83B863" w:rsidR="00FC1FA4" w:rsidRPr="009864B5" w:rsidRDefault="00FC1FA4" w:rsidP="00692D2B">
            <w:pPr>
              <w:pStyle w:val="ChartHeading"/>
              <w:jc w:val="both"/>
            </w:pPr>
            <w:r w:rsidRPr="009864B5">
              <w:rPr>
                <w:rFonts w:hint="eastAsia"/>
              </w:rPr>
              <w:t>图表</w:t>
            </w:r>
            <w:r w:rsidRPr="009864B5">
              <w:t xml:space="preserve">. </w:t>
            </w:r>
            <w:r>
              <w:rPr>
                <w:rFonts w:hint="eastAsia"/>
              </w:rPr>
              <w:t>铜价</w:t>
            </w:r>
            <w:r>
              <w:rPr>
                <w:rFonts w:hint="eastAsia"/>
              </w:rPr>
              <w:t xml:space="preserve"> &amp;</w:t>
            </w:r>
            <w:r>
              <w:t xml:space="preserve"> </w:t>
            </w:r>
            <w:r>
              <w:rPr>
                <w:rFonts w:hint="eastAsia"/>
              </w:rPr>
              <w:t>油价</w:t>
            </w:r>
          </w:p>
        </w:tc>
      </w:tr>
      <w:tr w:rsidR="00FC1FA4" w:rsidRPr="009864B5" w14:paraId="77E9D724" w14:textId="77777777" w:rsidTr="00CD1AE8">
        <w:tblPrEx>
          <w:tblCellMar>
            <w:left w:w="108" w:type="dxa"/>
            <w:right w:w="108" w:type="dxa"/>
          </w:tblCellMar>
        </w:tblPrEx>
        <w:trPr>
          <w:trHeight w:val="2921"/>
          <w:jc w:val="center"/>
        </w:trPr>
        <w:tc>
          <w:tcPr>
            <w:tcW w:w="4939" w:type="dxa"/>
            <w:vAlign w:val="center"/>
          </w:tcPr>
          <w:p w14:paraId="3608D4C9" w14:textId="29F15B69" w:rsidR="00FC1FA4" w:rsidRPr="009864B5" w:rsidRDefault="00CD1AE8" w:rsidP="00692D2B">
            <w:pPr>
              <w:widowControl/>
              <w:jc w:val="left"/>
              <w:rPr>
                <w:rFonts w:ascii="宋体" w:hAnsi="宋体" w:cs="宋体"/>
                <w:kern w:val="0"/>
                <w:sz w:val="24"/>
                <w:szCs w:val="24"/>
              </w:rPr>
            </w:pPr>
            <w:r>
              <w:rPr>
                <w:noProof/>
              </w:rPr>
              <w:drawing>
                <wp:inline distT="0" distB="0" distL="0" distR="0" wp14:anchorId="2B4C9673" wp14:editId="3434824F">
                  <wp:extent cx="2999105" cy="1747520"/>
                  <wp:effectExtent l="0" t="0" r="0" b="5080"/>
                  <wp:docPr id="10" name="图表 10">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0BD7FBF7" w14:textId="71EBBF25" w:rsidR="00FC1FA4" w:rsidRPr="009864B5" w:rsidRDefault="00CD1AE8" w:rsidP="00692D2B">
            <w:pPr>
              <w:jc w:val="center"/>
              <w:rPr>
                <w:noProof/>
                <w:szCs w:val="18"/>
              </w:rPr>
            </w:pPr>
            <w:r>
              <w:rPr>
                <w:noProof/>
              </w:rPr>
              <w:drawing>
                <wp:inline distT="0" distB="0" distL="0" distR="0" wp14:anchorId="7C10F53C" wp14:editId="319CF64F">
                  <wp:extent cx="2998470" cy="1742440"/>
                  <wp:effectExtent l="0" t="0" r="11430" b="0"/>
                  <wp:docPr id="11" name="图表 11">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4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FC1FA4" w:rsidRPr="009864B5" w14:paraId="0C5F09C1" w14:textId="77777777" w:rsidTr="00692D2B">
        <w:trPr>
          <w:trHeight w:val="64"/>
          <w:jc w:val="center"/>
        </w:trPr>
        <w:tc>
          <w:tcPr>
            <w:tcW w:w="4939" w:type="dxa"/>
            <w:vAlign w:val="center"/>
          </w:tcPr>
          <w:p w14:paraId="60EF8AEB"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c>
          <w:tcPr>
            <w:tcW w:w="4938" w:type="dxa"/>
            <w:vAlign w:val="center"/>
          </w:tcPr>
          <w:p w14:paraId="60B14989" w14:textId="77777777" w:rsidR="00FC1FA4" w:rsidRPr="009864B5" w:rsidRDefault="00FC1FA4" w:rsidP="00692D2B">
            <w:pPr>
              <w:pStyle w:val="Source"/>
              <w:jc w:val="both"/>
              <w:rPr>
                <w:kern w:val="0"/>
              </w:rPr>
            </w:pPr>
            <w:r w:rsidRPr="009864B5">
              <w:rPr>
                <w:rFonts w:hint="eastAsia"/>
                <w:kern w:val="0"/>
              </w:rPr>
              <w:t>资料来源：万得，富</w:t>
            </w:r>
            <w:proofErr w:type="gramStart"/>
            <w:r w:rsidRPr="009864B5">
              <w:rPr>
                <w:rFonts w:hint="eastAsia"/>
                <w:kern w:val="0"/>
              </w:rPr>
              <w:t>荣基金</w:t>
            </w:r>
            <w:proofErr w:type="gramEnd"/>
          </w:p>
        </w:tc>
      </w:tr>
    </w:tbl>
    <w:p w14:paraId="01B19A5B" w14:textId="7BA451BD" w:rsidR="00FC1FA4" w:rsidRDefault="00FC1FA4" w:rsidP="007A1586">
      <w:pPr>
        <w:pStyle w:val="Body-text"/>
        <w:spacing w:after="240"/>
        <w:ind w:firstLineChars="200" w:firstLine="480"/>
        <w:rPr>
          <w:rFonts w:ascii="华文楷体" w:hAnsi="华文楷体"/>
          <w:sz w:val="24"/>
          <w:szCs w:val="24"/>
          <w:lang w:eastAsia="zh-CN"/>
        </w:rPr>
      </w:pPr>
    </w:p>
    <w:p w14:paraId="70131D19" w14:textId="1C98DF93" w:rsidR="002D3316" w:rsidRDefault="002D3316" w:rsidP="002D3316">
      <w:pPr>
        <w:pStyle w:val="Header2"/>
        <w:rPr>
          <w:sz w:val="28"/>
          <w:szCs w:val="21"/>
          <w:lang w:eastAsia="zh-CN"/>
        </w:rPr>
      </w:pPr>
      <w:r>
        <w:rPr>
          <w:sz w:val="28"/>
          <w:szCs w:val="21"/>
          <w:lang w:eastAsia="zh-CN"/>
        </w:rPr>
        <w:t>5</w:t>
      </w:r>
      <w:r>
        <w:rPr>
          <w:rFonts w:hint="eastAsia"/>
          <w:sz w:val="28"/>
          <w:szCs w:val="21"/>
          <w:lang w:eastAsia="zh-CN"/>
        </w:rPr>
        <w:t>、高频数据</w:t>
      </w:r>
    </w:p>
    <w:p w14:paraId="69E0CC86" w14:textId="18515C4C" w:rsidR="002D3316" w:rsidRDefault="002D3316" w:rsidP="00BC1DA3">
      <w:pPr>
        <w:pStyle w:val="Body-text"/>
        <w:spacing w:after="240"/>
        <w:ind w:firstLineChars="200" w:firstLine="480"/>
        <w:rPr>
          <w:rFonts w:ascii="华文楷体" w:hAnsi="华文楷体"/>
          <w:sz w:val="24"/>
          <w:szCs w:val="24"/>
          <w:lang w:eastAsia="zh-CN"/>
        </w:rPr>
      </w:pPr>
      <w:r w:rsidRPr="002D3316">
        <w:rPr>
          <w:rFonts w:ascii="华文楷体" w:hAnsi="华文楷体" w:hint="eastAsia"/>
          <w:sz w:val="24"/>
          <w:szCs w:val="24"/>
          <w:lang w:eastAsia="zh-CN"/>
        </w:rPr>
        <w:t>上游铁矿石、</w:t>
      </w:r>
      <w:r w:rsidR="00CD1AE8">
        <w:rPr>
          <w:rFonts w:ascii="华文楷体" w:hAnsi="华文楷体" w:hint="eastAsia"/>
          <w:sz w:val="24"/>
          <w:szCs w:val="24"/>
          <w:lang w:eastAsia="zh-CN"/>
        </w:rPr>
        <w:t>动力煤</w:t>
      </w:r>
      <w:r w:rsidR="002A7C89">
        <w:rPr>
          <w:rFonts w:ascii="华文楷体" w:hAnsi="华文楷体" w:hint="eastAsia"/>
          <w:sz w:val="24"/>
          <w:szCs w:val="24"/>
          <w:lang w:eastAsia="zh-CN"/>
        </w:rPr>
        <w:t>、</w:t>
      </w:r>
      <w:r w:rsidR="002A7C89" w:rsidRPr="002D3316">
        <w:rPr>
          <w:rFonts w:ascii="华文楷体" w:hAnsi="华文楷体" w:hint="eastAsia"/>
          <w:sz w:val="24"/>
          <w:szCs w:val="24"/>
          <w:lang w:eastAsia="zh-CN"/>
        </w:rPr>
        <w:t>原油</w:t>
      </w:r>
      <w:r w:rsidR="00CD1AE8">
        <w:rPr>
          <w:rFonts w:ascii="华文楷体" w:hAnsi="华文楷体" w:hint="eastAsia"/>
          <w:sz w:val="24"/>
          <w:szCs w:val="24"/>
          <w:lang w:eastAsia="zh-CN"/>
        </w:rPr>
        <w:t>价格</w:t>
      </w:r>
      <w:r w:rsidRPr="002D3316">
        <w:rPr>
          <w:rFonts w:ascii="华文楷体" w:hAnsi="华文楷体" w:hint="eastAsia"/>
          <w:sz w:val="24"/>
          <w:szCs w:val="24"/>
          <w:lang w:eastAsia="zh-CN"/>
        </w:rPr>
        <w:t>回落，</w:t>
      </w:r>
      <w:r w:rsidR="002A7C89">
        <w:rPr>
          <w:rFonts w:ascii="华文楷体" w:hAnsi="华文楷体" w:hint="eastAsia"/>
          <w:sz w:val="24"/>
          <w:szCs w:val="24"/>
          <w:lang w:eastAsia="zh-CN"/>
        </w:rPr>
        <w:t>玻璃及水泥小幅回暖</w:t>
      </w:r>
      <w:r w:rsidR="00BC1DA3">
        <w:rPr>
          <w:rFonts w:ascii="华文楷体" w:hAnsi="华文楷体" w:hint="eastAsia"/>
          <w:sz w:val="24"/>
          <w:szCs w:val="24"/>
          <w:lang w:eastAsia="zh-CN"/>
        </w:rPr>
        <w:t>。价格方面，</w:t>
      </w:r>
      <w:r w:rsidRPr="002D3316">
        <w:rPr>
          <w:rFonts w:ascii="华文楷体" w:hAnsi="华文楷体" w:hint="eastAsia"/>
          <w:sz w:val="24"/>
          <w:szCs w:val="24"/>
          <w:lang w:eastAsia="zh-CN"/>
        </w:rPr>
        <w:t>农产品</w:t>
      </w:r>
      <w:r w:rsidR="00BC1DA3">
        <w:rPr>
          <w:rFonts w:ascii="华文楷体" w:hAnsi="华文楷体" w:hint="eastAsia"/>
          <w:sz w:val="24"/>
          <w:szCs w:val="24"/>
          <w:lang w:eastAsia="zh-CN"/>
        </w:rPr>
        <w:t>中</w:t>
      </w:r>
      <w:r w:rsidR="00CD1AE8" w:rsidRPr="00CD1AE8">
        <w:rPr>
          <w:rFonts w:ascii="华文楷体" w:hAnsi="华文楷体" w:hint="eastAsia"/>
          <w:sz w:val="24"/>
          <w:szCs w:val="24"/>
          <w:lang w:eastAsia="zh-CN"/>
        </w:rPr>
        <w:t>猪肉价格仍在震荡下跌，蔬菜价格在连续上涨四周后出现下跌</w:t>
      </w:r>
      <w:r w:rsidR="00BC1DA3">
        <w:rPr>
          <w:rFonts w:ascii="华文楷体" w:hAnsi="华文楷体" w:hint="eastAsia"/>
          <w:sz w:val="24"/>
          <w:szCs w:val="24"/>
          <w:lang w:eastAsia="zh-CN"/>
        </w:rPr>
        <w:t>；工业金属价格</w:t>
      </w:r>
      <w:r w:rsidR="002A7C89">
        <w:rPr>
          <w:rFonts w:ascii="华文楷体" w:hAnsi="华文楷体" w:hint="eastAsia"/>
          <w:sz w:val="24"/>
          <w:szCs w:val="24"/>
          <w:lang w:eastAsia="zh-CN"/>
        </w:rPr>
        <w:t>震荡上行</w:t>
      </w:r>
      <w:r w:rsidRPr="002D3316">
        <w:rPr>
          <w:rFonts w:ascii="华文楷体" w:hAnsi="华文楷体" w:hint="eastAsia"/>
          <w:sz w:val="24"/>
          <w:szCs w:val="24"/>
          <w:lang w:eastAsia="zh-CN"/>
        </w:rPr>
        <w:t>。</w:t>
      </w:r>
      <w:r w:rsidR="00BC1DA3">
        <w:rPr>
          <w:rFonts w:ascii="华文楷体" w:hAnsi="华文楷体" w:hint="eastAsia"/>
          <w:sz w:val="24"/>
          <w:szCs w:val="24"/>
          <w:lang w:eastAsia="zh-CN"/>
        </w:rPr>
        <w:t>下游</w:t>
      </w:r>
      <w:r w:rsidRPr="002D3316">
        <w:rPr>
          <w:rFonts w:ascii="华文楷体" w:hAnsi="华文楷体" w:hint="eastAsia"/>
          <w:sz w:val="24"/>
          <w:szCs w:val="24"/>
          <w:lang w:eastAsia="zh-CN"/>
        </w:rPr>
        <w:t>商品房成交</w:t>
      </w:r>
      <w:r w:rsidR="00BC1DA3">
        <w:rPr>
          <w:rFonts w:ascii="华文楷体" w:hAnsi="华文楷体" w:hint="eastAsia"/>
          <w:sz w:val="24"/>
          <w:szCs w:val="24"/>
          <w:lang w:eastAsia="zh-CN"/>
        </w:rPr>
        <w:t>面积</w:t>
      </w:r>
      <w:r w:rsidR="00CD1AE8">
        <w:rPr>
          <w:rFonts w:ascii="华文楷体" w:hAnsi="华文楷体" w:hint="eastAsia"/>
          <w:sz w:val="24"/>
          <w:szCs w:val="24"/>
          <w:lang w:eastAsia="zh-CN"/>
        </w:rPr>
        <w:t>下行企稳</w:t>
      </w:r>
      <w:r w:rsidRPr="002D3316">
        <w:rPr>
          <w:rFonts w:ascii="华文楷体" w:hAnsi="华文楷体" w:hint="eastAsia"/>
          <w:sz w:val="24"/>
          <w:szCs w:val="24"/>
          <w:lang w:eastAsia="zh-CN"/>
        </w:rPr>
        <w:t>，</w:t>
      </w:r>
      <w:r w:rsidR="00BC1DA3">
        <w:rPr>
          <w:rFonts w:ascii="华文楷体" w:hAnsi="华文楷体" w:hint="eastAsia"/>
          <w:sz w:val="24"/>
          <w:szCs w:val="24"/>
          <w:lang w:eastAsia="zh-CN"/>
        </w:rPr>
        <w:t>其中三</w:t>
      </w:r>
      <w:r w:rsidRPr="002D3316">
        <w:rPr>
          <w:rFonts w:ascii="华文楷体" w:hAnsi="华文楷体" w:hint="eastAsia"/>
          <w:sz w:val="24"/>
          <w:szCs w:val="24"/>
          <w:lang w:eastAsia="zh-CN"/>
        </w:rPr>
        <w:t>线城市降幅</w:t>
      </w:r>
      <w:r w:rsidR="00BC1DA3">
        <w:rPr>
          <w:rFonts w:ascii="华文楷体" w:hAnsi="华文楷体" w:hint="eastAsia"/>
          <w:sz w:val="24"/>
          <w:szCs w:val="24"/>
          <w:lang w:eastAsia="zh-CN"/>
        </w:rPr>
        <w:t>较</w:t>
      </w:r>
      <w:r w:rsidRPr="002D3316">
        <w:rPr>
          <w:rFonts w:ascii="华文楷体" w:hAnsi="华文楷体" w:hint="eastAsia"/>
          <w:sz w:val="24"/>
          <w:szCs w:val="24"/>
          <w:lang w:eastAsia="zh-CN"/>
        </w:rPr>
        <w:t>大，</w:t>
      </w:r>
      <w:r w:rsidR="00BC1DA3">
        <w:rPr>
          <w:rFonts w:ascii="华文楷体" w:hAnsi="华文楷体" w:hint="eastAsia"/>
          <w:sz w:val="24"/>
          <w:szCs w:val="24"/>
          <w:lang w:eastAsia="zh-CN"/>
        </w:rPr>
        <w:t>一线</w:t>
      </w:r>
      <w:proofErr w:type="gramStart"/>
      <w:r w:rsidR="00BC1DA3">
        <w:rPr>
          <w:rFonts w:ascii="华文楷体" w:hAnsi="华文楷体" w:hint="eastAsia"/>
          <w:sz w:val="24"/>
          <w:szCs w:val="24"/>
          <w:lang w:eastAsia="zh-CN"/>
        </w:rPr>
        <w:t>城市环</w:t>
      </w:r>
      <w:proofErr w:type="gramEnd"/>
      <w:r w:rsidR="00BC1DA3">
        <w:rPr>
          <w:rFonts w:ascii="华文楷体" w:hAnsi="华文楷体" w:hint="eastAsia"/>
          <w:sz w:val="24"/>
          <w:szCs w:val="24"/>
          <w:lang w:eastAsia="zh-CN"/>
        </w:rPr>
        <w:t>比连续</w:t>
      </w:r>
      <w:r w:rsidR="00CD1AE8">
        <w:rPr>
          <w:rFonts w:ascii="华文楷体" w:hAnsi="华文楷体" w:hint="eastAsia"/>
          <w:sz w:val="24"/>
          <w:szCs w:val="24"/>
          <w:lang w:eastAsia="zh-CN"/>
        </w:rPr>
        <w:t>三</w:t>
      </w:r>
      <w:r w:rsidR="00BC1DA3">
        <w:rPr>
          <w:rFonts w:ascii="华文楷体" w:hAnsi="华文楷体" w:hint="eastAsia"/>
          <w:sz w:val="24"/>
          <w:szCs w:val="24"/>
          <w:lang w:eastAsia="zh-CN"/>
        </w:rPr>
        <w:t>周上行</w:t>
      </w:r>
      <w:r w:rsidRPr="002D3316">
        <w:rPr>
          <w:rFonts w:ascii="华文楷体" w:hAnsi="华文楷体" w:hint="eastAsia"/>
          <w:sz w:val="24"/>
          <w:szCs w:val="24"/>
          <w:lang w:eastAsia="zh-CN"/>
        </w:rPr>
        <w:t>。</w:t>
      </w:r>
    </w:p>
    <w:p w14:paraId="70A1764C" w14:textId="3368631D" w:rsidR="00CD1AE8" w:rsidRDefault="00CD1AE8" w:rsidP="00BC1DA3">
      <w:pPr>
        <w:pStyle w:val="Body-text"/>
        <w:spacing w:after="240"/>
        <w:ind w:firstLineChars="200" w:firstLine="480"/>
        <w:rPr>
          <w:rFonts w:ascii="华文楷体" w:hAnsi="华文楷体"/>
          <w:sz w:val="24"/>
          <w:szCs w:val="24"/>
          <w:lang w:eastAsia="zh-CN"/>
        </w:rPr>
      </w:pPr>
    </w:p>
    <w:tbl>
      <w:tblPr>
        <w:tblW w:w="9549" w:type="dxa"/>
        <w:jc w:val="center"/>
        <w:tblLayout w:type="fixed"/>
        <w:tblCellMar>
          <w:left w:w="0" w:type="dxa"/>
          <w:right w:w="0" w:type="dxa"/>
        </w:tblCellMar>
        <w:tblLook w:val="01E0" w:firstRow="1" w:lastRow="1" w:firstColumn="1" w:lastColumn="1" w:noHBand="0" w:noVBand="0"/>
      </w:tblPr>
      <w:tblGrid>
        <w:gridCol w:w="9549"/>
      </w:tblGrid>
      <w:tr w:rsidR="002D3316" w:rsidRPr="009864B5" w14:paraId="08B978D4" w14:textId="77777777" w:rsidTr="00164014">
        <w:trPr>
          <w:trHeight w:val="197"/>
          <w:jc w:val="center"/>
        </w:trPr>
        <w:tc>
          <w:tcPr>
            <w:tcW w:w="9549" w:type="dxa"/>
            <w:vAlign w:val="center"/>
          </w:tcPr>
          <w:p w14:paraId="5171759A" w14:textId="77777777" w:rsidR="002D3316" w:rsidRPr="009864B5" w:rsidRDefault="002D3316" w:rsidP="00164014">
            <w:pPr>
              <w:pStyle w:val="ChartHeading"/>
              <w:jc w:val="both"/>
            </w:pPr>
            <w:r w:rsidRPr="009864B5">
              <w:rPr>
                <w:rFonts w:hint="eastAsia"/>
              </w:rPr>
              <w:lastRenderedPageBreak/>
              <w:t>图表</w:t>
            </w:r>
            <w:r w:rsidRPr="009864B5">
              <w:t xml:space="preserve">. </w:t>
            </w:r>
            <w:proofErr w:type="gramStart"/>
            <w:r>
              <w:rPr>
                <w:rFonts w:hint="eastAsia"/>
              </w:rPr>
              <w:t>周度高频</w:t>
            </w:r>
            <w:proofErr w:type="gramEnd"/>
            <w:r>
              <w:rPr>
                <w:rFonts w:hint="eastAsia"/>
              </w:rPr>
              <w:t>数据跟踪</w:t>
            </w:r>
          </w:p>
        </w:tc>
      </w:tr>
      <w:tr w:rsidR="002D3316" w:rsidRPr="009864B5" w14:paraId="64095B0A" w14:textId="77777777" w:rsidTr="00164014">
        <w:tblPrEx>
          <w:tblCellMar>
            <w:left w:w="108" w:type="dxa"/>
            <w:right w:w="108" w:type="dxa"/>
          </w:tblCellMar>
        </w:tblPrEx>
        <w:trPr>
          <w:trHeight w:val="302"/>
          <w:jc w:val="center"/>
        </w:trPr>
        <w:tc>
          <w:tcPr>
            <w:tcW w:w="9549" w:type="dxa"/>
            <w:vAlign w:val="center"/>
          </w:tcPr>
          <w:p w14:paraId="4E5D155C" w14:textId="77777777" w:rsidR="002D3316" w:rsidRPr="009864B5" w:rsidRDefault="002D3316" w:rsidP="00164014">
            <w:pPr>
              <w:widowControl/>
              <w:jc w:val="left"/>
              <w:rPr>
                <w:rFonts w:ascii="宋体" w:hAnsi="宋体" w:cs="宋体"/>
                <w:kern w:val="0"/>
                <w:sz w:val="24"/>
                <w:szCs w:val="24"/>
              </w:rPr>
            </w:pPr>
            <w:r w:rsidRPr="007E1C03">
              <w:rPr>
                <w:noProof/>
              </w:rPr>
              <w:drawing>
                <wp:inline distT="0" distB="0" distL="0" distR="0" wp14:anchorId="5988268C" wp14:editId="52FA7E6D">
                  <wp:extent cx="6048375" cy="6330791"/>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5"/>
                          <a:stretch>
                            <a:fillRect/>
                          </a:stretch>
                        </pic:blipFill>
                        <pic:spPr bwMode="auto">
                          <a:xfrm>
                            <a:off x="0" y="0"/>
                            <a:ext cx="6081868" cy="6365848"/>
                          </a:xfrm>
                          <a:prstGeom prst="rect">
                            <a:avLst/>
                          </a:prstGeom>
                          <a:noFill/>
                          <a:ln>
                            <a:noFill/>
                          </a:ln>
                        </pic:spPr>
                      </pic:pic>
                    </a:graphicData>
                  </a:graphic>
                </wp:inline>
              </w:drawing>
            </w:r>
          </w:p>
        </w:tc>
      </w:tr>
      <w:tr w:rsidR="002D3316" w:rsidRPr="009864B5" w14:paraId="691B5B3D" w14:textId="77777777" w:rsidTr="00164014">
        <w:trPr>
          <w:trHeight w:val="62"/>
          <w:jc w:val="center"/>
        </w:trPr>
        <w:tc>
          <w:tcPr>
            <w:tcW w:w="9549" w:type="dxa"/>
            <w:vAlign w:val="center"/>
          </w:tcPr>
          <w:p w14:paraId="55F668B2" w14:textId="77777777" w:rsidR="002D3316" w:rsidRPr="009864B5" w:rsidRDefault="002D3316" w:rsidP="00164014">
            <w:pPr>
              <w:pStyle w:val="Source"/>
              <w:jc w:val="both"/>
              <w:rPr>
                <w:kern w:val="0"/>
              </w:rPr>
            </w:pPr>
            <w:r w:rsidRPr="00B41E24">
              <w:rPr>
                <w:rFonts w:hint="eastAsia"/>
                <w:kern w:val="0"/>
              </w:rPr>
              <w:t>资料来源：万得，富荣基金；</w:t>
            </w:r>
            <w:r w:rsidRPr="009864B5">
              <w:rPr>
                <w:kern w:val="0"/>
              </w:rPr>
              <w:t xml:space="preserve"> </w:t>
            </w:r>
          </w:p>
        </w:tc>
      </w:tr>
    </w:tbl>
    <w:p w14:paraId="68F31B76" w14:textId="77777777" w:rsidR="002D3316" w:rsidRPr="002D3316" w:rsidRDefault="002D3316" w:rsidP="007A1586">
      <w:pPr>
        <w:pStyle w:val="Body-text"/>
        <w:spacing w:after="240"/>
        <w:ind w:firstLineChars="200" w:firstLine="480"/>
        <w:rPr>
          <w:rFonts w:ascii="华文楷体" w:hAnsi="华文楷体"/>
          <w:sz w:val="24"/>
          <w:szCs w:val="24"/>
          <w:lang w:eastAsia="zh-CN"/>
        </w:rPr>
      </w:pPr>
    </w:p>
    <w:p w14:paraId="721DD2C0" w14:textId="2CE77C18" w:rsidR="0082791D" w:rsidRPr="009864B5" w:rsidRDefault="0031666C" w:rsidP="009A2BA0">
      <w:pPr>
        <w:pStyle w:val="Header1"/>
        <w:spacing w:before="240"/>
        <w:rPr>
          <w:color w:val="C45911" w:themeColor="accent2" w:themeShade="BF"/>
        </w:rPr>
      </w:pPr>
      <w:r w:rsidRPr="009864B5">
        <w:rPr>
          <w:rFonts w:hint="eastAsia"/>
          <w:color w:val="C45911" w:themeColor="accent2" w:themeShade="BF"/>
        </w:rPr>
        <w:t>三</w:t>
      </w:r>
      <w:r w:rsidR="0082791D" w:rsidRPr="009864B5">
        <w:rPr>
          <w:rFonts w:hint="eastAsia"/>
          <w:color w:val="C45911" w:themeColor="accent2" w:themeShade="BF"/>
        </w:rPr>
        <w:t>、</w:t>
      </w:r>
      <w:r w:rsidR="00E0626C" w:rsidRPr="009864B5">
        <w:rPr>
          <w:rFonts w:hint="eastAsia"/>
          <w:color w:val="C45911" w:themeColor="accent2" w:themeShade="BF"/>
        </w:rPr>
        <w:t>市场展望</w:t>
      </w:r>
    </w:p>
    <w:p w14:paraId="24E697A5" w14:textId="6B981A5E" w:rsidR="00854194" w:rsidRPr="00264A9C"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1045D2">
        <w:rPr>
          <w:rFonts w:ascii="华文楷体" w:hAnsi="华文楷体" w:hint="eastAsia"/>
          <w:b/>
          <w:bCs/>
          <w:sz w:val="24"/>
          <w:szCs w:val="24"/>
          <w:lang w:eastAsia="zh-CN"/>
        </w:rPr>
        <w:t>利率债：</w:t>
      </w:r>
      <w:r w:rsidR="00C9186F" w:rsidRPr="00264A9C">
        <w:rPr>
          <w:rFonts w:ascii="华文楷体" w:hAnsi="华文楷体" w:hint="eastAsia"/>
          <w:sz w:val="24"/>
          <w:szCs w:val="24"/>
          <w:lang w:eastAsia="zh-CN"/>
        </w:rPr>
        <w:t>7月政治局会议政策基调边际趋向宽松，货币政策和财政政策更加着眼于长期的经济发展和以我为主。同时，7月PMI</w:t>
      </w:r>
      <w:r w:rsidR="002D3316">
        <w:rPr>
          <w:rFonts w:ascii="华文楷体" w:hAnsi="华文楷体" w:hint="eastAsia"/>
          <w:sz w:val="24"/>
          <w:szCs w:val="24"/>
          <w:lang w:eastAsia="zh-CN"/>
        </w:rPr>
        <w:t>、</w:t>
      </w:r>
      <w:r w:rsidR="00C9186F" w:rsidRPr="00264A9C">
        <w:rPr>
          <w:rFonts w:ascii="华文楷体" w:hAnsi="华文楷体" w:hint="eastAsia"/>
          <w:sz w:val="24"/>
          <w:szCs w:val="24"/>
          <w:lang w:eastAsia="zh-CN"/>
        </w:rPr>
        <w:t>BCI</w:t>
      </w:r>
      <w:r w:rsidR="002D3316">
        <w:rPr>
          <w:rFonts w:ascii="华文楷体" w:hAnsi="华文楷体" w:hint="eastAsia"/>
          <w:sz w:val="24"/>
          <w:szCs w:val="24"/>
          <w:lang w:eastAsia="zh-CN"/>
        </w:rPr>
        <w:t>及进出口数据</w:t>
      </w:r>
      <w:r w:rsidR="00C9186F" w:rsidRPr="00264A9C">
        <w:rPr>
          <w:rFonts w:ascii="华文楷体" w:hAnsi="华文楷体" w:hint="eastAsia"/>
          <w:sz w:val="24"/>
          <w:szCs w:val="24"/>
          <w:lang w:eastAsia="zh-CN"/>
        </w:rPr>
        <w:t>反映经济各项动能趋弱。国</w:t>
      </w:r>
      <w:proofErr w:type="gramStart"/>
      <w:r w:rsidR="00C9186F" w:rsidRPr="00264A9C">
        <w:rPr>
          <w:rFonts w:ascii="华文楷体" w:hAnsi="华文楷体" w:hint="eastAsia"/>
          <w:sz w:val="24"/>
          <w:szCs w:val="24"/>
          <w:lang w:eastAsia="zh-CN"/>
        </w:rPr>
        <w:t>内债市</w:t>
      </w:r>
      <w:proofErr w:type="gramEnd"/>
      <w:r w:rsidR="00C9186F" w:rsidRPr="00264A9C">
        <w:rPr>
          <w:rFonts w:ascii="华文楷体" w:hAnsi="华文楷体" w:hint="eastAsia"/>
          <w:sz w:val="24"/>
          <w:szCs w:val="24"/>
          <w:lang w:eastAsia="zh-CN"/>
        </w:rPr>
        <w:t>或仍将受益于较充裕的流动性环境</w:t>
      </w:r>
      <w:r w:rsidR="00264A9C" w:rsidRPr="00264A9C">
        <w:rPr>
          <w:rFonts w:ascii="华文楷体" w:hAnsi="华文楷体" w:hint="eastAsia"/>
          <w:sz w:val="24"/>
          <w:szCs w:val="24"/>
          <w:lang w:eastAsia="zh-CN"/>
        </w:rPr>
        <w:t>和边际趋弱的基本面数据</w:t>
      </w:r>
      <w:r w:rsidR="004721F4" w:rsidRPr="00264A9C">
        <w:rPr>
          <w:rFonts w:ascii="华文楷体" w:hAnsi="华文楷体" w:hint="eastAsia"/>
          <w:sz w:val="24"/>
          <w:szCs w:val="24"/>
          <w:lang w:eastAsia="zh-CN"/>
        </w:rPr>
        <w:t>。</w:t>
      </w:r>
      <w:r w:rsidR="00545A48">
        <w:rPr>
          <w:rFonts w:ascii="华文楷体" w:hAnsi="华文楷体" w:hint="eastAsia"/>
          <w:sz w:val="24"/>
          <w:szCs w:val="24"/>
          <w:lang w:eastAsia="zh-CN"/>
        </w:rPr>
        <w:t>但同时需警惕前期情绪过热的潜在调整风险。</w:t>
      </w:r>
    </w:p>
    <w:p w14:paraId="484E2711" w14:textId="10A76598" w:rsidR="00FD739E" w:rsidRPr="00264A9C" w:rsidRDefault="00C505BD" w:rsidP="00FD739E">
      <w:pPr>
        <w:pStyle w:val="Body-text"/>
        <w:spacing w:after="240"/>
        <w:ind w:firstLineChars="200" w:firstLine="480"/>
        <w:rPr>
          <w:rFonts w:ascii="华文楷体" w:hAnsi="华文楷体"/>
          <w:sz w:val="24"/>
          <w:szCs w:val="24"/>
          <w:lang w:eastAsia="zh-CN"/>
        </w:rPr>
      </w:pPr>
      <w:r w:rsidRPr="001045D2">
        <w:rPr>
          <w:rFonts w:ascii="华文楷体" w:hAnsi="华文楷体" w:hint="eastAsia"/>
          <w:b/>
          <w:bCs/>
          <w:sz w:val="24"/>
          <w:szCs w:val="24"/>
          <w:lang w:eastAsia="zh-CN"/>
        </w:rPr>
        <w:t>信用债：</w:t>
      </w:r>
      <w:r w:rsidR="00E3102D">
        <w:rPr>
          <w:rFonts w:ascii="华文楷体" w:hAnsi="华文楷体" w:hint="eastAsia"/>
          <w:sz w:val="24"/>
          <w:szCs w:val="24"/>
          <w:lang w:eastAsia="zh-CN"/>
        </w:rPr>
        <w:t>政策导向利好债市，但需</w:t>
      </w:r>
      <w:r w:rsidR="00162910">
        <w:rPr>
          <w:rFonts w:ascii="华文楷体" w:hAnsi="华文楷体" w:hint="eastAsia"/>
          <w:sz w:val="24"/>
          <w:szCs w:val="24"/>
          <w:lang w:eastAsia="zh-CN"/>
        </w:rPr>
        <w:t>密切</w:t>
      </w:r>
      <w:r w:rsidR="002A7950" w:rsidRPr="00264A9C">
        <w:rPr>
          <w:rFonts w:ascii="华文楷体" w:hAnsi="华文楷体" w:hint="eastAsia"/>
          <w:sz w:val="24"/>
          <w:szCs w:val="24"/>
          <w:lang w:eastAsia="zh-CN"/>
        </w:rPr>
        <w:t>关注</w:t>
      </w:r>
      <w:r w:rsidR="004721F4" w:rsidRPr="00264A9C">
        <w:rPr>
          <w:rFonts w:ascii="华文楷体" w:hAnsi="华文楷体" w:hint="eastAsia"/>
          <w:sz w:val="24"/>
          <w:szCs w:val="24"/>
          <w:lang w:eastAsia="zh-CN"/>
        </w:rPr>
        <w:t>地方</w:t>
      </w:r>
      <w:r w:rsidR="002A7950" w:rsidRPr="00264A9C">
        <w:rPr>
          <w:rFonts w:ascii="华文楷体" w:hAnsi="华文楷体" w:hint="eastAsia"/>
          <w:sz w:val="24"/>
          <w:szCs w:val="24"/>
          <w:lang w:eastAsia="zh-CN"/>
        </w:rPr>
        <w:t>隐性债务</w:t>
      </w:r>
      <w:r w:rsidR="004721F4" w:rsidRPr="00264A9C">
        <w:rPr>
          <w:rFonts w:ascii="华文楷体" w:hAnsi="华文楷体" w:hint="eastAsia"/>
          <w:sz w:val="24"/>
          <w:szCs w:val="24"/>
          <w:lang w:eastAsia="zh-CN"/>
        </w:rPr>
        <w:t>监管</w:t>
      </w:r>
      <w:r w:rsidR="00162910">
        <w:rPr>
          <w:rFonts w:ascii="华文楷体" w:hAnsi="华文楷体" w:hint="eastAsia"/>
          <w:sz w:val="24"/>
          <w:szCs w:val="24"/>
          <w:lang w:eastAsia="zh-CN"/>
        </w:rPr>
        <w:t>与地产个体层面风险的发酵</w:t>
      </w:r>
      <w:r w:rsidR="002A7950" w:rsidRPr="00264A9C">
        <w:rPr>
          <w:rFonts w:ascii="华文楷体" w:hAnsi="华文楷体" w:hint="eastAsia"/>
          <w:sz w:val="24"/>
          <w:szCs w:val="24"/>
          <w:lang w:eastAsia="zh-CN"/>
        </w:rPr>
        <w:t>。</w:t>
      </w:r>
    </w:p>
    <w:p w14:paraId="4C893BAE" w14:textId="26BFC5AA" w:rsidR="00983C71" w:rsidRDefault="00C505BD" w:rsidP="0054555E">
      <w:pPr>
        <w:pStyle w:val="Body-text"/>
        <w:spacing w:after="240"/>
        <w:ind w:firstLineChars="200" w:firstLine="480"/>
        <w:rPr>
          <w:rFonts w:ascii="华文楷体" w:eastAsia="PMingLiU" w:hAnsi="华文楷体"/>
          <w:sz w:val="24"/>
          <w:szCs w:val="24"/>
        </w:rPr>
      </w:pPr>
      <w:r w:rsidRPr="001045D2">
        <w:rPr>
          <w:rFonts w:ascii="华文楷体" w:hAnsi="华文楷体" w:hint="eastAsia"/>
          <w:b/>
          <w:bCs/>
          <w:sz w:val="24"/>
          <w:szCs w:val="24"/>
          <w:lang w:eastAsia="zh-CN"/>
        </w:rPr>
        <w:t>可转债：</w:t>
      </w:r>
      <w:r w:rsidR="00264A9C" w:rsidRPr="00264A9C">
        <w:rPr>
          <w:rFonts w:ascii="华文楷体" w:hAnsi="华文楷体" w:hint="eastAsia"/>
          <w:sz w:val="24"/>
          <w:szCs w:val="24"/>
          <w:lang w:eastAsia="zh-CN"/>
        </w:rPr>
        <w:t>流动性环境对权益市场仍较友好，但</w:t>
      </w:r>
      <w:r w:rsidR="00264A9C" w:rsidRPr="00264A9C">
        <w:rPr>
          <w:rFonts w:ascii="华文楷体" w:hAnsi="华文楷体" w:hint="eastAsia"/>
          <w:sz w:val="24"/>
          <w:szCs w:val="24"/>
        </w:rPr>
        <w:t>企业整体盈利压力逐步显现。可转债中成长</w:t>
      </w:r>
      <w:r w:rsidR="00264A9C" w:rsidRPr="00264A9C">
        <w:rPr>
          <w:rFonts w:ascii="华文楷体" w:hAnsi="华文楷体" w:hint="eastAsia"/>
          <w:sz w:val="24"/>
          <w:szCs w:val="24"/>
        </w:rPr>
        <w:lastRenderedPageBreak/>
        <w:t>性较强、符合长期产业政策引导方向的新能源汽车、碳中和、硬科技及专精特新</w:t>
      </w:r>
      <w:r w:rsidR="00E44F44" w:rsidRPr="00E44F44">
        <w:rPr>
          <w:rFonts w:ascii="华文楷体" w:hAnsi="华文楷体" w:hint="eastAsia"/>
          <w:sz w:val="24"/>
          <w:szCs w:val="24"/>
        </w:rPr>
        <w:t>中小企业仍将受益</w:t>
      </w:r>
      <w:r w:rsidR="002D3316" w:rsidRPr="002D3316">
        <w:rPr>
          <w:rFonts w:ascii="华文楷体" w:hAnsi="华文楷体" w:hint="eastAsia"/>
          <w:sz w:val="24"/>
          <w:szCs w:val="24"/>
        </w:rPr>
        <w:t>。</w:t>
      </w:r>
      <w:r w:rsidR="0054555E" w:rsidRPr="0054555E">
        <w:rPr>
          <w:rFonts w:ascii="华文楷体" w:hAnsi="华文楷体" w:hint="eastAsia"/>
          <w:sz w:val="24"/>
          <w:szCs w:val="24"/>
        </w:rPr>
        <w:t>鉴于热门赛道的高估值和拥挤交易，整体仓位仍需趋于</w:t>
      </w:r>
      <w:r w:rsidR="00E44F44">
        <w:rPr>
          <w:rFonts w:ascii="华文楷体" w:hAnsi="华文楷体" w:hint="eastAsia"/>
          <w:sz w:val="24"/>
          <w:szCs w:val="24"/>
        </w:rPr>
        <w:t>谨慎，重点挖掘结构性机会。结构上继续推荐以下三条主线：一是稳定</w:t>
      </w:r>
      <w:r w:rsidR="00E44F44">
        <w:rPr>
          <w:rFonts w:ascii="华文楷体" w:hAnsi="华文楷体" w:hint="eastAsia"/>
          <w:sz w:val="24"/>
          <w:szCs w:val="24"/>
          <w:lang w:eastAsia="zh-CN"/>
        </w:rPr>
        <w:t>型</w:t>
      </w:r>
      <w:r w:rsidR="0054555E" w:rsidRPr="0054555E">
        <w:rPr>
          <w:rFonts w:ascii="华文楷体" w:hAnsi="华文楷体" w:hint="eastAsia"/>
          <w:sz w:val="24"/>
          <w:szCs w:val="24"/>
        </w:rPr>
        <w:t>与低价高性价比转债，防御</w:t>
      </w:r>
      <w:r w:rsidR="00E44F44">
        <w:rPr>
          <w:rFonts w:ascii="华文楷体" w:hAnsi="华文楷体" w:hint="eastAsia"/>
          <w:sz w:val="24"/>
          <w:szCs w:val="24"/>
          <w:lang w:eastAsia="zh-CN"/>
        </w:rPr>
        <w:t>性</w:t>
      </w:r>
      <w:r w:rsidR="0054555E" w:rsidRPr="0054555E">
        <w:rPr>
          <w:rFonts w:ascii="华文楷体" w:hAnsi="华文楷体" w:hint="eastAsia"/>
          <w:sz w:val="24"/>
          <w:szCs w:val="24"/>
        </w:rPr>
        <w:t>较好，在市场整体估值高位下具备底仓配置价值；二是景气度持续提升、中报有望持续向上超市场预期的周期及成长板块转债，重新审视估值与换手率风险后，仍可积极配置；三是在中游制造板块中寻找细分景气度不错、行业格局好、PEG估值性价比较高的中小市值隐形冠军。</w:t>
      </w:r>
    </w:p>
    <w:p w14:paraId="2717610C" w14:textId="25F8AF1B" w:rsidR="00D54D20" w:rsidRPr="0077013F" w:rsidRDefault="00E44F44" w:rsidP="00D54D20">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本</w:t>
      </w:r>
      <w:r w:rsidR="001045D2" w:rsidRPr="001045D2">
        <w:rPr>
          <w:rFonts w:ascii="华文楷体" w:hAnsi="华文楷体" w:hint="eastAsia"/>
          <w:b/>
          <w:bCs/>
          <w:sz w:val="24"/>
          <w:szCs w:val="24"/>
          <w:lang w:eastAsia="zh-CN"/>
        </w:rPr>
        <w:t>周关注：</w:t>
      </w:r>
      <w:r w:rsidR="002A7C89" w:rsidRPr="002A7C89">
        <w:rPr>
          <w:rFonts w:ascii="华文楷体" w:hAnsi="华文楷体" w:hint="eastAsia"/>
          <w:bCs/>
          <w:sz w:val="24"/>
          <w:szCs w:val="24"/>
          <w:lang w:eastAsia="zh-CN"/>
        </w:rPr>
        <w:t>国内疫情、7月经济数据（周一）、8月MLF续作情况（周一）、LPR报价（周五）、英国及欧元区7月CPI（周三）、FOMC货币政策会议纪要（周四）</w:t>
      </w:r>
    </w:p>
    <w:p w14:paraId="236E8CBA" w14:textId="77777777" w:rsidR="00EA1966" w:rsidRPr="001D3087" w:rsidRDefault="00EA1966" w:rsidP="009A2BA0">
      <w:pPr>
        <w:pStyle w:val="Body-text"/>
        <w:spacing w:after="0"/>
        <w:rPr>
          <w:rFonts w:ascii="华文楷体" w:hAnsi="华文楷体"/>
          <w:sz w:val="24"/>
          <w:szCs w:val="24"/>
          <w:lang w:eastAsia="zh-CN"/>
        </w:rPr>
      </w:pPr>
    </w:p>
    <w:p w14:paraId="0D22A70F" w14:textId="77777777" w:rsidR="00E44F44" w:rsidRDefault="00E44F44" w:rsidP="00E44F44">
      <w:pPr>
        <w:widowControl/>
        <w:jc w:val="left"/>
        <w:rPr>
          <w:rFonts w:ascii="微软雅黑" w:eastAsia="微软雅黑" w:hAnsi="微软雅黑" w:hint="eastAsia"/>
          <w:color w:val="808080"/>
          <w:sz w:val="13"/>
          <w:szCs w:val="13"/>
          <w:shd w:val="clear" w:color="auto" w:fill="FFFFFF"/>
        </w:rPr>
      </w:pPr>
    </w:p>
    <w:p w14:paraId="056FA4F9" w14:textId="77777777" w:rsidR="00E44F44" w:rsidRDefault="00E44F44" w:rsidP="00E44F44">
      <w:pPr>
        <w:widowControl/>
        <w:jc w:val="left"/>
        <w:rPr>
          <w:rFonts w:ascii="微软雅黑" w:eastAsia="微软雅黑" w:hAnsi="微软雅黑" w:hint="eastAsia"/>
          <w:color w:val="808080"/>
          <w:sz w:val="13"/>
          <w:szCs w:val="13"/>
          <w:shd w:val="clear" w:color="auto" w:fill="FFFFFF"/>
        </w:rPr>
      </w:pPr>
    </w:p>
    <w:p w14:paraId="2718929D" w14:textId="77777777" w:rsidR="00E44F44" w:rsidRDefault="00E44F44" w:rsidP="00E44F44">
      <w:pPr>
        <w:widowControl/>
        <w:jc w:val="left"/>
        <w:rPr>
          <w:rFonts w:ascii="微软雅黑" w:eastAsia="微软雅黑" w:hAnsi="微软雅黑" w:hint="eastAsia"/>
          <w:color w:val="808080"/>
          <w:sz w:val="13"/>
          <w:szCs w:val="13"/>
          <w:shd w:val="clear" w:color="auto" w:fill="FFFFFF"/>
        </w:rPr>
      </w:pPr>
      <w:bookmarkStart w:id="0" w:name="_GoBack"/>
      <w:bookmarkEnd w:id="0"/>
    </w:p>
    <w:p w14:paraId="74BD66AD" w14:textId="77777777" w:rsidR="00E44F44" w:rsidRDefault="00E44F44" w:rsidP="00E44F44">
      <w:pPr>
        <w:widowControl/>
        <w:jc w:val="left"/>
        <w:rPr>
          <w:rFonts w:ascii="微软雅黑" w:eastAsia="微软雅黑" w:hAnsi="微软雅黑" w:hint="eastAsia"/>
          <w:color w:val="808080"/>
          <w:sz w:val="13"/>
          <w:szCs w:val="13"/>
          <w:shd w:val="clear" w:color="auto" w:fill="FFFFFF"/>
        </w:rPr>
      </w:pPr>
    </w:p>
    <w:p w14:paraId="2118EC4B" w14:textId="77777777" w:rsidR="00E44F44" w:rsidRDefault="00E44F44" w:rsidP="00E44F44">
      <w:pPr>
        <w:widowControl/>
        <w:jc w:val="left"/>
        <w:rPr>
          <w:rFonts w:ascii="微软雅黑" w:eastAsia="微软雅黑" w:hAnsi="微软雅黑" w:hint="eastAsia"/>
          <w:color w:val="808080"/>
          <w:sz w:val="13"/>
          <w:szCs w:val="13"/>
          <w:shd w:val="clear" w:color="auto" w:fill="FFFFFF"/>
        </w:rPr>
      </w:pPr>
    </w:p>
    <w:p w14:paraId="542DACDF" w14:textId="77777777" w:rsidR="00E44F44" w:rsidRDefault="00E44F44" w:rsidP="00E44F44">
      <w:pPr>
        <w:widowControl/>
        <w:jc w:val="left"/>
        <w:rPr>
          <w:rFonts w:ascii="微软雅黑" w:eastAsia="微软雅黑" w:hAnsi="微软雅黑" w:hint="eastAsia"/>
          <w:color w:val="808080"/>
          <w:sz w:val="13"/>
          <w:szCs w:val="13"/>
          <w:shd w:val="clear" w:color="auto" w:fill="FFFFFF"/>
        </w:rPr>
      </w:pPr>
    </w:p>
    <w:p w14:paraId="1BA1F467" w14:textId="7274FD34" w:rsidR="00E44F44" w:rsidRPr="00E44F44" w:rsidRDefault="00E44F44" w:rsidP="00E44F44">
      <w:pPr>
        <w:widowControl/>
        <w:jc w:val="left"/>
        <w:rPr>
          <w:rFonts w:ascii="微软雅黑" w:eastAsia="微软雅黑" w:hAnsi="微软雅黑"/>
          <w:sz w:val="15"/>
          <w:szCs w:val="15"/>
        </w:rPr>
      </w:pPr>
      <w:r w:rsidRPr="00E44F44">
        <w:rPr>
          <w:rFonts w:ascii="微软雅黑" w:eastAsia="微软雅黑" w:hAnsi="微软雅黑" w:hint="eastAsia"/>
          <w:color w:val="808080"/>
          <w:sz w:val="15"/>
          <w:szCs w:val="15"/>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E44F44">
        <w:rPr>
          <w:rFonts w:ascii="微软雅黑" w:eastAsia="微软雅黑" w:hAnsi="微软雅黑" w:hint="eastAsia"/>
          <w:color w:val="808080"/>
          <w:sz w:val="15"/>
          <w:szCs w:val="15"/>
          <w:shd w:val="clear" w:color="auto" w:fill="FFFFFF"/>
        </w:rPr>
        <w:t>作出</w:t>
      </w:r>
      <w:proofErr w:type="gramEnd"/>
      <w:r w:rsidRPr="00E44F44">
        <w:rPr>
          <w:rFonts w:ascii="微软雅黑" w:eastAsia="微软雅黑" w:hAnsi="微软雅黑" w:hint="eastAsia"/>
          <w:color w:val="808080"/>
          <w:sz w:val="15"/>
          <w:szCs w:val="15"/>
          <w:shd w:val="clear" w:color="auto" w:fill="FFFFFF"/>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16"/>
      <w:footerReference w:type="default" r:id="rId17"/>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CF42A8" w14:textId="77777777" w:rsidR="00885B91" w:rsidRDefault="00885B91">
      <w:r>
        <w:separator/>
      </w:r>
    </w:p>
  </w:endnote>
  <w:endnote w:type="continuationSeparator" w:id="0">
    <w:p w14:paraId="74D5E280" w14:textId="77777777" w:rsidR="00885B91" w:rsidRDefault="00885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KaiTi">
    <w:altName w:val="Arial Unicode MS"/>
    <w:charset w:val="86"/>
    <w:family w:val="modern"/>
    <w:pitch w:val="fixed"/>
    <w:sig w:usb0="00000000"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F46081" w:rsidRDefault="00F46081">
        <w:pPr>
          <w:pStyle w:val="a4"/>
          <w:jc w:val="right"/>
        </w:pPr>
        <w:r>
          <w:fldChar w:fldCharType="begin"/>
        </w:r>
        <w:r>
          <w:instrText>PAGE   \* MERGEFORMAT</w:instrText>
        </w:r>
        <w:r>
          <w:fldChar w:fldCharType="separate"/>
        </w:r>
        <w:r w:rsidR="00E44F44" w:rsidRPr="00E44F44">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DF1F19" w14:textId="77777777" w:rsidR="00885B91" w:rsidRDefault="00885B91">
      <w:r>
        <w:separator/>
      </w:r>
    </w:p>
  </w:footnote>
  <w:footnote w:type="continuationSeparator" w:id="0">
    <w:p w14:paraId="0D2B1457" w14:textId="77777777" w:rsidR="00885B91" w:rsidRDefault="00885B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F46081" w:rsidRDefault="00F46081"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0E9E65D6"/>
    <w:multiLevelType w:val="multilevel"/>
    <w:tmpl w:val="39BA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1">
    <w:nsid w:val="273729AD"/>
    <w:multiLevelType w:val="multilevel"/>
    <w:tmpl w:val="2A428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5">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6">
    <w:nsid w:val="39E00319"/>
    <w:multiLevelType w:val="multilevel"/>
    <w:tmpl w:val="278EE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257513A"/>
    <w:multiLevelType w:val="multilevel"/>
    <w:tmpl w:val="D40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9">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20">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22">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23">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4">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6">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8">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6"/>
  </w:num>
  <w:num w:numId="7">
    <w:abstractNumId w:val="18"/>
  </w:num>
  <w:num w:numId="8">
    <w:abstractNumId w:val="15"/>
  </w:num>
  <w:num w:numId="9">
    <w:abstractNumId w:val="6"/>
  </w:num>
  <w:num w:numId="10">
    <w:abstractNumId w:val="21"/>
  </w:num>
  <w:num w:numId="11">
    <w:abstractNumId w:val="25"/>
  </w:num>
  <w:num w:numId="12">
    <w:abstractNumId w:val="19"/>
  </w:num>
  <w:num w:numId="13">
    <w:abstractNumId w:val="27"/>
  </w:num>
  <w:num w:numId="14">
    <w:abstractNumId w:val="28"/>
  </w:num>
  <w:num w:numId="15">
    <w:abstractNumId w:val="22"/>
  </w:num>
  <w:num w:numId="16">
    <w:abstractNumId w:val="14"/>
  </w:num>
  <w:num w:numId="17">
    <w:abstractNumId w:val="10"/>
  </w:num>
  <w:num w:numId="18">
    <w:abstractNumId w:val="24"/>
  </w:num>
  <w:num w:numId="19">
    <w:abstractNumId w:val="12"/>
  </w:num>
  <w:num w:numId="20">
    <w:abstractNumId w:val="23"/>
  </w:num>
  <w:num w:numId="21">
    <w:abstractNumId w:val="7"/>
  </w:num>
  <w:num w:numId="22">
    <w:abstractNumId w:val="20"/>
  </w:num>
  <w:num w:numId="23">
    <w:abstractNumId w:val="5"/>
  </w:num>
  <w:num w:numId="24">
    <w:abstractNumId w:val="13"/>
  </w:num>
  <w:num w:numId="25">
    <w:abstractNumId w:val="9"/>
  </w:num>
  <w:num w:numId="26">
    <w:abstractNumId w:val="17"/>
  </w:num>
  <w:num w:numId="27">
    <w:abstractNumId w:val="11"/>
  </w:num>
  <w:num w:numId="28">
    <w:abstractNumId w:val="8"/>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6CA"/>
    <w:rsid w:val="00022DD3"/>
    <w:rsid w:val="0002319C"/>
    <w:rsid w:val="000232BB"/>
    <w:rsid w:val="00023531"/>
    <w:rsid w:val="00023C51"/>
    <w:rsid w:val="00023D9D"/>
    <w:rsid w:val="00023E14"/>
    <w:rsid w:val="0002431B"/>
    <w:rsid w:val="00025073"/>
    <w:rsid w:val="00025B9D"/>
    <w:rsid w:val="00025F12"/>
    <w:rsid w:val="00026193"/>
    <w:rsid w:val="00026E14"/>
    <w:rsid w:val="000270FF"/>
    <w:rsid w:val="000274EB"/>
    <w:rsid w:val="000275C9"/>
    <w:rsid w:val="0002765B"/>
    <w:rsid w:val="00027744"/>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CC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6C46"/>
    <w:rsid w:val="00047219"/>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0B2"/>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8ED"/>
    <w:rsid w:val="00061C3C"/>
    <w:rsid w:val="00061D9E"/>
    <w:rsid w:val="000620E2"/>
    <w:rsid w:val="0006250F"/>
    <w:rsid w:val="00062981"/>
    <w:rsid w:val="000629A2"/>
    <w:rsid w:val="00062E89"/>
    <w:rsid w:val="0006364B"/>
    <w:rsid w:val="00063EF1"/>
    <w:rsid w:val="00064007"/>
    <w:rsid w:val="000643F4"/>
    <w:rsid w:val="0006472D"/>
    <w:rsid w:val="00064C5C"/>
    <w:rsid w:val="00064DDC"/>
    <w:rsid w:val="00065754"/>
    <w:rsid w:val="00065B19"/>
    <w:rsid w:val="0006662C"/>
    <w:rsid w:val="0006679B"/>
    <w:rsid w:val="00066A4B"/>
    <w:rsid w:val="00066B90"/>
    <w:rsid w:val="00066C46"/>
    <w:rsid w:val="00066F10"/>
    <w:rsid w:val="00067714"/>
    <w:rsid w:val="00067963"/>
    <w:rsid w:val="00067A49"/>
    <w:rsid w:val="000701D0"/>
    <w:rsid w:val="00070606"/>
    <w:rsid w:val="0007088A"/>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49"/>
    <w:rsid w:val="00080D8B"/>
    <w:rsid w:val="0008119E"/>
    <w:rsid w:val="000815F6"/>
    <w:rsid w:val="00081E60"/>
    <w:rsid w:val="00082044"/>
    <w:rsid w:val="00082CE4"/>
    <w:rsid w:val="00083341"/>
    <w:rsid w:val="00083392"/>
    <w:rsid w:val="00083A35"/>
    <w:rsid w:val="00083B64"/>
    <w:rsid w:val="00083E1C"/>
    <w:rsid w:val="00084085"/>
    <w:rsid w:val="000840CD"/>
    <w:rsid w:val="00084848"/>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AFC"/>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3DC4"/>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5A58"/>
    <w:rsid w:val="000D6268"/>
    <w:rsid w:val="000D6289"/>
    <w:rsid w:val="000D6D98"/>
    <w:rsid w:val="000D7167"/>
    <w:rsid w:val="000D7AE6"/>
    <w:rsid w:val="000D7AF4"/>
    <w:rsid w:val="000E0C96"/>
    <w:rsid w:val="000E0E2A"/>
    <w:rsid w:val="000E0E59"/>
    <w:rsid w:val="000E131B"/>
    <w:rsid w:val="000E1BF0"/>
    <w:rsid w:val="000E2002"/>
    <w:rsid w:val="000E2496"/>
    <w:rsid w:val="000E25F5"/>
    <w:rsid w:val="000E2962"/>
    <w:rsid w:val="000E2A9F"/>
    <w:rsid w:val="000E2AF3"/>
    <w:rsid w:val="000E3119"/>
    <w:rsid w:val="000E3145"/>
    <w:rsid w:val="000E322E"/>
    <w:rsid w:val="000E39A6"/>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5D2"/>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447"/>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1C1"/>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4AF9"/>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DE7"/>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BD"/>
    <w:rsid w:val="001551C9"/>
    <w:rsid w:val="00155427"/>
    <w:rsid w:val="001556C9"/>
    <w:rsid w:val="00155C96"/>
    <w:rsid w:val="00155CBE"/>
    <w:rsid w:val="00155D06"/>
    <w:rsid w:val="00156190"/>
    <w:rsid w:val="0015634E"/>
    <w:rsid w:val="00156410"/>
    <w:rsid w:val="00156515"/>
    <w:rsid w:val="00156AF4"/>
    <w:rsid w:val="00156B73"/>
    <w:rsid w:val="0015798B"/>
    <w:rsid w:val="00157A31"/>
    <w:rsid w:val="00157AEE"/>
    <w:rsid w:val="00157B30"/>
    <w:rsid w:val="001602AE"/>
    <w:rsid w:val="00160370"/>
    <w:rsid w:val="0016096D"/>
    <w:rsid w:val="0016107A"/>
    <w:rsid w:val="001611C1"/>
    <w:rsid w:val="0016142C"/>
    <w:rsid w:val="0016155D"/>
    <w:rsid w:val="00161568"/>
    <w:rsid w:val="00161909"/>
    <w:rsid w:val="00161984"/>
    <w:rsid w:val="00161D5D"/>
    <w:rsid w:val="0016251D"/>
    <w:rsid w:val="00162910"/>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8A9"/>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5D2"/>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BD"/>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6D9"/>
    <w:rsid w:val="001A59CA"/>
    <w:rsid w:val="001A5CA0"/>
    <w:rsid w:val="001A601B"/>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988"/>
    <w:rsid w:val="001B3BAE"/>
    <w:rsid w:val="001B4228"/>
    <w:rsid w:val="001B42F8"/>
    <w:rsid w:val="001B45EC"/>
    <w:rsid w:val="001B4E4D"/>
    <w:rsid w:val="001B5009"/>
    <w:rsid w:val="001B536D"/>
    <w:rsid w:val="001B53FC"/>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D69"/>
    <w:rsid w:val="001C4E64"/>
    <w:rsid w:val="001C532E"/>
    <w:rsid w:val="001C53EB"/>
    <w:rsid w:val="001C574D"/>
    <w:rsid w:val="001C5AAA"/>
    <w:rsid w:val="001C64E1"/>
    <w:rsid w:val="001C682E"/>
    <w:rsid w:val="001D05EA"/>
    <w:rsid w:val="001D07B6"/>
    <w:rsid w:val="001D0B68"/>
    <w:rsid w:val="001D0BB7"/>
    <w:rsid w:val="001D0BFB"/>
    <w:rsid w:val="001D0EDD"/>
    <w:rsid w:val="001D1389"/>
    <w:rsid w:val="001D1897"/>
    <w:rsid w:val="001D19D7"/>
    <w:rsid w:val="001D1D32"/>
    <w:rsid w:val="001D2283"/>
    <w:rsid w:val="001D2D9C"/>
    <w:rsid w:val="001D2EC7"/>
    <w:rsid w:val="001D308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16F5"/>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98C"/>
    <w:rsid w:val="001F0EA2"/>
    <w:rsid w:val="001F17BA"/>
    <w:rsid w:val="001F1991"/>
    <w:rsid w:val="001F215E"/>
    <w:rsid w:val="001F2627"/>
    <w:rsid w:val="001F298D"/>
    <w:rsid w:val="001F39CF"/>
    <w:rsid w:val="001F3BB3"/>
    <w:rsid w:val="001F3E6B"/>
    <w:rsid w:val="001F3F69"/>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3843"/>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12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125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ECA"/>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3F53"/>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4E7"/>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4AC8"/>
    <w:rsid w:val="002556C4"/>
    <w:rsid w:val="00255AC9"/>
    <w:rsid w:val="00256370"/>
    <w:rsid w:val="0025676D"/>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9C"/>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140"/>
    <w:rsid w:val="00275727"/>
    <w:rsid w:val="00275C52"/>
    <w:rsid w:val="00275C90"/>
    <w:rsid w:val="00275F5F"/>
    <w:rsid w:val="00276481"/>
    <w:rsid w:val="00276EDD"/>
    <w:rsid w:val="00277145"/>
    <w:rsid w:val="002775AA"/>
    <w:rsid w:val="00277ACC"/>
    <w:rsid w:val="00277FA3"/>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7D"/>
    <w:rsid w:val="00296FE0"/>
    <w:rsid w:val="00297DC5"/>
    <w:rsid w:val="00297DF3"/>
    <w:rsid w:val="00297EFE"/>
    <w:rsid w:val="00297FBC"/>
    <w:rsid w:val="002A000F"/>
    <w:rsid w:val="002A08C3"/>
    <w:rsid w:val="002A0FA8"/>
    <w:rsid w:val="002A111A"/>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7E1"/>
    <w:rsid w:val="002A6C52"/>
    <w:rsid w:val="002A7075"/>
    <w:rsid w:val="002A72BA"/>
    <w:rsid w:val="002A73B5"/>
    <w:rsid w:val="002A7950"/>
    <w:rsid w:val="002A7AEC"/>
    <w:rsid w:val="002A7C89"/>
    <w:rsid w:val="002A7CB7"/>
    <w:rsid w:val="002B0590"/>
    <w:rsid w:val="002B05D6"/>
    <w:rsid w:val="002B0752"/>
    <w:rsid w:val="002B0F81"/>
    <w:rsid w:val="002B0FF4"/>
    <w:rsid w:val="002B1530"/>
    <w:rsid w:val="002B1948"/>
    <w:rsid w:val="002B19F0"/>
    <w:rsid w:val="002B1B67"/>
    <w:rsid w:val="002B1BBF"/>
    <w:rsid w:val="002B1C30"/>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75"/>
    <w:rsid w:val="002C4ACD"/>
    <w:rsid w:val="002C4EA8"/>
    <w:rsid w:val="002C5496"/>
    <w:rsid w:val="002C6182"/>
    <w:rsid w:val="002C61A1"/>
    <w:rsid w:val="002C6BBD"/>
    <w:rsid w:val="002C70B3"/>
    <w:rsid w:val="002C763E"/>
    <w:rsid w:val="002C7910"/>
    <w:rsid w:val="002C7DA8"/>
    <w:rsid w:val="002C7E05"/>
    <w:rsid w:val="002D0834"/>
    <w:rsid w:val="002D0B07"/>
    <w:rsid w:val="002D0C96"/>
    <w:rsid w:val="002D0D12"/>
    <w:rsid w:val="002D14C6"/>
    <w:rsid w:val="002D19CF"/>
    <w:rsid w:val="002D251D"/>
    <w:rsid w:val="002D27D9"/>
    <w:rsid w:val="002D2B4C"/>
    <w:rsid w:val="002D32D5"/>
    <w:rsid w:val="002D3316"/>
    <w:rsid w:val="002D354D"/>
    <w:rsid w:val="002D361C"/>
    <w:rsid w:val="002D3BDB"/>
    <w:rsid w:val="002D3DEE"/>
    <w:rsid w:val="002D44EF"/>
    <w:rsid w:val="002D521C"/>
    <w:rsid w:val="002D5222"/>
    <w:rsid w:val="002D525F"/>
    <w:rsid w:val="002D5CAF"/>
    <w:rsid w:val="002D5DF7"/>
    <w:rsid w:val="002D714B"/>
    <w:rsid w:val="002D7606"/>
    <w:rsid w:val="002D7893"/>
    <w:rsid w:val="002D79BB"/>
    <w:rsid w:val="002E022C"/>
    <w:rsid w:val="002E05B2"/>
    <w:rsid w:val="002E087C"/>
    <w:rsid w:val="002E09F8"/>
    <w:rsid w:val="002E0B91"/>
    <w:rsid w:val="002E0C5D"/>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DB0"/>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4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2AD"/>
    <w:rsid w:val="00340776"/>
    <w:rsid w:val="003409B2"/>
    <w:rsid w:val="00340BAB"/>
    <w:rsid w:val="0034105F"/>
    <w:rsid w:val="00341169"/>
    <w:rsid w:val="003411E9"/>
    <w:rsid w:val="003413B0"/>
    <w:rsid w:val="00341DD0"/>
    <w:rsid w:val="00341E75"/>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0C81"/>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6D05"/>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D67"/>
    <w:rsid w:val="00397E01"/>
    <w:rsid w:val="00397E22"/>
    <w:rsid w:val="003A0210"/>
    <w:rsid w:val="003A0290"/>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9EF"/>
    <w:rsid w:val="003B1A43"/>
    <w:rsid w:val="003B1C7E"/>
    <w:rsid w:val="003B2407"/>
    <w:rsid w:val="003B2C94"/>
    <w:rsid w:val="003B2CC2"/>
    <w:rsid w:val="003B3058"/>
    <w:rsid w:val="003B3167"/>
    <w:rsid w:val="003B39A0"/>
    <w:rsid w:val="003B406A"/>
    <w:rsid w:val="003B44E9"/>
    <w:rsid w:val="003B54C0"/>
    <w:rsid w:val="003B5AA5"/>
    <w:rsid w:val="003B6140"/>
    <w:rsid w:val="003B6164"/>
    <w:rsid w:val="003B6715"/>
    <w:rsid w:val="003B68CE"/>
    <w:rsid w:val="003B6C6A"/>
    <w:rsid w:val="003B6C95"/>
    <w:rsid w:val="003B6E41"/>
    <w:rsid w:val="003B783E"/>
    <w:rsid w:val="003B7EF1"/>
    <w:rsid w:val="003C04ED"/>
    <w:rsid w:val="003C087A"/>
    <w:rsid w:val="003C0E83"/>
    <w:rsid w:val="003C1818"/>
    <w:rsid w:val="003C1CC8"/>
    <w:rsid w:val="003C1F1C"/>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E47"/>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13E"/>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3A"/>
    <w:rsid w:val="003E64BA"/>
    <w:rsid w:val="003E66CA"/>
    <w:rsid w:val="003E6A42"/>
    <w:rsid w:val="003E6FC1"/>
    <w:rsid w:val="003E74C3"/>
    <w:rsid w:val="003E75B1"/>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BC1"/>
    <w:rsid w:val="003F3C16"/>
    <w:rsid w:val="003F4793"/>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4307"/>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8F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31C"/>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1F4"/>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AF1"/>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3E2B"/>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3B88"/>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CD1"/>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0BB1"/>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400"/>
    <w:rsid w:val="00515C5A"/>
    <w:rsid w:val="005160FD"/>
    <w:rsid w:val="005164AA"/>
    <w:rsid w:val="005164E9"/>
    <w:rsid w:val="00517D5F"/>
    <w:rsid w:val="00520516"/>
    <w:rsid w:val="00520CE9"/>
    <w:rsid w:val="00521091"/>
    <w:rsid w:val="005213E5"/>
    <w:rsid w:val="00521707"/>
    <w:rsid w:val="00522378"/>
    <w:rsid w:val="005223C6"/>
    <w:rsid w:val="0052243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041"/>
    <w:rsid w:val="005341AA"/>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7B0"/>
    <w:rsid w:val="00543854"/>
    <w:rsid w:val="005439F8"/>
    <w:rsid w:val="00543A29"/>
    <w:rsid w:val="00543F92"/>
    <w:rsid w:val="005441DF"/>
    <w:rsid w:val="005442E6"/>
    <w:rsid w:val="00544993"/>
    <w:rsid w:val="00544B6D"/>
    <w:rsid w:val="00544D3F"/>
    <w:rsid w:val="00544EE2"/>
    <w:rsid w:val="0054555E"/>
    <w:rsid w:val="00545A48"/>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1C03"/>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9FC"/>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67E5A"/>
    <w:rsid w:val="0057023D"/>
    <w:rsid w:val="005707EB"/>
    <w:rsid w:val="00570822"/>
    <w:rsid w:val="005709DA"/>
    <w:rsid w:val="00570DBD"/>
    <w:rsid w:val="0057151F"/>
    <w:rsid w:val="005715B5"/>
    <w:rsid w:val="005715FD"/>
    <w:rsid w:val="00571840"/>
    <w:rsid w:val="0057185D"/>
    <w:rsid w:val="005718BC"/>
    <w:rsid w:val="00571977"/>
    <w:rsid w:val="00571EF7"/>
    <w:rsid w:val="0057268E"/>
    <w:rsid w:val="00572CB3"/>
    <w:rsid w:val="0057315D"/>
    <w:rsid w:val="00573C78"/>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628"/>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5FB"/>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3D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DD2"/>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811"/>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1B69"/>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6E17"/>
    <w:rsid w:val="005D70EC"/>
    <w:rsid w:val="005D7568"/>
    <w:rsid w:val="005D7719"/>
    <w:rsid w:val="005D7ED9"/>
    <w:rsid w:val="005D7FDC"/>
    <w:rsid w:val="005E049B"/>
    <w:rsid w:val="005E0ABD"/>
    <w:rsid w:val="005E1097"/>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4BA"/>
    <w:rsid w:val="00604528"/>
    <w:rsid w:val="00604D15"/>
    <w:rsid w:val="006050AB"/>
    <w:rsid w:val="0060524A"/>
    <w:rsid w:val="006052B5"/>
    <w:rsid w:val="006059D2"/>
    <w:rsid w:val="006067A9"/>
    <w:rsid w:val="00606C55"/>
    <w:rsid w:val="00606CB9"/>
    <w:rsid w:val="00606FD4"/>
    <w:rsid w:val="0060705C"/>
    <w:rsid w:val="0060714E"/>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C68"/>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1DC"/>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49E"/>
    <w:rsid w:val="006416D0"/>
    <w:rsid w:val="00642E2C"/>
    <w:rsid w:val="00642FDD"/>
    <w:rsid w:val="006439FF"/>
    <w:rsid w:val="00643A07"/>
    <w:rsid w:val="0064451B"/>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44"/>
    <w:rsid w:val="00657F57"/>
    <w:rsid w:val="00660E0E"/>
    <w:rsid w:val="00660F91"/>
    <w:rsid w:val="00660FB6"/>
    <w:rsid w:val="006613C1"/>
    <w:rsid w:val="00661D14"/>
    <w:rsid w:val="006629A0"/>
    <w:rsid w:val="0066321A"/>
    <w:rsid w:val="0066363F"/>
    <w:rsid w:val="0066365D"/>
    <w:rsid w:val="00664AED"/>
    <w:rsid w:val="00665168"/>
    <w:rsid w:val="0066547A"/>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9F6"/>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270"/>
    <w:rsid w:val="006923CC"/>
    <w:rsid w:val="006931D0"/>
    <w:rsid w:val="00693374"/>
    <w:rsid w:val="00693381"/>
    <w:rsid w:val="006939E7"/>
    <w:rsid w:val="00693AD7"/>
    <w:rsid w:val="00695437"/>
    <w:rsid w:val="0069562C"/>
    <w:rsid w:val="00695938"/>
    <w:rsid w:val="00695B5A"/>
    <w:rsid w:val="00695D17"/>
    <w:rsid w:val="00695DD9"/>
    <w:rsid w:val="00695FC7"/>
    <w:rsid w:val="0069695A"/>
    <w:rsid w:val="00696F26"/>
    <w:rsid w:val="00697835"/>
    <w:rsid w:val="006979C3"/>
    <w:rsid w:val="00697FA3"/>
    <w:rsid w:val="006A0229"/>
    <w:rsid w:val="006A03B7"/>
    <w:rsid w:val="006A072A"/>
    <w:rsid w:val="006A09CB"/>
    <w:rsid w:val="006A0F00"/>
    <w:rsid w:val="006A0FCA"/>
    <w:rsid w:val="006A1096"/>
    <w:rsid w:val="006A162B"/>
    <w:rsid w:val="006A181A"/>
    <w:rsid w:val="006A1BF8"/>
    <w:rsid w:val="006A25FE"/>
    <w:rsid w:val="006A2E5F"/>
    <w:rsid w:val="006A3538"/>
    <w:rsid w:val="006A3A60"/>
    <w:rsid w:val="006A3BED"/>
    <w:rsid w:val="006A4CD1"/>
    <w:rsid w:val="006A4DF4"/>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3FA8"/>
    <w:rsid w:val="006C425F"/>
    <w:rsid w:val="006C470F"/>
    <w:rsid w:val="006C47C9"/>
    <w:rsid w:val="006C503D"/>
    <w:rsid w:val="006C51C0"/>
    <w:rsid w:val="006C52B5"/>
    <w:rsid w:val="006C5320"/>
    <w:rsid w:val="006C5372"/>
    <w:rsid w:val="006C5B23"/>
    <w:rsid w:val="006C5D7C"/>
    <w:rsid w:val="006C63FF"/>
    <w:rsid w:val="006C65D2"/>
    <w:rsid w:val="006C6917"/>
    <w:rsid w:val="006C6AD9"/>
    <w:rsid w:val="006C7295"/>
    <w:rsid w:val="006C72FD"/>
    <w:rsid w:val="006C733F"/>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2C8"/>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3F34"/>
    <w:rsid w:val="006E42F2"/>
    <w:rsid w:val="006E4391"/>
    <w:rsid w:val="006E4569"/>
    <w:rsid w:val="006E4898"/>
    <w:rsid w:val="006E4923"/>
    <w:rsid w:val="006E4B17"/>
    <w:rsid w:val="006E4B59"/>
    <w:rsid w:val="006E4C06"/>
    <w:rsid w:val="006E559F"/>
    <w:rsid w:val="006E5744"/>
    <w:rsid w:val="006E594F"/>
    <w:rsid w:val="006E5E0F"/>
    <w:rsid w:val="006E67E1"/>
    <w:rsid w:val="006E6811"/>
    <w:rsid w:val="006E6BA5"/>
    <w:rsid w:val="006E6EFB"/>
    <w:rsid w:val="006E78DD"/>
    <w:rsid w:val="006E798E"/>
    <w:rsid w:val="006E7D2B"/>
    <w:rsid w:val="006F0A7B"/>
    <w:rsid w:val="006F0CA7"/>
    <w:rsid w:val="006F1138"/>
    <w:rsid w:val="006F1E2D"/>
    <w:rsid w:val="006F1F5D"/>
    <w:rsid w:val="006F2072"/>
    <w:rsid w:val="006F21C0"/>
    <w:rsid w:val="006F2495"/>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61D"/>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38D"/>
    <w:rsid w:val="007104C0"/>
    <w:rsid w:val="00710573"/>
    <w:rsid w:val="00710821"/>
    <w:rsid w:val="00710C35"/>
    <w:rsid w:val="00710EEA"/>
    <w:rsid w:val="0071175B"/>
    <w:rsid w:val="00711C69"/>
    <w:rsid w:val="00711CC7"/>
    <w:rsid w:val="00711EF1"/>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3FF"/>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3FD"/>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9D"/>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672D4"/>
    <w:rsid w:val="00770032"/>
    <w:rsid w:val="007700C7"/>
    <w:rsid w:val="0077013F"/>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27"/>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3F51"/>
    <w:rsid w:val="00794662"/>
    <w:rsid w:val="007946A0"/>
    <w:rsid w:val="00794DBA"/>
    <w:rsid w:val="00795B1F"/>
    <w:rsid w:val="00796656"/>
    <w:rsid w:val="00796CE4"/>
    <w:rsid w:val="007976D4"/>
    <w:rsid w:val="007978C1"/>
    <w:rsid w:val="00797A40"/>
    <w:rsid w:val="007A08A9"/>
    <w:rsid w:val="007A11A5"/>
    <w:rsid w:val="007A1399"/>
    <w:rsid w:val="007A1586"/>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6F4"/>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5AFD"/>
    <w:rsid w:val="007D67FB"/>
    <w:rsid w:val="007D6A27"/>
    <w:rsid w:val="007D6A91"/>
    <w:rsid w:val="007D6B6A"/>
    <w:rsid w:val="007D6F07"/>
    <w:rsid w:val="007D71CB"/>
    <w:rsid w:val="007D7938"/>
    <w:rsid w:val="007E0097"/>
    <w:rsid w:val="007E02BE"/>
    <w:rsid w:val="007E0980"/>
    <w:rsid w:val="007E12CF"/>
    <w:rsid w:val="007E15E2"/>
    <w:rsid w:val="007E1C03"/>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080"/>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1F8"/>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8D5"/>
    <w:rsid w:val="00844BA3"/>
    <w:rsid w:val="0084526F"/>
    <w:rsid w:val="00845751"/>
    <w:rsid w:val="008457CA"/>
    <w:rsid w:val="00845B6E"/>
    <w:rsid w:val="0084636A"/>
    <w:rsid w:val="0084637A"/>
    <w:rsid w:val="008464C3"/>
    <w:rsid w:val="00846FCE"/>
    <w:rsid w:val="008477F7"/>
    <w:rsid w:val="00847A0F"/>
    <w:rsid w:val="00847EB6"/>
    <w:rsid w:val="00850026"/>
    <w:rsid w:val="00850548"/>
    <w:rsid w:val="008507E6"/>
    <w:rsid w:val="008509C9"/>
    <w:rsid w:val="008510CB"/>
    <w:rsid w:val="00851C6B"/>
    <w:rsid w:val="00851D0A"/>
    <w:rsid w:val="00852383"/>
    <w:rsid w:val="00852ECE"/>
    <w:rsid w:val="008534ED"/>
    <w:rsid w:val="00853AFB"/>
    <w:rsid w:val="00853B2D"/>
    <w:rsid w:val="00853D0C"/>
    <w:rsid w:val="00854107"/>
    <w:rsid w:val="00854190"/>
    <w:rsid w:val="00854194"/>
    <w:rsid w:val="00854481"/>
    <w:rsid w:val="0085459B"/>
    <w:rsid w:val="008549FC"/>
    <w:rsid w:val="00854DBE"/>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A4"/>
    <w:rsid w:val="00860CEA"/>
    <w:rsid w:val="00860E43"/>
    <w:rsid w:val="0086146D"/>
    <w:rsid w:val="008618FC"/>
    <w:rsid w:val="00861991"/>
    <w:rsid w:val="008626FC"/>
    <w:rsid w:val="008628CA"/>
    <w:rsid w:val="008628FA"/>
    <w:rsid w:val="00863025"/>
    <w:rsid w:val="008633F1"/>
    <w:rsid w:val="00863833"/>
    <w:rsid w:val="00863C38"/>
    <w:rsid w:val="00864106"/>
    <w:rsid w:val="00864591"/>
    <w:rsid w:val="008645A2"/>
    <w:rsid w:val="00864BCE"/>
    <w:rsid w:val="00864F74"/>
    <w:rsid w:val="00865301"/>
    <w:rsid w:val="00865381"/>
    <w:rsid w:val="008655ED"/>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3C"/>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3E4F"/>
    <w:rsid w:val="008841AD"/>
    <w:rsid w:val="00884635"/>
    <w:rsid w:val="00884C3C"/>
    <w:rsid w:val="00884FF6"/>
    <w:rsid w:val="008850E6"/>
    <w:rsid w:val="00885228"/>
    <w:rsid w:val="00885793"/>
    <w:rsid w:val="00885AFE"/>
    <w:rsid w:val="00885B91"/>
    <w:rsid w:val="008861A9"/>
    <w:rsid w:val="00887005"/>
    <w:rsid w:val="00887033"/>
    <w:rsid w:val="00887C9F"/>
    <w:rsid w:val="0089089E"/>
    <w:rsid w:val="0089090E"/>
    <w:rsid w:val="00890B1A"/>
    <w:rsid w:val="00890B55"/>
    <w:rsid w:val="0089121F"/>
    <w:rsid w:val="008916D8"/>
    <w:rsid w:val="008918FC"/>
    <w:rsid w:val="00891D23"/>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6CF5"/>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1A52"/>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8C5"/>
    <w:rsid w:val="008C79B4"/>
    <w:rsid w:val="008C7F90"/>
    <w:rsid w:val="008D00B5"/>
    <w:rsid w:val="008D0180"/>
    <w:rsid w:val="008D0721"/>
    <w:rsid w:val="008D09A9"/>
    <w:rsid w:val="008D0A2E"/>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2D0"/>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039B"/>
    <w:rsid w:val="009010F9"/>
    <w:rsid w:val="0090129C"/>
    <w:rsid w:val="00903328"/>
    <w:rsid w:val="009036A8"/>
    <w:rsid w:val="00903B09"/>
    <w:rsid w:val="009048F0"/>
    <w:rsid w:val="00904CBF"/>
    <w:rsid w:val="00904FE3"/>
    <w:rsid w:val="0090508B"/>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3F7F"/>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45F"/>
    <w:rsid w:val="00936B4B"/>
    <w:rsid w:val="00936F6A"/>
    <w:rsid w:val="009373FB"/>
    <w:rsid w:val="00937436"/>
    <w:rsid w:val="0094023F"/>
    <w:rsid w:val="00940723"/>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7C5"/>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0F4"/>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6A21"/>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757"/>
    <w:rsid w:val="009769B2"/>
    <w:rsid w:val="00976D68"/>
    <w:rsid w:val="00976DFB"/>
    <w:rsid w:val="009776A9"/>
    <w:rsid w:val="009777C1"/>
    <w:rsid w:val="009779F4"/>
    <w:rsid w:val="00977F1B"/>
    <w:rsid w:val="00980013"/>
    <w:rsid w:val="00980B5C"/>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64B5"/>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D03"/>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629"/>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63"/>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283"/>
    <w:rsid w:val="009D5305"/>
    <w:rsid w:val="009D568A"/>
    <w:rsid w:val="009D5B8D"/>
    <w:rsid w:val="009D628D"/>
    <w:rsid w:val="009D6497"/>
    <w:rsid w:val="009D71FF"/>
    <w:rsid w:val="009D798A"/>
    <w:rsid w:val="009D7E3B"/>
    <w:rsid w:val="009E0097"/>
    <w:rsid w:val="009E0419"/>
    <w:rsid w:val="009E0557"/>
    <w:rsid w:val="009E0720"/>
    <w:rsid w:val="009E0970"/>
    <w:rsid w:val="009E0F3D"/>
    <w:rsid w:val="009E2426"/>
    <w:rsid w:val="009E25BC"/>
    <w:rsid w:val="009E304F"/>
    <w:rsid w:val="009E3553"/>
    <w:rsid w:val="009E3C2E"/>
    <w:rsid w:val="009E4AD6"/>
    <w:rsid w:val="009E4AE5"/>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386"/>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5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5C5"/>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DF0"/>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244"/>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E5B"/>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62C"/>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53F"/>
    <w:rsid w:val="00A67658"/>
    <w:rsid w:val="00A67B89"/>
    <w:rsid w:val="00A67C8C"/>
    <w:rsid w:val="00A67CA2"/>
    <w:rsid w:val="00A67DAD"/>
    <w:rsid w:val="00A67DB8"/>
    <w:rsid w:val="00A70159"/>
    <w:rsid w:val="00A70938"/>
    <w:rsid w:val="00A70B31"/>
    <w:rsid w:val="00A70C29"/>
    <w:rsid w:val="00A7175D"/>
    <w:rsid w:val="00A719AF"/>
    <w:rsid w:val="00A719C1"/>
    <w:rsid w:val="00A7279A"/>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1E83"/>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84"/>
    <w:rsid w:val="00A94FE2"/>
    <w:rsid w:val="00A94FF9"/>
    <w:rsid w:val="00A95186"/>
    <w:rsid w:val="00A95527"/>
    <w:rsid w:val="00A959EB"/>
    <w:rsid w:val="00A95A25"/>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4BE4"/>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3A5"/>
    <w:rsid w:val="00AC28BB"/>
    <w:rsid w:val="00AC2976"/>
    <w:rsid w:val="00AC2A72"/>
    <w:rsid w:val="00AC2B90"/>
    <w:rsid w:val="00AC2D58"/>
    <w:rsid w:val="00AC2F64"/>
    <w:rsid w:val="00AC32F8"/>
    <w:rsid w:val="00AC35E0"/>
    <w:rsid w:val="00AC3E7B"/>
    <w:rsid w:val="00AC4A56"/>
    <w:rsid w:val="00AC4AC4"/>
    <w:rsid w:val="00AC4B5A"/>
    <w:rsid w:val="00AC4DF4"/>
    <w:rsid w:val="00AC593B"/>
    <w:rsid w:val="00AC5F63"/>
    <w:rsid w:val="00AC641D"/>
    <w:rsid w:val="00AC66F8"/>
    <w:rsid w:val="00AC6830"/>
    <w:rsid w:val="00AC6D1B"/>
    <w:rsid w:val="00AC6DFF"/>
    <w:rsid w:val="00AC6F48"/>
    <w:rsid w:val="00AC701E"/>
    <w:rsid w:val="00AC74DA"/>
    <w:rsid w:val="00AC7FD5"/>
    <w:rsid w:val="00AD0512"/>
    <w:rsid w:val="00AD112D"/>
    <w:rsid w:val="00AD1170"/>
    <w:rsid w:val="00AD1345"/>
    <w:rsid w:val="00AD1722"/>
    <w:rsid w:val="00AD1917"/>
    <w:rsid w:val="00AD1BDB"/>
    <w:rsid w:val="00AD1C83"/>
    <w:rsid w:val="00AD25D0"/>
    <w:rsid w:val="00AD2771"/>
    <w:rsid w:val="00AD2AAC"/>
    <w:rsid w:val="00AD2D74"/>
    <w:rsid w:val="00AD33CB"/>
    <w:rsid w:val="00AD377D"/>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690"/>
    <w:rsid w:val="00AE57B3"/>
    <w:rsid w:val="00AE57F5"/>
    <w:rsid w:val="00AE5DF2"/>
    <w:rsid w:val="00AE612E"/>
    <w:rsid w:val="00AE643A"/>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500"/>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0970"/>
    <w:rsid w:val="00B1101F"/>
    <w:rsid w:val="00B1134F"/>
    <w:rsid w:val="00B11377"/>
    <w:rsid w:val="00B11EFE"/>
    <w:rsid w:val="00B12437"/>
    <w:rsid w:val="00B1313A"/>
    <w:rsid w:val="00B13675"/>
    <w:rsid w:val="00B1368E"/>
    <w:rsid w:val="00B150CF"/>
    <w:rsid w:val="00B1574A"/>
    <w:rsid w:val="00B16344"/>
    <w:rsid w:val="00B16E5A"/>
    <w:rsid w:val="00B17B47"/>
    <w:rsid w:val="00B17D03"/>
    <w:rsid w:val="00B20080"/>
    <w:rsid w:val="00B20149"/>
    <w:rsid w:val="00B20402"/>
    <w:rsid w:val="00B204F2"/>
    <w:rsid w:val="00B20734"/>
    <w:rsid w:val="00B20B6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899"/>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E24"/>
    <w:rsid w:val="00B41F55"/>
    <w:rsid w:val="00B42493"/>
    <w:rsid w:val="00B42AEF"/>
    <w:rsid w:val="00B42C17"/>
    <w:rsid w:val="00B433BD"/>
    <w:rsid w:val="00B43C37"/>
    <w:rsid w:val="00B43EA8"/>
    <w:rsid w:val="00B45132"/>
    <w:rsid w:val="00B45F9F"/>
    <w:rsid w:val="00B46117"/>
    <w:rsid w:val="00B465B2"/>
    <w:rsid w:val="00B467FA"/>
    <w:rsid w:val="00B46A7F"/>
    <w:rsid w:val="00B46C2A"/>
    <w:rsid w:val="00B46D13"/>
    <w:rsid w:val="00B47A82"/>
    <w:rsid w:val="00B47D06"/>
    <w:rsid w:val="00B47EE2"/>
    <w:rsid w:val="00B50446"/>
    <w:rsid w:val="00B50694"/>
    <w:rsid w:val="00B50EF0"/>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1DC1"/>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2E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2F0A"/>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A7FFE"/>
    <w:rsid w:val="00BB04DE"/>
    <w:rsid w:val="00BB05CF"/>
    <w:rsid w:val="00BB0B30"/>
    <w:rsid w:val="00BB0E41"/>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DA3"/>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AFF"/>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4BF"/>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74D"/>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BDD"/>
    <w:rsid w:val="00C05CFA"/>
    <w:rsid w:val="00C0676D"/>
    <w:rsid w:val="00C070BF"/>
    <w:rsid w:val="00C07146"/>
    <w:rsid w:val="00C07362"/>
    <w:rsid w:val="00C07ECA"/>
    <w:rsid w:val="00C07FBE"/>
    <w:rsid w:val="00C10A16"/>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5F3D"/>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0F0"/>
    <w:rsid w:val="00C23482"/>
    <w:rsid w:val="00C2397D"/>
    <w:rsid w:val="00C23BE6"/>
    <w:rsid w:val="00C23C02"/>
    <w:rsid w:val="00C24862"/>
    <w:rsid w:val="00C24C46"/>
    <w:rsid w:val="00C24FFF"/>
    <w:rsid w:val="00C25348"/>
    <w:rsid w:val="00C2581A"/>
    <w:rsid w:val="00C25CD0"/>
    <w:rsid w:val="00C26518"/>
    <w:rsid w:val="00C265C3"/>
    <w:rsid w:val="00C267D1"/>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5F2"/>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E25"/>
    <w:rsid w:val="00C47F0B"/>
    <w:rsid w:val="00C5004C"/>
    <w:rsid w:val="00C505BD"/>
    <w:rsid w:val="00C506C1"/>
    <w:rsid w:val="00C50D0B"/>
    <w:rsid w:val="00C50EDE"/>
    <w:rsid w:val="00C51164"/>
    <w:rsid w:val="00C51420"/>
    <w:rsid w:val="00C51545"/>
    <w:rsid w:val="00C51AC1"/>
    <w:rsid w:val="00C5244C"/>
    <w:rsid w:val="00C52677"/>
    <w:rsid w:val="00C52733"/>
    <w:rsid w:val="00C52A15"/>
    <w:rsid w:val="00C52FE8"/>
    <w:rsid w:val="00C539A4"/>
    <w:rsid w:val="00C53B5A"/>
    <w:rsid w:val="00C53C5E"/>
    <w:rsid w:val="00C54006"/>
    <w:rsid w:val="00C54047"/>
    <w:rsid w:val="00C545EB"/>
    <w:rsid w:val="00C54897"/>
    <w:rsid w:val="00C54ABC"/>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86F"/>
    <w:rsid w:val="00C91A36"/>
    <w:rsid w:val="00C92614"/>
    <w:rsid w:val="00C92779"/>
    <w:rsid w:val="00C92BF9"/>
    <w:rsid w:val="00C92FC9"/>
    <w:rsid w:val="00C931F2"/>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AE8"/>
    <w:rsid w:val="00CD1C9C"/>
    <w:rsid w:val="00CD1EEC"/>
    <w:rsid w:val="00CD2767"/>
    <w:rsid w:val="00CD2A54"/>
    <w:rsid w:val="00CD2B4D"/>
    <w:rsid w:val="00CD2BEE"/>
    <w:rsid w:val="00CD2D7F"/>
    <w:rsid w:val="00CD3AF1"/>
    <w:rsid w:val="00CD3C43"/>
    <w:rsid w:val="00CD441E"/>
    <w:rsid w:val="00CD4496"/>
    <w:rsid w:val="00CD4CCF"/>
    <w:rsid w:val="00CD59CF"/>
    <w:rsid w:val="00CD5BBE"/>
    <w:rsid w:val="00CD5BF0"/>
    <w:rsid w:val="00CD60AC"/>
    <w:rsid w:val="00CD630E"/>
    <w:rsid w:val="00CD6876"/>
    <w:rsid w:val="00CD7D7A"/>
    <w:rsid w:val="00CE0946"/>
    <w:rsid w:val="00CE0C38"/>
    <w:rsid w:val="00CE0D51"/>
    <w:rsid w:val="00CE0E87"/>
    <w:rsid w:val="00CE0F29"/>
    <w:rsid w:val="00CE10A8"/>
    <w:rsid w:val="00CE1665"/>
    <w:rsid w:val="00CE1B84"/>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1F"/>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9EE"/>
    <w:rsid w:val="00D12B1F"/>
    <w:rsid w:val="00D12E2D"/>
    <w:rsid w:val="00D12EF8"/>
    <w:rsid w:val="00D130A3"/>
    <w:rsid w:val="00D138CD"/>
    <w:rsid w:val="00D13AF5"/>
    <w:rsid w:val="00D13E2E"/>
    <w:rsid w:val="00D14130"/>
    <w:rsid w:val="00D14B59"/>
    <w:rsid w:val="00D155AA"/>
    <w:rsid w:val="00D15646"/>
    <w:rsid w:val="00D1591C"/>
    <w:rsid w:val="00D15958"/>
    <w:rsid w:val="00D15B30"/>
    <w:rsid w:val="00D15EA9"/>
    <w:rsid w:val="00D16090"/>
    <w:rsid w:val="00D16295"/>
    <w:rsid w:val="00D162CD"/>
    <w:rsid w:val="00D16571"/>
    <w:rsid w:val="00D168B2"/>
    <w:rsid w:val="00D175B7"/>
    <w:rsid w:val="00D17748"/>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54A"/>
    <w:rsid w:val="00D32ACC"/>
    <w:rsid w:val="00D32C7E"/>
    <w:rsid w:val="00D33087"/>
    <w:rsid w:val="00D330B2"/>
    <w:rsid w:val="00D3402B"/>
    <w:rsid w:val="00D34702"/>
    <w:rsid w:val="00D34EDF"/>
    <w:rsid w:val="00D350FB"/>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92F"/>
    <w:rsid w:val="00D50A89"/>
    <w:rsid w:val="00D50C96"/>
    <w:rsid w:val="00D50F36"/>
    <w:rsid w:val="00D51923"/>
    <w:rsid w:val="00D51BF0"/>
    <w:rsid w:val="00D51DFD"/>
    <w:rsid w:val="00D51E62"/>
    <w:rsid w:val="00D522B1"/>
    <w:rsid w:val="00D52DAF"/>
    <w:rsid w:val="00D53B48"/>
    <w:rsid w:val="00D53DFA"/>
    <w:rsid w:val="00D5436D"/>
    <w:rsid w:val="00D54378"/>
    <w:rsid w:val="00D54865"/>
    <w:rsid w:val="00D54889"/>
    <w:rsid w:val="00D54CC8"/>
    <w:rsid w:val="00D54D20"/>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9DA"/>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B15"/>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3B3"/>
    <w:rsid w:val="00DD0678"/>
    <w:rsid w:val="00DD14FE"/>
    <w:rsid w:val="00DD15D2"/>
    <w:rsid w:val="00DD187B"/>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B2E"/>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DF8"/>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635"/>
    <w:rsid w:val="00E06764"/>
    <w:rsid w:val="00E06FF0"/>
    <w:rsid w:val="00E10677"/>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355"/>
    <w:rsid w:val="00E1550C"/>
    <w:rsid w:val="00E156B0"/>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02E"/>
    <w:rsid w:val="00E30870"/>
    <w:rsid w:val="00E30F9B"/>
    <w:rsid w:val="00E3102D"/>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4F44"/>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D6B"/>
    <w:rsid w:val="00E53E69"/>
    <w:rsid w:val="00E54078"/>
    <w:rsid w:val="00E54336"/>
    <w:rsid w:val="00E543BE"/>
    <w:rsid w:val="00E550B1"/>
    <w:rsid w:val="00E561BB"/>
    <w:rsid w:val="00E562F7"/>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52F"/>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7765C"/>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3AD6"/>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3E3"/>
    <w:rsid w:val="00EA0518"/>
    <w:rsid w:val="00EA0664"/>
    <w:rsid w:val="00EA0FFA"/>
    <w:rsid w:val="00EA1459"/>
    <w:rsid w:val="00EA1966"/>
    <w:rsid w:val="00EA1B8C"/>
    <w:rsid w:val="00EA2197"/>
    <w:rsid w:val="00EA2340"/>
    <w:rsid w:val="00EA26C8"/>
    <w:rsid w:val="00EA2724"/>
    <w:rsid w:val="00EA2E69"/>
    <w:rsid w:val="00EA301F"/>
    <w:rsid w:val="00EA3900"/>
    <w:rsid w:val="00EA42E3"/>
    <w:rsid w:val="00EA43DF"/>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54B"/>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22C"/>
    <w:rsid w:val="00EC73C9"/>
    <w:rsid w:val="00EC7621"/>
    <w:rsid w:val="00EC77C7"/>
    <w:rsid w:val="00EC7A79"/>
    <w:rsid w:val="00EC7EB2"/>
    <w:rsid w:val="00ED00A0"/>
    <w:rsid w:val="00ED04DC"/>
    <w:rsid w:val="00ED12BC"/>
    <w:rsid w:val="00ED1FBC"/>
    <w:rsid w:val="00ED204D"/>
    <w:rsid w:val="00ED223C"/>
    <w:rsid w:val="00ED2816"/>
    <w:rsid w:val="00ED2989"/>
    <w:rsid w:val="00ED2F30"/>
    <w:rsid w:val="00ED34C3"/>
    <w:rsid w:val="00ED3853"/>
    <w:rsid w:val="00ED3C64"/>
    <w:rsid w:val="00ED55F9"/>
    <w:rsid w:val="00ED5E05"/>
    <w:rsid w:val="00ED67E4"/>
    <w:rsid w:val="00ED685E"/>
    <w:rsid w:val="00ED691E"/>
    <w:rsid w:val="00ED7521"/>
    <w:rsid w:val="00ED78D5"/>
    <w:rsid w:val="00ED7CCC"/>
    <w:rsid w:val="00ED7FD1"/>
    <w:rsid w:val="00EE001E"/>
    <w:rsid w:val="00EE037F"/>
    <w:rsid w:val="00EE070C"/>
    <w:rsid w:val="00EE0CF9"/>
    <w:rsid w:val="00EE0EA2"/>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431"/>
    <w:rsid w:val="00EE66D6"/>
    <w:rsid w:val="00EE6891"/>
    <w:rsid w:val="00EE705B"/>
    <w:rsid w:val="00EE72D0"/>
    <w:rsid w:val="00EF03B4"/>
    <w:rsid w:val="00EF07FA"/>
    <w:rsid w:val="00EF089D"/>
    <w:rsid w:val="00EF0CB6"/>
    <w:rsid w:val="00EF11B6"/>
    <w:rsid w:val="00EF1472"/>
    <w:rsid w:val="00EF1584"/>
    <w:rsid w:val="00EF1688"/>
    <w:rsid w:val="00EF1814"/>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07"/>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0CFD"/>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78"/>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B87"/>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490"/>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081"/>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091"/>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A9C"/>
    <w:rsid w:val="00F62CF9"/>
    <w:rsid w:val="00F62F43"/>
    <w:rsid w:val="00F6375C"/>
    <w:rsid w:val="00F63C10"/>
    <w:rsid w:val="00F64726"/>
    <w:rsid w:val="00F65927"/>
    <w:rsid w:val="00F65A0B"/>
    <w:rsid w:val="00F65C05"/>
    <w:rsid w:val="00F65C21"/>
    <w:rsid w:val="00F66073"/>
    <w:rsid w:val="00F66419"/>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6AB"/>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90"/>
    <w:rsid w:val="00FB05BB"/>
    <w:rsid w:val="00FB0BC0"/>
    <w:rsid w:val="00FB0C66"/>
    <w:rsid w:val="00FB0E77"/>
    <w:rsid w:val="00FB1673"/>
    <w:rsid w:val="00FB1C79"/>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A4"/>
    <w:rsid w:val="00FC1FF9"/>
    <w:rsid w:val="00FC2424"/>
    <w:rsid w:val="00FC2B5B"/>
    <w:rsid w:val="00FC2B62"/>
    <w:rsid w:val="00FC2F92"/>
    <w:rsid w:val="00FC32AB"/>
    <w:rsid w:val="00FC34E5"/>
    <w:rsid w:val="00FC3B6C"/>
    <w:rsid w:val="00FC3FC7"/>
    <w:rsid w:val="00FC42DA"/>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100"/>
    <w:rsid w:val="00FD739E"/>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2F91"/>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0B1"/>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52411">
      <w:bodyDiv w:val="1"/>
      <w:marLeft w:val="0"/>
      <w:marRight w:val="0"/>
      <w:marTop w:val="0"/>
      <w:marBottom w:val="0"/>
      <w:divBdr>
        <w:top w:val="none" w:sz="0" w:space="0" w:color="auto"/>
        <w:left w:val="none" w:sz="0" w:space="0" w:color="auto"/>
        <w:bottom w:val="none" w:sz="0" w:space="0" w:color="auto"/>
        <w:right w:val="none" w:sz="0" w:space="0" w:color="auto"/>
      </w:divBdr>
    </w:div>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4152484">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3797640">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36147302">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8980075">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0567264">
      <w:bodyDiv w:val="1"/>
      <w:marLeft w:val="0"/>
      <w:marRight w:val="0"/>
      <w:marTop w:val="0"/>
      <w:marBottom w:val="0"/>
      <w:divBdr>
        <w:top w:val="none" w:sz="0" w:space="0" w:color="auto"/>
        <w:left w:val="none" w:sz="0" w:space="0" w:color="auto"/>
        <w:bottom w:val="none" w:sz="0" w:space="0" w:color="auto"/>
        <w:right w:val="none" w:sz="0" w:space="0" w:color="auto"/>
      </w:divBdr>
    </w:div>
    <w:div w:id="350767076">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08768525">
      <w:bodyDiv w:val="1"/>
      <w:marLeft w:val="0"/>
      <w:marRight w:val="0"/>
      <w:marTop w:val="0"/>
      <w:marBottom w:val="0"/>
      <w:divBdr>
        <w:top w:val="none" w:sz="0" w:space="0" w:color="auto"/>
        <w:left w:val="none" w:sz="0" w:space="0" w:color="auto"/>
        <w:bottom w:val="none" w:sz="0" w:space="0" w:color="auto"/>
        <w:right w:val="none" w:sz="0" w:space="0" w:color="auto"/>
      </w:divBdr>
      <w:divsChild>
        <w:div w:id="89787644">
          <w:marLeft w:val="0"/>
          <w:marRight w:val="0"/>
          <w:marTop w:val="0"/>
          <w:marBottom w:val="0"/>
          <w:divBdr>
            <w:top w:val="none" w:sz="0" w:space="0" w:color="auto"/>
            <w:left w:val="none" w:sz="0" w:space="0" w:color="auto"/>
            <w:bottom w:val="none" w:sz="0" w:space="0" w:color="auto"/>
            <w:right w:val="none" w:sz="0" w:space="0" w:color="auto"/>
          </w:divBdr>
        </w:div>
      </w:divsChild>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30667084">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4754916">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86284636">
      <w:bodyDiv w:val="1"/>
      <w:marLeft w:val="0"/>
      <w:marRight w:val="0"/>
      <w:marTop w:val="0"/>
      <w:marBottom w:val="0"/>
      <w:divBdr>
        <w:top w:val="none" w:sz="0" w:space="0" w:color="auto"/>
        <w:left w:val="none" w:sz="0" w:space="0" w:color="auto"/>
        <w:bottom w:val="none" w:sz="0" w:space="0" w:color="auto"/>
        <w:right w:val="none" w:sz="0" w:space="0" w:color="auto"/>
      </w:divBdr>
    </w:div>
    <w:div w:id="494417478">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68535509">
      <w:bodyDiv w:val="1"/>
      <w:marLeft w:val="0"/>
      <w:marRight w:val="0"/>
      <w:marTop w:val="0"/>
      <w:marBottom w:val="0"/>
      <w:divBdr>
        <w:top w:val="none" w:sz="0" w:space="0" w:color="auto"/>
        <w:left w:val="none" w:sz="0" w:space="0" w:color="auto"/>
        <w:bottom w:val="none" w:sz="0" w:space="0" w:color="auto"/>
        <w:right w:val="none" w:sz="0" w:space="0" w:color="auto"/>
      </w:divBdr>
    </w:div>
    <w:div w:id="573977461">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35331640">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03945560">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338405">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1725927">
      <w:bodyDiv w:val="1"/>
      <w:marLeft w:val="0"/>
      <w:marRight w:val="0"/>
      <w:marTop w:val="0"/>
      <w:marBottom w:val="0"/>
      <w:divBdr>
        <w:top w:val="none" w:sz="0" w:space="0" w:color="auto"/>
        <w:left w:val="none" w:sz="0" w:space="0" w:color="auto"/>
        <w:bottom w:val="none" w:sz="0" w:space="0" w:color="auto"/>
        <w:right w:val="none" w:sz="0" w:space="0" w:color="auto"/>
      </w:divBdr>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894007863">
      <w:bodyDiv w:val="1"/>
      <w:marLeft w:val="0"/>
      <w:marRight w:val="0"/>
      <w:marTop w:val="0"/>
      <w:marBottom w:val="0"/>
      <w:divBdr>
        <w:top w:val="none" w:sz="0" w:space="0" w:color="auto"/>
        <w:left w:val="none" w:sz="0" w:space="0" w:color="auto"/>
        <w:bottom w:val="none" w:sz="0" w:space="0" w:color="auto"/>
        <w:right w:val="none" w:sz="0" w:space="0" w:color="auto"/>
      </w:divBdr>
      <w:divsChild>
        <w:div w:id="962273013">
          <w:marLeft w:val="0"/>
          <w:marRight w:val="0"/>
          <w:marTop w:val="0"/>
          <w:marBottom w:val="0"/>
          <w:divBdr>
            <w:top w:val="none" w:sz="0" w:space="0" w:color="auto"/>
            <w:left w:val="none" w:sz="0" w:space="0" w:color="auto"/>
            <w:bottom w:val="none" w:sz="0" w:space="0" w:color="auto"/>
            <w:right w:val="none" w:sz="0" w:space="0" w:color="auto"/>
          </w:divBdr>
        </w:div>
      </w:divsChild>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976796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15158441">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73503341">
      <w:bodyDiv w:val="1"/>
      <w:marLeft w:val="0"/>
      <w:marRight w:val="0"/>
      <w:marTop w:val="0"/>
      <w:marBottom w:val="0"/>
      <w:divBdr>
        <w:top w:val="none" w:sz="0" w:space="0" w:color="auto"/>
        <w:left w:val="none" w:sz="0" w:space="0" w:color="auto"/>
        <w:bottom w:val="none" w:sz="0" w:space="0" w:color="auto"/>
        <w:right w:val="none" w:sz="0" w:space="0" w:color="auto"/>
      </w:divBdr>
      <w:divsChild>
        <w:div w:id="1442723832">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094664281">
      <w:bodyDiv w:val="1"/>
      <w:marLeft w:val="0"/>
      <w:marRight w:val="0"/>
      <w:marTop w:val="0"/>
      <w:marBottom w:val="0"/>
      <w:divBdr>
        <w:top w:val="none" w:sz="0" w:space="0" w:color="auto"/>
        <w:left w:val="none" w:sz="0" w:space="0" w:color="auto"/>
        <w:bottom w:val="none" w:sz="0" w:space="0" w:color="auto"/>
        <w:right w:val="none" w:sz="0" w:space="0" w:color="auto"/>
      </w:divBdr>
      <w:divsChild>
        <w:div w:id="382607494">
          <w:marLeft w:val="0"/>
          <w:marRight w:val="0"/>
          <w:marTop w:val="0"/>
          <w:marBottom w:val="0"/>
          <w:divBdr>
            <w:top w:val="none" w:sz="0" w:space="0" w:color="auto"/>
            <w:left w:val="none" w:sz="0" w:space="0" w:color="auto"/>
            <w:bottom w:val="none" w:sz="0" w:space="0" w:color="auto"/>
            <w:right w:val="none" w:sz="0" w:space="0" w:color="auto"/>
          </w:divBdr>
        </w:div>
      </w:divsChild>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06272689">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8599151">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194226191">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07909033">
      <w:bodyDiv w:val="1"/>
      <w:marLeft w:val="0"/>
      <w:marRight w:val="0"/>
      <w:marTop w:val="0"/>
      <w:marBottom w:val="0"/>
      <w:divBdr>
        <w:top w:val="none" w:sz="0" w:space="0" w:color="auto"/>
        <w:left w:val="none" w:sz="0" w:space="0" w:color="auto"/>
        <w:bottom w:val="none" w:sz="0" w:space="0" w:color="auto"/>
        <w:right w:val="none" w:sz="0" w:space="0" w:color="auto"/>
      </w:divBdr>
    </w:div>
    <w:div w:id="1266577147">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456924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0494342">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392999421">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79615899">
      <w:bodyDiv w:val="1"/>
      <w:marLeft w:val="0"/>
      <w:marRight w:val="0"/>
      <w:marTop w:val="0"/>
      <w:marBottom w:val="0"/>
      <w:divBdr>
        <w:top w:val="none" w:sz="0" w:space="0" w:color="auto"/>
        <w:left w:val="none" w:sz="0" w:space="0" w:color="auto"/>
        <w:bottom w:val="none" w:sz="0" w:space="0" w:color="auto"/>
        <w:right w:val="none" w:sz="0" w:space="0" w:color="auto"/>
      </w:divBdr>
    </w:div>
    <w:div w:id="1487739694">
      <w:bodyDiv w:val="1"/>
      <w:marLeft w:val="0"/>
      <w:marRight w:val="0"/>
      <w:marTop w:val="0"/>
      <w:marBottom w:val="0"/>
      <w:divBdr>
        <w:top w:val="none" w:sz="0" w:space="0" w:color="auto"/>
        <w:left w:val="none" w:sz="0" w:space="0" w:color="auto"/>
        <w:bottom w:val="none" w:sz="0" w:space="0" w:color="auto"/>
        <w:right w:val="none" w:sz="0" w:space="0" w:color="auto"/>
      </w:divBdr>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04510062">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47526740">
      <w:bodyDiv w:val="1"/>
      <w:marLeft w:val="0"/>
      <w:marRight w:val="0"/>
      <w:marTop w:val="0"/>
      <w:marBottom w:val="0"/>
      <w:divBdr>
        <w:top w:val="none" w:sz="0" w:space="0" w:color="auto"/>
        <w:left w:val="none" w:sz="0" w:space="0" w:color="auto"/>
        <w:bottom w:val="none" w:sz="0" w:space="0" w:color="auto"/>
        <w:right w:val="none" w:sz="0" w:space="0" w:color="auto"/>
      </w:divBdr>
      <w:divsChild>
        <w:div w:id="463549119">
          <w:marLeft w:val="0"/>
          <w:marRight w:val="0"/>
          <w:marTop w:val="0"/>
          <w:marBottom w:val="0"/>
          <w:divBdr>
            <w:top w:val="none" w:sz="0" w:space="0" w:color="auto"/>
            <w:left w:val="none" w:sz="0" w:space="0" w:color="auto"/>
            <w:bottom w:val="none" w:sz="0" w:space="0" w:color="auto"/>
            <w:right w:val="none" w:sz="0" w:space="0" w:color="auto"/>
          </w:divBdr>
        </w:div>
      </w:divsChild>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70067966">
      <w:bodyDiv w:val="1"/>
      <w:marLeft w:val="0"/>
      <w:marRight w:val="0"/>
      <w:marTop w:val="0"/>
      <w:marBottom w:val="0"/>
      <w:divBdr>
        <w:top w:val="none" w:sz="0" w:space="0" w:color="auto"/>
        <w:left w:val="none" w:sz="0" w:space="0" w:color="auto"/>
        <w:bottom w:val="none" w:sz="0" w:space="0" w:color="auto"/>
        <w:right w:val="none" w:sz="0" w:space="0" w:color="auto"/>
      </w:divBdr>
      <w:divsChild>
        <w:div w:id="524945384">
          <w:marLeft w:val="0"/>
          <w:marRight w:val="0"/>
          <w:marTop w:val="0"/>
          <w:marBottom w:val="0"/>
          <w:divBdr>
            <w:top w:val="none" w:sz="0" w:space="0" w:color="auto"/>
            <w:left w:val="none" w:sz="0" w:space="0" w:color="auto"/>
            <w:bottom w:val="none" w:sz="0" w:space="0" w:color="auto"/>
            <w:right w:val="none" w:sz="0" w:space="0" w:color="auto"/>
          </w:divBdr>
        </w:div>
      </w:divsChild>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0721378">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32708267">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1489434">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313305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5774721">
      <w:bodyDiv w:val="1"/>
      <w:marLeft w:val="0"/>
      <w:marRight w:val="0"/>
      <w:marTop w:val="0"/>
      <w:marBottom w:val="0"/>
      <w:divBdr>
        <w:top w:val="none" w:sz="0" w:space="0" w:color="auto"/>
        <w:left w:val="none" w:sz="0" w:space="0" w:color="auto"/>
        <w:bottom w:val="none" w:sz="0" w:space="0" w:color="auto"/>
        <w:right w:val="none" w:sz="0" w:space="0" w:color="auto"/>
      </w:divBdr>
      <w:divsChild>
        <w:div w:id="1597012833">
          <w:marLeft w:val="0"/>
          <w:marRight w:val="0"/>
          <w:marTop w:val="0"/>
          <w:marBottom w:val="0"/>
          <w:divBdr>
            <w:top w:val="none" w:sz="0" w:space="0" w:color="auto"/>
            <w:left w:val="none" w:sz="0" w:space="0" w:color="auto"/>
            <w:bottom w:val="none" w:sz="0" w:space="0" w:color="auto"/>
            <w:right w:val="none" w:sz="0" w:space="0" w:color="auto"/>
          </w:divBdr>
        </w:div>
      </w:divsChild>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895311162">
      <w:bodyDiv w:val="1"/>
      <w:marLeft w:val="0"/>
      <w:marRight w:val="0"/>
      <w:marTop w:val="0"/>
      <w:marBottom w:val="0"/>
      <w:divBdr>
        <w:top w:val="none" w:sz="0" w:space="0" w:color="auto"/>
        <w:left w:val="none" w:sz="0" w:space="0" w:color="auto"/>
        <w:bottom w:val="none" w:sz="0" w:space="0" w:color="auto"/>
        <w:right w:val="none" w:sz="0" w:space="0" w:color="auto"/>
      </w:divBdr>
      <w:divsChild>
        <w:div w:id="1065958894">
          <w:marLeft w:val="0"/>
          <w:marRight w:val="0"/>
          <w:marTop w:val="0"/>
          <w:marBottom w:val="0"/>
          <w:divBdr>
            <w:top w:val="none" w:sz="0" w:space="0" w:color="auto"/>
            <w:left w:val="none" w:sz="0" w:space="0" w:color="auto"/>
            <w:bottom w:val="none" w:sz="0" w:space="0" w:color="auto"/>
            <w:right w:val="none" w:sz="0" w:space="0" w:color="auto"/>
          </w:divBdr>
        </w:div>
      </w:divsChild>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4167246">
      <w:bodyDiv w:val="1"/>
      <w:marLeft w:val="0"/>
      <w:marRight w:val="0"/>
      <w:marTop w:val="0"/>
      <w:marBottom w:val="0"/>
      <w:divBdr>
        <w:top w:val="none" w:sz="0" w:space="0" w:color="auto"/>
        <w:left w:val="none" w:sz="0" w:space="0" w:color="auto"/>
        <w:bottom w:val="none" w:sz="0" w:space="0" w:color="auto"/>
        <w:right w:val="none" w:sz="0" w:space="0" w:color="auto"/>
      </w:divBdr>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chart" Target="charts/chart2.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Administrator\Desktop\&#26216;&#25253;\&#22266;&#25910;&#21608;&#25253;\&#23500;&#33635;&#22266;&#25910;&#21608;&#25253;-&#26032;&#29256;.xlsx" TargetMode="External"/><Relationship Id="rId1" Type="http://schemas.openxmlformats.org/officeDocument/2006/relationships/themeOverride" Target="../theme/themeOverride5.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利率!$J$3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利率!$K$3:$Q$3</c:f>
              <c:numCache>
                <c:formatCode>0.0_ ;[Red]\-0.0\ </c:formatCode>
                <c:ptCount val="7"/>
                <c:pt idx="0">
                  <c:v>15.09</c:v>
                </c:pt>
                <c:pt idx="1">
                  <c:v>5.25</c:v>
                </c:pt>
                <c:pt idx="2">
                  <c:v>6.95</c:v>
                </c:pt>
                <c:pt idx="3">
                  <c:v>3.72</c:v>
                </c:pt>
                <c:pt idx="4">
                  <c:v>5.21</c:v>
                </c:pt>
                <c:pt idx="5">
                  <c:v>6.99</c:v>
                </c:pt>
                <c:pt idx="6">
                  <c:v>6.53</c:v>
                </c:pt>
              </c:numCache>
            </c:numRef>
          </c:val>
          <c:extLst xmlns:c16r2="http://schemas.microsoft.com/office/drawing/2015/06/chart">
            <c:ext xmlns:c16="http://schemas.microsoft.com/office/drawing/2014/chart" uri="{C3380CC4-5D6E-409C-BE32-E72D297353CC}">
              <c16:uniqueId val="{00000000-B7B5-486A-9D9B-3CC856F0A2F2}"/>
            </c:ext>
          </c:extLst>
        </c:ser>
        <c:dLbls>
          <c:showLegendKey val="0"/>
          <c:showVal val="0"/>
          <c:showCatName val="0"/>
          <c:showSerName val="0"/>
          <c:showPercent val="0"/>
          <c:showBubbleSize val="0"/>
        </c:dLbls>
        <c:gapWidth val="150"/>
        <c:axId val="492470656"/>
        <c:axId val="492472192"/>
      </c:barChart>
      <c:lineChart>
        <c:grouping val="standard"/>
        <c:varyColors val="0"/>
        <c:ser>
          <c:idx val="2"/>
          <c:order val="1"/>
          <c:tx>
            <c:strRef>
              <c:f>利率!$J$4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B7B5-486A-9D9B-3CC856F0A2F2}"/>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B7B5-486A-9D9B-3CC856F0A2F2}"/>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B7B5-486A-9D9B-3CC856F0A2F2}"/>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B7B5-486A-9D9B-3CC856F0A2F2}"/>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B7B5-486A-9D9B-3CC856F0A2F2}"/>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B7B5-486A-9D9B-3CC856F0A2F2}"/>
                </c:ext>
              </c:extLst>
            </c:dLbl>
            <c:dLbl>
              <c:idx val="6"/>
              <c:layout>
                <c:manualLayout>
                  <c:x val="-6.9598794750148615E-2"/>
                  <c:y val="-7.8481789254914572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B7B5-486A-9D9B-3CC856F0A2F2}"/>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利率!$K$2:$Q$2</c:f>
              <c:strCache>
                <c:ptCount val="7"/>
                <c:pt idx="0">
                  <c:v>1M</c:v>
                </c:pt>
                <c:pt idx="1">
                  <c:v>3M</c:v>
                </c:pt>
                <c:pt idx="2">
                  <c:v>1Y</c:v>
                </c:pt>
                <c:pt idx="3">
                  <c:v>3Y</c:v>
                </c:pt>
                <c:pt idx="4">
                  <c:v>5Y</c:v>
                </c:pt>
                <c:pt idx="5">
                  <c:v>7Y</c:v>
                </c:pt>
                <c:pt idx="6">
                  <c:v>10Y</c:v>
                </c:pt>
              </c:strCache>
            </c:strRef>
          </c:cat>
          <c:val>
            <c:numRef>
              <c:f>利率!$K$4:$Q$4</c:f>
              <c:numCache>
                <c:formatCode>###,###,###,###,##0.00</c:formatCode>
                <c:ptCount val="7"/>
                <c:pt idx="0">
                  <c:v>1.6338999999999999</c:v>
                </c:pt>
                <c:pt idx="1">
                  <c:v>1.9073</c:v>
                </c:pt>
                <c:pt idx="2">
                  <c:v>2.2208999999999999</c:v>
                </c:pt>
                <c:pt idx="3">
                  <c:v>2.5908000000000002</c:v>
                </c:pt>
                <c:pt idx="4">
                  <c:v>2.7151999999999998</c:v>
                </c:pt>
                <c:pt idx="5">
                  <c:v>2.8849</c:v>
                </c:pt>
                <c:pt idx="6">
                  <c:v>2.8792</c:v>
                </c:pt>
              </c:numCache>
            </c:numRef>
          </c:val>
          <c:smooth val="0"/>
          <c:extLst xmlns:c16r2="http://schemas.microsoft.com/office/drawing/2015/06/chart">
            <c:ext xmlns:c16="http://schemas.microsoft.com/office/drawing/2014/chart" uri="{C3380CC4-5D6E-409C-BE32-E72D297353CC}">
              <c16:uniqueId val="{00000008-B7B5-486A-9D9B-3CC856F0A2F2}"/>
            </c:ext>
          </c:extLst>
        </c:ser>
        <c:ser>
          <c:idx val="1"/>
          <c:order val="2"/>
          <c:tx>
            <c:strRef>
              <c:f>利率!$J$5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利率!$K$2:$Q$2</c:f>
              <c:strCache>
                <c:ptCount val="7"/>
                <c:pt idx="0">
                  <c:v>1M</c:v>
                </c:pt>
                <c:pt idx="1">
                  <c:v>3M</c:v>
                </c:pt>
                <c:pt idx="2">
                  <c:v>1Y</c:v>
                </c:pt>
                <c:pt idx="3">
                  <c:v>3Y</c:v>
                </c:pt>
                <c:pt idx="4">
                  <c:v>5Y</c:v>
                </c:pt>
                <c:pt idx="5">
                  <c:v>7Y</c:v>
                </c:pt>
                <c:pt idx="6">
                  <c:v>10Y</c:v>
                </c:pt>
              </c:strCache>
            </c:strRef>
          </c:cat>
          <c:val>
            <c:numRef>
              <c:f>利率!$K$5:$Q$5</c:f>
              <c:numCache>
                <c:formatCode>###,###,###,###,##0.00</c:formatCode>
                <c:ptCount val="7"/>
                <c:pt idx="0">
                  <c:v>1.4830000000000001</c:v>
                </c:pt>
                <c:pt idx="1">
                  <c:v>1.8548</c:v>
                </c:pt>
                <c:pt idx="2">
                  <c:v>2.1514000000000002</c:v>
                </c:pt>
                <c:pt idx="3">
                  <c:v>2.5535999999999999</c:v>
                </c:pt>
                <c:pt idx="4">
                  <c:v>2.6631</c:v>
                </c:pt>
                <c:pt idx="5">
                  <c:v>2.8149999999999999</c:v>
                </c:pt>
                <c:pt idx="6">
                  <c:v>2.8138999999999998</c:v>
                </c:pt>
              </c:numCache>
            </c:numRef>
          </c:val>
          <c:smooth val="0"/>
          <c:extLst xmlns:c16r2="http://schemas.microsoft.com/office/drawing/2015/06/chart">
            <c:ext xmlns:c16="http://schemas.microsoft.com/office/drawing/2014/chart" uri="{C3380CC4-5D6E-409C-BE32-E72D297353CC}">
              <c16:uniqueId val="{00000009-B7B5-486A-9D9B-3CC856F0A2F2}"/>
            </c:ext>
          </c:extLst>
        </c:ser>
        <c:dLbls>
          <c:showLegendKey val="0"/>
          <c:showVal val="0"/>
          <c:showCatName val="0"/>
          <c:showSerName val="0"/>
          <c:showPercent val="0"/>
          <c:showBubbleSize val="0"/>
        </c:dLbls>
        <c:marker val="1"/>
        <c:smooth val="0"/>
        <c:axId val="492487424"/>
        <c:axId val="492473344"/>
      </c:lineChart>
      <c:dateAx>
        <c:axId val="49247065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92472192"/>
        <c:crosses val="autoZero"/>
        <c:auto val="0"/>
        <c:lblOffset val="0"/>
        <c:baseTimeUnit val="days"/>
      </c:dateAx>
      <c:valAx>
        <c:axId val="49247219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92470656"/>
        <c:crosses val="autoZero"/>
        <c:crossBetween val="between"/>
      </c:valAx>
      <c:valAx>
        <c:axId val="492473344"/>
        <c:scaling>
          <c:orientation val="minMax"/>
        </c:scaling>
        <c:delete val="0"/>
        <c:axPos val="r"/>
        <c:numFmt formatCode="#,##0.0_);[Red]\(#,##0.0\)" sourceLinked="0"/>
        <c:majorTickMark val="out"/>
        <c:minorTickMark val="none"/>
        <c:tickLblPos val="nextTo"/>
        <c:spPr>
          <a:ln w="3175">
            <a:solidFill>
              <a:sysClr val="windowText" lastClr="000000"/>
            </a:solidFill>
          </a:ln>
        </c:spPr>
        <c:crossAx val="492487424"/>
        <c:crosses val="max"/>
        <c:crossBetween val="between"/>
      </c:valAx>
      <c:dateAx>
        <c:axId val="492487424"/>
        <c:scaling>
          <c:orientation val="minMax"/>
        </c:scaling>
        <c:delete val="1"/>
        <c:axPos val="b"/>
        <c:numFmt formatCode="General" sourceLinked="1"/>
        <c:majorTickMark val="out"/>
        <c:minorTickMark val="none"/>
        <c:tickLblPos val="nextTo"/>
        <c:crossAx val="49247334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利率!$J$8</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利率!$K$8:$Q$8</c:f>
              <c:numCache>
                <c:formatCode>0.0_ ;[Red]\-0.0\ </c:formatCode>
                <c:ptCount val="7"/>
                <c:pt idx="0">
                  <c:v>12.82</c:v>
                </c:pt>
                <c:pt idx="1">
                  <c:v>6.09</c:v>
                </c:pt>
                <c:pt idx="2">
                  <c:v>6.32</c:v>
                </c:pt>
                <c:pt idx="3">
                  <c:v>2.38</c:v>
                </c:pt>
                <c:pt idx="4">
                  <c:v>6.03</c:v>
                </c:pt>
                <c:pt idx="5">
                  <c:v>0.12</c:v>
                </c:pt>
                <c:pt idx="6">
                  <c:v>3.77</c:v>
                </c:pt>
              </c:numCache>
            </c:numRef>
          </c:val>
          <c:extLst xmlns:c16r2="http://schemas.microsoft.com/office/drawing/2015/06/chart">
            <c:ext xmlns:c16="http://schemas.microsoft.com/office/drawing/2014/chart" uri="{C3380CC4-5D6E-409C-BE32-E72D297353CC}">
              <c16:uniqueId val="{00000000-6CD6-433C-B2C6-2ECD31188A77}"/>
            </c:ext>
          </c:extLst>
        </c:ser>
        <c:dLbls>
          <c:showLegendKey val="0"/>
          <c:showVal val="0"/>
          <c:showCatName val="0"/>
          <c:showSerName val="0"/>
          <c:showPercent val="0"/>
          <c:showBubbleSize val="0"/>
        </c:dLbls>
        <c:gapWidth val="150"/>
        <c:axId val="492593536"/>
        <c:axId val="492595456"/>
      </c:barChart>
      <c:lineChart>
        <c:grouping val="standard"/>
        <c:varyColors val="0"/>
        <c:ser>
          <c:idx val="2"/>
          <c:order val="1"/>
          <c:tx>
            <c:strRef>
              <c:f>利率!$J$9</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6CD6-433C-B2C6-2ECD31188A77}"/>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6CD6-433C-B2C6-2ECD31188A77}"/>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6CD6-433C-B2C6-2ECD31188A77}"/>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6CD6-433C-B2C6-2ECD31188A77}"/>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6CD6-433C-B2C6-2ECD31188A77}"/>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6CD6-433C-B2C6-2ECD31188A77}"/>
                </c:ext>
              </c:extLst>
            </c:dLbl>
            <c:dLbl>
              <c:idx val="6"/>
              <c:layout>
                <c:manualLayout>
                  <c:x val="-6.9613476610968131E-2"/>
                  <c:y val="-7.6829097978928243E-2"/>
                </c:manualLayout>
              </c:layout>
              <c:dLblPos val="r"/>
              <c:showLegendKey val="0"/>
              <c:showVal val="1"/>
              <c:showCatName val="0"/>
              <c:showSerName val="0"/>
              <c:showPercent val="0"/>
              <c:showBubbleSize val="0"/>
              <c:extLst xmlns:c16r2="http://schemas.microsoft.com/office/drawing/2015/06/chart">
                <c:ext xmlns:c15="http://schemas.microsoft.com/office/drawing/2012/chart" uri="{CE6537A1-D6FC-4f65-9D91-7224C49458BB}"/>
                <c:ext xmlns:c16="http://schemas.microsoft.com/office/drawing/2014/chart" uri="{C3380CC4-5D6E-409C-BE32-E72D297353CC}">
                  <c16:uniqueId val="{00000007-6CD6-433C-B2C6-2ECD31188A77}"/>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利率!$K$7:$Q$7</c:f>
              <c:strCache>
                <c:ptCount val="7"/>
                <c:pt idx="0">
                  <c:v>1M</c:v>
                </c:pt>
                <c:pt idx="1">
                  <c:v>3M</c:v>
                </c:pt>
                <c:pt idx="2">
                  <c:v>1Y</c:v>
                </c:pt>
                <c:pt idx="3">
                  <c:v>3Y</c:v>
                </c:pt>
                <c:pt idx="4">
                  <c:v>5Y</c:v>
                </c:pt>
                <c:pt idx="5">
                  <c:v>7Y</c:v>
                </c:pt>
                <c:pt idx="6">
                  <c:v>10Y</c:v>
                </c:pt>
              </c:strCache>
            </c:strRef>
          </c:cat>
          <c:val>
            <c:numRef>
              <c:f>利率!$K$9:$Q$9</c:f>
              <c:numCache>
                <c:formatCode>###,###,###,###,##0.00</c:formatCode>
                <c:ptCount val="7"/>
                <c:pt idx="0">
                  <c:v>1.643</c:v>
                </c:pt>
                <c:pt idx="1">
                  <c:v>1.9218</c:v>
                </c:pt>
                <c:pt idx="2">
                  <c:v>2.2738999999999998</c:v>
                </c:pt>
                <c:pt idx="3">
                  <c:v>2.7610000000000001</c:v>
                </c:pt>
                <c:pt idx="4">
                  <c:v>3.0364</c:v>
                </c:pt>
                <c:pt idx="5">
                  <c:v>3.18</c:v>
                </c:pt>
                <c:pt idx="6">
                  <c:v>3.2210999999999999</c:v>
                </c:pt>
              </c:numCache>
            </c:numRef>
          </c:val>
          <c:smooth val="0"/>
          <c:extLst xmlns:c16r2="http://schemas.microsoft.com/office/drawing/2015/06/chart">
            <c:ext xmlns:c16="http://schemas.microsoft.com/office/drawing/2014/chart" uri="{C3380CC4-5D6E-409C-BE32-E72D297353CC}">
              <c16:uniqueId val="{00000008-6CD6-433C-B2C6-2ECD31188A77}"/>
            </c:ext>
          </c:extLst>
        </c:ser>
        <c:ser>
          <c:idx val="1"/>
          <c:order val="2"/>
          <c:tx>
            <c:strRef>
              <c:f>利率!$J$10</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利率!$K$7:$Q$7</c:f>
              <c:strCache>
                <c:ptCount val="7"/>
                <c:pt idx="0">
                  <c:v>1M</c:v>
                </c:pt>
                <c:pt idx="1">
                  <c:v>3M</c:v>
                </c:pt>
                <c:pt idx="2">
                  <c:v>1Y</c:v>
                </c:pt>
                <c:pt idx="3">
                  <c:v>3Y</c:v>
                </c:pt>
                <c:pt idx="4">
                  <c:v>5Y</c:v>
                </c:pt>
                <c:pt idx="5">
                  <c:v>7Y</c:v>
                </c:pt>
                <c:pt idx="6">
                  <c:v>10Y</c:v>
                </c:pt>
              </c:strCache>
            </c:strRef>
          </c:cat>
          <c:val>
            <c:numRef>
              <c:f>利率!$K$10:$Q$10</c:f>
              <c:numCache>
                <c:formatCode>###,###,###,###,##0.00</c:formatCode>
                <c:ptCount val="7"/>
                <c:pt idx="0">
                  <c:v>1.5147999999999999</c:v>
                </c:pt>
                <c:pt idx="1">
                  <c:v>1.8609</c:v>
                </c:pt>
                <c:pt idx="2">
                  <c:v>2.2107000000000001</c:v>
                </c:pt>
                <c:pt idx="3">
                  <c:v>2.7372000000000001</c:v>
                </c:pt>
                <c:pt idx="4">
                  <c:v>2.9761000000000002</c:v>
                </c:pt>
                <c:pt idx="5">
                  <c:v>3.1787999999999998</c:v>
                </c:pt>
                <c:pt idx="6">
                  <c:v>3.1833999999999998</c:v>
                </c:pt>
              </c:numCache>
            </c:numRef>
          </c:val>
          <c:smooth val="0"/>
          <c:extLst xmlns:c16r2="http://schemas.microsoft.com/office/drawing/2015/06/chart">
            <c:ext xmlns:c16="http://schemas.microsoft.com/office/drawing/2014/chart" uri="{C3380CC4-5D6E-409C-BE32-E72D297353CC}">
              <c16:uniqueId val="{00000009-6CD6-433C-B2C6-2ECD31188A77}"/>
            </c:ext>
          </c:extLst>
        </c:ser>
        <c:dLbls>
          <c:showLegendKey val="0"/>
          <c:showVal val="0"/>
          <c:showCatName val="0"/>
          <c:showSerName val="0"/>
          <c:showPercent val="0"/>
          <c:showBubbleSize val="0"/>
        </c:dLbls>
        <c:marker val="1"/>
        <c:smooth val="0"/>
        <c:axId val="493630976"/>
        <c:axId val="493629440"/>
      </c:lineChart>
      <c:dateAx>
        <c:axId val="4925935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92595456"/>
        <c:crosses val="autoZero"/>
        <c:auto val="0"/>
        <c:lblOffset val="0"/>
        <c:baseTimeUnit val="days"/>
      </c:dateAx>
      <c:valAx>
        <c:axId val="49259545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92593536"/>
        <c:crosses val="autoZero"/>
        <c:crossBetween val="between"/>
      </c:valAx>
      <c:valAx>
        <c:axId val="493629440"/>
        <c:scaling>
          <c:orientation val="minMax"/>
        </c:scaling>
        <c:delete val="0"/>
        <c:axPos val="r"/>
        <c:numFmt formatCode="#,##0.0_);[Red]\(#,##0.0\)" sourceLinked="0"/>
        <c:majorTickMark val="out"/>
        <c:minorTickMark val="none"/>
        <c:tickLblPos val="nextTo"/>
        <c:spPr>
          <a:ln w="3175">
            <a:solidFill>
              <a:sysClr val="windowText" lastClr="000000"/>
            </a:solidFill>
          </a:ln>
        </c:spPr>
        <c:crossAx val="493630976"/>
        <c:crosses val="max"/>
        <c:crossBetween val="between"/>
      </c:valAx>
      <c:dateAx>
        <c:axId val="493630976"/>
        <c:scaling>
          <c:orientation val="minMax"/>
        </c:scaling>
        <c:delete val="1"/>
        <c:axPos val="b"/>
        <c:numFmt formatCode="General" sourceLinked="1"/>
        <c:majorTickMark val="out"/>
        <c:minorTickMark val="none"/>
        <c:tickLblPos val="nextTo"/>
        <c:crossAx val="49362944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44414</c:v>
                </c:pt>
                <c:pt idx="1">
                  <c:v>44407</c:v>
                </c:pt>
                <c:pt idx="2">
                  <c:v>44400</c:v>
                </c:pt>
                <c:pt idx="3">
                  <c:v>44393</c:v>
                </c:pt>
                <c:pt idx="4">
                  <c:v>44386</c:v>
                </c:pt>
                <c:pt idx="5">
                  <c:v>44379</c:v>
                </c:pt>
                <c:pt idx="6">
                  <c:v>44372</c:v>
                </c:pt>
                <c:pt idx="7">
                  <c:v>44365</c:v>
                </c:pt>
                <c:pt idx="8">
                  <c:v>44358</c:v>
                </c:pt>
                <c:pt idx="9">
                  <c:v>44351</c:v>
                </c:pt>
                <c:pt idx="10">
                  <c:v>44344</c:v>
                </c:pt>
                <c:pt idx="11">
                  <c:v>44337</c:v>
                </c:pt>
                <c:pt idx="12">
                  <c:v>44330</c:v>
                </c:pt>
                <c:pt idx="13">
                  <c:v>44323</c:v>
                </c:pt>
                <c:pt idx="14">
                  <c:v>44316</c:v>
                </c:pt>
                <c:pt idx="15">
                  <c:v>44309</c:v>
                </c:pt>
                <c:pt idx="16">
                  <c:v>44302</c:v>
                </c:pt>
                <c:pt idx="17">
                  <c:v>44295</c:v>
                </c:pt>
                <c:pt idx="18">
                  <c:v>44288</c:v>
                </c:pt>
                <c:pt idx="19">
                  <c:v>44281</c:v>
                </c:pt>
                <c:pt idx="20">
                  <c:v>44274</c:v>
                </c:pt>
                <c:pt idx="21">
                  <c:v>44267</c:v>
                </c:pt>
                <c:pt idx="22">
                  <c:v>44260</c:v>
                </c:pt>
                <c:pt idx="23">
                  <c:v>44253</c:v>
                </c:pt>
              </c:numCache>
            </c:numRef>
          </c:cat>
          <c:val>
            <c:numRef>
              <c:f>转债!$H$5:$H$28</c:f>
              <c:numCache>
                <c:formatCode>General</c:formatCode>
                <c:ptCount val="24"/>
                <c:pt idx="0">
                  <c:v>10.51811089554322</c:v>
                </c:pt>
                <c:pt idx="1">
                  <c:v>7.9363676414653028</c:v>
                </c:pt>
                <c:pt idx="2">
                  <c:v>8.8987612295214227</c:v>
                </c:pt>
                <c:pt idx="3">
                  <c:v>7.3897707713651783</c:v>
                </c:pt>
                <c:pt idx="4">
                  <c:v>5.9561682670074445</c:v>
                </c:pt>
                <c:pt idx="5">
                  <c:v>3.989130999909718</c:v>
                </c:pt>
                <c:pt idx="6">
                  <c:v>4.9999863179757131</c:v>
                </c:pt>
                <c:pt idx="7">
                  <c:v>2.9431402434853204</c:v>
                </c:pt>
                <c:pt idx="8">
                  <c:v>4.6638463453944956</c:v>
                </c:pt>
                <c:pt idx="9">
                  <c:v>4.8365408558927125</c:v>
                </c:pt>
                <c:pt idx="10">
                  <c:v>4.7545581663898329</c:v>
                </c:pt>
                <c:pt idx="11">
                  <c:v>3.0538278199336188</c:v>
                </c:pt>
                <c:pt idx="12">
                  <c:v>2.8245718210500703</c:v>
                </c:pt>
                <c:pt idx="13">
                  <c:v>1.9242125310924063</c:v>
                </c:pt>
                <c:pt idx="14">
                  <c:v>1.6365342885210632</c:v>
                </c:pt>
                <c:pt idx="15">
                  <c:v>1.6384497719206692</c:v>
                </c:pt>
                <c:pt idx="16">
                  <c:v>0.91062080816981528</c:v>
                </c:pt>
                <c:pt idx="17">
                  <c:v>1.1971223966528388</c:v>
                </c:pt>
                <c:pt idx="18">
                  <c:v>0.82001844336874186</c:v>
                </c:pt>
                <c:pt idx="19">
                  <c:v>0.23267650495426562</c:v>
                </c:pt>
                <c:pt idx="20">
                  <c:v>0.80797826199980882</c:v>
                </c:pt>
                <c:pt idx="21">
                  <c:v>0.7924902105116205</c:v>
                </c:pt>
                <c:pt idx="22">
                  <c:v>0.4724950265841743</c:v>
                </c:pt>
                <c:pt idx="23">
                  <c:v>0</c:v>
                </c:pt>
              </c:numCache>
            </c:numRef>
          </c:val>
          <c:smooth val="1"/>
          <c:extLst xmlns:c16r2="http://schemas.microsoft.com/office/drawing/2015/06/chart">
            <c:ext xmlns:c16="http://schemas.microsoft.com/office/drawing/2014/chart" uri="{C3380CC4-5D6E-409C-BE32-E72D297353CC}">
              <c16:uniqueId val="{00000000-91BA-4F9B-A2CD-2CD816879E8E}"/>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44414</c:v>
                </c:pt>
                <c:pt idx="1">
                  <c:v>44407</c:v>
                </c:pt>
                <c:pt idx="2">
                  <c:v>44400</c:v>
                </c:pt>
                <c:pt idx="3">
                  <c:v>44393</c:v>
                </c:pt>
                <c:pt idx="4">
                  <c:v>44386</c:v>
                </c:pt>
                <c:pt idx="5">
                  <c:v>44379</c:v>
                </c:pt>
                <c:pt idx="6">
                  <c:v>44372</c:v>
                </c:pt>
                <c:pt idx="7">
                  <c:v>44365</c:v>
                </c:pt>
                <c:pt idx="8">
                  <c:v>44358</c:v>
                </c:pt>
                <c:pt idx="9">
                  <c:v>44351</c:v>
                </c:pt>
                <c:pt idx="10">
                  <c:v>44344</c:v>
                </c:pt>
                <c:pt idx="11">
                  <c:v>44337</c:v>
                </c:pt>
                <c:pt idx="12">
                  <c:v>44330</c:v>
                </c:pt>
                <c:pt idx="13">
                  <c:v>44323</c:v>
                </c:pt>
                <c:pt idx="14">
                  <c:v>44316</c:v>
                </c:pt>
                <c:pt idx="15">
                  <c:v>44309</c:v>
                </c:pt>
                <c:pt idx="16">
                  <c:v>44302</c:v>
                </c:pt>
                <c:pt idx="17">
                  <c:v>44295</c:v>
                </c:pt>
                <c:pt idx="18">
                  <c:v>44288</c:v>
                </c:pt>
                <c:pt idx="19">
                  <c:v>44281</c:v>
                </c:pt>
                <c:pt idx="20">
                  <c:v>44274</c:v>
                </c:pt>
                <c:pt idx="21">
                  <c:v>44267</c:v>
                </c:pt>
                <c:pt idx="22">
                  <c:v>44260</c:v>
                </c:pt>
                <c:pt idx="23">
                  <c:v>44253</c:v>
                </c:pt>
              </c:numCache>
            </c:numRef>
          </c:cat>
          <c:val>
            <c:numRef>
              <c:f>转债!$I$5:$I$28</c:f>
              <c:numCache>
                <c:formatCode>General</c:formatCode>
                <c:ptCount val="24"/>
                <c:pt idx="0">
                  <c:v>2.4689196885948839</c:v>
                </c:pt>
                <c:pt idx="1">
                  <c:v>2.298563973907819</c:v>
                </c:pt>
                <c:pt idx="2">
                  <c:v>2.0080626499151766</c:v>
                </c:pt>
                <c:pt idx="3">
                  <c:v>1.7436056833057378</c:v>
                </c:pt>
                <c:pt idx="4">
                  <c:v>1.4122873008567183</c:v>
                </c:pt>
                <c:pt idx="5">
                  <c:v>0.99566297406066262</c:v>
                </c:pt>
                <c:pt idx="6">
                  <c:v>0.96662991992855218</c:v>
                </c:pt>
                <c:pt idx="7">
                  <c:v>0.75912897421950287</c:v>
                </c:pt>
                <c:pt idx="8">
                  <c:v>0.83709126369784226</c:v>
                </c:pt>
                <c:pt idx="9">
                  <c:v>1.0535582996535675</c:v>
                </c:pt>
                <c:pt idx="10">
                  <c:v>1.151416770345981</c:v>
                </c:pt>
                <c:pt idx="11">
                  <c:v>1.2158872287864497</c:v>
                </c:pt>
                <c:pt idx="12">
                  <c:v>0.94570904268627132</c:v>
                </c:pt>
                <c:pt idx="13">
                  <c:v>0.85545040086962842</c:v>
                </c:pt>
                <c:pt idx="14">
                  <c:v>0.79781124928377523</c:v>
                </c:pt>
                <c:pt idx="15">
                  <c:v>0.83751822037625434</c:v>
                </c:pt>
                <c:pt idx="16">
                  <c:v>0.70943121685214106</c:v>
                </c:pt>
                <c:pt idx="17">
                  <c:v>0.41389180405422277</c:v>
                </c:pt>
                <c:pt idx="18">
                  <c:v>0.44198555349383994</c:v>
                </c:pt>
                <c:pt idx="19">
                  <c:v>0.41491650008240732</c:v>
                </c:pt>
                <c:pt idx="20">
                  <c:v>0.24584165543057868</c:v>
                </c:pt>
                <c:pt idx="21">
                  <c:v>0.15968179772671842</c:v>
                </c:pt>
                <c:pt idx="22">
                  <c:v>0.14952022878047533</c:v>
                </c:pt>
                <c:pt idx="23">
                  <c:v>0</c:v>
                </c:pt>
              </c:numCache>
            </c:numRef>
          </c:val>
          <c:smooth val="1"/>
          <c:extLst xmlns:c16r2="http://schemas.microsoft.com/office/drawing/2015/06/chart">
            <c:ext xmlns:c16="http://schemas.microsoft.com/office/drawing/2014/chart" uri="{C3380CC4-5D6E-409C-BE32-E72D297353CC}">
              <c16:uniqueId val="{00000001-91BA-4F9B-A2CD-2CD816879E8E}"/>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44414</c:v>
                </c:pt>
                <c:pt idx="1">
                  <c:v>44407</c:v>
                </c:pt>
                <c:pt idx="2">
                  <c:v>44400</c:v>
                </c:pt>
                <c:pt idx="3">
                  <c:v>44393</c:v>
                </c:pt>
                <c:pt idx="4">
                  <c:v>44386</c:v>
                </c:pt>
                <c:pt idx="5">
                  <c:v>44379</c:v>
                </c:pt>
                <c:pt idx="6">
                  <c:v>44372</c:v>
                </c:pt>
                <c:pt idx="7">
                  <c:v>44365</c:v>
                </c:pt>
                <c:pt idx="8">
                  <c:v>44358</c:v>
                </c:pt>
                <c:pt idx="9">
                  <c:v>44351</c:v>
                </c:pt>
                <c:pt idx="10">
                  <c:v>44344</c:v>
                </c:pt>
                <c:pt idx="11">
                  <c:v>44337</c:v>
                </c:pt>
                <c:pt idx="12">
                  <c:v>44330</c:v>
                </c:pt>
                <c:pt idx="13">
                  <c:v>44323</c:v>
                </c:pt>
                <c:pt idx="14">
                  <c:v>44316</c:v>
                </c:pt>
                <c:pt idx="15">
                  <c:v>44309</c:v>
                </c:pt>
                <c:pt idx="16">
                  <c:v>44302</c:v>
                </c:pt>
                <c:pt idx="17">
                  <c:v>44295</c:v>
                </c:pt>
                <c:pt idx="18">
                  <c:v>44288</c:v>
                </c:pt>
                <c:pt idx="19">
                  <c:v>44281</c:v>
                </c:pt>
                <c:pt idx="20">
                  <c:v>44274</c:v>
                </c:pt>
                <c:pt idx="21">
                  <c:v>44267</c:v>
                </c:pt>
                <c:pt idx="22">
                  <c:v>44260</c:v>
                </c:pt>
                <c:pt idx="23">
                  <c:v>44253</c:v>
                </c:pt>
              </c:numCache>
            </c:numRef>
          </c:cat>
          <c:val>
            <c:numRef>
              <c:f>转债!$J$5:$J$28</c:f>
              <c:numCache>
                <c:formatCode>General</c:formatCode>
                <c:ptCount val="24"/>
                <c:pt idx="0">
                  <c:v>-7.7799288328619038</c:v>
                </c:pt>
                <c:pt idx="1">
                  <c:v>-9.8485094207611983</c:v>
                </c:pt>
                <c:pt idx="2">
                  <c:v>-4.6382572620032647</c:v>
                </c:pt>
                <c:pt idx="3">
                  <c:v>-4.5343646555347839</c:v>
                </c:pt>
                <c:pt idx="4">
                  <c:v>-5.0091207946003413</c:v>
                </c:pt>
                <c:pt idx="5">
                  <c:v>-4.7902408369091543</c:v>
                </c:pt>
                <c:pt idx="6">
                  <c:v>-1.8136937706915157</c:v>
                </c:pt>
                <c:pt idx="7">
                  <c:v>-4.3902135469475638</c:v>
                </c:pt>
                <c:pt idx="8">
                  <c:v>-2.0997361901673339</c:v>
                </c:pt>
                <c:pt idx="9">
                  <c:v>-1.0209132659475095</c:v>
                </c:pt>
                <c:pt idx="10">
                  <c:v>-0.2936668944640175</c:v>
                </c:pt>
                <c:pt idx="11">
                  <c:v>-3.7965463283168743</c:v>
                </c:pt>
                <c:pt idx="12">
                  <c:v>-4.2379788834084664</c:v>
                </c:pt>
                <c:pt idx="13">
                  <c:v>-6.384175839693329</c:v>
                </c:pt>
                <c:pt idx="14">
                  <c:v>-3.9962798408300526</c:v>
                </c:pt>
                <c:pt idx="15">
                  <c:v>-3.7720914197224009</c:v>
                </c:pt>
                <c:pt idx="16">
                  <c:v>-6.9439086169290505</c:v>
                </c:pt>
                <c:pt idx="17">
                  <c:v>-5.6480607928303446</c:v>
                </c:pt>
                <c:pt idx="18">
                  <c:v>-3.2829651408966209</c:v>
                </c:pt>
                <c:pt idx="19">
                  <c:v>-5.5983583600307192</c:v>
                </c:pt>
                <c:pt idx="20">
                  <c:v>-6.1773462625991034</c:v>
                </c:pt>
                <c:pt idx="21">
                  <c:v>-3.5673754842567518</c:v>
                </c:pt>
                <c:pt idx="22">
                  <c:v>-1.3859549150871731</c:v>
                </c:pt>
                <c:pt idx="23">
                  <c:v>0</c:v>
                </c:pt>
              </c:numCache>
            </c:numRef>
          </c:val>
          <c:smooth val="1"/>
          <c:extLst xmlns:c16r2="http://schemas.microsoft.com/office/drawing/2015/06/chart">
            <c:ext xmlns:c16="http://schemas.microsoft.com/office/drawing/2014/chart" uri="{C3380CC4-5D6E-409C-BE32-E72D297353CC}">
              <c16:uniqueId val="{00000002-91BA-4F9B-A2CD-2CD816879E8E}"/>
            </c:ext>
          </c:extLst>
        </c:ser>
        <c:dLbls>
          <c:showLegendKey val="0"/>
          <c:showVal val="0"/>
          <c:showCatName val="0"/>
          <c:showSerName val="0"/>
          <c:showPercent val="0"/>
          <c:showBubbleSize val="0"/>
        </c:dLbls>
        <c:marker val="1"/>
        <c:smooth val="0"/>
        <c:axId val="495012864"/>
        <c:axId val="495026944"/>
      </c:lineChart>
      <c:dateAx>
        <c:axId val="49501286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95026944"/>
        <c:crosses val="autoZero"/>
        <c:auto val="0"/>
        <c:lblOffset val="0"/>
        <c:baseTimeUnit val="days"/>
      </c:dateAx>
      <c:valAx>
        <c:axId val="49502694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95012864"/>
        <c:crosses val="autoZero"/>
        <c:crossBetween val="between"/>
      </c:valAx>
    </c:plotArea>
    <c:legend>
      <c:legendPos val="r"/>
      <c:layout>
        <c:manualLayout>
          <c:xMode val="edge"/>
          <c:yMode val="edge"/>
          <c:x val="9.9472362946142159E-2"/>
          <c:y val="9.1259531804523744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44422</c:v>
                </c:pt>
                <c:pt idx="1">
                  <c:v>44415</c:v>
                </c:pt>
                <c:pt idx="2">
                  <c:v>44408</c:v>
                </c:pt>
                <c:pt idx="3">
                  <c:v>44401</c:v>
                </c:pt>
                <c:pt idx="4">
                  <c:v>44394</c:v>
                </c:pt>
                <c:pt idx="5">
                  <c:v>44387</c:v>
                </c:pt>
                <c:pt idx="6">
                  <c:v>44380</c:v>
                </c:pt>
                <c:pt idx="7">
                  <c:v>44373</c:v>
                </c:pt>
                <c:pt idx="8">
                  <c:v>44366</c:v>
                </c:pt>
                <c:pt idx="9">
                  <c:v>44359</c:v>
                </c:pt>
                <c:pt idx="10">
                  <c:v>44352</c:v>
                </c:pt>
                <c:pt idx="11">
                  <c:v>44345</c:v>
                </c:pt>
                <c:pt idx="12">
                  <c:v>44338</c:v>
                </c:pt>
                <c:pt idx="13">
                  <c:v>44331</c:v>
                </c:pt>
                <c:pt idx="14">
                  <c:v>44324</c:v>
                </c:pt>
                <c:pt idx="15">
                  <c:v>44317</c:v>
                </c:pt>
                <c:pt idx="16">
                  <c:v>44310</c:v>
                </c:pt>
                <c:pt idx="17">
                  <c:v>44303</c:v>
                </c:pt>
                <c:pt idx="18">
                  <c:v>44296</c:v>
                </c:pt>
                <c:pt idx="19">
                  <c:v>44289</c:v>
                </c:pt>
                <c:pt idx="20">
                  <c:v>44282</c:v>
                </c:pt>
                <c:pt idx="21">
                  <c:v>44275</c:v>
                </c:pt>
                <c:pt idx="22">
                  <c:v>44268</c:v>
                </c:pt>
                <c:pt idx="23">
                  <c:v>44261</c:v>
                </c:pt>
                <c:pt idx="24">
                  <c:v>44254</c:v>
                </c:pt>
                <c:pt idx="25">
                  <c:v>44247</c:v>
                </c:pt>
              </c:numCache>
            </c:numRef>
          </c:cat>
          <c:val>
            <c:numRef>
              <c:f>汇率!$B$3:$B$28</c:f>
              <c:numCache>
                <c:formatCode>###,###,###,###,##0.00</c:formatCode>
                <c:ptCount val="26"/>
                <c:pt idx="0">
                  <c:v>6.4829999999999997</c:v>
                </c:pt>
                <c:pt idx="1">
                  <c:v>6.4687999999999999</c:v>
                </c:pt>
                <c:pt idx="2">
                  <c:v>6.4560000000000004</c:v>
                </c:pt>
                <c:pt idx="3">
                  <c:v>6.4759000000000002</c:v>
                </c:pt>
                <c:pt idx="4">
                  <c:v>6.4678000000000004</c:v>
                </c:pt>
                <c:pt idx="5">
                  <c:v>6.4847000000000001</c:v>
                </c:pt>
                <c:pt idx="6">
                  <c:v>6.4824999999999999</c:v>
                </c:pt>
                <c:pt idx="7">
                  <c:v>6.4553000000000003</c:v>
                </c:pt>
                <c:pt idx="8">
                  <c:v>6.4408000000000003</c:v>
                </c:pt>
                <c:pt idx="9">
                  <c:v>6.3914</c:v>
                </c:pt>
                <c:pt idx="10">
                  <c:v>6.4092000000000002</c:v>
                </c:pt>
                <c:pt idx="11">
                  <c:v>6.3654000000000002</c:v>
                </c:pt>
                <c:pt idx="12">
                  <c:v>6.4337</c:v>
                </c:pt>
                <c:pt idx="13">
                  <c:v>6.4347000000000003</c:v>
                </c:pt>
                <c:pt idx="14">
                  <c:v>6.4588999999999999</c:v>
                </c:pt>
                <c:pt idx="15">
                  <c:v>6.4715999999999996</c:v>
                </c:pt>
                <c:pt idx="16">
                  <c:v>6.4935999999999998</c:v>
                </c:pt>
                <c:pt idx="17">
                  <c:v>6.5228000000000002</c:v>
                </c:pt>
                <c:pt idx="18">
                  <c:v>6.5589000000000004</c:v>
                </c:pt>
                <c:pt idx="19">
                  <c:v>6.5612000000000004</c:v>
                </c:pt>
                <c:pt idx="20">
                  <c:v>6.5407000000000002</c:v>
                </c:pt>
                <c:pt idx="21">
                  <c:v>6.5045000000000002</c:v>
                </c:pt>
                <c:pt idx="22">
                  <c:v>6.5035999999999996</c:v>
                </c:pt>
                <c:pt idx="23">
                  <c:v>6.4767999999999999</c:v>
                </c:pt>
                <c:pt idx="24">
                  <c:v>6.4589999999999996</c:v>
                </c:pt>
                <c:pt idx="25">
                  <c:v>6.4574999999999996</c:v>
                </c:pt>
              </c:numCache>
            </c:numRef>
          </c:val>
          <c:smooth val="1"/>
          <c:extLst xmlns:c16r2="http://schemas.microsoft.com/office/drawing/2015/06/chart">
            <c:ext xmlns:c16="http://schemas.microsoft.com/office/drawing/2014/chart" uri="{C3380CC4-5D6E-409C-BE32-E72D297353CC}">
              <c16:uniqueId val="{00000000-5387-4940-AB99-B3096E06300F}"/>
            </c:ext>
          </c:extLst>
        </c:ser>
        <c:dLbls>
          <c:showLegendKey val="0"/>
          <c:showVal val="0"/>
          <c:showCatName val="0"/>
          <c:showSerName val="0"/>
          <c:showPercent val="0"/>
          <c:showBubbleSize val="0"/>
        </c:dLbls>
        <c:marker val="1"/>
        <c:smooth val="0"/>
        <c:axId val="495047808"/>
        <c:axId val="495049344"/>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44422</c:v>
                </c:pt>
                <c:pt idx="1">
                  <c:v>44415</c:v>
                </c:pt>
                <c:pt idx="2">
                  <c:v>44408</c:v>
                </c:pt>
                <c:pt idx="3">
                  <c:v>44401</c:v>
                </c:pt>
                <c:pt idx="4">
                  <c:v>44394</c:v>
                </c:pt>
                <c:pt idx="5">
                  <c:v>44387</c:v>
                </c:pt>
                <c:pt idx="6">
                  <c:v>44380</c:v>
                </c:pt>
                <c:pt idx="7">
                  <c:v>44373</c:v>
                </c:pt>
                <c:pt idx="8">
                  <c:v>44366</c:v>
                </c:pt>
                <c:pt idx="9">
                  <c:v>44359</c:v>
                </c:pt>
                <c:pt idx="10">
                  <c:v>44352</c:v>
                </c:pt>
                <c:pt idx="11">
                  <c:v>44345</c:v>
                </c:pt>
                <c:pt idx="12">
                  <c:v>44338</c:v>
                </c:pt>
                <c:pt idx="13">
                  <c:v>44331</c:v>
                </c:pt>
                <c:pt idx="14">
                  <c:v>44324</c:v>
                </c:pt>
                <c:pt idx="15">
                  <c:v>44317</c:v>
                </c:pt>
                <c:pt idx="16">
                  <c:v>44310</c:v>
                </c:pt>
                <c:pt idx="17">
                  <c:v>44303</c:v>
                </c:pt>
                <c:pt idx="18">
                  <c:v>44296</c:v>
                </c:pt>
                <c:pt idx="19">
                  <c:v>44289</c:v>
                </c:pt>
                <c:pt idx="20">
                  <c:v>44282</c:v>
                </c:pt>
                <c:pt idx="21">
                  <c:v>44275</c:v>
                </c:pt>
                <c:pt idx="22">
                  <c:v>44268</c:v>
                </c:pt>
                <c:pt idx="23">
                  <c:v>44261</c:v>
                </c:pt>
                <c:pt idx="24">
                  <c:v>44254</c:v>
                </c:pt>
                <c:pt idx="25">
                  <c:v>44247</c:v>
                </c:pt>
              </c:numCache>
            </c:numRef>
          </c:cat>
          <c:val>
            <c:numRef>
              <c:f>汇率!$C$3:$C$28</c:f>
              <c:numCache>
                <c:formatCode>###,###,###,###,##0.00</c:formatCode>
                <c:ptCount val="26"/>
                <c:pt idx="0">
                  <c:v>158.91999999999999</c:v>
                </c:pt>
                <c:pt idx="1">
                  <c:v>150.38999999999999</c:v>
                </c:pt>
                <c:pt idx="2">
                  <c:v>159.63</c:v>
                </c:pt>
                <c:pt idx="3">
                  <c:v>161.34</c:v>
                </c:pt>
                <c:pt idx="4">
                  <c:v>163.32</c:v>
                </c:pt>
                <c:pt idx="5">
                  <c:v>164.04999999999998</c:v>
                </c:pt>
                <c:pt idx="6">
                  <c:v>164.02999999999997</c:v>
                </c:pt>
                <c:pt idx="7">
                  <c:v>154.26999999999998</c:v>
                </c:pt>
                <c:pt idx="8">
                  <c:v>167.02</c:v>
                </c:pt>
                <c:pt idx="9">
                  <c:v>165.76000000000002</c:v>
                </c:pt>
                <c:pt idx="10">
                  <c:v>153.24999999999997</c:v>
                </c:pt>
                <c:pt idx="11">
                  <c:v>150.25</c:v>
                </c:pt>
                <c:pt idx="12">
                  <c:v>145.76000000000002</c:v>
                </c:pt>
                <c:pt idx="13">
                  <c:v>151.22</c:v>
                </c:pt>
                <c:pt idx="14">
                  <c:v>155.88999999999999</c:v>
                </c:pt>
                <c:pt idx="15">
                  <c:v>151.40000000000003</c:v>
                </c:pt>
                <c:pt idx="16">
                  <c:v>159.19</c:v>
                </c:pt>
                <c:pt idx="17">
                  <c:v>157.31</c:v>
                </c:pt>
                <c:pt idx="18">
                  <c:v>154.21</c:v>
                </c:pt>
                <c:pt idx="19">
                  <c:v>148.13</c:v>
                </c:pt>
                <c:pt idx="20">
                  <c:v>152.85000000000002</c:v>
                </c:pt>
                <c:pt idx="21">
                  <c:v>149.64000000000001</c:v>
                </c:pt>
                <c:pt idx="22">
                  <c:v>162.13</c:v>
                </c:pt>
                <c:pt idx="23">
                  <c:v>168.56999999999996</c:v>
                </c:pt>
                <c:pt idx="24">
                  <c:v>183.98</c:v>
                </c:pt>
                <c:pt idx="25">
                  <c:v>191.78</c:v>
                </c:pt>
              </c:numCache>
            </c:numRef>
          </c:val>
          <c:smooth val="1"/>
          <c:extLst xmlns:c16r2="http://schemas.microsoft.com/office/drawing/2015/06/chart">
            <c:ext xmlns:c16="http://schemas.microsoft.com/office/drawing/2014/chart" uri="{C3380CC4-5D6E-409C-BE32-E72D297353CC}">
              <c16:uniqueId val="{00000001-5387-4940-AB99-B3096E06300F}"/>
            </c:ext>
          </c:extLst>
        </c:ser>
        <c:dLbls>
          <c:showLegendKey val="0"/>
          <c:showVal val="0"/>
          <c:showCatName val="0"/>
          <c:showSerName val="0"/>
          <c:showPercent val="0"/>
          <c:showBubbleSize val="0"/>
        </c:dLbls>
        <c:marker val="1"/>
        <c:smooth val="0"/>
        <c:axId val="495052672"/>
        <c:axId val="495051136"/>
      </c:lineChart>
      <c:dateAx>
        <c:axId val="49504780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95049344"/>
        <c:crosses val="autoZero"/>
        <c:auto val="0"/>
        <c:lblOffset val="0"/>
        <c:baseTimeUnit val="days"/>
      </c:dateAx>
      <c:valAx>
        <c:axId val="495049344"/>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95047808"/>
        <c:crosses val="autoZero"/>
        <c:crossBetween val="between"/>
      </c:valAx>
      <c:valAx>
        <c:axId val="495051136"/>
        <c:scaling>
          <c:orientation val="minMax"/>
        </c:scaling>
        <c:delete val="0"/>
        <c:axPos val="r"/>
        <c:numFmt formatCode="#,##0_);[Red]\(#,##0\)" sourceLinked="0"/>
        <c:majorTickMark val="out"/>
        <c:minorTickMark val="none"/>
        <c:tickLblPos val="nextTo"/>
        <c:spPr>
          <a:ln w="3175">
            <a:solidFill>
              <a:sysClr val="windowText" lastClr="000000"/>
            </a:solidFill>
          </a:ln>
        </c:spPr>
        <c:crossAx val="495052672"/>
        <c:crosses val="max"/>
        <c:crossBetween val="between"/>
      </c:valAx>
      <c:dateAx>
        <c:axId val="495052672"/>
        <c:scaling>
          <c:orientation val="minMax"/>
        </c:scaling>
        <c:delete val="1"/>
        <c:axPos val="b"/>
        <c:numFmt formatCode="yyyy/mm/dd;@" sourceLinked="1"/>
        <c:majorTickMark val="out"/>
        <c:minorTickMark val="none"/>
        <c:tickLblPos val="nextTo"/>
        <c:crossAx val="495051136"/>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汇率!$L$2</c:f>
              <c:strCache>
                <c:ptCount val="1"/>
                <c:pt idx="0">
                  <c:v>现货结算价:LME铜:周</c:v>
                </c:pt>
              </c:strCache>
            </c:strRef>
          </c:tx>
          <c:spPr>
            <a:ln>
              <a:solidFill>
                <a:srgbClr val="ED7D31">
                  <a:lumMod val="75000"/>
                </a:srgbClr>
              </a:solidFill>
            </a:ln>
          </c:spPr>
          <c:marker>
            <c:symbol val="none"/>
          </c:marker>
          <c:cat>
            <c:numRef>
              <c:f>汇率!$K$3:$K$189</c:f>
              <c:numCache>
                <c:formatCode>yyyy/mm/dd;@</c:formatCode>
                <c:ptCount val="187"/>
                <c:pt idx="0">
                  <c:v>44422</c:v>
                </c:pt>
                <c:pt idx="1">
                  <c:v>44415</c:v>
                </c:pt>
                <c:pt idx="2">
                  <c:v>44408</c:v>
                </c:pt>
                <c:pt idx="3">
                  <c:v>44401</c:v>
                </c:pt>
                <c:pt idx="4">
                  <c:v>44394</c:v>
                </c:pt>
                <c:pt idx="5">
                  <c:v>44387</c:v>
                </c:pt>
                <c:pt idx="6">
                  <c:v>44380</c:v>
                </c:pt>
                <c:pt idx="7">
                  <c:v>44373</c:v>
                </c:pt>
                <c:pt idx="8">
                  <c:v>44366</c:v>
                </c:pt>
                <c:pt idx="9">
                  <c:v>44359</c:v>
                </c:pt>
                <c:pt idx="10">
                  <c:v>44352</c:v>
                </c:pt>
                <c:pt idx="11">
                  <c:v>44345</c:v>
                </c:pt>
                <c:pt idx="12">
                  <c:v>44338</c:v>
                </c:pt>
                <c:pt idx="13">
                  <c:v>44331</c:v>
                </c:pt>
                <c:pt idx="14">
                  <c:v>44324</c:v>
                </c:pt>
                <c:pt idx="15">
                  <c:v>44317</c:v>
                </c:pt>
                <c:pt idx="16">
                  <c:v>44310</c:v>
                </c:pt>
                <c:pt idx="17">
                  <c:v>44303</c:v>
                </c:pt>
                <c:pt idx="18">
                  <c:v>44296</c:v>
                </c:pt>
                <c:pt idx="19">
                  <c:v>44289</c:v>
                </c:pt>
                <c:pt idx="20">
                  <c:v>44282</c:v>
                </c:pt>
                <c:pt idx="21">
                  <c:v>44275</c:v>
                </c:pt>
                <c:pt idx="22">
                  <c:v>44268</c:v>
                </c:pt>
                <c:pt idx="23">
                  <c:v>44261</c:v>
                </c:pt>
                <c:pt idx="24">
                  <c:v>44254</c:v>
                </c:pt>
                <c:pt idx="25">
                  <c:v>44247</c:v>
                </c:pt>
                <c:pt idx="26">
                  <c:v>44240</c:v>
                </c:pt>
                <c:pt idx="27">
                  <c:v>44233</c:v>
                </c:pt>
                <c:pt idx="28">
                  <c:v>44226</c:v>
                </c:pt>
                <c:pt idx="29">
                  <c:v>44219</c:v>
                </c:pt>
                <c:pt idx="30">
                  <c:v>44212</c:v>
                </c:pt>
                <c:pt idx="31">
                  <c:v>44205</c:v>
                </c:pt>
                <c:pt idx="32">
                  <c:v>44198</c:v>
                </c:pt>
                <c:pt idx="33">
                  <c:v>44191</c:v>
                </c:pt>
                <c:pt idx="34">
                  <c:v>44184</c:v>
                </c:pt>
                <c:pt idx="35">
                  <c:v>44177</c:v>
                </c:pt>
                <c:pt idx="36">
                  <c:v>44170</c:v>
                </c:pt>
                <c:pt idx="37">
                  <c:v>44163</c:v>
                </c:pt>
                <c:pt idx="38">
                  <c:v>44156</c:v>
                </c:pt>
                <c:pt idx="39">
                  <c:v>44149</c:v>
                </c:pt>
                <c:pt idx="40">
                  <c:v>44142</c:v>
                </c:pt>
                <c:pt idx="41">
                  <c:v>44135</c:v>
                </c:pt>
                <c:pt idx="42">
                  <c:v>44128</c:v>
                </c:pt>
                <c:pt idx="43">
                  <c:v>44121</c:v>
                </c:pt>
                <c:pt idx="44">
                  <c:v>44114</c:v>
                </c:pt>
                <c:pt idx="45">
                  <c:v>44107</c:v>
                </c:pt>
                <c:pt idx="46">
                  <c:v>44100</c:v>
                </c:pt>
                <c:pt idx="47">
                  <c:v>44093</c:v>
                </c:pt>
                <c:pt idx="48">
                  <c:v>44086</c:v>
                </c:pt>
                <c:pt idx="49">
                  <c:v>44079</c:v>
                </c:pt>
                <c:pt idx="50">
                  <c:v>44072</c:v>
                </c:pt>
                <c:pt idx="51">
                  <c:v>44065</c:v>
                </c:pt>
                <c:pt idx="52">
                  <c:v>44058</c:v>
                </c:pt>
                <c:pt idx="53">
                  <c:v>44051</c:v>
                </c:pt>
                <c:pt idx="54">
                  <c:v>44044</c:v>
                </c:pt>
                <c:pt idx="55">
                  <c:v>44037</c:v>
                </c:pt>
                <c:pt idx="56">
                  <c:v>44030</c:v>
                </c:pt>
                <c:pt idx="57">
                  <c:v>44023</c:v>
                </c:pt>
                <c:pt idx="58">
                  <c:v>44016</c:v>
                </c:pt>
                <c:pt idx="59">
                  <c:v>44009</c:v>
                </c:pt>
                <c:pt idx="60">
                  <c:v>44002</c:v>
                </c:pt>
                <c:pt idx="61">
                  <c:v>43995</c:v>
                </c:pt>
                <c:pt idx="62">
                  <c:v>43988</c:v>
                </c:pt>
                <c:pt idx="63">
                  <c:v>43981</c:v>
                </c:pt>
                <c:pt idx="64">
                  <c:v>43974</c:v>
                </c:pt>
                <c:pt idx="65">
                  <c:v>43967</c:v>
                </c:pt>
                <c:pt idx="66">
                  <c:v>43960</c:v>
                </c:pt>
                <c:pt idx="67">
                  <c:v>43953</c:v>
                </c:pt>
                <c:pt idx="68">
                  <c:v>43946</c:v>
                </c:pt>
                <c:pt idx="69">
                  <c:v>43939</c:v>
                </c:pt>
                <c:pt idx="70">
                  <c:v>43932</c:v>
                </c:pt>
                <c:pt idx="71">
                  <c:v>43925</c:v>
                </c:pt>
                <c:pt idx="72">
                  <c:v>43918</c:v>
                </c:pt>
                <c:pt idx="73">
                  <c:v>43911</c:v>
                </c:pt>
                <c:pt idx="74">
                  <c:v>43904</c:v>
                </c:pt>
                <c:pt idx="75">
                  <c:v>43897</c:v>
                </c:pt>
                <c:pt idx="76">
                  <c:v>43890</c:v>
                </c:pt>
                <c:pt idx="77">
                  <c:v>43883</c:v>
                </c:pt>
                <c:pt idx="78">
                  <c:v>43876</c:v>
                </c:pt>
                <c:pt idx="79">
                  <c:v>43869</c:v>
                </c:pt>
                <c:pt idx="80">
                  <c:v>43862</c:v>
                </c:pt>
                <c:pt idx="81">
                  <c:v>43855</c:v>
                </c:pt>
                <c:pt idx="82">
                  <c:v>43848</c:v>
                </c:pt>
                <c:pt idx="83">
                  <c:v>43841</c:v>
                </c:pt>
                <c:pt idx="84">
                  <c:v>43834</c:v>
                </c:pt>
                <c:pt idx="85">
                  <c:v>43827</c:v>
                </c:pt>
                <c:pt idx="86">
                  <c:v>43820</c:v>
                </c:pt>
                <c:pt idx="87">
                  <c:v>43813</c:v>
                </c:pt>
                <c:pt idx="88">
                  <c:v>43806</c:v>
                </c:pt>
                <c:pt idx="89">
                  <c:v>43799</c:v>
                </c:pt>
                <c:pt idx="90">
                  <c:v>43792</c:v>
                </c:pt>
                <c:pt idx="91">
                  <c:v>43785</c:v>
                </c:pt>
                <c:pt idx="92">
                  <c:v>43778</c:v>
                </c:pt>
                <c:pt idx="93">
                  <c:v>43771</c:v>
                </c:pt>
                <c:pt idx="94">
                  <c:v>43764</c:v>
                </c:pt>
                <c:pt idx="95">
                  <c:v>43757</c:v>
                </c:pt>
                <c:pt idx="96">
                  <c:v>43750</c:v>
                </c:pt>
                <c:pt idx="97">
                  <c:v>43743</c:v>
                </c:pt>
                <c:pt idx="98">
                  <c:v>43736</c:v>
                </c:pt>
                <c:pt idx="99">
                  <c:v>43729</c:v>
                </c:pt>
                <c:pt idx="100">
                  <c:v>43722</c:v>
                </c:pt>
                <c:pt idx="101">
                  <c:v>43715</c:v>
                </c:pt>
                <c:pt idx="102">
                  <c:v>43708</c:v>
                </c:pt>
                <c:pt idx="103">
                  <c:v>43701</c:v>
                </c:pt>
                <c:pt idx="104">
                  <c:v>43694</c:v>
                </c:pt>
                <c:pt idx="105">
                  <c:v>43687</c:v>
                </c:pt>
                <c:pt idx="106">
                  <c:v>43680</c:v>
                </c:pt>
                <c:pt idx="107">
                  <c:v>43673</c:v>
                </c:pt>
                <c:pt idx="108">
                  <c:v>43666</c:v>
                </c:pt>
                <c:pt idx="109">
                  <c:v>43659</c:v>
                </c:pt>
                <c:pt idx="110">
                  <c:v>43652</c:v>
                </c:pt>
                <c:pt idx="111">
                  <c:v>43645</c:v>
                </c:pt>
                <c:pt idx="112">
                  <c:v>43638</c:v>
                </c:pt>
                <c:pt idx="113">
                  <c:v>43631</c:v>
                </c:pt>
                <c:pt idx="114">
                  <c:v>43624</c:v>
                </c:pt>
                <c:pt idx="115">
                  <c:v>43617</c:v>
                </c:pt>
                <c:pt idx="116">
                  <c:v>43610</c:v>
                </c:pt>
                <c:pt idx="117">
                  <c:v>43603</c:v>
                </c:pt>
                <c:pt idx="118">
                  <c:v>43596</c:v>
                </c:pt>
                <c:pt idx="119">
                  <c:v>43589</c:v>
                </c:pt>
                <c:pt idx="120">
                  <c:v>43582</c:v>
                </c:pt>
                <c:pt idx="121">
                  <c:v>43575</c:v>
                </c:pt>
                <c:pt idx="122">
                  <c:v>43568</c:v>
                </c:pt>
                <c:pt idx="123">
                  <c:v>43561</c:v>
                </c:pt>
                <c:pt idx="124">
                  <c:v>43554</c:v>
                </c:pt>
                <c:pt idx="125">
                  <c:v>43547</c:v>
                </c:pt>
                <c:pt idx="126">
                  <c:v>43540</c:v>
                </c:pt>
                <c:pt idx="127">
                  <c:v>43533</c:v>
                </c:pt>
                <c:pt idx="128">
                  <c:v>43526</c:v>
                </c:pt>
                <c:pt idx="129">
                  <c:v>43519</c:v>
                </c:pt>
                <c:pt idx="130">
                  <c:v>43512</c:v>
                </c:pt>
                <c:pt idx="131">
                  <c:v>43505</c:v>
                </c:pt>
                <c:pt idx="132">
                  <c:v>43498</c:v>
                </c:pt>
                <c:pt idx="133">
                  <c:v>43491</c:v>
                </c:pt>
                <c:pt idx="134">
                  <c:v>43484</c:v>
                </c:pt>
                <c:pt idx="135">
                  <c:v>43477</c:v>
                </c:pt>
                <c:pt idx="136">
                  <c:v>43470</c:v>
                </c:pt>
                <c:pt idx="137">
                  <c:v>43463</c:v>
                </c:pt>
                <c:pt idx="138">
                  <c:v>43456</c:v>
                </c:pt>
                <c:pt idx="139">
                  <c:v>43449</c:v>
                </c:pt>
                <c:pt idx="140">
                  <c:v>43442</c:v>
                </c:pt>
                <c:pt idx="141">
                  <c:v>43435</c:v>
                </c:pt>
                <c:pt idx="142">
                  <c:v>43428</c:v>
                </c:pt>
                <c:pt idx="143">
                  <c:v>43421</c:v>
                </c:pt>
                <c:pt idx="144">
                  <c:v>43414</c:v>
                </c:pt>
                <c:pt idx="145">
                  <c:v>43407</c:v>
                </c:pt>
                <c:pt idx="146">
                  <c:v>43400</c:v>
                </c:pt>
                <c:pt idx="147">
                  <c:v>43393</c:v>
                </c:pt>
                <c:pt idx="148">
                  <c:v>43386</c:v>
                </c:pt>
                <c:pt idx="149">
                  <c:v>43379</c:v>
                </c:pt>
                <c:pt idx="150">
                  <c:v>43372</c:v>
                </c:pt>
                <c:pt idx="151">
                  <c:v>43365</c:v>
                </c:pt>
                <c:pt idx="152">
                  <c:v>43358</c:v>
                </c:pt>
                <c:pt idx="153">
                  <c:v>43351</c:v>
                </c:pt>
                <c:pt idx="154">
                  <c:v>43344</c:v>
                </c:pt>
                <c:pt idx="155">
                  <c:v>43337</c:v>
                </c:pt>
                <c:pt idx="156">
                  <c:v>43330</c:v>
                </c:pt>
                <c:pt idx="157">
                  <c:v>43323</c:v>
                </c:pt>
                <c:pt idx="158">
                  <c:v>43316</c:v>
                </c:pt>
                <c:pt idx="159">
                  <c:v>43309</c:v>
                </c:pt>
                <c:pt idx="160">
                  <c:v>43302</c:v>
                </c:pt>
                <c:pt idx="161">
                  <c:v>43295</c:v>
                </c:pt>
                <c:pt idx="162">
                  <c:v>43288</c:v>
                </c:pt>
                <c:pt idx="163">
                  <c:v>43281</c:v>
                </c:pt>
                <c:pt idx="164">
                  <c:v>43274</c:v>
                </c:pt>
                <c:pt idx="165">
                  <c:v>43267</c:v>
                </c:pt>
                <c:pt idx="166">
                  <c:v>43260</c:v>
                </c:pt>
                <c:pt idx="167">
                  <c:v>43253</c:v>
                </c:pt>
                <c:pt idx="168">
                  <c:v>43246</c:v>
                </c:pt>
                <c:pt idx="169">
                  <c:v>43239</c:v>
                </c:pt>
                <c:pt idx="170">
                  <c:v>43232</c:v>
                </c:pt>
                <c:pt idx="171">
                  <c:v>43225</c:v>
                </c:pt>
                <c:pt idx="172">
                  <c:v>43218</c:v>
                </c:pt>
                <c:pt idx="173">
                  <c:v>43211</c:v>
                </c:pt>
                <c:pt idx="174">
                  <c:v>43204</c:v>
                </c:pt>
                <c:pt idx="175">
                  <c:v>43197</c:v>
                </c:pt>
                <c:pt idx="176">
                  <c:v>43190</c:v>
                </c:pt>
                <c:pt idx="177">
                  <c:v>43183</c:v>
                </c:pt>
                <c:pt idx="178">
                  <c:v>43176</c:v>
                </c:pt>
                <c:pt idx="179">
                  <c:v>43169</c:v>
                </c:pt>
                <c:pt idx="180">
                  <c:v>43162</c:v>
                </c:pt>
                <c:pt idx="181">
                  <c:v>43155</c:v>
                </c:pt>
                <c:pt idx="182">
                  <c:v>43148</c:v>
                </c:pt>
                <c:pt idx="183">
                  <c:v>43141</c:v>
                </c:pt>
                <c:pt idx="184">
                  <c:v>43134</c:v>
                </c:pt>
                <c:pt idx="185">
                  <c:v>43127</c:v>
                </c:pt>
                <c:pt idx="186">
                  <c:v>43120</c:v>
                </c:pt>
              </c:numCache>
            </c:numRef>
          </c:cat>
          <c:val>
            <c:numRef>
              <c:f>汇率!$L$3:$L$189</c:f>
              <c:numCache>
                <c:formatCode>###,###,###,###,##0.00</c:formatCode>
                <c:ptCount val="187"/>
                <c:pt idx="0">
                  <c:v>9429.5</c:v>
                </c:pt>
                <c:pt idx="1">
                  <c:v>9529.5</c:v>
                </c:pt>
                <c:pt idx="2">
                  <c:v>9747.5</c:v>
                </c:pt>
                <c:pt idx="3">
                  <c:v>9433.5</c:v>
                </c:pt>
                <c:pt idx="4">
                  <c:v>9396.5</c:v>
                </c:pt>
                <c:pt idx="5">
                  <c:v>9437.5</c:v>
                </c:pt>
                <c:pt idx="6">
                  <c:v>9296.5</c:v>
                </c:pt>
                <c:pt idx="7">
                  <c:v>9432.5</c:v>
                </c:pt>
                <c:pt idx="8">
                  <c:v>9206</c:v>
                </c:pt>
                <c:pt idx="9">
                  <c:v>10029</c:v>
                </c:pt>
                <c:pt idx="10">
                  <c:v>9852</c:v>
                </c:pt>
                <c:pt idx="11">
                  <c:v>10159.5</c:v>
                </c:pt>
                <c:pt idx="12">
                  <c:v>10011</c:v>
                </c:pt>
                <c:pt idx="13">
                  <c:v>10212</c:v>
                </c:pt>
                <c:pt idx="14">
                  <c:v>10361</c:v>
                </c:pt>
                <c:pt idx="15">
                  <c:v>9949</c:v>
                </c:pt>
                <c:pt idx="16">
                  <c:v>9545.5</c:v>
                </c:pt>
                <c:pt idx="17">
                  <c:v>9336</c:v>
                </c:pt>
                <c:pt idx="18">
                  <c:v>8993</c:v>
                </c:pt>
                <c:pt idx="19">
                  <c:v>8768</c:v>
                </c:pt>
                <c:pt idx="20">
                  <c:v>8929</c:v>
                </c:pt>
                <c:pt idx="21">
                  <c:v>9036</c:v>
                </c:pt>
                <c:pt idx="22">
                  <c:v>9052.5</c:v>
                </c:pt>
                <c:pt idx="23">
                  <c:v>9021.5</c:v>
                </c:pt>
                <c:pt idx="24">
                  <c:v>9172.5</c:v>
                </c:pt>
                <c:pt idx="25">
                  <c:v>8806.5</c:v>
                </c:pt>
                <c:pt idx="26">
                  <c:v>8270.5</c:v>
                </c:pt>
                <c:pt idx="27">
                  <c:v>7936.5</c:v>
                </c:pt>
                <c:pt idx="28">
                  <c:v>7877</c:v>
                </c:pt>
                <c:pt idx="29">
                  <c:v>7872</c:v>
                </c:pt>
                <c:pt idx="30">
                  <c:v>7979.5</c:v>
                </c:pt>
                <c:pt idx="31">
                  <c:v>8146</c:v>
                </c:pt>
                <c:pt idx="32">
                  <c:v>7741.5</c:v>
                </c:pt>
                <c:pt idx="33">
                  <c:v>7793</c:v>
                </c:pt>
                <c:pt idx="34">
                  <c:v>7964</c:v>
                </c:pt>
                <c:pt idx="35">
                  <c:v>7741</c:v>
                </c:pt>
                <c:pt idx="36">
                  <c:v>7741.5</c:v>
                </c:pt>
                <c:pt idx="37">
                  <c:v>7462</c:v>
                </c:pt>
                <c:pt idx="38">
                  <c:v>7178.5</c:v>
                </c:pt>
                <c:pt idx="39">
                  <c:v>6926</c:v>
                </c:pt>
                <c:pt idx="40">
                  <c:v>6938.5</c:v>
                </c:pt>
                <c:pt idx="41">
                  <c:v>6694.5</c:v>
                </c:pt>
                <c:pt idx="42">
                  <c:v>6879.5</c:v>
                </c:pt>
                <c:pt idx="43">
                  <c:v>6728</c:v>
                </c:pt>
                <c:pt idx="44">
                  <c:v>6740.5</c:v>
                </c:pt>
                <c:pt idx="45">
                  <c:v>6409.5</c:v>
                </c:pt>
                <c:pt idx="46">
                  <c:v>6529</c:v>
                </c:pt>
                <c:pt idx="47">
                  <c:v>6833.5</c:v>
                </c:pt>
                <c:pt idx="48">
                  <c:v>6757.5</c:v>
                </c:pt>
                <c:pt idx="49">
                  <c:v>6678</c:v>
                </c:pt>
                <c:pt idx="50">
                  <c:v>6728</c:v>
                </c:pt>
                <c:pt idx="51">
                  <c:v>6564.5</c:v>
                </c:pt>
                <c:pt idx="52">
                  <c:v>6342.5</c:v>
                </c:pt>
                <c:pt idx="53">
                  <c:v>6437</c:v>
                </c:pt>
                <c:pt idx="54">
                  <c:v>6446.5</c:v>
                </c:pt>
                <c:pt idx="55">
                  <c:v>6412.5</c:v>
                </c:pt>
                <c:pt idx="56">
                  <c:v>6454.5</c:v>
                </c:pt>
                <c:pt idx="57">
                  <c:v>6322.5</c:v>
                </c:pt>
                <c:pt idx="58">
                  <c:v>6022.5</c:v>
                </c:pt>
                <c:pt idx="59">
                  <c:v>5985.5</c:v>
                </c:pt>
                <c:pt idx="60">
                  <c:v>5835.5</c:v>
                </c:pt>
                <c:pt idx="61">
                  <c:v>5785.5</c:v>
                </c:pt>
                <c:pt idx="62">
                  <c:v>5588</c:v>
                </c:pt>
                <c:pt idx="63">
                  <c:v>5332.5</c:v>
                </c:pt>
                <c:pt idx="64">
                  <c:v>5242.5</c:v>
                </c:pt>
                <c:pt idx="65">
                  <c:v>5165</c:v>
                </c:pt>
                <c:pt idx="66">
                  <c:v>5227.5</c:v>
                </c:pt>
                <c:pt idx="67">
                  <c:v>5061</c:v>
                </c:pt>
                <c:pt idx="68">
                  <c:v>5118</c:v>
                </c:pt>
                <c:pt idx="69">
                  <c:v>5175.5</c:v>
                </c:pt>
                <c:pt idx="70">
                  <c:v>4963.5</c:v>
                </c:pt>
                <c:pt idx="71">
                  <c:v>4863.5</c:v>
                </c:pt>
                <c:pt idx="72">
                  <c:v>4774</c:v>
                </c:pt>
                <c:pt idx="73">
                  <c:v>4855</c:v>
                </c:pt>
                <c:pt idx="74">
                  <c:v>5530.5</c:v>
                </c:pt>
                <c:pt idx="75">
                  <c:v>5624</c:v>
                </c:pt>
                <c:pt idx="76">
                  <c:v>5573</c:v>
                </c:pt>
                <c:pt idx="77">
                  <c:v>5702</c:v>
                </c:pt>
                <c:pt idx="78">
                  <c:v>5737</c:v>
                </c:pt>
                <c:pt idx="79">
                  <c:v>5653</c:v>
                </c:pt>
                <c:pt idx="80">
                  <c:v>5570</c:v>
                </c:pt>
                <c:pt idx="81">
                  <c:v>5968</c:v>
                </c:pt>
                <c:pt idx="82">
                  <c:v>6276.5</c:v>
                </c:pt>
                <c:pt idx="83">
                  <c:v>6157</c:v>
                </c:pt>
                <c:pt idx="84">
                  <c:v>6077</c:v>
                </c:pt>
                <c:pt idx="85">
                  <c:v>6211</c:v>
                </c:pt>
                <c:pt idx="86">
                  <c:v>6155.5</c:v>
                </c:pt>
                <c:pt idx="87">
                  <c:v>6154</c:v>
                </c:pt>
                <c:pt idx="88">
                  <c:v>5867.5</c:v>
                </c:pt>
                <c:pt idx="89">
                  <c:v>5854</c:v>
                </c:pt>
                <c:pt idx="90">
                  <c:v>5834</c:v>
                </c:pt>
                <c:pt idx="91">
                  <c:v>5812</c:v>
                </c:pt>
                <c:pt idx="92">
                  <c:v>5951.5</c:v>
                </c:pt>
                <c:pt idx="93">
                  <c:v>5797</c:v>
                </c:pt>
                <c:pt idx="94">
                  <c:v>5867.5</c:v>
                </c:pt>
                <c:pt idx="95">
                  <c:v>5751</c:v>
                </c:pt>
                <c:pt idx="96">
                  <c:v>5763</c:v>
                </c:pt>
                <c:pt idx="97">
                  <c:v>5599</c:v>
                </c:pt>
                <c:pt idx="98">
                  <c:v>5714</c:v>
                </c:pt>
                <c:pt idx="99">
                  <c:v>5777.5</c:v>
                </c:pt>
                <c:pt idx="100">
                  <c:v>5870</c:v>
                </c:pt>
                <c:pt idx="101">
                  <c:v>5787.5</c:v>
                </c:pt>
                <c:pt idx="102">
                  <c:v>5678</c:v>
                </c:pt>
                <c:pt idx="103">
                  <c:v>5675</c:v>
                </c:pt>
                <c:pt idx="104">
                  <c:v>5710</c:v>
                </c:pt>
                <c:pt idx="105">
                  <c:v>5744</c:v>
                </c:pt>
                <c:pt idx="106">
                  <c:v>5769</c:v>
                </c:pt>
                <c:pt idx="107">
                  <c:v>5945</c:v>
                </c:pt>
                <c:pt idx="108">
                  <c:v>6066</c:v>
                </c:pt>
                <c:pt idx="109">
                  <c:v>5950</c:v>
                </c:pt>
                <c:pt idx="110">
                  <c:v>5857</c:v>
                </c:pt>
                <c:pt idx="111">
                  <c:v>5972</c:v>
                </c:pt>
                <c:pt idx="112">
                  <c:v>5941</c:v>
                </c:pt>
                <c:pt idx="113">
                  <c:v>5805.5</c:v>
                </c:pt>
                <c:pt idx="114">
                  <c:v>5770</c:v>
                </c:pt>
                <c:pt idx="115">
                  <c:v>5780.5</c:v>
                </c:pt>
                <c:pt idx="116">
                  <c:v>5919</c:v>
                </c:pt>
                <c:pt idx="117">
                  <c:v>6025</c:v>
                </c:pt>
                <c:pt idx="118">
                  <c:v>6135.5</c:v>
                </c:pt>
                <c:pt idx="119">
                  <c:v>6180</c:v>
                </c:pt>
                <c:pt idx="120">
                  <c:v>6393</c:v>
                </c:pt>
                <c:pt idx="121">
                  <c:v>6448</c:v>
                </c:pt>
                <c:pt idx="122">
                  <c:v>6490</c:v>
                </c:pt>
                <c:pt idx="123">
                  <c:v>6419</c:v>
                </c:pt>
                <c:pt idx="124">
                  <c:v>6485</c:v>
                </c:pt>
                <c:pt idx="125">
                  <c:v>6375</c:v>
                </c:pt>
                <c:pt idx="126">
                  <c:v>6410</c:v>
                </c:pt>
                <c:pt idx="127">
                  <c:v>6398.5</c:v>
                </c:pt>
                <c:pt idx="128">
                  <c:v>6572</c:v>
                </c:pt>
                <c:pt idx="129">
                  <c:v>6489</c:v>
                </c:pt>
                <c:pt idx="130">
                  <c:v>6190</c:v>
                </c:pt>
                <c:pt idx="131">
                  <c:v>6207</c:v>
                </c:pt>
                <c:pt idx="132">
                  <c:v>6097.5</c:v>
                </c:pt>
                <c:pt idx="133">
                  <c:v>5901</c:v>
                </c:pt>
                <c:pt idx="134">
                  <c:v>6022</c:v>
                </c:pt>
                <c:pt idx="135">
                  <c:v>5926.5</c:v>
                </c:pt>
                <c:pt idx="136">
                  <c:v>5840</c:v>
                </c:pt>
                <c:pt idx="137">
                  <c:v>6018</c:v>
                </c:pt>
                <c:pt idx="138">
                  <c:v>5987</c:v>
                </c:pt>
                <c:pt idx="139">
                  <c:v>6104</c:v>
                </c:pt>
                <c:pt idx="140">
                  <c:v>6173</c:v>
                </c:pt>
                <c:pt idx="141">
                  <c:v>6238</c:v>
                </c:pt>
                <c:pt idx="142">
                  <c:v>6210</c:v>
                </c:pt>
                <c:pt idx="143">
                  <c:v>6181</c:v>
                </c:pt>
                <c:pt idx="144">
                  <c:v>6088</c:v>
                </c:pt>
                <c:pt idx="145">
                  <c:v>6255</c:v>
                </c:pt>
                <c:pt idx="146">
                  <c:v>6159</c:v>
                </c:pt>
                <c:pt idx="147">
                  <c:v>6191.5</c:v>
                </c:pt>
                <c:pt idx="148">
                  <c:v>6325</c:v>
                </c:pt>
                <c:pt idx="149">
                  <c:v>6182.5</c:v>
                </c:pt>
                <c:pt idx="150">
                  <c:v>6180</c:v>
                </c:pt>
                <c:pt idx="151">
                  <c:v>6203</c:v>
                </c:pt>
                <c:pt idx="152">
                  <c:v>5946.5</c:v>
                </c:pt>
                <c:pt idx="153">
                  <c:v>5883</c:v>
                </c:pt>
                <c:pt idx="154">
                  <c:v>6019</c:v>
                </c:pt>
                <c:pt idx="155">
                  <c:v>6001</c:v>
                </c:pt>
                <c:pt idx="156">
                  <c:v>5844</c:v>
                </c:pt>
                <c:pt idx="157">
                  <c:v>6120</c:v>
                </c:pt>
                <c:pt idx="158">
                  <c:v>6167</c:v>
                </c:pt>
                <c:pt idx="159">
                  <c:v>6251.5</c:v>
                </c:pt>
                <c:pt idx="160">
                  <c:v>6073</c:v>
                </c:pt>
                <c:pt idx="161">
                  <c:v>6166</c:v>
                </c:pt>
                <c:pt idx="162">
                  <c:v>6326</c:v>
                </c:pt>
                <c:pt idx="163">
                  <c:v>6646</c:v>
                </c:pt>
                <c:pt idx="164">
                  <c:v>6811</c:v>
                </c:pt>
                <c:pt idx="165">
                  <c:v>7136</c:v>
                </c:pt>
                <c:pt idx="166">
                  <c:v>7262.5</c:v>
                </c:pt>
                <c:pt idx="167">
                  <c:v>6814</c:v>
                </c:pt>
                <c:pt idx="168">
                  <c:v>6886</c:v>
                </c:pt>
                <c:pt idx="169">
                  <c:v>6783.5</c:v>
                </c:pt>
                <c:pt idx="170">
                  <c:v>6869</c:v>
                </c:pt>
                <c:pt idx="171">
                  <c:v>6783</c:v>
                </c:pt>
                <c:pt idx="172">
                  <c:v>6797</c:v>
                </c:pt>
                <c:pt idx="173">
                  <c:v>6939</c:v>
                </c:pt>
                <c:pt idx="174">
                  <c:v>6830</c:v>
                </c:pt>
                <c:pt idx="175">
                  <c:v>6703</c:v>
                </c:pt>
                <c:pt idx="176">
                  <c:v>6685</c:v>
                </c:pt>
                <c:pt idx="177">
                  <c:v>6658</c:v>
                </c:pt>
                <c:pt idx="178">
                  <c:v>6923</c:v>
                </c:pt>
                <c:pt idx="179">
                  <c:v>6808</c:v>
                </c:pt>
                <c:pt idx="180">
                  <c:v>6883</c:v>
                </c:pt>
                <c:pt idx="181">
                  <c:v>7073.5</c:v>
                </c:pt>
                <c:pt idx="182">
                  <c:v>7159</c:v>
                </c:pt>
                <c:pt idx="183">
                  <c:v>6755</c:v>
                </c:pt>
                <c:pt idx="184">
                  <c:v>7066</c:v>
                </c:pt>
                <c:pt idx="185">
                  <c:v>7063.5</c:v>
                </c:pt>
                <c:pt idx="186">
                  <c:v>7079</c:v>
                </c:pt>
              </c:numCache>
            </c:numRef>
          </c:val>
          <c:smooth val="1"/>
          <c:extLst xmlns:c16r2="http://schemas.microsoft.com/office/drawing/2015/06/chart">
            <c:ext xmlns:c16="http://schemas.microsoft.com/office/drawing/2014/chart" uri="{C3380CC4-5D6E-409C-BE32-E72D297353CC}">
              <c16:uniqueId val="{00000000-EAD1-43E7-9767-9185ACC31AF5}"/>
            </c:ext>
          </c:extLst>
        </c:ser>
        <c:dLbls>
          <c:showLegendKey val="0"/>
          <c:showVal val="0"/>
          <c:showCatName val="0"/>
          <c:showSerName val="0"/>
          <c:showPercent val="0"/>
          <c:showBubbleSize val="0"/>
        </c:dLbls>
        <c:marker val="1"/>
        <c:smooth val="0"/>
        <c:axId val="495211264"/>
        <c:axId val="495212800"/>
      </c:lineChart>
      <c:lineChart>
        <c:grouping val="standard"/>
        <c:varyColors val="0"/>
        <c:ser>
          <c:idx val="2"/>
          <c:order val="1"/>
          <c:tx>
            <c:strRef>
              <c:f>汇率!$M$2</c:f>
              <c:strCache>
                <c:ptCount val="1"/>
                <c:pt idx="0">
                  <c:v>期货结算价(连续):布伦特原油:周</c:v>
                </c:pt>
              </c:strCache>
            </c:strRef>
          </c:tx>
          <c:spPr>
            <a:ln>
              <a:solidFill>
                <a:srgbClr val="ED7D31"/>
              </a:solidFill>
              <a:prstDash val="sysDash"/>
            </a:ln>
          </c:spPr>
          <c:marker>
            <c:symbol val="none"/>
          </c:marker>
          <c:cat>
            <c:numRef>
              <c:f>汇率!$K$3:$K$189</c:f>
              <c:numCache>
                <c:formatCode>yyyy/mm/dd;@</c:formatCode>
                <c:ptCount val="187"/>
                <c:pt idx="0">
                  <c:v>44422</c:v>
                </c:pt>
                <c:pt idx="1">
                  <c:v>44415</c:v>
                </c:pt>
                <c:pt idx="2">
                  <c:v>44408</c:v>
                </c:pt>
                <c:pt idx="3">
                  <c:v>44401</c:v>
                </c:pt>
                <c:pt idx="4">
                  <c:v>44394</c:v>
                </c:pt>
                <c:pt idx="5">
                  <c:v>44387</c:v>
                </c:pt>
                <c:pt idx="6">
                  <c:v>44380</c:v>
                </c:pt>
                <c:pt idx="7">
                  <c:v>44373</c:v>
                </c:pt>
                <c:pt idx="8">
                  <c:v>44366</c:v>
                </c:pt>
                <c:pt idx="9">
                  <c:v>44359</c:v>
                </c:pt>
                <c:pt idx="10">
                  <c:v>44352</c:v>
                </c:pt>
                <c:pt idx="11">
                  <c:v>44345</c:v>
                </c:pt>
                <c:pt idx="12">
                  <c:v>44338</c:v>
                </c:pt>
                <c:pt idx="13">
                  <c:v>44331</c:v>
                </c:pt>
                <c:pt idx="14">
                  <c:v>44324</c:v>
                </c:pt>
                <c:pt idx="15">
                  <c:v>44317</c:v>
                </c:pt>
                <c:pt idx="16">
                  <c:v>44310</c:v>
                </c:pt>
                <c:pt idx="17">
                  <c:v>44303</c:v>
                </c:pt>
                <c:pt idx="18">
                  <c:v>44296</c:v>
                </c:pt>
                <c:pt idx="19">
                  <c:v>44289</c:v>
                </c:pt>
                <c:pt idx="20">
                  <c:v>44282</c:v>
                </c:pt>
                <c:pt idx="21">
                  <c:v>44275</c:v>
                </c:pt>
                <c:pt idx="22">
                  <c:v>44268</c:v>
                </c:pt>
                <c:pt idx="23">
                  <c:v>44261</c:v>
                </c:pt>
                <c:pt idx="24">
                  <c:v>44254</c:v>
                </c:pt>
                <c:pt idx="25">
                  <c:v>44247</c:v>
                </c:pt>
                <c:pt idx="26">
                  <c:v>44240</c:v>
                </c:pt>
                <c:pt idx="27">
                  <c:v>44233</c:v>
                </c:pt>
                <c:pt idx="28">
                  <c:v>44226</c:v>
                </c:pt>
                <c:pt idx="29">
                  <c:v>44219</c:v>
                </c:pt>
                <c:pt idx="30">
                  <c:v>44212</c:v>
                </c:pt>
                <c:pt idx="31">
                  <c:v>44205</c:v>
                </c:pt>
                <c:pt idx="32">
                  <c:v>44198</c:v>
                </c:pt>
                <c:pt idx="33">
                  <c:v>44191</c:v>
                </c:pt>
                <c:pt idx="34">
                  <c:v>44184</c:v>
                </c:pt>
                <c:pt idx="35">
                  <c:v>44177</c:v>
                </c:pt>
                <c:pt idx="36">
                  <c:v>44170</c:v>
                </c:pt>
                <c:pt idx="37">
                  <c:v>44163</c:v>
                </c:pt>
                <c:pt idx="38">
                  <c:v>44156</c:v>
                </c:pt>
                <c:pt idx="39">
                  <c:v>44149</c:v>
                </c:pt>
                <c:pt idx="40">
                  <c:v>44142</c:v>
                </c:pt>
                <c:pt idx="41">
                  <c:v>44135</c:v>
                </c:pt>
                <c:pt idx="42">
                  <c:v>44128</c:v>
                </c:pt>
                <c:pt idx="43">
                  <c:v>44121</c:v>
                </c:pt>
                <c:pt idx="44">
                  <c:v>44114</c:v>
                </c:pt>
                <c:pt idx="45">
                  <c:v>44107</c:v>
                </c:pt>
                <c:pt idx="46">
                  <c:v>44100</c:v>
                </c:pt>
                <c:pt idx="47">
                  <c:v>44093</c:v>
                </c:pt>
                <c:pt idx="48">
                  <c:v>44086</c:v>
                </c:pt>
                <c:pt idx="49">
                  <c:v>44079</c:v>
                </c:pt>
                <c:pt idx="50">
                  <c:v>44072</c:v>
                </c:pt>
                <c:pt idx="51">
                  <c:v>44065</c:v>
                </c:pt>
                <c:pt idx="52">
                  <c:v>44058</c:v>
                </c:pt>
                <c:pt idx="53">
                  <c:v>44051</c:v>
                </c:pt>
                <c:pt idx="54">
                  <c:v>44044</c:v>
                </c:pt>
                <c:pt idx="55">
                  <c:v>44037</c:v>
                </c:pt>
                <c:pt idx="56">
                  <c:v>44030</c:v>
                </c:pt>
                <c:pt idx="57">
                  <c:v>44023</c:v>
                </c:pt>
                <c:pt idx="58">
                  <c:v>44016</c:v>
                </c:pt>
                <c:pt idx="59">
                  <c:v>44009</c:v>
                </c:pt>
                <c:pt idx="60">
                  <c:v>44002</c:v>
                </c:pt>
                <c:pt idx="61">
                  <c:v>43995</c:v>
                </c:pt>
                <c:pt idx="62">
                  <c:v>43988</c:v>
                </c:pt>
                <c:pt idx="63">
                  <c:v>43981</c:v>
                </c:pt>
                <c:pt idx="64">
                  <c:v>43974</c:v>
                </c:pt>
                <c:pt idx="65">
                  <c:v>43967</c:v>
                </c:pt>
                <c:pt idx="66">
                  <c:v>43960</c:v>
                </c:pt>
                <c:pt idx="67">
                  <c:v>43953</c:v>
                </c:pt>
                <c:pt idx="68">
                  <c:v>43946</c:v>
                </c:pt>
                <c:pt idx="69">
                  <c:v>43939</c:v>
                </c:pt>
                <c:pt idx="70">
                  <c:v>43932</c:v>
                </c:pt>
                <c:pt idx="71">
                  <c:v>43925</c:v>
                </c:pt>
                <c:pt idx="72">
                  <c:v>43918</c:v>
                </c:pt>
                <c:pt idx="73">
                  <c:v>43911</c:v>
                </c:pt>
                <c:pt idx="74">
                  <c:v>43904</c:v>
                </c:pt>
                <c:pt idx="75">
                  <c:v>43897</c:v>
                </c:pt>
                <c:pt idx="76">
                  <c:v>43890</c:v>
                </c:pt>
                <c:pt idx="77">
                  <c:v>43883</c:v>
                </c:pt>
                <c:pt idx="78">
                  <c:v>43876</c:v>
                </c:pt>
                <c:pt idx="79">
                  <c:v>43869</c:v>
                </c:pt>
                <c:pt idx="80">
                  <c:v>43862</c:v>
                </c:pt>
                <c:pt idx="81">
                  <c:v>43855</c:v>
                </c:pt>
                <c:pt idx="82">
                  <c:v>43848</c:v>
                </c:pt>
                <c:pt idx="83">
                  <c:v>43841</c:v>
                </c:pt>
                <c:pt idx="84">
                  <c:v>43834</c:v>
                </c:pt>
                <c:pt idx="85">
                  <c:v>43827</c:v>
                </c:pt>
                <c:pt idx="86">
                  <c:v>43820</c:v>
                </c:pt>
                <c:pt idx="87">
                  <c:v>43813</c:v>
                </c:pt>
                <c:pt idx="88">
                  <c:v>43806</c:v>
                </c:pt>
                <c:pt idx="89">
                  <c:v>43799</c:v>
                </c:pt>
                <c:pt idx="90">
                  <c:v>43792</c:v>
                </c:pt>
                <c:pt idx="91">
                  <c:v>43785</c:v>
                </c:pt>
                <c:pt idx="92">
                  <c:v>43778</c:v>
                </c:pt>
                <c:pt idx="93">
                  <c:v>43771</c:v>
                </c:pt>
                <c:pt idx="94">
                  <c:v>43764</c:v>
                </c:pt>
                <c:pt idx="95">
                  <c:v>43757</c:v>
                </c:pt>
                <c:pt idx="96">
                  <c:v>43750</c:v>
                </c:pt>
                <c:pt idx="97">
                  <c:v>43743</c:v>
                </c:pt>
                <c:pt idx="98">
                  <c:v>43736</c:v>
                </c:pt>
                <c:pt idx="99">
                  <c:v>43729</c:v>
                </c:pt>
                <c:pt idx="100">
                  <c:v>43722</c:v>
                </c:pt>
                <c:pt idx="101">
                  <c:v>43715</c:v>
                </c:pt>
                <c:pt idx="102">
                  <c:v>43708</c:v>
                </c:pt>
                <c:pt idx="103">
                  <c:v>43701</c:v>
                </c:pt>
                <c:pt idx="104">
                  <c:v>43694</c:v>
                </c:pt>
                <c:pt idx="105">
                  <c:v>43687</c:v>
                </c:pt>
                <c:pt idx="106">
                  <c:v>43680</c:v>
                </c:pt>
                <c:pt idx="107">
                  <c:v>43673</c:v>
                </c:pt>
                <c:pt idx="108">
                  <c:v>43666</c:v>
                </c:pt>
                <c:pt idx="109">
                  <c:v>43659</c:v>
                </c:pt>
                <c:pt idx="110">
                  <c:v>43652</c:v>
                </c:pt>
                <c:pt idx="111">
                  <c:v>43645</c:v>
                </c:pt>
                <c:pt idx="112">
                  <c:v>43638</c:v>
                </c:pt>
                <c:pt idx="113">
                  <c:v>43631</c:v>
                </c:pt>
                <c:pt idx="114">
                  <c:v>43624</c:v>
                </c:pt>
                <c:pt idx="115">
                  <c:v>43617</c:v>
                </c:pt>
                <c:pt idx="116">
                  <c:v>43610</c:v>
                </c:pt>
                <c:pt idx="117">
                  <c:v>43603</c:v>
                </c:pt>
                <c:pt idx="118">
                  <c:v>43596</c:v>
                </c:pt>
                <c:pt idx="119">
                  <c:v>43589</c:v>
                </c:pt>
                <c:pt idx="120">
                  <c:v>43582</c:v>
                </c:pt>
                <c:pt idx="121">
                  <c:v>43575</c:v>
                </c:pt>
                <c:pt idx="122">
                  <c:v>43568</c:v>
                </c:pt>
                <c:pt idx="123">
                  <c:v>43561</c:v>
                </c:pt>
                <c:pt idx="124">
                  <c:v>43554</c:v>
                </c:pt>
                <c:pt idx="125">
                  <c:v>43547</c:v>
                </c:pt>
                <c:pt idx="126">
                  <c:v>43540</c:v>
                </c:pt>
                <c:pt idx="127">
                  <c:v>43533</c:v>
                </c:pt>
                <c:pt idx="128">
                  <c:v>43526</c:v>
                </c:pt>
                <c:pt idx="129">
                  <c:v>43519</c:v>
                </c:pt>
                <c:pt idx="130">
                  <c:v>43512</c:v>
                </c:pt>
                <c:pt idx="131">
                  <c:v>43505</c:v>
                </c:pt>
                <c:pt idx="132">
                  <c:v>43498</c:v>
                </c:pt>
                <c:pt idx="133">
                  <c:v>43491</c:v>
                </c:pt>
                <c:pt idx="134">
                  <c:v>43484</c:v>
                </c:pt>
                <c:pt idx="135">
                  <c:v>43477</c:v>
                </c:pt>
                <c:pt idx="136">
                  <c:v>43470</c:v>
                </c:pt>
                <c:pt idx="137">
                  <c:v>43463</c:v>
                </c:pt>
                <c:pt idx="138">
                  <c:v>43456</c:v>
                </c:pt>
                <c:pt idx="139">
                  <c:v>43449</c:v>
                </c:pt>
                <c:pt idx="140">
                  <c:v>43442</c:v>
                </c:pt>
                <c:pt idx="141">
                  <c:v>43435</c:v>
                </c:pt>
                <c:pt idx="142">
                  <c:v>43428</c:v>
                </c:pt>
                <c:pt idx="143">
                  <c:v>43421</c:v>
                </c:pt>
                <c:pt idx="144">
                  <c:v>43414</c:v>
                </c:pt>
                <c:pt idx="145">
                  <c:v>43407</c:v>
                </c:pt>
                <c:pt idx="146">
                  <c:v>43400</c:v>
                </c:pt>
                <c:pt idx="147">
                  <c:v>43393</c:v>
                </c:pt>
                <c:pt idx="148">
                  <c:v>43386</c:v>
                </c:pt>
                <c:pt idx="149">
                  <c:v>43379</c:v>
                </c:pt>
                <c:pt idx="150">
                  <c:v>43372</c:v>
                </c:pt>
                <c:pt idx="151">
                  <c:v>43365</c:v>
                </c:pt>
                <c:pt idx="152">
                  <c:v>43358</c:v>
                </c:pt>
                <c:pt idx="153">
                  <c:v>43351</c:v>
                </c:pt>
                <c:pt idx="154">
                  <c:v>43344</c:v>
                </c:pt>
                <c:pt idx="155">
                  <c:v>43337</c:v>
                </c:pt>
                <c:pt idx="156">
                  <c:v>43330</c:v>
                </c:pt>
                <c:pt idx="157">
                  <c:v>43323</c:v>
                </c:pt>
                <c:pt idx="158">
                  <c:v>43316</c:v>
                </c:pt>
                <c:pt idx="159">
                  <c:v>43309</c:v>
                </c:pt>
                <c:pt idx="160">
                  <c:v>43302</c:v>
                </c:pt>
                <c:pt idx="161">
                  <c:v>43295</c:v>
                </c:pt>
                <c:pt idx="162">
                  <c:v>43288</c:v>
                </c:pt>
                <c:pt idx="163">
                  <c:v>43281</c:v>
                </c:pt>
                <c:pt idx="164">
                  <c:v>43274</c:v>
                </c:pt>
                <c:pt idx="165">
                  <c:v>43267</c:v>
                </c:pt>
                <c:pt idx="166">
                  <c:v>43260</c:v>
                </c:pt>
                <c:pt idx="167">
                  <c:v>43253</c:v>
                </c:pt>
                <c:pt idx="168">
                  <c:v>43246</c:v>
                </c:pt>
                <c:pt idx="169">
                  <c:v>43239</c:v>
                </c:pt>
                <c:pt idx="170">
                  <c:v>43232</c:v>
                </c:pt>
                <c:pt idx="171">
                  <c:v>43225</c:v>
                </c:pt>
                <c:pt idx="172">
                  <c:v>43218</c:v>
                </c:pt>
                <c:pt idx="173">
                  <c:v>43211</c:v>
                </c:pt>
                <c:pt idx="174">
                  <c:v>43204</c:v>
                </c:pt>
                <c:pt idx="175">
                  <c:v>43197</c:v>
                </c:pt>
                <c:pt idx="176">
                  <c:v>43190</c:v>
                </c:pt>
                <c:pt idx="177">
                  <c:v>43183</c:v>
                </c:pt>
                <c:pt idx="178">
                  <c:v>43176</c:v>
                </c:pt>
                <c:pt idx="179">
                  <c:v>43169</c:v>
                </c:pt>
                <c:pt idx="180">
                  <c:v>43162</c:v>
                </c:pt>
                <c:pt idx="181">
                  <c:v>43155</c:v>
                </c:pt>
                <c:pt idx="182">
                  <c:v>43148</c:v>
                </c:pt>
                <c:pt idx="183">
                  <c:v>43141</c:v>
                </c:pt>
                <c:pt idx="184">
                  <c:v>43134</c:v>
                </c:pt>
                <c:pt idx="185">
                  <c:v>43127</c:v>
                </c:pt>
                <c:pt idx="186">
                  <c:v>43120</c:v>
                </c:pt>
              </c:numCache>
            </c:numRef>
          </c:cat>
          <c:val>
            <c:numRef>
              <c:f>汇率!$M$3:$M$189</c:f>
              <c:numCache>
                <c:formatCode>###,###,###,###,##0.00</c:formatCode>
                <c:ptCount val="187"/>
                <c:pt idx="0">
                  <c:v>70.59</c:v>
                </c:pt>
                <c:pt idx="1">
                  <c:v>70.7</c:v>
                </c:pt>
                <c:pt idx="2">
                  <c:v>76.33</c:v>
                </c:pt>
                <c:pt idx="3">
                  <c:v>74.099999999999994</c:v>
                </c:pt>
                <c:pt idx="4">
                  <c:v>73.59</c:v>
                </c:pt>
                <c:pt idx="5">
                  <c:v>75.55</c:v>
                </c:pt>
                <c:pt idx="6">
                  <c:v>76.17</c:v>
                </c:pt>
                <c:pt idx="7">
                  <c:v>76.180000000000007</c:v>
                </c:pt>
                <c:pt idx="8">
                  <c:v>73.510000000000005</c:v>
                </c:pt>
                <c:pt idx="9">
                  <c:v>72.69</c:v>
                </c:pt>
                <c:pt idx="10">
                  <c:v>71.89</c:v>
                </c:pt>
                <c:pt idx="11">
                  <c:v>69.63</c:v>
                </c:pt>
                <c:pt idx="12">
                  <c:v>66.44</c:v>
                </c:pt>
                <c:pt idx="13">
                  <c:v>68.709999999999994</c:v>
                </c:pt>
                <c:pt idx="14">
                  <c:v>68.28</c:v>
                </c:pt>
                <c:pt idx="15">
                  <c:v>67.25</c:v>
                </c:pt>
                <c:pt idx="16">
                  <c:v>66.11</c:v>
                </c:pt>
                <c:pt idx="17">
                  <c:v>66.77</c:v>
                </c:pt>
                <c:pt idx="18">
                  <c:v>62.95</c:v>
                </c:pt>
                <c:pt idx="19">
                  <c:v>63.54</c:v>
                </c:pt>
                <c:pt idx="20">
                  <c:v>64.569999999999993</c:v>
                </c:pt>
                <c:pt idx="21">
                  <c:v>64.53</c:v>
                </c:pt>
                <c:pt idx="22">
                  <c:v>69.22</c:v>
                </c:pt>
                <c:pt idx="23">
                  <c:v>69.36</c:v>
                </c:pt>
                <c:pt idx="24">
                  <c:v>66.13</c:v>
                </c:pt>
                <c:pt idx="25">
                  <c:v>62.91</c:v>
                </c:pt>
                <c:pt idx="26">
                  <c:v>62.43</c:v>
                </c:pt>
                <c:pt idx="27">
                  <c:v>59.34</c:v>
                </c:pt>
                <c:pt idx="28">
                  <c:v>55.88</c:v>
                </c:pt>
                <c:pt idx="29">
                  <c:v>55.41</c:v>
                </c:pt>
                <c:pt idx="30">
                  <c:v>55.1</c:v>
                </c:pt>
                <c:pt idx="31">
                  <c:v>55.99</c:v>
                </c:pt>
                <c:pt idx="32">
                  <c:v>51.8</c:v>
                </c:pt>
                <c:pt idx="33">
                  <c:v>51.29</c:v>
                </c:pt>
                <c:pt idx="34">
                  <c:v>52.26</c:v>
                </c:pt>
                <c:pt idx="35">
                  <c:v>49.97</c:v>
                </c:pt>
                <c:pt idx="36">
                  <c:v>49.25</c:v>
                </c:pt>
                <c:pt idx="37">
                  <c:v>48.18</c:v>
                </c:pt>
                <c:pt idx="38">
                  <c:v>44.96</c:v>
                </c:pt>
                <c:pt idx="39">
                  <c:v>42.78</c:v>
                </c:pt>
                <c:pt idx="40">
                  <c:v>39.450000000000003</c:v>
                </c:pt>
                <c:pt idx="41">
                  <c:v>37.46</c:v>
                </c:pt>
                <c:pt idx="42">
                  <c:v>41.77</c:v>
                </c:pt>
                <c:pt idx="43">
                  <c:v>42.93</c:v>
                </c:pt>
                <c:pt idx="44">
                  <c:v>42.85</c:v>
                </c:pt>
                <c:pt idx="45">
                  <c:v>39.270000000000003</c:v>
                </c:pt>
                <c:pt idx="46">
                  <c:v>41.92</c:v>
                </c:pt>
                <c:pt idx="47">
                  <c:v>43.15</c:v>
                </c:pt>
                <c:pt idx="48">
                  <c:v>39.83</c:v>
                </c:pt>
                <c:pt idx="49">
                  <c:v>42.66</c:v>
                </c:pt>
                <c:pt idx="50">
                  <c:v>45.05</c:v>
                </c:pt>
                <c:pt idx="51">
                  <c:v>44.35</c:v>
                </c:pt>
                <c:pt idx="52">
                  <c:v>44.8</c:v>
                </c:pt>
                <c:pt idx="53">
                  <c:v>44.4</c:v>
                </c:pt>
                <c:pt idx="54">
                  <c:v>43.3</c:v>
                </c:pt>
                <c:pt idx="55">
                  <c:v>43.34</c:v>
                </c:pt>
                <c:pt idx="56">
                  <c:v>43.14</c:v>
                </c:pt>
                <c:pt idx="57">
                  <c:v>43.24</c:v>
                </c:pt>
                <c:pt idx="58">
                  <c:v>42.8</c:v>
                </c:pt>
                <c:pt idx="59">
                  <c:v>41.02</c:v>
                </c:pt>
                <c:pt idx="60">
                  <c:v>42.19</c:v>
                </c:pt>
                <c:pt idx="61">
                  <c:v>38.729999999999997</c:v>
                </c:pt>
                <c:pt idx="62">
                  <c:v>42.3</c:v>
                </c:pt>
                <c:pt idx="63">
                  <c:v>35.33</c:v>
                </c:pt>
                <c:pt idx="64">
                  <c:v>35.130000000000003</c:v>
                </c:pt>
                <c:pt idx="65">
                  <c:v>32.5</c:v>
                </c:pt>
                <c:pt idx="66">
                  <c:v>30.97</c:v>
                </c:pt>
                <c:pt idx="67">
                  <c:v>26.44</c:v>
                </c:pt>
                <c:pt idx="68">
                  <c:v>21.44</c:v>
                </c:pt>
                <c:pt idx="69">
                  <c:v>28.08</c:v>
                </c:pt>
                <c:pt idx="70">
                  <c:v>31.48</c:v>
                </c:pt>
                <c:pt idx="71">
                  <c:v>34.11</c:v>
                </c:pt>
                <c:pt idx="72">
                  <c:v>24.93</c:v>
                </c:pt>
                <c:pt idx="73">
                  <c:v>26.98</c:v>
                </c:pt>
                <c:pt idx="74">
                  <c:v>33.85</c:v>
                </c:pt>
                <c:pt idx="75">
                  <c:v>45.27</c:v>
                </c:pt>
                <c:pt idx="76">
                  <c:v>50.52</c:v>
                </c:pt>
                <c:pt idx="77">
                  <c:v>58.5</c:v>
                </c:pt>
                <c:pt idx="78">
                  <c:v>57.32</c:v>
                </c:pt>
                <c:pt idx="79">
                  <c:v>54.54</c:v>
                </c:pt>
                <c:pt idx="80">
                  <c:v>58.16</c:v>
                </c:pt>
                <c:pt idx="81">
                  <c:v>60.69</c:v>
                </c:pt>
                <c:pt idx="82">
                  <c:v>64.849999999999994</c:v>
                </c:pt>
                <c:pt idx="83">
                  <c:v>64.98</c:v>
                </c:pt>
                <c:pt idx="84">
                  <c:v>68.599999999999994</c:v>
                </c:pt>
                <c:pt idx="85">
                  <c:v>68.16</c:v>
                </c:pt>
                <c:pt idx="86">
                  <c:v>66.14</c:v>
                </c:pt>
                <c:pt idx="87">
                  <c:v>65.22</c:v>
                </c:pt>
                <c:pt idx="88">
                  <c:v>64.39</c:v>
                </c:pt>
                <c:pt idx="89">
                  <c:v>62.43</c:v>
                </c:pt>
                <c:pt idx="90">
                  <c:v>63.39</c:v>
                </c:pt>
                <c:pt idx="91">
                  <c:v>63.3</c:v>
                </c:pt>
                <c:pt idx="92">
                  <c:v>62.51</c:v>
                </c:pt>
                <c:pt idx="93">
                  <c:v>61.69</c:v>
                </c:pt>
                <c:pt idx="94">
                  <c:v>62.02</c:v>
                </c:pt>
                <c:pt idx="95">
                  <c:v>59.42</c:v>
                </c:pt>
                <c:pt idx="96">
                  <c:v>60.51</c:v>
                </c:pt>
                <c:pt idx="97">
                  <c:v>58.37</c:v>
                </c:pt>
                <c:pt idx="98">
                  <c:v>61.91</c:v>
                </c:pt>
                <c:pt idx="99">
                  <c:v>64.28</c:v>
                </c:pt>
                <c:pt idx="100">
                  <c:v>60.22</c:v>
                </c:pt>
                <c:pt idx="101">
                  <c:v>61.54</c:v>
                </c:pt>
                <c:pt idx="102">
                  <c:v>60.43</c:v>
                </c:pt>
                <c:pt idx="103">
                  <c:v>59.34</c:v>
                </c:pt>
                <c:pt idx="104">
                  <c:v>58.64</c:v>
                </c:pt>
                <c:pt idx="105">
                  <c:v>58.53</c:v>
                </c:pt>
                <c:pt idx="106">
                  <c:v>61.89</c:v>
                </c:pt>
                <c:pt idx="107">
                  <c:v>63.46</c:v>
                </c:pt>
                <c:pt idx="108">
                  <c:v>62.47</c:v>
                </c:pt>
                <c:pt idx="109">
                  <c:v>66.72</c:v>
                </c:pt>
                <c:pt idx="110">
                  <c:v>64.23</c:v>
                </c:pt>
                <c:pt idx="111">
                  <c:v>66.55</c:v>
                </c:pt>
                <c:pt idx="112">
                  <c:v>65.2</c:v>
                </c:pt>
                <c:pt idx="113">
                  <c:v>62.01</c:v>
                </c:pt>
                <c:pt idx="114">
                  <c:v>63.29</c:v>
                </c:pt>
                <c:pt idx="115">
                  <c:v>64.489999999999995</c:v>
                </c:pt>
                <c:pt idx="116">
                  <c:v>68.69</c:v>
                </c:pt>
                <c:pt idx="117">
                  <c:v>72.209999999999994</c:v>
                </c:pt>
                <c:pt idx="118">
                  <c:v>70.62</c:v>
                </c:pt>
                <c:pt idx="119">
                  <c:v>70.849999999999994</c:v>
                </c:pt>
                <c:pt idx="120">
                  <c:v>72.150000000000006</c:v>
                </c:pt>
                <c:pt idx="121">
                  <c:v>71.97</c:v>
                </c:pt>
                <c:pt idx="122">
                  <c:v>71.55</c:v>
                </c:pt>
                <c:pt idx="123">
                  <c:v>70.34</c:v>
                </c:pt>
                <c:pt idx="124">
                  <c:v>68.39</c:v>
                </c:pt>
                <c:pt idx="125">
                  <c:v>67.03</c:v>
                </c:pt>
                <c:pt idx="126">
                  <c:v>67.16</c:v>
                </c:pt>
                <c:pt idx="127">
                  <c:v>65.739999999999995</c:v>
                </c:pt>
                <c:pt idx="128">
                  <c:v>65.069999999999993</c:v>
                </c:pt>
                <c:pt idx="129">
                  <c:v>67.12</c:v>
                </c:pt>
                <c:pt idx="130">
                  <c:v>66.25</c:v>
                </c:pt>
                <c:pt idx="131">
                  <c:v>62.1</c:v>
                </c:pt>
                <c:pt idx="132">
                  <c:v>62.75</c:v>
                </c:pt>
                <c:pt idx="133">
                  <c:v>61.64</c:v>
                </c:pt>
                <c:pt idx="134">
                  <c:v>62.7</c:v>
                </c:pt>
                <c:pt idx="135">
                  <c:v>60.48</c:v>
                </c:pt>
                <c:pt idx="136">
                  <c:v>57.06</c:v>
                </c:pt>
                <c:pt idx="137">
                  <c:v>52.2</c:v>
                </c:pt>
                <c:pt idx="138">
                  <c:v>53.82</c:v>
                </c:pt>
                <c:pt idx="139">
                  <c:v>60.28</c:v>
                </c:pt>
                <c:pt idx="140">
                  <c:v>61.67</c:v>
                </c:pt>
                <c:pt idx="141">
                  <c:v>58.71</c:v>
                </c:pt>
                <c:pt idx="142">
                  <c:v>58.8</c:v>
                </c:pt>
                <c:pt idx="143">
                  <c:v>66.760000000000005</c:v>
                </c:pt>
                <c:pt idx="144">
                  <c:v>70.180000000000007</c:v>
                </c:pt>
                <c:pt idx="145">
                  <c:v>72.83</c:v>
                </c:pt>
                <c:pt idx="146">
                  <c:v>77.62</c:v>
                </c:pt>
                <c:pt idx="147">
                  <c:v>79.78</c:v>
                </c:pt>
                <c:pt idx="148">
                  <c:v>80.430000000000007</c:v>
                </c:pt>
                <c:pt idx="149">
                  <c:v>84.16</c:v>
                </c:pt>
                <c:pt idx="150">
                  <c:v>82.72</c:v>
                </c:pt>
                <c:pt idx="151">
                  <c:v>78.8</c:v>
                </c:pt>
                <c:pt idx="152">
                  <c:v>78.09</c:v>
                </c:pt>
                <c:pt idx="153">
                  <c:v>76.83</c:v>
                </c:pt>
                <c:pt idx="154">
                  <c:v>77.42</c:v>
                </c:pt>
                <c:pt idx="155">
                  <c:v>75.819999999999993</c:v>
                </c:pt>
                <c:pt idx="156">
                  <c:v>71.83</c:v>
                </c:pt>
                <c:pt idx="157">
                  <c:v>72.81</c:v>
                </c:pt>
                <c:pt idx="158">
                  <c:v>73.209999999999994</c:v>
                </c:pt>
                <c:pt idx="159">
                  <c:v>74.290000000000006</c:v>
                </c:pt>
                <c:pt idx="160">
                  <c:v>73.069999999999993</c:v>
                </c:pt>
                <c:pt idx="161">
                  <c:v>75.33</c:v>
                </c:pt>
                <c:pt idx="162">
                  <c:v>77.11</c:v>
                </c:pt>
                <c:pt idx="163">
                  <c:v>79.44</c:v>
                </c:pt>
                <c:pt idx="164">
                  <c:v>75.55</c:v>
                </c:pt>
                <c:pt idx="165">
                  <c:v>73.44</c:v>
                </c:pt>
                <c:pt idx="166">
                  <c:v>76.459999999999994</c:v>
                </c:pt>
                <c:pt idx="167">
                  <c:v>76.790000000000006</c:v>
                </c:pt>
                <c:pt idx="168">
                  <c:v>76.44</c:v>
                </c:pt>
                <c:pt idx="169">
                  <c:v>78.510000000000005</c:v>
                </c:pt>
                <c:pt idx="170">
                  <c:v>77.12</c:v>
                </c:pt>
                <c:pt idx="171">
                  <c:v>74.87</c:v>
                </c:pt>
                <c:pt idx="172">
                  <c:v>74.64</c:v>
                </c:pt>
                <c:pt idx="173">
                  <c:v>74.06</c:v>
                </c:pt>
                <c:pt idx="174">
                  <c:v>72.58</c:v>
                </c:pt>
                <c:pt idx="175">
                  <c:v>67.11</c:v>
                </c:pt>
                <c:pt idx="176">
                  <c:v>70.27</c:v>
                </c:pt>
                <c:pt idx="177">
                  <c:v>70.45</c:v>
                </c:pt>
                <c:pt idx="178">
                  <c:v>66.209999999999994</c:v>
                </c:pt>
                <c:pt idx="179">
                  <c:v>65.489999999999995</c:v>
                </c:pt>
                <c:pt idx="180">
                  <c:v>64.37</c:v>
                </c:pt>
                <c:pt idx="181">
                  <c:v>67.31</c:v>
                </c:pt>
                <c:pt idx="182">
                  <c:v>64.84</c:v>
                </c:pt>
                <c:pt idx="183">
                  <c:v>62.79</c:v>
                </c:pt>
                <c:pt idx="184">
                  <c:v>68.58</c:v>
                </c:pt>
                <c:pt idx="185">
                  <c:v>70.52</c:v>
                </c:pt>
                <c:pt idx="186">
                  <c:v>68.61</c:v>
                </c:pt>
              </c:numCache>
            </c:numRef>
          </c:val>
          <c:smooth val="1"/>
          <c:extLst xmlns:c16r2="http://schemas.microsoft.com/office/drawing/2015/06/chart">
            <c:ext xmlns:c16="http://schemas.microsoft.com/office/drawing/2014/chart" uri="{C3380CC4-5D6E-409C-BE32-E72D297353CC}">
              <c16:uniqueId val="{00000001-EAD1-43E7-9767-9185ACC31AF5}"/>
            </c:ext>
          </c:extLst>
        </c:ser>
        <c:dLbls>
          <c:showLegendKey val="0"/>
          <c:showVal val="0"/>
          <c:showCatName val="0"/>
          <c:showSerName val="0"/>
          <c:showPercent val="0"/>
          <c:showBubbleSize val="0"/>
        </c:dLbls>
        <c:marker val="1"/>
        <c:smooth val="0"/>
        <c:axId val="495220224"/>
        <c:axId val="495218688"/>
      </c:lineChart>
      <c:dateAx>
        <c:axId val="4952112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495212800"/>
        <c:crosses val="autoZero"/>
        <c:auto val="0"/>
        <c:lblOffset val="0"/>
        <c:baseTimeUnit val="days"/>
      </c:dateAx>
      <c:valAx>
        <c:axId val="495212800"/>
        <c:scaling>
          <c:orientation val="minMax"/>
          <c:min val="4000"/>
        </c:scaling>
        <c:delete val="0"/>
        <c:axPos val="l"/>
        <c:numFmt formatCode="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495211264"/>
        <c:crosses val="autoZero"/>
        <c:crossBetween val="between"/>
      </c:valAx>
      <c:valAx>
        <c:axId val="495218688"/>
        <c:scaling>
          <c:orientation val="minMax"/>
          <c:min val="20"/>
        </c:scaling>
        <c:delete val="0"/>
        <c:axPos val="r"/>
        <c:numFmt formatCode="#,##0_);[Red]\(#,##0\)" sourceLinked="0"/>
        <c:majorTickMark val="out"/>
        <c:minorTickMark val="none"/>
        <c:tickLblPos val="nextTo"/>
        <c:spPr>
          <a:ln w="3175">
            <a:solidFill>
              <a:sysClr val="windowText" lastClr="000000"/>
            </a:solidFill>
          </a:ln>
        </c:spPr>
        <c:crossAx val="495220224"/>
        <c:crosses val="max"/>
        <c:crossBetween val="between"/>
      </c:valAx>
      <c:dateAx>
        <c:axId val="495220224"/>
        <c:scaling>
          <c:orientation val="minMax"/>
        </c:scaling>
        <c:delete val="1"/>
        <c:axPos val="b"/>
        <c:numFmt formatCode="yyyy/mm/dd;@" sourceLinked="1"/>
        <c:majorTickMark val="out"/>
        <c:minorTickMark val="none"/>
        <c:tickLblPos val="nextTo"/>
        <c:crossAx val="495218688"/>
        <c:crosses val="autoZero"/>
        <c:auto val="0"/>
        <c:lblOffset val="100"/>
        <c:baseTimeUnit val="years"/>
      </c:dateAx>
    </c:plotArea>
    <c:legend>
      <c:legendPos val="r"/>
      <c:layout>
        <c:manualLayout>
          <c:xMode val="edge"/>
          <c:yMode val="edge"/>
          <c:x val="9.8452539198019592E-2"/>
          <c:y val="2.3337707786526686E-3"/>
          <c:w val="0.82506483230016781"/>
          <c:h val="0.1375287391401656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6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6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7EF7E6-4B5C-435C-A985-D4D9567AC0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6</Pages>
  <Words>565</Words>
  <Characters>3225</Characters>
  <Application>Microsoft Office Word</Application>
  <DocSecurity>0</DocSecurity>
  <Lines>26</Lines>
  <Paragraphs>7</Paragraphs>
  <ScaleCrop>false</ScaleCrop>
  <Company>Microsoft</Company>
  <LinksUpToDate>false</LinksUpToDate>
  <CharactersWithSpaces>3783</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3</cp:revision>
  <cp:lastPrinted>2019-06-26T06:05:00Z</cp:lastPrinted>
  <dcterms:created xsi:type="dcterms:W3CDTF">2021-08-16T02:43:00Z</dcterms:created>
  <dcterms:modified xsi:type="dcterms:W3CDTF">2021-08-16T03:02:00Z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