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w:t>
      </w:r>
      <w:proofErr w:type="gramStart"/>
      <w:r w:rsidRPr="004C3E2B">
        <w:rPr>
          <w:rFonts w:ascii="楷体" w:eastAsia="楷体" w:hAnsi="楷体" w:hint="eastAsia"/>
          <w:b/>
          <w:sz w:val="44"/>
          <w:szCs w:val="44"/>
        </w:rPr>
        <w:t>荣基金</w:t>
      </w:r>
      <w:proofErr w:type="gramEnd"/>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6834B223" w:rsidR="00832986" w:rsidRPr="00C67176" w:rsidRDefault="00832986" w:rsidP="00E543BE">
      <w:pPr>
        <w:widowControl/>
        <w:jc w:val="center"/>
        <w:rPr>
          <w:rFonts w:ascii="楷体" w:eastAsia="楷体" w:hAnsi="楷体"/>
          <w:sz w:val="28"/>
          <w:szCs w:val="28"/>
        </w:rPr>
      </w:pPr>
      <w:r w:rsidRPr="00C67176">
        <w:rPr>
          <w:rFonts w:ascii="楷体" w:eastAsia="楷体" w:hAnsi="楷体" w:hint="eastAsia"/>
          <w:sz w:val="28"/>
          <w:szCs w:val="28"/>
        </w:rPr>
        <w:t>——</w:t>
      </w:r>
      <w:r w:rsidR="00C67176" w:rsidRPr="00C67176">
        <w:rPr>
          <w:rFonts w:ascii="楷体" w:eastAsia="楷体" w:hAnsi="楷体" w:hint="eastAsia"/>
          <w:sz w:val="28"/>
          <w:szCs w:val="28"/>
        </w:rPr>
        <w:t>经济数据偏弱</w:t>
      </w:r>
      <w:r w:rsidR="00CD02EA" w:rsidRPr="00C67176">
        <w:rPr>
          <w:rFonts w:ascii="楷体" w:eastAsia="楷体" w:hAnsi="楷体" w:hint="eastAsia"/>
          <w:sz w:val="28"/>
          <w:szCs w:val="28"/>
        </w:rPr>
        <w:t>，</w:t>
      </w:r>
      <w:r w:rsidR="00CE1B84" w:rsidRPr="00C67176">
        <w:rPr>
          <w:rFonts w:ascii="楷体" w:eastAsia="楷体" w:hAnsi="楷体" w:hint="eastAsia"/>
          <w:sz w:val="28"/>
          <w:szCs w:val="28"/>
        </w:rPr>
        <w:t>债市</w:t>
      </w:r>
      <w:r w:rsidR="00C67176" w:rsidRPr="00C67176">
        <w:rPr>
          <w:rFonts w:ascii="楷体" w:eastAsia="楷体" w:hAnsi="楷体" w:hint="eastAsia"/>
          <w:sz w:val="28"/>
          <w:szCs w:val="28"/>
        </w:rPr>
        <w:t>情绪升温</w:t>
      </w:r>
      <w:r w:rsidR="00BC1DA3" w:rsidRPr="00C67176">
        <w:rPr>
          <w:rFonts w:ascii="楷体" w:eastAsia="楷体" w:hAnsi="楷体"/>
          <w:sz w:val="28"/>
          <w:szCs w:val="28"/>
        </w:rPr>
        <w:t xml:space="preserve"> </w:t>
      </w:r>
    </w:p>
    <w:p w14:paraId="782ED204" w14:textId="0FD66B07" w:rsidR="003E4A57" w:rsidRDefault="005E5CB1" w:rsidP="009A2BA0">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3E4A57">
        <w:rPr>
          <w:rFonts w:hint="eastAsia"/>
          <w:color w:val="C45911" w:themeColor="accent2" w:themeShade="BF"/>
        </w:rPr>
        <w:t>策略展望</w:t>
      </w:r>
      <w:r w:rsidR="008F4A92" w:rsidRPr="003B6164">
        <w:rPr>
          <w:rFonts w:hint="eastAsia"/>
          <w:color w:val="C45911" w:themeColor="accent2" w:themeShade="BF"/>
        </w:rPr>
        <w:t>：</w:t>
      </w:r>
      <w:r w:rsidR="004242D8" w:rsidRPr="003B6164">
        <w:rPr>
          <w:color w:val="C45911" w:themeColor="accent2" w:themeShade="BF"/>
        </w:rPr>
        <w:t xml:space="preserve"> </w:t>
      </w:r>
    </w:p>
    <w:p w14:paraId="21C19A5C" w14:textId="69ED61AF" w:rsidR="003E4A57" w:rsidRDefault="003E4A57" w:rsidP="003E4A57">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利率债：</w:t>
      </w:r>
      <w:r w:rsidRPr="003E4A57">
        <w:rPr>
          <w:rFonts w:ascii="华文楷体" w:hAnsi="华文楷体" w:hint="eastAsia"/>
          <w:b w:val="0"/>
          <w:color w:val="auto"/>
          <w:sz w:val="24"/>
          <w:szCs w:val="24"/>
        </w:rPr>
        <w:t>7月初国常会以来，货币政策宽松预期再起、疫情反复、国内经济与</w:t>
      </w:r>
      <w:proofErr w:type="gramStart"/>
      <w:r w:rsidRPr="003E4A57">
        <w:rPr>
          <w:rFonts w:ascii="华文楷体" w:hAnsi="华文楷体" w:hint="eastAsia"/>
          <w:b w:val="0"/>
          <w:color w:val="auto"/>
          <w:sz w:val="24"/>
          <w:szCs w:val="24"/>
        </w:rPr>
        <w:t>社融数据</w:t>
      </w:r>
      <w:proofErr w:type="gramEnd"/>
      <w:r w:rsidRPr="003E4A57">
        <w:rPr>
          <w:rFonts w:ascii="华文楷体" w:hAnsi="华文楷体" w:hint="eastAsia"/>
          <w:b w:val="0"/>
          <w:color w:val="auto"/>
          <w:sz w:val="24"/>
          <w:szCs w:val="24"/>
        </w:rPr>
        <w:t>的走弱对债市构成利好，债市情绪高涨，十年期国债短时间内下行超过25bp。站在当前的节点看，利率债绝对位置处历史较低分位，市场对下半年经济的下行与货币的宽松已有所定价；同时，后续利率债供给的放量、宽信用以及美联储Taper的边际变化或对市场产生一定扰动。我们维持对利率谨慎乐观的判断，谨防多头走在预期前，</w:t>
      </w:r>
      <w:r w:rsidR="00B20BFF">
        <w:rPr>
          <w:rFonts w:ascii="华文楷体" w:hAnsi="华文楷体" w:hint="eastAsia"/>
          <w:b w:val="0"/>
          <w:color w:val="auto"/>
          <w:sz w:val="24"/>
          <w:szCs w:val="24"/>
        </w:rPr>
        <w:t>采用</w:t>
      </w:r>
      <w:r w:rsidRPr="003E4A57">
        <w:rPr>
          <w:rFonts w:ascii="华文楷体" w:hAnsi="华文楷体" w:hint="eastAsia"/>
          <w:b w:val="0"/>
          <w:color w:val="auto"/>
          <w:sz w:val="24"/>
          <w:szCs w:val="24"/>
        </w:rPr>
        <w:t>哑铃型配置以灵活应对可能打破均衡的超预期因素。</w:t>
      </w:r>
    </w:p>
    <w:p w14:paraId="1DC0673D" w14:textId="467198EA" w:rsidR="003E4A57" w:rsidRDefault="003E4A57" w:rsidP="003E4A57">
      <w:pPr>
        <w:pStyle w:val="Header1"/>
        <w:spacing w:before="240"/>
        <w:ind w:firstLineChars="200" w:firstLine="480"/>
        <w:rPr>
          <w:rFonts w:ascii="华文楷体" w:hAnsi="华文楷体"/>
          <w:b w:val="0"/>
          <w:color w:val="auto"/>
          <w:sz w:val="24"/>
          <w:szCs w:val="24"/>
        </w:rPr>
      </w:pPr>
      <w:r w:rsidRPr="001045D2">
        <w:rPr>
          <w:rFonts w:ascii="华文楷体" w:hAnsi="华文楷体" w:hint="eastAsia"/>
          <w:bCs/>
          <w:sz w:val="24"/>
          <w:szCs w:val="24"/>
        </w:rPr>
        <w:t>信用债：</w:t>
      </w:r>
      <w:r w:rsidRPr="003E4A57">
        <w:rPr>
          <w:rFonts w:ascii="华文楷体" w:hAnsi="华文楷体" w:hint="eastAsia"/>
          <w:b w:val="0"/>
          <w:color w:val="auto"/>
          <w:sz w:val="24"/>
          <w:szCs w:val="24"/>
        </w:rPr>
        <w:t>信用债方面，K型分化的过程中，监管的控制力逐渐显现。一方面致力</w:t>
      </w:r>
      <w:r w:rsidR="00B20BFF">
        <w:rPr>
          <w:rFonts w:ascii="华文楷体" w:hAnsi="华文楷体" w:hint="eastAsia"/>
          <w:b w:val="0"/>
          <w:color w:val="auto"/>
          <w:sz w:val="24"/>
          <w:szCs w:val="24"/>
        </w:rPr>
        <w:t>于</w:t>
      </w:r>
      <w:r w:rsidRPr="003E4A57">
        <w:rPr>
          <w:rFonts w:ascii="华文楷体" w:hAnsi="华文楷体" w:hint="eastAsia"/>
          <w:b w:val="0"/>
          <w:color w:val="auto"/>
          <w:sz w:val="24"/>
          <w:szCs w:val="24"/>
        </w:rPr>
        <w:t>完善长效机制（《关于推动公司信用类债券市场改革开放高质量发展的指导意见》），另一方面也在避免短期金融风险系统性化，对华融、恒大等典型企业采取了不同的措施和关注，对信贷不平衡地区启动了再贷款。信用策略上，</w:t>
      </w:r>
      <w:r w:rsidR="00B20BFF">
        <w:rPr>
          <w:rFonts w:ascii="华文楷体" w:hAnsi="华文楷体" w:hint="eastAsia"/>
          <w:b w:val="0"/>
          <w:color w:val="auto"/>
          <w:sz w:val="24"/>
          <w:szCs w:val="24"/>
        </w:rPr>
        <w:t>在</w:t>
      </w:r>
      <w:r w:rsidRPr="003E4A57">
        <w:rPr>
          <w:rFonts w:ascii="华文楷体" w:hAnsi="华文楷体" w:hint="eastAsia"/>
          <w:b w:val="0"/>
          <w:color w:val="auto"/>
          <w:sz w:val="24"/>
          <w:szCs w:val="24"/>
        </w:rPr>
        <w:t>继续防范尾部风</w:t>
      </w:r>
      <w:r w:rsidR="00B20BFF">
        <w:rPr>
          <w:rFonts w:ascii="华文楷体" w:hAnsi="华文楷体" w:hint="eastAsia"/>
          <w:b w:val="0"/>
          <w:color w:val="auto"/>
          <w:sz w:val="24"/>
          <w:szCs w:val="24"/>
        </w:rPr>
        <w:t>险的基础上，关注具备持续经营能力的国企产业和强公益属性的</w:t>
      </w:r>
      <w:proofErr w:type="gramStart"/>
      <w:r w:rsidR="00B20BFF">
        <w:rPr>
          <w:rFonts w:ascii="华文楷体" w:hAnsi="华文楷体" w:hint="eastAsia"/>
          <w:b w:val="0"/>
          <w:color w:val="auto"/>
          <w:sz w:val="24"/>
          <w:szCs w:val="24"/>
        </w:rPr>
        <w:t>城投债</w:t>
      </w:r>
      <w:r w:rsidRPr="003E4A57">
        <w:rPr>
          <w:rFonts w:ascii="华文楷体" w:hAnsi="华文楷体" w:hint="eastAsia"/>
          <w:b w:val="0"/>
          <w:color w:val="auto"/>
          <w:sz w:val="24"/>
          <w:szCs w:val="24"/>
        </w:rPr>
        <w:t>机会</w:t>
      </w:r>
      <w:proofErr w:type="gramEnd"/>
      <w:r w:rsidRPr="003E4A57">
        <w:rPr>
          <w:rFonts w:ascii="华文楷体" w:hAnsi="华文楷体" w:hint="eastAsia"/>
          <w:b w:val="0"/>
          <w:color w:val="auto"/>
          <w:sz w:val="24"/>
          <w:szCs w:val="24"/>
        </w:rPr>
        <w:t>。</w:t>
      </w:r>
    </w:p>
    <w:p w14:paraId="41A034E6" w14:textId="64D2737F" w:rsidR="003E4A57" w:rsidRPr="003E4A57" w:rsidRDefault="003E4A57" w:rsidP="003E4A57">
      <w:pPr>
        <w:pStyle w:val="Header1"/>
        <w:spacing w:before="240"/>
        <w:ind w:firstLineChars="200" w:firstLine="480"/>
        <w:rPr>
          <w:rFonts w:ascii="华文楷体" w:hAnsi="华文楷体"/>
          <w:b w:val="0"/>
          <w:bCs/>
          <w:color w:val="auto"/>
          <w:sz w:val="24"/>
          <w:szCs w:val="24"/>
        </w:rPr>
      </w:pPr>
      <w:r w:rsidRPr="001045D2">
        <w:rPr>
          <w:rFonts w:ascii="华文楷体" w:hAnsi="华文楷体" w:hint="eastAsia"/>
          <w:bCs/>
          <w:sz w:val="24"/>
          <w:szCs w:val="24"/>
        </w:rPr>
        <w:t>可转债：</w:t>
      </w:r>
      <w:r w:rsidRPr="003E4A57">
        <w:rPr>
          <w:rFonts w:ascii="华文楷体" w:hAnsi="华文楷体" w:hint="eastAsia"/>
          <w:b w:val="0"/>
          <w:bCs/>
          <w:color w:val="auto"/>
          <w:sz w:val="24"/>
          <w:szCs w:val="24"/>
        </w:rPr>
        <w:t>流动性环境对权益市场仍较友好，但企业整体盈利压力逐步显现。</w:t>
      </w:r>
      <w:r w:rsidR="00B20BFF">
        <w:rPr>
          <w:rFonts w:ascii="华文楷体" w:hAnsi="华文楷体" w:hint="eastAsia"/>
          <w:b w:val="0"/>
          <w:bCs/>
          <w:color w:val="auto"/>
          <w:sz w:val="24"/>
          <w:szCs w:val="24"/>
        </w:rPr>
        <w:t>关注</w:t>
      </w:r>
      <w:r w:rsidRPr="003E4A57">
        <w:rPr>
          <w:rFonts w:ascii="华文楷体" w:hAnsi="华文楷体" w:hint="eastAsia"/>
          <w:b w:val="0"/>
          <w:bCs/>
          <w:color w:val="auto"/>
          <w:sz w:val="24"/>
          <w:szCs w:val="24"/>
        </w:rPr>
        <w:t>可转债中成长性较强、符合长期产业政策引导方向的新能源汽车、碳中和、</w:t>
      </w:r>
      <w:proofErr w:type="gramStart"/>
      <w:r w:rsidRPr="003E4A57">
        <w:rPr>
          <w:rFonts w:ascii="华文楷体" w:hAnsi="华文楷体" w:hint="eastAsia"/>
          <w:b w:val="0"/>
          <w:bCs/>
          <w:color w:val="auto"/>
          <w:sz w:val="24"/>
          <w:szCs w:val="24"/>
        </w:rPr>
        <w:t>硬科技</w:t>
      </w:r>
      <w:proofErr w:type="gramEnd"/>
      <w:r w:rsidRPr="003E4A57">
        <w:rPr>
          <w:rFonts w:ascii="华文楷体" w:hAnsi="华文楷体" w:hint="eastAsia"/>
          <w:b w:val="0"/>
          <w:bCs/>
          <w:color w:val="auto"/>
          <w:sz w:val="24"/>
          <w:szCs w:val="24"/>
        </w:rPr>
        <w:t>及专精特新。鉴于热门赛道的高估值和拥挤交易，整体</w:t>
      </w:r>
      <w:proofErr w:type="gramStart"/>
      <w:r w:rsidRPr="003E4A57">
        <w:rPr>
          <w:rFonts w:ascii="华文楷体" w:hAnsi="华文楷体" w:hint="eastAsia"/>
          <w:b w:val="0"/>
          <w:bCs/>
          <w:color w:val="auto"/>
          <w:sz w:val="24"/>
          <w:szCs w:val="24"/>
        </w:rPr>
        <w:t>仓位</w:t>
      </w:r>
      <w:proofErr w:type="gramEnd"/>
      <w:r w:rsidRPr="003E4A57">
        <w:rPr>
          <w:rFonts w:ascii="华文楷体" w:hAnsi="华文楷体" w:hint="eastAsia"/>
          <w:b w:val="0"/>
          <w:bCs/>
          <w:color w:val="auto"/>
          <w:sz w:val="24"/>
          <w:szCs w:val="24"/>
        </w:rPr>
        <w:t>仍需趋于谨慎，重点挖掘结构性机会。</w:t>
      </w:r>
      <w:r w:rsidR="00B20BFF">
        <w:rPr>
          <w:rFonts w:ascii="华文楷体" w:hAnsi="华文楷体" w:hint="eastAsia"/>
          <w:b w:val="0"/>
          <w:bCs/>
          <w:color w:val="auto"/>
          <w:sz w:val="24"/>
          <w:szCs w:val="24"/>
        </w:rPr>
        <w:t>结构上继续推荐以下三条主线：一是稳定型与低价高性价比转债，防御性</w:t>
      </w:r>
      <w:r w:rsidRPr="003E4A57">
        <w:rPr>
          <w:rFonts w:ascii="华文楷体" w:hAnsi="华文楷体" w:hint="eastAsia"/>
          <w:b w:val="0"/>
          <w:bCs/>
          <w:color w:val="auto"/>
          <w:sz w:val="24"/>
          <w:szCs w:val="24"/>
        </w:rPr>
        <w:t>较好，在市场整体估值高位下具备底仓配置价值；二是在中游制造板块中寻找细分景气度不错、行业格局好、PEG估值性价比较高的中小市值隐形冠军</w:t>
      </w:r>
      <w:r w:rsidR="00C67176" w:rsidRPr="003E4A57">
        <w:rPr>
          <w:rFonts w:ascii="华文楷体" w:hAnsi="华文楷体" w:hint="eastAsia"/>
          <w:b w:val="0"/>
          <w:bCs/>
          <w:color w:val="auto"/>
          <w:sz w:val="24"/>
          <w:szCs w:val="24"/>
        </w:rPr>
        <w:t>；三是景气度持续提升的</w:t>
      </w:r>
      <w:r w:rsidR="00C67176">
        <w:rPr>
          <w:rFonts w:ascii="华文楷体" w:hAnsi="华文楷体" w:hint="eastAsia"/>
          <w:b w:val="0"/>
          <w:bCs/>
          <w:color w:val="auto"/>
          <w:sz w:val="24"/>
          <w:szCs w:val="24"/>
        </w:rPr>
        <w:t>半导体、光伏、锂</w:t>
      </w:r>
      <w:proofErr w:type="gramStart"/>
      <w:r w:rsidR="00C67176">
        <w:rPr>
          <w:rFonts w:ascii="华文楷体" w:hAnsi="华文楷体" w:hint="eastAsia"/>
          <w:b w:val="0"/>
          <w:bCs/>
          <w:color w:val="auto"/>
          <w:sz w:val="24"/>
          <w:szCs w:val="24"/>
        </w:rPr>
        <w:t>电</w:t>
      </w:r>
      <w:r w:rsidR="00C67176" w:rsidRPr="003E4A57">
        <w:rPr>
          <w:rFonts w:ascii="华文楷体" w:hAnsi="华文楷体" w:hint="eastAsia"/>
          <w:b w:val="0"/>
          <w:bCs/>
          <w:color w:val="auto"/>
          <w:sz w:val="24"/>
          <w:szCs w:val="24"/>
        </w:rPr>
        <w:t>成长</w:t>
      </w:r>
      <w:proofErr w:type="gramEnd"/>
      <w:r w:rsidR="00C67176" w:rsidRPr="003E4A57">
        <w:rPr>
          <w:rFonts w:ascii="华文楷体" w:hAnsi="华文楷体" w:hint="eastAsia"/>
          <w:b w:val="0"/>
          <w:bCs/>
          <w:color w:val="auto"/>
          <w:sz w:val="24"/>
          <w:szCs w:val="24"/>
        </w:rPr>
        <w:t>板块转债，</w:t>
      </w:r>
      <w:r w:rsidR="00C67176">
        <w:rPr>
          <w:rFonts w:ascii="华文楷体" w:hAnsi="华文楷体" w:hint="eastAsia"/>
          <w:b w:val="0"/>
          <w:bCs/>
          <w:color w:val="auto"/>
          <w:sz w:val="24"/>
          <w:szCs w:val="24"/>
        </w:rPr>
        <w:t>短期调整叠加盈利释放后</w:t>
      </w:r>
      <w:r w:rsidR="00C67176" w:rsidRPr="003E4A57">
        <w:rPr>
          <w:rFonts w:ascii="华文楷体" w:hAnsi="华文楷体" w:hint="eastAsia"/>
          <w:b w:val="0"/>
          <w:bCs/>
          <w:color w:val="auto"/>
          <w:sz w:val="24"/>
          <w:szCs w:val="24"/>
        </w:rPr>
        <w:t>，</w:t>
      </w:r>
      <w:r w:rsidR="00C67176">
        <w:rPr>
          <w:rFonts w:ascii="华文楷体" w:hAnsi="华文楷体" w:hint="eastAsia"/>
          <w:b w:val="0"/>
          <w:bCs/>
          <w:color w:val="auto"/>
          <w:sz w:val="24"/>
          <w:szCs w:val="24"/>
        </w:rPr>
        <w:t>估值吸引力有所提升，</w:t>
      </w:r>
      <w:r w:rsidR="00C67176" w:rsidRPr="003E4A57">
        <w:rPr>
          <w:rFonts w:ascii="华文楷体" w:hAnsi="华文楷体" w:hint="eastAsia"/>
          <w:b w:val="0"/>
          <w:bCs/>
          <w:color w:val="auto"/>
          <w:sz w:val="24"/>
          <w:szCs w:val="24"/>
        </w:rPr>
        <w:t>仍</w:t>
      </w:r>
      <w:r w:rsidR="00C67176">
        <w:rPr>
          <w:rFonts w:ascii="华文楷体" w:hAnsi="华文楷体" w:hint="eastAsia"/>
          <w:b w:val="0"/>
          <w:bCs/>
          <w:color w:val="auto"/>
          <w:sz w:val="24"/>
          <w:szCs w:val="24"/>
        </w:rPr>
        <w:t>具备中长期</w:t>
      </w:r>
      <w:r w:rsidR="00C67176" w:rsidRPr="003E4A57">
        <w:rPr>
          <w:rFonts w:ascii="华文楷体" w:hAnsi="华文楷体" w:hint="eastAsia"/>
          <w:b w:val="0"/>
          <w:bCs/>
          <w:color w:val="auto"/>
          <w:sz w:val="24"/>
          <w:szCs w:val="24"/>
        </w:rPr>
        <w:t>配置</w:t>
      </w:r>
      <w:r w:rsidR="00C67176">
        <w:rPr>
          <w:rFonts w:ascii="华文楷体" w:hAnsi="华文楷体" w:hint="eastAsia"/>
          <w:b w:val="0"/>
          <w:bCs/>
          <w:color w:val="auto"/>
          <w:sz w:val="24"/>
          <w:szCs w:val="24"/>
        </w:rPr>
        <w:t>价值</w:t>
      </w:r>
      <w:r w:rsidR="00C67176" w:rsidRPr="003E4A57">
        <w:rPr>
          <w:rFonts w:ascii="华文楷体" w:hAnsi="华文楷体" w:hint="eastAsia"/>
          <w:b w:val="0"/>
          <w:bCs/>
          <w:color w:val="auto"/>
          <w:sz w:val="24"/>
          <w:szCs w:val="24"/>
        </w:rPr>
        <w:t>。</w:t>
      </w:r>
    </w:p>
    <w:p w14:paraId="7EEDEF05" w14:textId="07D2C6E3" w:rsidR="00E0626C" w:rsidRPr="003E4A57" w:rsidRDefault="003E4A57" w:rsidP="003E4A57">
      <w:pPr>
        <w:pStyle w:val="Header1"/>
        <w:spacing w:before="240"/>
        <w:ind w:firstLineChars="200" w:firstLine="480"/>
        <w:rPr>
          <w:rFonts w:ascii="华文楷体" w:hAnsi="华文楷体"/>
          <w:b w:val="0"/>
          <w:color w:val="auto"/>
          <w:sz w:val="24"/>
          <w:szCs w:val="24"/>
        </w:rPr>
      </w:pPr>
      <w:r w:rsidRPr="003E4A57">
        <w:rPr>
          <w:rFonts w:ascii="华文楷体" w:hAnsi="华文楷体"/>
          <w:b w:val="0"/>
          <w:color w:val="auto"/>
          <w:sz w:val="24"/>
          <w:szCs w:val="24"/>
        </w:rPr>
        <w:cr/>
      </w:r>
      <w:r w:rsidR="005E5CB1"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t>1</w:t>
      </w:r>
      <w:r w:rsidRPr="00500BB1">
        <w:rPr>
          <w:rFonts w:hint="eastAsia"/>
          <w:sz w:val="28"/>
          <w:szCs w:val="21"/>
          <w:lang w:eastAsia="zh-CN"/>
        </w:rPr>
        <w:t>、</w:t>
      </w:r>
      <w:r w:rsidRPr="00CD2B4D">
        <w:rPr>
          <w:rFonts w:hint="eastAsia"/>
          <w:sz w:val="28"/>
          <w:szCs w:val="21"/>
        </w:rPr>
        <w:t>利率债</w:t>
      </w:r>
    </w:p>
    <w:p w14:paraId="33F356F9" w14:textId="55BC5913" w:rsidR="00A917BC" w:rsidRPr="00500BB1" w:rsidRDefault="003E4A57" w:rsidP="007A1586">
      <w:pPr>
        <w:pStyle w:val="Header1"/>
        <w:spacing w:before="240"/>
        <w:ind w:firstLine="480"/>
        <w:rPr>
          <w:rFonts w:ascii="华文楷体" w:hAnsi="华文楷体"/>
          <w:sz w:val="24"/>
          <w:szCs w:val="24"/>
          <w:highlight w:val="yellow"/>
        </w:rPr>
      </w:pPr>
      <w:r w:rsidRPr="003E4A57">
        <w:rPr>
          <w:rFonts w:ascii="华文楷体" w:hAnsi="华文楷体" w:hint="eastAsia"/>
          <w:b w:val="0"/>
          <w:color w:val="auto"/>
          <w:sz w:val="24"/>
          <w:szCs w:val="24"/>
        </w:rPr>
        <w:t>央行6000亿MLF续作超出预期，经济数据偏弱，商品价格回落，债市做多情绪再度升温</w:t>
      </w:r>
      <w:r w:rsidR="00B20BFF">
        <w:rPr>
          <w:rFonts w:ascii="华文楷体" w:hAnsi="华文楷体" w:hint="eastAsia"/>
          <w:b w:val="0"/>
          <w:color w:val="auto"/>
          <w:sz w:val="24"/>
          <w:szCs w:val="24"/>
        </w:rPr>
        <w:t>，</w:t>
      </w:r>
      <w:r w:rsidRPr="003E4A57">
        <w:rPr>
          <w:rFonts w:ascii="华文楷体" w:hAnsi="华文楷体" w:hint="eastAsia"/>
          <w:b w:val="0"/>
          <w:color w:val="auto"/>
          <w:sz w:val="24"/>
          <w:szCs w:val="24"/>
        </w:rPr>
        <w:t>甚至再度隐含降息预期，10年国债活跃</w:t>
      </w:r>
      <w:proofErr w:type="gramStart"/>
      <w:r w:rsidRPr="003E4A57">
        <w:rPr>
          <w:rFonts w:ascii="华文楷体" w:hAnsi="华文楷体" w:hint="eastAsia"/>
          <w:b w:val="0"/>
          <w:color w:val="auto"/>
          <w:sz w:val="24"/>
          <w:szCs w:val="24"/>
        </w:rPr>
        <w:t>券</w:t>
      </w:r>
      <w:proofErr w:type="gramEnd"/>
      <w:r w:rsidRPr="003E4A57">
        <w:rPr>
          <w:rFonts w:ascii="华文楷体" w:hAnsi="华文楷体" w:hint="eastAsia"/>
          <w:b w:val="0"/>
          <w:color w:val="auto"/>
          <w:sz w:val="24"/>
          <w:szCs w:val="24"/>
        </w:rPr>
        <w:t>全周下行3bp，利率曲线明显趋平。全周1Y、5Y、10Y国债中债估值分别变动+4.7BP、-0.9BP和-2.7BP，10-1Y国债利差下行7.5bp。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lastRenderedPageBreak/>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692C32">
        <w:tblPrEx>
          <w:tblCellMar>
            <w:left w:w="108" w:type="dxa"/>
            <w:right w:w="108" w:type="dxa"/>
          </w:tblCellMar>
        </w:tblPrEx>
        <w:trPr>
          <w:trHeight w:val="2854"/>
          <w:jc w:val="center"/>
        </w:trPr>
        <w:tc>
          <w:tcPr>
            <w:tcW w:w="4939" w:type="dxa"/>
            <w:vAlign w:val="center"/>
          </w:tcPr>
          <w:p w14:paraId="678C97B0" w14:textId="2AE21684" w:rsidR="00E0626C" w:rsidRPr="00B41E24" w:rsidRDefault="00692C32" w:rsidP="002104B2">
            <w:pPr>
              <w:rPr>
                <w:noProof/>
              </w:rPr>
            </w:pPr>
            <w:r>
              <w:rPr>
                <w:noProof/>
              </w:rPr>
              <w:drawing>
                <wp:inline distT="0" distB="0" distL="0" distR="0" wp14:anchorId="3E869E98" wp14:editId="4D7F027D">
                  <wp:extent cx="2999105" cy="1770380"/>
                  <wp:effectExtent l="0" t="0" r="0" b="127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7027DDC2" w:rsidR="00E0626C" w:rsidRPr="00B41E24" w:rsidRDefault="00692C32" w:rsidP="009A2BA0">
            <w:pPr>
              <w:jc w:val="center"/>
              <w:rPr>
                <w:noProof/>
                <w:szCs w:val="18"/>
              </w:rPr>
            </w:pPr>
            <w:r>
              <w:rPr>
                <w:noProof/>
              </w:rPr>
              <w:drawing>
                <wp:inline distT="0" distB="0" distL="0" distR="0" wp14:anchorId="44733BD6" wp14:editId="13CB4B00">
                  <wp:extent cx="2998470" cy="1805940"/>
                  <wp:effectExtent l="0" t="0" r="0" b="3810"/>
                  <wp:docPr id="7" name="图表 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r>
    </w:tbl>
    <w:p w14:paraId="1E64B73D" w14:textId="1FD77AFD" w:rsidR="00E0626C" w:rsidRDefault="00E0626C" w:rsidP="009A2BA0">
      <w:pPr>
        <w:pStyle w:val="Body-text"/>
        <w:spacing w:after="0"/>
        <w:rPr>
          <w:highlight w:val="yellow"/>
          <w:lang w:eastAsia="zh-CN"/>
        </w:rPr>
      </w:pPr>
    </w:p>
    <w:p w14:paraId="2895F502" w14:textId="1BE510F1" w:rsidR="003E4A57" w:rsidRDefault="003E4A57" w:rsidP="009A2BA0">
      <w:pPr>
        <w:pStyle w:val="Body-text"/>
        <w:spacing w:after="0"/>
        <w:rPr>
          <w:highlight w:val="yellow"/>
          <w:lang w:eastAsia="zh-CN"/>
        </w:rPr>
      </w:pPr>
    </w:p>
    <w:p w14:paraId="3DC79E68" w14:textId="77777777" w:rsidR="003E4A57" w:rsidRPr="00500BB1" w:rsidRDefault="003E4A57" w:rsidP="009A2BA0">
      <w:pPr>
        <w:pStyle w:val="Body-text"/>
        <w:spacing w:after="0"/>
        <w:rPr>
          <w:highlight w:val="yellow"/>
          <w:lang w:eastAsia="zh-CN"/>
        </w:rPr>
      </w:pPr>
    </w:p>
    <w:p w14:paraId="18D67482" w14:textId="1CC7DD47" w:rsidR="00E0626C" w:rsidRPr="00CD2B4D" w:rsidRDefault="007A1586" w:rsidP="009A2BA0">
      <w:pPr>
        <w:pStyle w:val="Header2"/>
        <w:rPr>
          <w:rFonts w:eastAsia="PMingLiU"/>
          <w:sz w:val="28"/>
          <w:szCs w:val="21"/>
        </w:rPr>
      </w:pPr>
      <w:r>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65D1F2BE" w14:textId="2D8D47DD" w:rsidR="00CD1AE8" w:rsidRPr="003E4A57" w:rsidRDefault="003E4A57" w:rsidP="00692C32">
      <w:pPr>
        <w:pStyle w:val="Body-text"/>
        <w:spacing w:after="240"/>
        <w:ind w:firstLineChars="200" w:firstLine="480"/>
        <w:rPr>
          <w:rFonts w:ascii="华文楷体" w:hAnsi="华文楷体"/>
          <w:sz w:val="24"/>
          <w:szCs w:val="24"/>
          <w:highlight w:val="yellow"/>
          <w:lang w:eastAsia="zh-CN"/>
        </w:rPr>
      </w:pPr>
      <w:r w:rsidRPr="003E4A57">
        <w:rPr>
          <w:rFonts w:ascii="华文楷体" w:hAnsi="华文楷体" w:hint="eastAsia"/>
          <w:sz w:val="24"/>
          <w:szCs w:val="24"/>
          <w:lang w:eastAsia="zh-CN"/>
        </w:rPr>
        <w:t>信用债涨跌分化，不同期限中高等级信用债估值多下行2~5BP，但AA-评级信用债有所调整。</w:t>
      </w:r>
      <w:r w:rsidR="00692C32" w:rsidRPr="003E4A57">
        <w:rPr>
          <w:rFonts w:ascii="华文楷体" w:hAnsi="华文楷体" w:hint="eastAsia"/>
          <w:sz w:val="24"/>
          <w:szCs w:val="24"/>
          <w:lang w:eastAsia="zh-CN"/>
        </w:rPr>
        <w:t>1Y期限</w:t>
      </w:r>
      <w:proofErr w:type="gramStart"/>
      <w:r w:rsidR="00692C32" w:rsidRPr="003E4A57">
        <w:rPr>
          <w:rFonts w:ascii="华文楷体" w:hAnsi="华文楷体" w:hint="eastAsia"/>
          <w:sz w:val="24"/>
          <w:szCs w:val="24"/>
          <w:lang w:eastAsia="zh-CN"/>
        </w:rPr>
        <w:t>短融变化</w:t>
      </w:r>
      <w:proofErr w:type="gramEnd"/>
      <w:r w:rsidR="00692C32" w:rsidRPr="003E4A57">
        <w:rPr>
          <w:rFonts w:ascii="华文楷体" w:hAnsi="华文楷体" w:hint="eastAsia"/>
          <w:sz w:val="24"/>
          <w:szCs w:val="24"/>
          <w:lang w:eastAsia="zh-CN"/>
        </w:rPr>
        <w:t>-2~-1BP，3年AAA企业</w:t>
      </w:r>
      <w:proofErr w:type="gramStart"/>
      <w:r w:rsidR="00692C32" w:rsidRPr="003E4A57">
        <w:rPr>
          <w:rFonts w:ascii="华文楷体" w:hAnsi="华文楷体" w:hint="eastAsia"/>
          <w:sz w:val="24"/>
          <w:szCs w:val="24"/>
          <w:lang w:eastAsia="zh-CN"/>
        </w:rPr>
        <w:t>债变化</w:t>
      </w:r>
      <w:proofErr w:type="gramEnd"/>
      <w:r w:rsidR="00692C32" w:rsidRPr="003E4A57">
        <w:rPr>
          <w:rFonts w:ascii="华文楷体" w:hAnsi="华文楷体" w:hint="eastAsia"/>
          <w:sz w:val="24"/>
          <w:szCs w:val="24"/>
          <w:lang w:eastAsia="zh-CN"/>
        </w:rPr>
        <w:t>-3~4BP，5Y企业</w:t>
      </w:r>
      <w:proofErr w:type="gramStart"/>
      <w:r w:rsidR="00692C32" w:rsidRPr="003E4A57">
        <w:rPr>
          <w:rFonts w:ascii="华文楷体" w:hAnsi="华文楷体" w:hint="eastAsia"/>
          <w:sz w:val="24"/>
          <w:szCs w:val="24"/>
          <w:lang w:eastAsia="zh-CN"/>
        </w:rPr>
        <w:t>债变化</w:t>
      </w:r>
      <w:proofErr w:type="gramEnd"/>
      <w:r w:rsidR="00692C32" w:rsidRPr="003E4A57">
        <w:rPr>
          <w:rFonts w:ascii="华文楷体" w:hAnsi="华文楷体" w:hint="eastAsia"/>
          <w:sz w:val="24"/>
          <w:szCs w:val="24"/>
          <w:lang w:eastAsia="zh-CN"/>
        </w:rPr>
        <w:t xml:space="preserve">-1~4BP左右， </w:t>
      </w:r>
      <w:proofErr w:type="gramStart"/>
      <w:r w:rsidR="00692C32" w:rsidRPr="003E4A57">
        <w:rPr>
          <w:rFonts w:ascii="华文楷体" w:hAnsi="华文楷体" w:hint="eastAsia"/>
          <w:sz w:val="24"/>
          <w:szCs w:val="24"/>
          <w:lang w:eastAsia="zh-CN"/>
        </w:rPr>
        <w:t>城投债</w:t>
      </w:r>
      <w:proofErr w:type="gramEnd"/>
      <w:r w:rsidR="00692C32" w:rsidRPr="003E4A57">
        <w:rPr>
          <w:rFonts w:ascii="华文楷体" w:hAnsi="华文楷体" w:hint="eastAsia"/>
          <w:sz w:val="24"/>
          <w:szCs w:val="24"/>
          <w:lang w:eastAsia="zh-CN"/>
        </w:rPr>
        <w:t>3Y期限品种变化-3~1BP，5Y品种变化-6~-3BP，7Y品种变化1~3BP左右。具体来看收益率分位数，1Y品种收益率分位数在8%~11%以内</w:t>
      </w:r>
      <w:r w:rsidR="00B20BFF">
        <w:rPr>
          <w:rFonts w:ascii="华文楷体" w:hAnsi="华文楷体" w:hint="eastAsia"/>
          <w:sz w:val="24"/>
          <w:szCs w:val="24"/>
          <w:lang w:eastAsia="zh-CN"/>
        </w:rPr>
        <w:t>，</w:t>
      </w:r>
      <w:r w:rsidR="00692C32" w:rsidRPr="003E4A57">
        <w:rPr>
          <w:rFonts w:ascii="华文楷体" w:hAnsi="华文楷体" w:hint="eastAsia"/>
          <w:sz w:val="24"/>
          <w:szCs w:val="24"/>
          <w:lang w:eastAsia="zh-CN"/>
        </w:rPr>
        <w:t>3Y品种收益率分位数在5%~11%区间</w:t>
      </w:r>
      <w:r w:rsidR="00B20BFF">
        <w:rPr>
          <w:rFonts w:ascii="华文楷体" w:hAnsi="华文楷体" w:hint="eastAsia"/>
          <w:sz w:val="24"/>
          <w:szCs w:val="24"/>
          <w:lang w:eastAsia="zh-CN"/>
        </w:rPr>
        <w:t>，</w:t>
      </w:r>
      <w:r w:rsidR="00692C32" w:rsidRPr="003E4A57">
        <w:rPr>
          <w:rFonts w:ascii="华文楷体" w:hAnsi="华文楷体" w:hint="eastAsia"/>
          <w:sz w:val="24"/>
          <w:szCs w:val="24"/>
          <w:lang w:eastAsia="zh-CN"/>
        </w:rPr>
        <w:t>5Y及7Y等中长期</w:t>
      </w:r>
      <w:proofErr w:type="gramStart"/>
      <w:r w:rsidR="00692C32" w:rsidRPr="003E4A57">
        <w:rPr>
          <w:rFonts w:ascii="华文楷体" w:hAnsi="华文楷体" w:hint="eastAsia"/>
          <w:sz w:val="24"/>
          <w:szCs w:val="24"/>
          <w:lang w:eastAsia="zh-CN"/>
        </w:rPr>
        <w:t>限品种</w:t>
      </w:r>
      <w:proofErr w:type="gramEnd"/>
      <w:r w:rsidR="00692C32" w:rsidRPr="003E4A57">
        <w:rPr>
          <w:rFonts w:ascii="华文楷体" w:hAnsi="华文楷体" w:hint="eastAsia"/>
          <w:sz w:val="24"/>
          <w:szCs w:val="24"/>
          <w:lang w:eastAsia="zh-CN"/>
        </w:rPr>
        <w:t>处于3%~8%分位数。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692C32" w:rsidRPr="003F4793" w14:paraId="15070232" w14:textId="77777777" w:rsidTr="00585D46">
              <w:trPr>
                <w:trHeight w:val="310"/>
              </w:trPr>
              <w:tc>
                <w:tcPr>
                  <w:tcW w:w="1309" w:type="dxa"/>
                  <w:tcBorders>
                    <w:top w:val="nil"/>
                    <w:left w:val="nil"/>
                    <w:bottom w:val="single" w:sz="12" w:space="0" w:color="FFFFFF"/>
                    <w:right w:val="single" w:sz="8" w:space="0" w:color="FFFFFF"/>
                  </w:tcBorders>
                  <w:shd w:val="clear" w:color="000000" w:fill="F79646"/>
                  <w:noWrap/>
                  <w:hideMark/>
                </w:tcPr>
                <w:p w14:paraId="413AFE14" w14:textId="0774C18D"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收益率</w:t>
                  </w:r>
                  <w:r w:rsidRPr="00C76E8F">
                    <w:rPr>
                      <w:rFonts w:hint="eastAsia"/>
                    </w:rPr>
                    <w:t>(%)</w:t>
                  </w:r>
                </w:p>
              </w:tc>
              <w:tc>
                <w:tcPr>
                  <w:tcW w:w="740" w:type="dxa"/>
                  <w:tcBorders>
                    <w:top w:val="nil"/>
                    <w:left w:val="nil"/>
                    <w:bottom w:val="single" w:sz="12" w:space="0" w:color="FFFFFF"/>
                    <w:right w:val="single" w:sz="8" w:space="0" w:color="FFFFFF"/>
                  </w:tcBorders>
                  <w:shd w:val="clear" w:color="000000" w:fill="F79646"/>
                  <w:noWrap/>
                  <w:hideMark/>
                </w:tcPr>
                <w:p w14:paraId="0F3218AA" w14:textId="0959E2F6"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0FE8EB9B" w14:textId="277F8337"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75A35579" w14:textId="724BF70D"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12FDB1" w14:textId="421A3F66"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719B3728" w14:textId="691C192A"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6A9FDAC9" w14:textId="374968C3"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1994889" w14:textId="6710BEB7"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40805862" w14:textId="7DF6F28B"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CB6C50" w14:textId="40EDB0FB"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r>
            <w:tr w:rsidR="00692C32" w:rsidRPr="003F4793" w14:paraId="759A3C98" w14:textId="77777777" w:rsidTr="00585D46">
              <w:trPr>
                <w:trHeight w:val="321"/>
              </w:trPr>
              <w:tc>
                <w:tcPr>
                  <w:tcW w:w="1309" w:type="dxa"/>
                  <w:tcBorders>
                    <w:top w:val="nil"/>
                    <w:left w:val="nil"/>
                    <w:bottom w:val="single" w:sz="8" w:space="0" w:color="FFFFFF"/>
                    <w:right w:val="single" w:sz="8" w:space="0" w:color="FFFFFF"/>
                  </w:tcBorders>
                  <w:shd w:val="clear" w:color="000000" w:fill="FCD5B4"/>
                  <w:noWrap/>
                  <w:hideMark/>
                </w:tcPr>
                <w:p w14:paraId="48EBF66E" w14:textId="417C2D41" w:rsidR="00692C32" w:rsidRPr="003F4793" w:rsidRDefault="00692C32" w:rsidP="00692C32">
                  <w:pPr>
                    <w:widowControl/>
                    <w:jc w:val="center"/>
                    <w:rPr>
                      <w:rFonts w:ascii="KaiTi" w:eastAsia="KaiTi" w:hAnsi="KaiTi" w:cs="宋体"/>
                      <w:color w:val="000000"/>
                      <w:kern w:val="0"/>
                      <w:sz w:val="20"/>
                      <w:szCs w:val="20"/>
                    </w:rPr>
                  </w:pPr>
                  <w:r w:rsidRPr="00C76E8F">
                    <w:t>CP</w:t>
                  </w:r>
                </w:p>
              </w:tc>
              <w:tc>
                <w:tcPr>
                  <w:tcW w:w="740" w:type="dxa"/>
                  <w:tcBorders>
                    <w:top w:val="nil"/>
                    <w:left w:val="nil"/>
                    <w:bottom w:val="single" w:sz="8" w:space="0" w:color="FFFFFF"/>
                    <w:right w:val="single" w:sz="8" w:space="0" w:color="FFFFFF"/>
                  </w:tcBorders>
                  <w:shd w:val="clear" w:color="000000" w:fill="FCD5B4"/>
                  <w:noWrap/>
                  <w:hideMark/>
                </w:tcPr>
                <w:p w14:paraId="1F59B1A1" w14:textId="77C02072" w:rsidR="00692C32" w:rsidRPr="003F4793" w:rsidRDefault="00692C32" w:rsidP="00692C32">
                  <w:pPr>
                    <w:widowControl/>
                    <w:jc w:val="center"/>
                    <w:rPr>
                      <w:rFonts w:ascii="KaiTi" w:eastAsia="KaiTi" w:hAnsi="KaiTi" w:cs="Calibri"/>
                      <w:color w:val="000000"/>
                      <w:kern w:val="0"/>
                      <w:szCs w:val="21"/>
                    </w:rPr>
                  </w:pPr>
                  <w:r w:rsidRPr="00C76E8F">
                    <w:t xml:space="preserve">2.67 </w:t>
                  </w:r>
                </w:p>
              </w:tc>
              <w:tc>
                <w:tcPr>
                  <w:tcW w:w="920" w:type="dxa"/>
                  <w:tcBorders>
                    <w:top w:val="nil"/>
                    <w:left w:val="nil"/>
                    <w:bottom w:val="single" w:sz="8" w:space="0" w:color="FFFFFF"/>
                    <w:right w:val="single" w:sz="8" w:space="0" w:color="FFFFFF"/>
                  </w:tcBorders>
                  <w:shd w:val="clear" w:color="000000" w:fill="FCD5B4"/>
                  <w:noWrap/>
                  <w:hideMark/>
                </w:tcPr>
                <w:p w14:paraId="4F0034E5" w14:textId="2AC8B337" w:rsidR="00692C32" w:rsidRPr="003F4793" w:rsidRDefault="00692C32" w:rsidP="00692C32">
                  <w:pPr>
                    <w:widowControl/>
                    <w:jc w:val="center"/>
                    <w:rPr>
                      <w:rFonts w:ascii="KaiTi" w:eastAsia="KaiTi" w:hAnsi="KaiTi" w:cs="Calibri"/>
                      <w:color w:val="000000"/>
                      <w:kern w:val="0"/>
                      <w:szCs w:val="21"/>
                    </w:rPr>
                  </w:pPr>
                  <w:r w:rsidRPr="00C76E8F">
                    <w:t xml:space="preserve">2.77 </w:t>
                  </w:r>
                </w:p>
              </w:tc>
              <w:tc>
                <w:tcPr>
                  <w:tcW w:w="920" w:type="dxa"/>
                  <w:tcBorders>
                    <w:top w:val="nil"/>
                    <w:left w:val="nil"/>
                    <w:bottom w:val="single" w:sz="8" w:space="0" w:color="FFFFFF"/>
                    <w:right w:val="single" w:sz="8" w:space="0" w:color="FFFFFF"/>
                  </w:tcBorders>
                  <w:shd w:val="clear" w:color="000000" w:fill="FCD5B4"/>
                  <w:noWrap/>
                  <w:hideMark/>
                </w:tcPr>
                <w:p w14:paraId="55FA1300" w14:textId="60B0F5DA" w:rsidR="00692C32" w:rsidRPr="003F4793" w:rsidRDefault="00692C32" w:rsidP="00692C32">
                  <w:pPr>
                    <w:widowControl/>
                    <w:jc w:val="center"/>
                    <w:rPr>
                      <w:rFonts w:ascii="KaiTi" w:eastAsia="KaiTi" w:hAnsi="KaiTi" w:cs="Calibri"/>
                      <w:color w:val="000000"/>
                      <w:kern w:val="0"/>
                      <w:szCs w:val="21"/>
                    </w:rPr>
                  </w:pPr>
                  <w:r w:rsidRPr="00C76E8F">
                    <w:t xml:space="preserve">2.98 </w:t>
                  </w:r>
                </w:p>
              </w:tc>
              <w:tc>
                <w:tcPr>
                  <w:tcW w:w="920" w:type="dxa"/>
                  <w:tcBorders>
                    <w:top w:val="nil"/>
                    <w:left w:val="nil"/>
                    <w:bottom w:val="single" w:sz="8" w:space="0" w:color="FFFFFF"/>
                    <w:right w:val="single" w:sz="8" w:space="0" w:color="FFFFFF"/>
                  </w:tcBorders>
                  <w:shd w:val="clear" w:color="000000" w:fill="FCD5B4"/>
                  <w:noWrap/>
                  <w:hideMark/>
                </w:tcPr>
                <w:p w14:paraId="75B7D0B9" w14:textId="19D2FA2A" w:rsidR="00692C32" w:rsidRPr="003F4793" w:rsidRDefault="00692C32" w:rsidP="00692C32">
                  <w:pPr>
                    <w:widowControl/>
                    <w:jc w:val="center"/>
                    <w:rPr>
                      <w:rFonts w:ascii="KaiTi" w:eastAsia="KaiTi" w:hAnsi="KaiTi" w:cs="Calibri"/>
                      <w:color w:val="000000"/>
                      <w:kern w:val="0"/>
                      <w:szCs w:val="21"/>
                    </w:rPr>
                  </w:pPr>
                  <w:r w:rsidRPr="00C76E8F">
                    <w:t xml:space="preserve">5.30 </w:t>
                  </w:r>
                </w:p>
              </w:tc>
              <w:tc>
                <w:tcPr>
                  <w:tcW w:w="1149" w:type="dxa"/>
                  <w:tcBorders>
                    <w:top w:val="nil"/>
                    <w:left w:val="nil"/>
                    <w:bottom w:val="single" w:sz="8" w:space="0" w:color="FFFFFF"/>
                    <w:right w:val="single" w:sz="8" w:space="0" w:color="FFFFFF"/>
                  </w:tcBorders>
                  <w:shd w:val="clear" w:color="000000" w:fill="FCD5B4"/>
                  <w:noWrap/>
                  <w:hideMark/>
                </w:tcPr>
                <w:p w14:paraId="27CF2E5D" w14:textId="54687209" w:rsidR="00692C32" w:rsidRPr="003F4793" w:rsidRDefault="00692C32" w:rsidP="00692C32">
                  <w:pPr>
                    <w:widowControl/>
                    <w:jc w:val="center"/>
                    <w:rPr>
                      <w:rFonts w:ascii="KaiTi" w:eastAsia="KaiTi" w:hAnsi="KaiTi" w:cs="宋体"/>
                      <w:color w:val="000000"/>
                      <w:kern w:val="0"/>
                      <w:sz w:val="20"/>
                      <w:szCs w:val="20"/>
                    </w:rPr>
                  </w:pPr>
                  <w:r w:rsidRPr="00C76E8F">
                    <w:t>CP</w:t>
                  </w:r>
                </w:p>
              </w:tc>
              <w:tc>
                <w:tcPr>
                  <w:tcW w:w="920" w:type="dxa"/>
                  <w:tcBorders>
                    <w:top w:val="nil"/>
                    <w:left w:val="nil"/>
                    <w:bottom w:val="single" w:sz="8" w:space="0" w:color="FFFFFF"/>
                    <w:right w:val="single" w:sz="8" w:space="0" w:color="FFFFFF"/>
                  </w:tcBorders>
                  <w:shd w:val="clear" w:color="000000" w:fill="FCD5B4"/>
                  <w:noWrap/>
                  <w:hideMark/>
                </w:tcPr>
                <w:p w14:paraId="523261A7" w14:textId="79BADB11" w:rsidR="00692C32" w:rsidRPr="003F4793" w:rsidRDefault="00692C32" w:rsidP="00692C32">
                  <w:pPr>
                    <w:widowControl/>
                    <w:jc w:val="center"/>
                    <w:rPr>
                      <w:rFonts w:ascii="KaiTi" w:eastAsia="KaiTi" w:hAnsi="KaiTi" w:cs="Calibri"/>
                      <w:color w:val="000000"/>
                      <w:kern w:val="0"/>
                      <w:szCs w:val="21"/>
                    </w:rPr>
                  </w:pPr>
                  <w:r w:rsidRPr="00C76E8F">
                    <w:t xml:space="preserve">0.40 </w:t>
                  </w:r>
                </w:p>
              </w:tc>
              <w:tc>
                <w:tcPr>
                  <w:tcW w:w="920" w:type="dxa"/>
                  <w:tcBorders>
                    <w:top w:val="nil"/>
                    <w:left w:val="nil"/>
                    <w:bottom w:val="single" w:sz="8" w:space="0" w:color="FFFFFF"/>
                    <w:right w:val="single" w:sz="8" w:space="0" w:color="FFFFFF"/>
                  </w:tcBorders>
                  <w:shd w:val="clear" w:color="000000" w:fill="FCD5B4"/>
                  <w:noWrap/>
                  <w:hideMark/>
                </w:tcPr>
                <w:p w14:paraId="71D92286" w14:textId="29CEB6EB" w:rsidR="00692C32" w:rsidRPr="003F4793" w:rsidRDefault="00692C32" w:rsidP="00692C32">
                  <w:pPr>
                    <w:widowControl/>
                    <w:jc w:val="center"/>
                    <w:rPr>
                      <w:rFonts w:ascii="KaiTi" w:eastAsia="KaiTi" w:hAnsi="KaiTi" w:cs="Calibri"/>
                      <w:color w:val="000000"/>
                      <w:kern w:val="0"/>
                      <w:szCs w:val="21"/>
                    </w:rPr>
                  </w:pPr>
                  <w:r w:rsidRPr="00C76E8F">
                    <w:t xml:space="preserve">0.50 </w:t>
                  </w:r>
                </w:p>
              </w:tc>
              <w:tc>
                <w:tcPr>
                  <w:tcW w:w="920" w:type="dxa"/>
                  <w:tcBorders>
                    <w:top w:val="nil"/>
                    <w:left w:val="nil"/>
                    <w:bottom w:val="single" w:sz="8" w:space="0" w:color="FFFFFF"/>
                    <w:right w:val="single" w:sz="8" w:space="0" w:color="FFFFFF"/>
                  </w:tcBorders>
                  <w:shd w:val="clear" w:color="000000" w:fill="FCD5B4"/>
                  <w:noWrap/>
                  <w:hideMark/>
                </w:tcPr>
                <w:p w14:paraId="320E6D3C" w14:textId="573AA21C" w:rsidR="00692C32" w:rsidRPr="003F4793" w:rsidRDefault="00692C32" w:rsidP="00692C32">
                  <w:pPr>
                    <w:widowControl/>
                    <w:jc w:val="center"/>
                    <w:rPr>
                      <w:rFonts w:ascii="KaiTi" w:eastAsia="KaiTi" w:hAnsi="KaiTi" w:cs="Calibri"/>
                      <w:color w:val="000000"/>
                      <w:kern w:val="0"/>
                      <w:szCs w:val="21"/>
                    </w:rPr>
                  </w:pPr>
                  <w:r w:rsidRPr="00C76E8F">
                    <w:t xml:space="preserve">0.71 </w:t>
                  </w:r>
                </w:p>
              </w:tc>
              <w:tc>
                <w:tcPr>
                  <w:tcW w:w="920" w:type="dxa"/>
                  <w:tcBorders>
                    <w:top w:val="nil"/>
                    <w:left w:val="nil"/>
                    <w:bottom w:val="single" w:sz="8" w:space="0" w:color="FFFFFF"/>
                    <w:right w:val="single" w:sz="8" w:space="0" w:color="FFFFFF"/>
                  </w:tcBorders>
                  <w:shd w:val="clear" w:color="000000" w:fill="FCD5B4"/>
                  <w:noWrap/>
                  <w:hideMark/>
                </w:tcPr>
                <w:p w14:paraId="6E8168B1" w14:textId="1BA71E67" w:rsidR="00692C32" w:rsidRPr="003F4793" w:rsidRDefault="00692C32" w:rsidP="00692C32">
                  <w:pPr>
                    <w:widowControl/>
                    <w:jc w:val="center"/>
                    <w:rPr>
                      <w:rFonts w:ascii="KaiTi" w:eastAsia="KaiTi" w:hAnsi="KaiTi" w:cs="Calibri"/>
                      <w:color w:val="000000"/>
                      <w:kern w:val="0"/>
                      <w:szCs w:val="21"/>
                    </w:rPr>
                  </w:pPr>
                  <w:r w:rsidRPr="00C76E8F">
                    <w:t xml:space="preserve">3.03 </w:t>
                  </w:r>
                </w:p>
              </w:tc>
            </w:tr>
            <w:tr w:rsidR="00692C32" w:rsidRPr="003F4793" w14:paraId="3A66D0A6"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39137B72" w14:textId="1E95DF6A" w:rsidR="00692C32" w:rsidRPr="003F4793" w:rsidRDefault="00692C32" w:rsidP="00692C32">
                  <w:pPr>
                    <w:widowControl/>
                    <w:jc w:val="center"/>
                    <w:rPr>
                      <w:rFonts w:ascii="KaiTi" w:eastAsia="KaiTi" w:hAnsi="KaiTi" w:cs="宋体"/>
                      <w:color w:val="000000"/>
                      <w:kern w:val="0"/>
                      <w:sz w:val="20"/>
                      <w:szCs w:val="20"/>
                    </w:rPr>
                  </w:pPr>
                  <w:r w:rsidRPr="00C76E8F">
                    <w:t>MTN3Y</w:t>
                  </w:r>
                </w:p>
              </w:tc>
              <w:tc>
                <w:tcPr>
                  <w:tcW w:w="740" w:type="dxa"/>
                  <w:tcBorders>
                    <w:top w:val="nil"/>
                    <w:left w:val="nil"/>
                    <w:bottom w:val="single" w:sz="8" w:space="0" w:color="FFFFFF"/>
                    <w:right w:val="single" w:sz="8" w:space="0" w:color="FFFFFF"/>
                  </w:tcBorders>
                  <w:shd w:val="clear" w:color="000000" w:fill="FDE9D9"/>
                  <w:noWrap/>
                  <w:hideMark/>
                </w:tcPr>
                <w:p w14:paraId="3B73915E" w14:textId="3C6C53F2" w:rsidR="00692C32" w:rsidRPr="003F4793" w:rsidRDefault="00692C32" w:rsidP="00692C32">
                  <w:pPr>
                    <w:widowControl/>
                    <w:jc w:val="center"/>
                    <w:rPr>
                      <w:rFonts w:ascii="KaiTi" w:eastAsia="KaiTi" w:hAnsi="KaiTi" w:cs="Calibri"/>
                      <w:color w:val="000000"/>
                      <w:kern w:val="0"/>
                      <w:szCs w:val="21"/>
                    </w:rPr>
                  </w:pPr>
                  <w:r w:rsidRPr="00C76E8F">
                    <w:t xml:space="preserve">3.07 </w:t>
                  </w:r>
                </w:p>
              </w:tc>
              <w:tc>
                <w:tcPr>
                  <w:tcW w:w="920" w:type="dxa"/>
                  <w:tcBorders>
                    <w:top w:val="nil"/>
                    <w:left w:val="nil"/>
                    <w:bottom w:val="single" w:sz="8" w:space="0" w:color="FFFFFF"/>
                    <w:right w:val="single" w:sz="8" w:space="0" w:color="FFFFFF"/>
                  </w:tcBorders>
                  <w:shd w:val="clear" w:color="000000" w:fill="FDE9D9"/>
                  <w:noWrap/>
                  <w:hideMark/>
                </w:tcPr>
                <w:p w14:paraId="5B9C8B87" w14:textId="1B368DB9" w:rsidR="00692C32" w:rsidRPr="003F4793" w:rsidRDefault="00692C32" w:rsidP="00692C32">
                  <w:pPr>
                    <w:widowControl/>
                    <w:jc w:val="center"/>
                    <w:rPr>
                      <w:rFonts w:ascii="KaiTi" w:eastAsia="KaiTi" w:hAnsi="KaiTi" w:cs="Calibri"/>
                      <w:color w:val="000000"/>
                      <w:kern w:val="0"/>
                      <w:szCs w:val="21"/>
                    </w:rPr>
                  </w:pPr>
                  <w:r w:rsidRPr="00C76E8F">
                    <w:t xml:space="preserve">3.21 </w:t>
                  </w:r>
                </w:p>
              </w:tc>
              <w:tc>
                <w:tcPr>
                  <w:tcW w:w="920" w:type="dxa"/>
                  <w:tcBorders>
                    <w:top w:val="nil"/>
                    <w:left w:val="nil"/>
                    <w:bottom w:val="single" w:sz="8" w:space="0" w:color="FFFFFF"/>
                    <w:right w:val="single" w:sz="8" w:space="0" w:color="FFFFFF"/>
                  </w:tcBorders>
                  <w:shd w:val="clear" w:color="000000" w:fill="FDE9D9"/>
                  <w:noWrap/>
                  <w:hideMark/>
                </w:tcPr>
                <w:p w14:paraId="1FA1A5B8" w14:textId="50E5AF92" w:rsidR="00692C32" w:rsidRPr="003F4793" w:rsidRDefault="00692C32" w:rsidP="00692C32">
                  <w:pPr>
                    <w:widowControl/>
                    <w:jc w:val="center"/>
                    <w:rPr>
                      <w:rFonts w:ascii="KaiTi" w:eastAsia="KaiTi" w:hAnsi="KaiTi" w:cs="Calibri"/>
                      <w:color w:val="000000"/>
                      <w:kern w:val="0"/>
                      <w:szCs w:val="21"/>
                    </w:rPr>
                  </w:pPr>
                  <w:r w:rsidRPr="00C76E8F">
                    <w:t xml:space="preserve">3.74 </w:t>
                  </w:r>
                </w:p>
              </w:tc>
              <w:tc>
                <w:tcPr>
                  <w:tcW w:w="920" w:type="dxa"/>
                  <w:tcBorders>
                    <w:top w:val="nil"/>
                    <w:left w:val="nil"/>
                    <w:bottom w:val="single" w:sz="8" w:space="0" w:color="FFFFFF"/>
                    <w:right w:val="single" w:sz="8" w:space="0" w:color="FFFFFF"/>
                  </w:tcBorders>
                  <w:shd w:val="clear" w:color="000000" w:fill="FDE9D9"/>
                  <w:noWrap/>
                  <w:hideMark/>
                </w:tcPr>
                <w:p w14:paraId="175F37FF" w14:textId="4897E3E4" w:rsidR="00692C32" w:rsidRPr="003F4793" w:rsidRDefault="00692C32" w:rsidP="00692C32">
                  <w:pPr>
                    <w:widowControl/>
                    <w:jc w:val="center"/>
                    <w:rPr>
                      <w:rFonts w:ascii="KaiTi" w:eastAsia="KaiTi" w:hAnsi="KaiTi" w:cs="Calibri"/>
                      <w:color w:val="000000"/>
                      <w:kern w:val="0"/>
                      <w:szCs w:val="21"/>
                    </w:rPr>
                  </w:pPr>
                  <w:r w:rsidRPr="00C76E8F">
                    <w:t xml:space="preserve">6.07 </w:t>
                  </w:r>
                </w:p>
              </w:tc>
              <w:tc>
                <w:tcPr>
                  <w:tcW w:w="1149" w:type="dxa"/>
                  <w:tcBorders>
                    <w:top w:val="nil"/>
                    <w:left w:val="nil"/>
                    <w:bottom w:val="single" w:sz="8" w:space="0" w:color="FFFFFF"/>
                    <w:right w:val="single" w:sz="8" w:space="0" w:color="FFFFFF"/>
                  </w:tcBorders>
                  <w:shd w:val="clear" w:color="000000" w:fill="FDE9D9"/>
                  <w:noWrap/>
                  <w:hideMark/>
                </w:tcPr>
                <w:p w14:paraId="3AF3F54C" w14:textId="729478D8" w:rsidR="00692C32" w:rsidRPr="003F4793" w:rsidRDefault="00692C32" w:rsidP="00692C32">
                  <w:pPr>
                    <w:widowControl/>
                    <w:jc w:val="center"/>
                    <w:rPr>
                      <w:rFonts w:ascii="KaiTi" w:eastAsia="KaiTi" w:hAnsi="KaiTi" w:cs="宋体"/>
                      <w:color w:val="000000"/>
                      <w:kern w:val="0"/>
                      <w:sz w:val="20"/>
                      <w:szCs w:val="20"/>
                    </w:rPr>
                  </w:pPr>
                  <w:r w:rsidRPr="00C76E8F">
                    <w:t>MTN3Y</w:t>
                  </w:r>
                </w:p>
              </w:tc>
              <w:tc>
                <w:tcPr>
                  <w:tcW w:w="920" w:type="dxa"/>
                  <w:tcBorders>
                    <w:top w:val="nil"/>
                    <w:left w:val="nil"/>
                    <w:bottom w:val="single" w:sz="8" w:space="0" w:color="FFFFFF"/>
                    <w:right w:val="single" w:sz="8" w:space="0" w:color="FFFFFF"/>
                  </w:tcBorders>
                  <w:shd w:val="clear" w:color="000000" w:fill="FDE9D9"/>
                  <w:noWrap/>
                  <w:hideMark/>
                </w:tcPr>
                <w:p w14:paraId="3C163F46" w14:textId="5191F84D" w:rsidR="00692C32" w:rsidRPr="003F4793" w:rsidRDefault="00692C32" w:rsidP="00692C32">
                  <w:pPr>
                    <w:widowControl/>
                    <w:jc w:val="center"/>
                    <w:rPr>
                      <w:rFonts w:ascii="KaiTi" w:eastAsia="KaiTi" w:hAnsi="KaiTi" w:cs="Calibri"/>
                      <w:color w:val="000000"/>
                      <w:kern w:val="0"/>
                      <w:szCs w:val="21"/>
                    </w:rPr>
                  </w:pPr>
                  <w:r w:rsidRPr="00C76E8F">
                    <w:t xml:space="preserve">0.50 </w:t>
                  </w:r>
                </w:p>
              </w:tc>
              <w:tc>
                <w:tcPr>
                  <w:tcW w:w="920" w:type="dxa"/>
                  <w:tcBorders>
                    <w:top w:val="nil"/>
                    <w:left w:val="nil"/>
                    <w:bottom w:val="single" w:sz="8" w:space="0" w:color="FFFFFF"/>
                    <w:right w:val="single" w:sz="8" w:space="0" w:color="FFFFFF"/>
                  </w:tcBorders>
                  <w:shd w:val="clear" w:color="000000" w:fill="FDE9D9"/>
                  <w:noWrap/>
                  <w:hideMark/>
                </w:tcPr>
                <w:p w14:paraId="3C863207" w14:textId="68C9D39B" w:rsidR="00692C32" w:rsidRPr="003F4793" w:rsidRDefault="00692C32" w:rsidP="00692C32">
                  <w:pPr>
                    <w:widowControl/>
                    <w:jc w:val="center"/>
                    <w:rPr>
                      <w:rFonts w:ascii="KaiTi" w:eastAsia="KaiTi" w:hAnsi="KaiTi" w:cs="Calibri"/>
                      <w:color w:val="000000"/>
                      <w:kern w:val="0"/>
                      <w:szCs w:val="21"/>
                    </w:rPr>
                  </w:pPr>
                  <w:r w:rsidRPr="00C76E8F">
                    <w:t xml:space="preserve">0.64 </w:t>
                  </w:r>
                </w:p>
              </w:tc>
              <w:tc>
                <w:tcPr>
                  <w:tcW w:w="920" w:type="dxa"/>
                  <w:tcBorders>
                    <w:top w:val="nil"/>
                    <w:left w:val="nil"/>
                    <w:bottom w:val="single" w:sz="8" w:space="0" w:color="FFFFFF"/>
                    <w:right w:val="single" w:sz="8" w:space="0" w:color="FFFFFF"/>
                  </w:tcBorders>
                  <w:shd w:val="clear" w:color="000000" w:fill="FDE9D9"/>
                  <w:noWrap/>
                  <w:hideMark/>
                </w:tcPr>
                <w:p w14:paraId="033A08F8" w14:textId="07074B1C" w:rsidR="00692C32" w:rsidRPr="003F4793" w:rsidRDefault="00692C32" w:rsidP="00692C32">
                  <w:pPr>
                    <w:widowControl/>
                    <w:jc w:val="center"/>
                    <w:rPr>
                      <w:rFonts w:ascii="KaiTi" w:eastAsia="KaiTi" w:hAnsi="KaiTi" w:cs="Calibri"/>
                      <w:color w:val="000000"/>
                      <w:kern w:val="0"/>
                      <w:szCs w:val="21"/>
                    </w:rPr>
                  </w:pPr>
                  <w:r w:rsidRPr="00C76E8F">
                    <w:t xml:space="preserve">1.17 </w:t>
                  </w:r>
                </w:p>
              </w:tc>
              <w:tc>
                <w:tcPr>
                  <w:tcW w:w="920" w:type="dxa"/>
                  <w:tcBorders>
                    <w:top w:val="nil"/>
                    <w:left w:val="nil"/>
                    <w:bottom w:val="single" w:sz="8" w:space="0" w:color="FFFFFF"/>
                    <w:right w:val="single" w:sz="8" w:space="0" w:color="FFFFFF"/>
                  </w:tcBorders>
                  <w:shd w:val="clear" w:color="000000" w:fill="FDE9D9"/>
                  <w:noWrap/>
                  <w:hideMark/>
                </w:tcPr>
                <w:p w14:paraId="6476BE13" w14:textId="4D996EE6" w:rsidR="00692C32" w:rsidRPr="003F4793" w:rsidRDefault="00692C32" w:rsidP="00692C32">
                  <w:pPr>
                    <w:widowControl/>
                    <w:jc w:val="center"/>
                    <w:rPr>
                      <w:rFonts w:ascii="KaiTi" w:eastAsia="KaiTi" w:hAnsi="KaiTi" w:cs="Calibri"/>
                      <w:color w:val="000000"/>
                      <w:kern w:val="0"/>
                      <w:szCs w:val="21"/>
                    </w:rPr>
                  </w:pPr>
                  <w:r w:rsidRPr="00C76E8F">
                    <w:t xml:space="preserve">3.50 </w:t>
                  </w:r>
                </w:p>
              </w:tc>
            </w:tr>
            <w:tr w:rsidR="00692C32" w:rsidRPr="003F4793" w14:paraId="1D6AAB92"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155F3072" w14:textId="494D04DA" w:rsidR="00692C32" w:rsidRPr="003F4793" w:rsidRDefault="00692C32" w:rsidP="00692C32">
                  <w:pPr>
                    <w:widowControl/>
                    <w:jc w:val="center"/>
                    <w:rPr>
                      <w:rFonts w:ascii="KaiTi" w:eastAsia="KaiTi" w:hAnsi="KaiTi" w:cs="宋体"/>
                      <w:color w:val="000000"/>
                      <w:kern w:val="0"/>
                      <w:sz w:val="20"/>
                      <w:szCs w:val="20"/>
                    </w:rPr>
                  </w:pPr>
                  <w:r w:rsidRPr="00C76E8F">
                    <w:t>MTN5Y</w:t>
                  </w:r>
                </w:p>
              </w:tc>
              <w:tc>
                <w:tcPr>
                  <w:tcW w:w="740" w:type="dxa"/>
                  <w:tcBorders>
                    <w:top w:val="nil"/>
                    <w:left w:val="nil"/>
                    <w:bottom w:val="single" w:sz="8" w:space="0" w:color="FFFFFF"/>
                    <w:right w:val="single" w:sz="8" w:space="0" w:color="FFFFFF"/>
                  </w:tcBorders>
                  <w:shd w:val="clear" w:color="000000" w:fill="FCD5B4"/>
                  <w:noWrap/>
                  <w:hideMark/>
                </w:tcPr>
                <w:p w14:paraId="7FD24B78" w14:textId="2190C224" w:rsidR="00692C32" w:rsidRPr="003F4793" w:rsidRDefault="00692C32" w:rsidP="00692C32">
                  <w:pPr>
                    <w:widowControl/>
                    <w:jc w:val="center"/>
                    <w:rPr>
                      <w:rFonts w:ascii="KaiTi" w:eastAsia="KaiTi" w:hAnsi="KaiTi" w:cs="Calibri"/>
                      <w:color w:val="000000"/>
                      <w:kern w:val="0"/>
                      <w:szCs w:val="21"/>
                    </w:rPr>
                  </w:pPr>
                  <w:r w:rsidRPr="00C76E8F">
                    <w:t xml:space="preserve">3.35 </w:t>
                  </w:r>
                </w:p>
              </w:tc>
              <w:tc>
                <w:tcPr>
                  <w:tcW w:w="920" w:type="dxa"/>
                  <w:tcBorders>
                    <w:top w:val="nil"/>
                    <w:left w:val="nil"/>
                    <w:bottom w:val="single" w:sz="8" w:space="0" w:color="FFFFFF"/>
                    <w:right w:val="single" w:sz="8" w:space="0" w:color="FFFFFF"/>
                  </w:tcBorders>
                  <w:shd w:val="clear" w:color="000000" w:fill="FCD5B4"/>
                  <w:noWrap/>
                  <w:hideMark/>
                </w:tcPr>
                <w:p w14:paraId="41A6346D" w14:textId="1CD5CD55" w:rsidR="00692C32" w:rsidRPr="003F4793" w:rsidRDefault="00692C32" w:rsidP="00692C32">
                  <w:pPr>
                    <w:widowControl/>
                    <w:jc w:val="center"/>
                    <w:rPr>
                      <w:rFonts w:ascii="KaiTi" w:eastAsia="KaiTi" w:hAnsi="KaiTi" w:cs="Calibri"/>
                      <w:color w:val="000000"/>
                      <w:kern w:val="0"/>
                      <w:szCs w:val="21"/>
                    </w:rPr>
                  </w:pPr>
                  <w:r w:rsidRPr="00C76E8F">
                    <w:t xml:space="preserve">3.57 </w:t>
                  </w:r>
                </w:p>
              </w:tc>
              <w:tc>
                <w:tcPr>
                  <w:tcW w:w="920" w:type="dxa"/>
                  <w:tcBorders>
                    <w:top w:val="nil"/>
                    <w:left w:val="nil"/>
                    <w:bottom w:val="single" w:sz="8" w:space="0" w:color="FFFFFF"/>
                    <w:right w:val="single" w:sz="8" w:space="0" w:color="FFFFFF"/>
                  </w:tcBorders>
                  <w:shd w:val="clear" w:color="000000" w:fill="FCD5B4"/>
                  <w:noWrap/>
                  <w:hideMark/>
                </w:tcPr>
                <w:p w14:paraId="203620ED" w14:textId="2A4BACEE" w:rsidR="00692C32" w:rsidRPr="003F4793" w:rsidRDefault="00692C32" w:rsidP="00692C32">
                  <w:pPr>
                    <w:widowControl/>
                    <w:jc w:val="center"/>
                    <w:rPr>
                      <w:rFonts w:ascii="KaiTi" w:eastAsia="KaiTi" w:hAnsi="KaiTi" w:cs="Calibri"/>
                      <w:color w:val="000000"/>
                      <w:kern w:val="0"/>
                      <w:szCs w:val="21"/>
                    </w:rPr>
                  </w:pPr>
                  <w:r w:rsidRPr="00C76E8F">
                    <w:t xml:space="preserve">4.20 </w:t>
                  </w:r>
                </w:p>
              </w:tc>
              <w:tc>
                <w:tcPr>
                  <w:tcW w:w="920" w:type="dxa"/>
                  <w:tcBorders>
                    <w:top w:val="nil"/>
                    <w:left w:val="nil"/>
                    <w:bottom w:val="single" w:sz="8" w:space="0" w:color="FFFFFF"/>
                    <w:right w:val="single" w:sz="8" w:space="0" w:color="FFFFFF"/>
                  </w:tcBorders>
                  <w:shd w:val="clear" w:color="000000" w:fill="FCD5B4"/>
                  <w:noWrap/>
                  <w:hideMark/>
                </w:tcPr>
                <w:p w14:paraId="5799EA14" w14:textId="12FEE674" w:rsidR="00692C32" w:rsidRPr="003F4793" w:rsidRDefault="00692C32" w:rsidP="00692C32">
                  <w:pPr>
                    <w:widowControl/>
                    <w:jc w:val="center"/>
                    <w:rPr>
                      <w:rFonts w:ascii="KaiTi" w:eastAsia="KaiTi" w:hAnsi="KaiTi" w:cs="Calibri"/>
                      <w:color w:val="000000"/>
                      <w:kern w:val="0"/>
                      <w:szCs w:val="21"/>
                    </w:rPr>
                  </w:pPr>
                  <w:r w:rsidRPr="00C76E8F">
                    <w:t xml:space="preserve">6.53 </w:t>
                  </w:r>
                </w:p>
              </w:tc>
              <w:tc>
                <w:tcPr>
                  <w:tcW w:w="1149" w:type="dxa"/>
                  <w:tcBorders>
                    <w:top w:val="nil"/>
                    <w:left w:val="nil"/>
                    <w:bottom w:val="single" w:sz="8" w:space="0" w:color="FFFFFF"/>
                    <w:right w:val="single" w:sz="8" w:space="0" w:color="FFFFFF"/>
                  </w:tcBorders>
                  <w:shd w:val="clear" w:color="000000" w:fill="FCD5B4"/>
                  <w:noWrap/>
                  <w:hideMark/>
                </w:tcPr>
                <w:p w14:paraId="46B5F421" w14:textId="2342B1FE" w:rsidR="00692C32" w:rsidRPr="003F4793" w:rsidRDefault="00692C32" w:rsidP="00692C32">
                  <w:pPr>
                    <w:widowControl/>
                    <w:jc w:val="center"/>
                    <w:rPr>
                      <w:rFonts w:ascii="KaiTi" w:eastAsia="KaiTi" w:hAnsi="KaiTi" w:cs="宋体"/>
                      <w:color w:val="000000"/>
                      <w:kern w:val="0"/>
                      <w:sz w:val="20"/>
                      <w:szCs w:val="20"/>
                    </w:rPr>
                  </w:pPr>
                  <w:r w:rsidRPr="00C76E8F">
                    <w:t>MTN5Y</w:t>
                  </w:r>
                </w:p>
              </w:tc>
              <w:tc>
                <w:tcPr>
                  <w:tcW w:w="920" w:type="dxa"/>
                  <w:tcBorders>
                    <w:top w:val="nil"/>
                    <w:left w:val="nil"/>
                    <w:bottom w:val="single" w:sz="8" w:space="0" w:color="FFFFFF"/>
                    <w:right w:val="single" w:sz="8" w:space="0" w:color="FFFFFF"/>
                  </w:tcBorders>
                  <w:shd w:val="clear" w:color="000000" w:fill="FCD5B4"/>
                  <w:noWrap/>
                  <w:hideMark/>
                </w:tcPr>
                <w:p w14:paraId="4D638149" w14:textId="00B04643" w:rsidR="00692C32" w:rsidRPr="003F4793" w:rsidRDefault="00692C32" w:rsidP="00692C32">
                  <w:pPr>
                    <w:widowControl/>
                    <w:jc w:val="center"/>
                    <w:rPr>
                      <w:rFonts w:ascii="KaiTi" w:eastAsia="KaiTi" w:hAnsi="KaiTi" w:cs="Calibri"/>
                      <w:color w:val="000000"/>
                      <w:kern w:val="0"/>
                      <w:szCs w:val="21"/>
                    </w:rPr>
                  </w:pPr>
                  <w:r w:rsidRPr="00C76E8F">
                    <w:t xml:space="preserve">0.64 </w:t>
                  </w:r>
                </w:p>
              </w:tc>
              <w:tc>
                <w:tcPr>
                  <w:tcW w:w="920" w:type="dxa"/>
                  <w:tcBorders>
                    <w:top w:val="nil"/>
                    <w:left w:val="nil"/>
                    <w:bottom w:val="single" w:sz="8" w:space="0" w:color="FFFFFF"/>
                    <w:right w:val="single" w:sz="8" w:space="0" w:color="FFFFFF"/>
                  </w:tcBorders>
                  <w:shd w:val="clear" w:color="000000" w:fill="FCD5B4"/>
                  <w:noWrap/>
                  <w:hideMark/>
                </w:tcPr>
                <w:p w14:paraId="7D63AB8D" w14:textId="3AB1612D" w:rsidR="00692C32" w:rsidRPr="003F4793" w:rsidRDefault="00692C32" w:rsidP="00692C32">
                  <w:pPr>
                    <w:widowControl/>
                    <w:jc w:val="center"/>
                    <w:rPr>
                      <w:rFonts w:ascii="KaiTi" w:eastAsia="KaiTi" w:hAnsi="KaiTi" w:cs="Calibri"/>
                      <w:color w:val="000000"/>
                      <w:kern w:val="0"/>
                      <w:szCs w:val="21"/>
                    </w:rPr>
                  </w:pPr>
                  <w:r w:rsidRPr="00C76E8F">
                    <w:t xml:space="preserve">0.87 </w:t>
                  </w:r>
                </w:p>
              </w:tc>
              <w:tc>
                <w:tcPr>
                  <w:tcW w:w="920" w:type="dxa"/>
                  <w:tcBorders>
                    <w:top w:val="nil"/>
                    <w:left w:val="nil"/>
                    <w:bottom w:val="single" w:sz="8" w:space="0" w:color="FFFFFF"/>
                    <w:right w:val="single" w:sz="8" w:space="0" w:color="FFFFFF"/>
                  </w:tcBorders>
                  <w:shd w:val="clear" w:color="000000" w:fill="FCD5B4"/>
                  <w:noWrap/>
                  <w:hideMark/>
                </w:tcPr>
                <w:p w14:paraId="73B93ED9" w14:textId="4340DF18" w:rsidR="00692C32" w:rsidRPr="003F4793" w:rsidRDefault="00692C32" w:rsidP="00692C32">
                  <w:pPr>
                    <w:widowControl/>
                    <w:jc w:val="center"/>
                    <w:rPr>
                      <w:rFonts w:ascii="KaiTi" w:eastAsia="KaiTi" w:hAnsi="KaiTi" w:cs="Calibri"/>
                      <w:color w:val="000000"/>
                      <w:kern w:val="0"/>
                      <w:szCs w:val="21"/>
                    </w:rPr>
                  </w:pPr>
                  <w:r w:rsidRPr="00C76E8F">
                    <w:t xml:space="preserve">1.50 </w:t>
                  </w:r>
                </w:p>
              </w:tc>
              <w:tc>
                <w:tcPr>
                  <w:tcW w:w="920" w:type="dxa"/>
                  <w:tcBorders>
                    <w:top w:val="nil"/>
                    <w:left w:val="nil"/>
                    <w:bottom w:val="single" w:sz="8" w:space="0" w:color="FFFFFF"/>
                    <w:right w:val="single" w:sz="8" w:space="0" w:color="FFFFFF"/>
                  </w:tcBorders>
                  <w:shd w:val="clear" w:color="000000" w:fill="FCD5B4"/>
                  <w:noWrap/>
                  <w:hideMark/>
                </w:tcPr>
                <w:p w14:paraId="24AD0A23" w14:textId="72DC34AA" w:rsidR="00692C32" w:rsidRPr="003F4793" w:rsidRDefault="00692C32" w:rsidP="00692C32">
                  <w:pPr>
                    <w:widowControl/>
                    <w:jc w:val="center"/>
                    <w:rPr>
                      <w:rFonts w:ascii="KaiTi" w:eastAsia="KaiTi" w:hAnsi="KaiTi" w:cs="Calibri"/>
                      <w:color w:val="000000"/>
                      <w:kern w:val="0"/>
                      <w:szCs w:val="21"/>
                    </w:rPr>
                  </w:pPr>
                  <w:r w:rsidRPr="00C76E8F">
                    <w:t xml:space="preserve">3.83 </w:t>
                  </w:r>
                </w:p>
              </w:tc>
            </w:tr>
            <w:tr w:rsidR="00692C32" w:rsidRPr="003F4793" w14:paraId="3DB9FAE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2044C520" w14:textId="3956B01D"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094B223D" w14:textId="54111FAC"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3.03 </w:t>
                  </w:r>
                </w:p>
              </w:tc>
              <w:tc>
                <w:tcPr>
                  <w:tcW w:w="920" w:type="dxa"/>
                  <w:tcBorders>
                    <w:top w:val="nil"/>
                    <w:left w:val="nil"/>
                    <w:bottom w:val="single" w:sz="8" w:space="0" w:color="FFFFFF"/>
                    <w:right w:val="single" w:sz="8" w:space="0" w:color="FFFFFF"/>
                  </w:tcBorders>
                  <w:shd w:val="clear" w:color="000000" w:fill="FDE9D9"/>
                  <w:noWrap/>
                  <w:hideMark/>
                </w:tcPr>
                <w:p w14:paraId="226D27D3" w14:textId="7DDBEEC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3.22 </w:t>
                  </w:r>
                </w:p>
              </w:tc>
              <w:tc>
                <w:tcPr>
                  <w:tcW w:w="920" w:type="dxa"/>
                  <w:tcBorders>
                    <w:top w:val="nil"/>
                    <w:left w:val="nil"/>
                    <w:bottom w:val="single" w:sz="8" w:space="0" w:color="FFFFFF"/>
                    <w:right w:val="single" w:sz="8" w:space="0" w:color="FFFFFF"/>
                  </w:tcBorders>
                  <w:shd w:val="clear" w:color="000000" w:fill="FDE9D9"/>
                  <w:noWrap/>
                  <w:hideMark/>
                </w:tcPr>
                <w:p w14:paraId="509D7CD4" w14:textId="28ED564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3.77 </w:t>
                  </w:r>
                </w:p>
              </w:tc>
              <w:tc>
                <w:tcPr>
                  <w:tcW w:w="920" w:type="dxa"/>
                  <w:tcBorders>
                    <w:top w:val="nil"/>
                    <w:left w:val="nil"/>
                    <w:bottom w:val="single" w:sz="8" w:space="0" w:color="FFFFFF"/>
                    <w:right w:val="single" w:sz="8" w:space="0" w:color="FFFFFF"/>
                  </w:tcBorders>
                  <w:shd w:val="clear" w:color="000000" w:fill="FDE9D9"/>
                  <w:noWrap/>
                  <w:hideMark/>
                </w:tcPr>
                <w:p w14:paraId="44CAAD2D" w14:textId="6984011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6.10 </w:t>
                  </w:r>
                </w:p>
              </w:tc>
              <w:tc>
                <w:tcPr>
                  <w:tcW w:w="1149" w:type="dxa"/>
                  <w:tcBorders>
                    <w:top w:val="nil"/>
                    <w:left w:val="nil"/>
                    <w:bottom w:val="single" w:sz="8" w:space="0" w:color="FFFFFF"/>
                    <w:right w:val="single" w:sz="8" w:space="0" w:color="FFFFFF"/>
                  </w:tcBorders>
                  <w:shd w:val="clear" w:color="000000" w:fill="FDE9D9"/>
                  <w:noWrap/>
                  <w:hideMark/>
                </w:tcPr>
                <w:p w14:paraId="2E628139" w14:textId="6775F729"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14043470" w14:textId="6409F5ED"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0.46 </w:t>
                  </w:r>
                </w:p>
              </w:tc>
              <w:tc>
                <w:tcPr>
                  <w:tcW w:w="920" w:type="dxa"/>
                  <w:tcBorders>
                    <w:top w:val="nil"/>
                    <w:left w:val="nil"/>
                    <w:bottom w:val="single" w:sz="8" w:space="0" w:color="FFFFFF"/>
                    <w:right w:val="single" w:sz="8" w:space="0" w:color="FFFFFF"/>
                  </w:tcBorders>
                  <w:shd w:val="clear" w:color="000000" w:fill="FDE9D9"/>
                  <w:noWrap/>
                  <w:hideMark/>
                </w:tcPr>
                <w:p w14:paraId="005C602B" w14:textId="5BE69BF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0.65 </w:t>
                  </w:r>
                </w:p>
              </w:tc>
              <w:tc>
                <w:tcPr>
                  <w:tcW w:w="920" w:type="dxa"/>
                  <w:tcBorders>
                    <w:top w:val="nil"/>
                    <w:left w:val="nil"/>
                    <w:bottom w:val="single" w:sz="8" w:space="0" w:color="FFFFFF"/>
                    <w:right w:val="single" w:sz="8" w:space="0" w:color="FFFFFF"/>
                  </w:tcBorders>
                  <w:shd w:val="clear" w:color="000000" w:fill="FDE9D9"/>
                  <w:noWrap/>
                  <w:hideMark/>
                </w:tcPr>
                <w:p w14:paraId="72E1FCED" w14:textId="038C53E5"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1.20 </w:t>
                  </w:r>
                </w:p>
              </w:tc>
              <w:tc>
                <w:tcPr>
                  <w:tcW w:w="920" w:type="dxa"/>
                  <w:tcBorders>
                    <w:top w:val="nil"/>
                    <w:left w:val="nil"/>
                    <w:bottom w:val="single" w:sz="8" w:space="0" w:color="FFFFFF"/>
                    <w:right w:val="single" w:sz="8" w:space="0" w:color="FFFFFF"/>
                  </w:tcBorders>
                  <w:shd w:val="clear" w:color="000000" w:fill="FDE9D9"/>
                  <w:noWrap/>
                  <w:hideMark/>
                </w:tcPr>
                <w:p w14:paraId="62B10FDA" w14:textId="469A4188"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3.53 </w:t>
                  </w:r>
                </w:p>
              </w:tc>
            </w:tr>
            <w:tr w:rsidR="00692C32" w:rsidRPr="003F4793" w14:paraId="6E6959B5"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22DA7E07" w14:textId="36D0A5DE"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3321A8C9" w14:textId="00D1CD47"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3.36 </w:t>
                  </w:r>
                </w:p>
              </w:tc>
              <w:tc>
                <w:tcPr>
                  <w:tcW w:w="920" w:type="dxa"/>
                  <w:tcBorders>
                    <w:top w:val="nil"/>
                    <w:left w:val="nil"/>
                    <w:bottom w:val="single" w:sz="8" w:space="0" w:color="FFFFFF"/>
                    <w:right w:val="single" w:sz="8" w:space="0" w:color="FFFFFF"/>
                  </w:tcBorders>
                  <w:shd w:val="clear" w:color="000000" w:fill="FCD5B4"/>
                  <w:noWrap/>
                  <w:hideMark/>
                </w:tcPr>
                <w:p w14:paraId="2D55037C" w14:textId="653E3C5C"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3.59 </w:t>
                  </w:r>
                </w:p>
              </w:tc>
              <w:tc>
                <w:tcPr>
                  <w:tcW w:w="920" w:type="dxa"/>
                  <w:tcBorders>
                    <w:top w:val="nil"/>
                    <w:left w:val="nil"/>
                    <w:bottom w:val="single" w:sz="8" w:space="0" w:color="FFFFFF"/>
                    <w:right w:val="single" w:sz="8" w:space="0" w:color="FFFFFF"/>
                  </w:tcBorders>
                  <w:shd w:val="clear" w:color="000000" w:fill="FCD5B4"/>
                  <w:noWrap/>
                  <w:hideMark/>
                </w:tcPr>
                <w:p w14:paraId="31736512" w14:textId="1DD2AB75"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4.25 </w:t>
                  </w:r>
                </w:p>
              </w:tc>
              <w:tc>
                <w:tcPr>
                  <w:tcW w:w="920" w:type="dxa"/>
                  <w:tcBorders>
                    <w:top w:val="nil"/>
                    <w:left w:val="nil"/>
                    <w:bottom w:val="single" w:sz="8" w:space="0" w:color="FFFFFF"/>
                    <w:right w:val="single" w:sz="8" w:space="0" w:color="FFFFFF"/>
                  </w:tcBorders>
                  <w:shd w:val="clear" w:color="000000" w:fill="FCD5B4"/>
                  <w:noWrap/>
                  <w:hideMark/>
                </w:tcPr>
                <w:p w14:paraId="32F91FC8" w14:textId="7E376B92"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6.58 </w:t>
                  </w:r>
                </w:p>
              </w:tc>
              <w:tc>
                <w:tcPr>
                  <w:tcW w:w="1149" w:type="dxa"/>
                  <w:tcBorders>
                    <w:top w:val="nil"/>
                    <w:left w:val="nil"/>
                    <w:bottom w:val="single" w:sz="8" w:space="0" w:color="FFFFFF"/>
                    <w:right w:val="single" w:sz="8" w:space="0" w:color="FFFFFF"/>
                  </w:tcBorders>
                  <w:shd w:val="clear" w:color="000000" w:fill="FCD5B4"/>
                  <w:noWrap/>
                  <w:hideMark/>
                </w:tcPr>
                <w:p w14:paraId="1A4516FF" w14:textId="7B1D2E1D"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678FF838" w14:textId="0A5C9AB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0.65 </w:t>
                  </w:r>
                </w:p>
              </w:tc>
              <w:tc>
                <w:tcPr>
                  <w:tcW w:w="920" w:type="dxa"/>
                  <w:tcBorders>
                    <w:top w:val="nil"/>
                    <w:left w:val="nil"/>
                    <w:bottom w:val="single" w:sz="8" w:space="0" w:color="FFFFFF"/>
                    <w:right w:val="single" w:sz="8" w:space="0" w:color="FFFFFF"/>
                  </w:tcBorders>
                  <w:shd w:val="clear" w:color="000000" w:fill="FCD5B4"/>
                  <w:noWrap/>
                  <w:hideMark/>
                </w:tcPr>
                <w:p w14:paraId="19327668" w14:textId="610E3CAE"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0.88 </w:t>
                  </w:r>
                </w:p>
              </w:tc>
              <w:tc>
                <w:tcPr>
                  <w:tcW w:w="920" w:type="dxa"/>
                  <w:tcBorders>
                    <w:top w:val="nil"/>
                    <w:left w:val="nil"/>
                    <w:bottom w:val="single" w:sz="8" w:space="0" w:color="FFFFFF"/>
                    <w:right w:val="single" w:sz="8" w:space="0" w:color="FFFFFF"/>
                  </w:tcBorders>
                  <w:shd w:val="clear" w:color="000000" w:fill="FCD5B4"/>
                  <w:noWrap/>
                  <w:hideMark/>
                </w:tcPr>
                <w:p w14:paraId="3FF52323" w14:textId="3F129D42"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1.54 </w:t>
                  </w:r>
                </w:p>
              </w:tc>
              <w:tc>
                <w:tcPr>
                  <w:tcW w:w="920" w:type="dxa"/>
                  <w:tcBorders>
                    <w:top w:val="nil"/>
                    <w:left w:val="nil"/>
                    <w:bottom w:val="single" w:sz="8" w:space="0" w:color="FFFFFF"/>
                    <w:right w:val="single" w:sz="8" w:space="0" w:color="FFFFFF"/>
                  </w:tcBorders>
                  <w:shd w:val="clear" w:color="000000" w:fill="FCD5B4"/>
                  <w:noWrap/>
                  <w:hideMark/>
                </w:tcPr>
                <w:p w14:paraId="3A51C7C3" w14:textId="393C8F03"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3.87 </w:t>
                  </w:r>
                </w:p>
              </w:tc>
            </w:tr>
            <w:tr w:rsidR="00692C32" w:rsidRPr="003F4793" w14:paraId="10282E85"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5AA354BC" w14:textId="3E80A9BD"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46F6A45C" w14:textId="3B3BBA9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3.57 </w:t>
                  </w:r>
                </w:p>
              </w:tc>
              <w:tc>
                <w:tcPr>
                  <w:tcW w:w="920" w:type="dxa"/>
                  <w:tcBorders>
                    <w:top w:val="nil"/>
                    <w:left w:val="nil"/>
                    <w:bottom w:val="single" w:sz="8" w:space="0" w:color="FFFFFF"/>
                    <w:right w:val="single" w:sz="8" w:space="0" w:color="FFFFFF"/>
                  </w:tcBorders>
                  <w:shd w:val="clear" w:color="000000" w:fill="FDE9D9"/>
                  <w:noWrap/>
                  <w:hideMark/>
                </w:tcPr>
                <w:p w14:paraId="7F0C451E" w14:textId="4A477E03"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3.80 </w:t>
                  </w:r>
                </w:p>
              </w:tc>
              <w:tc>
                <w:tcPr>
                  <w:tcW w:w="920" w:type="dxa"/>
                  <w:tcBorders>
                    <w:top w:val="nil"/>
                    <w:left w:val="nil"/>
                    <w:bottom w:val="single" w:sz="8" w:space="0" w:color="FFFFFF"/>
                    <w:right w:val="single" w:sz="8" w:space="0" w:color="FFFFFF"/>
                  </w:tcBorders>
                  <w:shd w:val="clear" w:color="000000" w:fill="FDE9D9"/>
                  <w:noWrap/>
                  <w:hideMark/>
                </w:tcPr>
                <w:p w14:paraId="14C49F17" w14:textId="057D7A3D"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4.46 </w:t>
                  </w:r>
                </w:p>
              </w:tc>
              <w:tc>
                <w:tcPr>
                  <w:tcW w:w="920" w:type="dxa"/>
                  <w:tcBorders>
                    <w:top w:val="nil"/>
                    <w:left w:val="nil"/>
                    <w:bottom w:val="single" w:sz="8" w:space="0" w:color="FFFFFF"/>
                    <w:right w:val="single" w:sz="8" w:space="0" w:color="FFFFFF"/>
                  </w:tcBorders>
                  <w:shd w:val="clear" w:color="000000" w:fill="FDE9D9"/>
                  <w:noWrap/>
                  <w:hideMark/>
                </w:tcPr>
                <w:p w14:paraId="5617ED53" w14:textId="29305CE8"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6.79 </w:t>
                  </w:r>
                </w:p>
              </w:tc>
              <w:tc>
                <w:tcPr>
                  <w:tcW w:w="1149" w:type="dxa"/>
                  <w:tcBorders>
                    <w:top w:val="nil"/>
                    <w:left w:val="nil"/>
                    <w:bottom w:val="single" w:sz="8" w:space="0" w:color="FFFFFF"/>
                    <w:right w:val="single" w:sz="8" w:space="0" w:color="FFFFFF"/>
                  </w:tcBorders>
                  <w:shd w:val="clear" w:color="000000" w:fill="FDE9D9"/>
                  <w:noWrap/>
                  <w:hideMark/>
                </w:tcPr>
                <w:p w14:paraId="6EF87D4A" w14:textId="370A4EBC"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4DEB6E8D" w14:textId="12AD51DC"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0.71 </w:t>
                  </w:r>
                </w:p>
              </w:tc>
              <w:tc>
                <w:tcPr>
                  <w:tcW w:w="920" w:type="dxa"/>
                  <w:tcBorders>
                    <w:top w:val="nil"/>
                    <w:left w:val="nil"/>
                    <w:bottom w:val="single" w:sz="8" w:space="0" w:color="FFFFFF"/>
                    <w:right w:val="single" w:sz="8" w:space="0" w:color="FFFFFF"/>
                  </w:tcBorders>
                  <w:shd w:val="clear" w:color="000000" w:fill="FDE9D9"/>
                  <w:noWrap/>
                  <w:hideMark/>
                </w:tcPr>
                <w:p w14:paraId="5BFCFC00" w14:textId="4EEE5EA0"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0.94 </w:t>
                  </w:r>
                </w:p>
              </w:tc>
              <w:tc>
                <w:tcPr>
                  <w:tcW w:w="920" w:type="dxa"/>
                  <w:tcBorders>
                    <w:top w:val="nil"/>
                    <w:left w:val="nil"/>
                    <w:bottom w:val="single" w:sz="8" w:space="0" w:color="FFFFFF"/>
                    <w:right w:val="single" w:sz="8" w:space="0" w:color="FFFFFF"/>
                  </w:tcBorders>
                  <w:shd w:val="clear" w:color="000000" w:fill="FDE9D9"/>
                  <w:noWrap/>
                  <w:hideMark/>
                </w:tcPr>
                <w:p w14:paraId="135C719B" w14:textId="04B492F1"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1.60 </w:t>
                  </w:r>
                </w:p>
              </w:tc>
              <w:tc>
                <w:tcPr>
                  <w:tcW w:w="920" w:type="dxa"/>
                  <w:tcBorders>
                    <w:top w:val="nil"/>
                    <w:left w:val="nil"/>
                    <w:bottom w:val="single" w:sz="8" w:space="0" w:color="FFFFFF"/>
                    <w:right w:val="single" w:sz="8" w:space="0" w:color="FFFFFF"/>
                  </w:tcBorders>
                  <w:shd w:val="clear" w:color="000000" w:fill="FDE9D9"/>
                  <w:noWrap/>
                  <w:hideMark/>
                </w:tcPr>
                <w:p w14:paraId="5C7F0679" w14:textId="2AD3680B"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3.93 </w:t>
                  </w:r>
                </w:p>
              </w:tc>
            </w:tr>
            <w:tr w:rsidR="00692C32" w:rsidRPr="003F4793" w14:paraId="4B34B1BF"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708D60A2" w14:textId="604982D9"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7AC10927" w14:textId="130D52B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3.08 </w:t>
                  </w:r>
                </w:p>
              </w:tc>
              <w:tc>
                <w:tcPr>
                  <w:tcW w:w="920" w:type="dxa"/>
                  <w:tcBorders>
                    <w:top w:val="nil"/>
                    <w:left w:val="nil"/>
                    <w:bottom w:val="single" w:sz="8" w:space="0" w:color="FFFFFF"/>
                    <w:right w:val="single" w:sz="8" w:space="0" w:color="FFFFFF"/>
                  </w:tcBorders>
                  <w:shd w:val="clear" w:color="000000" w:fill="FCD5B4"/>
                  <w:noWrap/>
                  <w:hideMark/>
                </w:tcPr>
                <w:p w14:paraId="5A89295C" w14:textId="152B12A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3.19 </w:t>
                  </w:r>
                </w:p>
              </w:tc>
              <w:tc>
                <w:tcPr>
                  <w:tcW w:w="920" w:type="dxa"/>
                  <w:tcBorders>
                    <w:top w:val="nil"/>
                    <w:left w:val="nil"/>
                    <w:bottom w:val="single" w:sz="8" w:space="0" w:color="FFFFFF"/>
                    <w:right w:val="single" w:sz="8" w:space="0" w:color="FFFFFF"/>
                  </w:tcBorders>
                  <w:shd w:val="clear" w:color="000000" w:fill="FCD5B4"/>
                  <w:noWrap/>
                  <w:hideMark/>
                </w:tcPr>
                <w:p w14:paraId="5B048291" w14:textId="66340E04"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3.34 </w:t>
                  </w:r>
                </w:p>
              </w:tc>
              <w:tc>
                <w:tcPr>
                  <w:tcW w:w="920" w:type="dxa"/>
                  <w:tcBorders>
                    <w:top w:val="nil"/>
                    <w:left w:val="nil"/>
                    <w:bottom w:val="single" w:sz="8" w:space="0" w:color="FFFFFF"/>
                    <w:right w:val="single" w:sz="8" w:space="0" w:color="FFFFFF"/>
                  </w:tcBorders>
                  <w:shd w:val="clear" w:color="000000" w:fill="FCD5B4"/>
                  <w:noWrap/>
                  <w:hideMark/>
                </w:tcPr>
                <w:p w14:paraId="5711CDD7" w14:textId="0F964920"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5.93 </w:t>
                  </w:r>
                </w:p>
              </w:tc>
              <w:tc>
                <w:tcPr>
                  <w:tcW w:w="1149" w:type="dxa"/>
                  <w:tcBorders>
                    <w:top w:val="nil"/>
                    <w:left w:val="nil"/>
                    <w:bottom w:val="single" w:sz="8" w:space="0" w:color="FFFFFF"/>
                    <w:right w:val="single" w:sz="8" w:space="0" w:color="FFFFFF"/>
                  </w:tcBorders>
                  <w:shd w:val="clear" w:color="000000" w:fill="FCD5B4"/>
                  <w:noWrap/>
                  <w:hideMark/>
                </w:tcPr>
                <w:p w14:paraId="611290CA" w14:textId="2FF3B916"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20496D80" w14:textId="701DCA35"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0.51 </w:t>
                  </w:r>
                </w:p>
              </w:tc>
              <w:tc>
                <w:tcPr>
                  <w:tcW w:w="920" w:type="dxa"/>
                  <w:tcBorders>
                    <w:top w:val="nil"/>
                    <w:left w:val="nil"/>
                    <w:bottom w:val="single" w:sz="8" w:space="0" w:color="FFFFFF"/>
                    <w:right w:val="single" w:sz="8" w:space="0" w:color="FFFFFF"/>
                  </w:tcBorders>
                  <w:shd w:val="clear" w:color="000000" w:fill="FCD5B4"/>
                  <w:noWrap/>
                  <w:hideMark/>
                </w:tcPr>
                <w:p w14:paraId="3BFA925B" w14:textId="466A9F41"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0.62 </w:t>
                  </w:r>
                </w:p>
              </w:tc>
              <w:tc>
                <w:tcPr>
                  <w:tcW w:w="920" w:type="dxa"/>
                  <w:tcBorders>
                    <w:top w:val="nil"/>
                    <w:left w:val="nil"/>
                    <w:bottom w:val="single" w:sz="8" w:space="0" w:color="FFFFFF"/>
                    <w:right w:val="single" w:sz="8" w:space="0" w:color="FFFFFF"/>
                  </w:tcBorders>
                  <w:shd w:val="clear" w:color="000000" w:fill="FCD5B4"/>
                  <w:noWrap/>
                  <w:hideMark/>
                </w:tcPr>
                <w:p w14:paraId="16CD7225" w14:textId="6F5DFFBB"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0.77 </w:t>
                  </w:r>
                </w:p>
              </w:tc>
              <w:tc>
                <w:tcPr>
                  <w:tcW w:w="920" w:type="dxa"/>
                  <w:tcBorders>
                    <w:top w:val="nil"/>
                    <w:left w:val="nil"/>
                    <w:bottom w:val="single" w:sz="8" w:space="0" w:color="FFFFFF"/>
                    <w:right w:val="single" w:sz="8" w:space="0" w:color="FFFFFF"/>
                  </w:tcBorders>
                  <w:shd w:val="clear" w:color="000000" w:fill="FCD5B4"/>
                  <w:noWrap/>
                  <w:hideMark/>
                </w:tcPr>
                <w:p w14:paraId="62A0BB0C" w14:textId="2694596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3.36 </w:t>
                  </w:r>
                </w:p>
              </w:tc>
            </w:tr>
            <w:tr w:rsidR="00692C32" w:rsidRPr="003F4793" w14:paraId="410B429A"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3F93C5ED" w14:textId="54B72AFF"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31CF143" w14:textId="279E244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3.38 </w:t>
                  </w:r>
                </w:p>
              </w:tc>
              <w:tc>
                <w:tcPr>
                  <w:tcW w:w="920" w:type="dxa"/>
                  <w:tcBorders>
                    <w:top w:val="nil"/>
                    <w:left w:val="nil"/>
                    <w:bottom w:val="single" w:sz="8" w:space="0" w:color="FFFFFF"/>
                    <w:right w:val="single" w:sz="8" w:space="0" w:color="FFFFFF"/>
                  </w:tcBorders>
                  <w:shd w:val="clear" w:color="000000" w:fill="FDE9D9"/>
                  <w:noWrap/>
                  <w:hideMark/>
                </w:tcPr>
                <w:p w14:paraId="28605ADA" w14:textId="5311E9A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3.55 </w:t>
                  </w:r>
                </w:p>
              </w:tc>
              <w:tc>
                <w:tcPr>
                  <w:tcW w:w="920" w:type="dxa"/>
                  <w:tcBorders>
                    <w:top w:val="nil"/>
                    <w:left w:val="nil"/>
                    <w:bottom w:val="single" w:sz="8" w:space="0" w:color="FFFFFF"/>
                    <w:right w:val="single" w:sz="8" w:space="0" w:color="FFFFFF"/>
                  </w:tcBorders>
                  <w:shd w:val="clear" w:color="000000" w:fill="FDE9D9"/>
                  <w:noWrap/>
                  <w:hideMark/>
                </w:tcPr>
                <w:p w14:paraId="138A29ED" w14:textId="6C8BCFE5"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3.92 </w:t>
                  </w:r>
                </w:p>
              </w:tc>
              <w:tc>
                <w:tcPr>
                  <w:tcW w:w="920" w:type="dxa"/>
                  <w:tcBorders>
                    <w:top w:val="nil"/>
                    <w:left w:val="nil"/>
                    <w:bottom w:val="single" w:sz="8" w:space="0" w:color="FFFFFF"/>
                    <w:right w:val="single" w:sz="8" w:space="0" w:color="FFFFFF"/>
                  </w:tcBorders>
                  <w:shd w:val="clear" w:color="000000" w:fill="FDE9D9"/>
                  <w:noWrap/>
                  <w:hideMark/>
                </w:tcPr>
                <w:p w14:paraId="36771C93" w14:textId="642465D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6.82 </w:t>
                  </w:r>
                </w:p>
              </w:tc>
              <w:tc>
                <w:tcPr>
                  <w:tcW w:w="1149" w:type="dxa"/>
                  <w:tcBorders>
                    <w:top w:val="nil"/>
                    <w:left w:val="nil"/>
                    <w:bottom w:val="single" w:sz="8" w:space="0" w:color="FFFFFF"/>
                    <w:right w:val="single" w:sz="8" w:space="0" w:color="FFFFFF"/>
                  </w:tcBorders>
                  <w:shd w:val="clear" w:color="000000" w:fill="FDE9D9"/>
                  <w:noWrap/>
                  <w:hideMark/>
                </w:tcPr>
                <w:p w14:paraId="12900514" w14:textId="16996786"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1F834B" w14:textId="2B0BC402"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0.67 </w:t>
                  </w:r>
                </w:p>
              </w:tc>
              <w:tc>
                <w:tcPr>
                  <w:tcW w:w="920" w:type="dxa"/>
                  <w:tcBorders>
                    <w:top w:val="nil"/>
                    <w:left w:val="nil"/>
                    <w:bottom w:val="single" w:sz="8" w:space="0" w:color="FFFFFF"/>
                    <w:right w:val="single" w:sz="8" w:space="0" w:color="FFFFFF"/>
                  </w:tcBorders>
                  <w:shd w:val="clear" w:color="000000" w:fill="FDE9D9"/>
                  <w:noWrap/>
                  <w:hideMark/>
                </w:tcPr>
                <w:p w14:paraId="65FCA278" w14:textId="1853774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0.84 </w:t>
                  </w:r>
                </w:p>
              </w:tc>
              <w:tc>
                <w:tcPr>
                  <w:tcW w:w="920" w:type="dxa"/>
                  <w:tcBorders>
                    <w:top w:val="nil"/>
                    <w:left w:val="nil"/>
                    <w:bottom w:val="single" w:sz="8" w:space="0" w:color="FFFFFF"/>
                    <w:right w:val="single" w:sz="8" w:space="0" w:color="FFFFFF"/>
                  </w:tcBorders>
                  <w:shd w:val="clear" w:color="000000" w:fill="FDE9D9"/>
                  <w:noWrap/>
                  <w:hideMark/>
                </w:tcPr>
                <w:p w14:paraId="27F1C7B6" w14:textId="1D04B12C"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1.22 </w:t>
                  </w:r>
                </w:p>
              </w:tc>
              <w:tc>
                <w:tcPr>
                  <w:tcW w:w="920" w:type="dxa"/>
                  <w:tcBorders>
                    <w:top w:val="nil"/>
                    <w:left w:val="nil"/>
                    <w:bottom w:val="single" w:sz="8" w:space="0" w:color="FFFFFF"/>
                    <w:right w:val="single" w:sz="8" w:space="0" w:color="FFFFFF"/>
                  </w:tcBorders>
                  <w:shd w:val="clear" w:color="000000" w:fill="FDE9D9"/>
                  <w:noWrap/>
                  <w:hideMark/>
                </w:tcPr>
                <w:p w14:paraId="01875D19" w14:textId="1E032881"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4.12 </w:t>
                  </w:r>
                </w:p>
              </w:tc>
            </w:tr>
            <w:tr w:rsidR="00692C32" w:rsidRPr="003F4793" w14:paraId="3E035994" w14:textId="77777777" w:rsidTr="00585D46">
              <w:trPr>
                <w:trHeight w:val="310"/>
              </w:trPr>
              <w:tc>
                <w:tcPr>
                  <w:tcW w:w="1309" w:type="dxa"/>
                  <w:tcBorders>
                    <w:top w:val="nil"/>
                    <w:left w:val="nil"/>
                    <w:bottom w:val="nil"/>
                    <w:right w:val="nil"/>
                  </w:tcBorders>
                  <w:shd w:val="clear" w:color="000000" w:fill="FCD5B4"/>
                  <w:noWrap/>
                  <w:hideMark/>
                </w:tcPr>
                <w:p w14:paraId="6806E277" w14:textId="77C63F0B"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6B2AD056" w14:textId="05A52AB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3.63 </w:t>
                  </w:r>
                </w:p>
              </w:tc>
              <w:tc>
                <w:tcPr>
                  <w:tcW w:w="920" w:type="dxa"/>
                  <w:tcBorders>
                    <w:top w:val="nil"/>
                    <w:left w:val="nil"/>
                    <w:bottom w:val="single" w:sz="8" w:space="0" w:color="FFFFFF"/>
                    <w:right w:val="single" w:sz="8" w:space="0" w:color="FFFFFF"/>
                  </w:tcBorders>
                  <w:shd w:val="clear" w:color="000000" w:fill="FCD5B4"/>
                  <w:noWrap/>
                  <w:hideMark/>
                </w:tcPr>
                <w:p w14:paraId="64875CAA" w14:textId="2FF84571"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3.85 </w:t>
                  </w:r>
                </w:p>
              </w:tc>
              <w:tc>
                <w:tcPr>
                  <w:tcW w:w="920" w:type="dxa"/>
                  <w:tcBorders>
                    <w:top w:val="nil"/>
                    <w:left w:val="nil"/>
                    <w:bottom w:val="single" w:sz="8" w:space="0" w:color="FFFFFF"/>
                    <w:right w:val="single" w:sz="8" w:space="0" w:color="FFFFFF"/>
                  </w:tcBorders>
                  <w:shd w:val="clear" w:color="000000" w:fill="FCD5B4"/>
                  <w:noWrap/>
                  <w:hideMark/>
                </w:tcPr>
                <w:p w14:paraId="37FAD57A" w14:textId="4FF1B89D"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4.35 </w:t>
                  </w:r>
                </w:p>
              </w:tc>
              <w:tc>
                <w:tcPr>
                  <w:tcW w:w="920" w:type="dxa"/>
                  <w:tcBorders>
                    <w:top w:val="nil"/>
                    <w:left w:val="nil"/>
                    <w:bottom w:val="single" w:sz="8" w:space="0" w:color="FFFFFF"/>
                    <w:right w:val="single" w:sz="8" w:space="0" w:color="FFFFFF"/>
                  </w:tcBorders>
                  <w:shd w:val="clear" w:color="000000" w:fill="FCD5B4"/>
                  <w:noWrap/>
                  <w:hideMark/>
                </w:tcPr>
                <w:p w14:paraId="2CDC7C7E" w14:textId="5EAE61E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7.27 </w:t>
                  </w:r>
                </w:p>
              </w:tc>
              <w:tc>
                <w:tcPr>
                  <w:tcW w:w="1149" w:type="dxa"/>
                  <w:tcBorders>
                    <w:top w:val="nil"/>
                    <w:left w:val="nil"/>
                    <w:bottom w:val="nil"/>
                    <w:right w:val="nil"/>
                  </w:tcBorders>
                  <w:shd w:val="clear" w:color="000000" w:fill="FCD5B4"/>
                  <w:noWrap/>
                  <w:hideMark/>
                </w:tcPr>
                <w:p w14:paraId="21A0B914" w14:textId="78C4BD3A"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2DE8FCCC" w14:textId="3C5D427D"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0.77 </w:t>
                  </w:r>
                </w:p>
              </w:tc>
              <w:tc>
                <w:tcPr>
                  <w:tcW w:w="920" w:type="dxa"/>
                  <w:tcBorders>
                    <w:top w:val="nil"/>
                    <w:left w:val="nil"/>
                    <w:bottom w:val="single" w:sz="8" w:space="0" w:color="FFFFFF"/>
                    <w:right w:val="single" w:sz="8" w:space="0" w:color="FFFFFF"/>
                  </w:tcBorders>
                  <w:shd w:val="clear" w:color="000000" w:fill="FCD5B4"/>
                  <w:noWrap/>
                  <w:hideMark/>
                </w:tcPr>
                <w:p w14:paraId="5E36F15A" w14:textId="2263FEA4"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0.99 </w:t>
                  </w:r>
                </w:p>
              </w:tc>
              <w:tc>
                <w:tcPr>
                  <w:tcW w:w="920" w:type="dxa"/>
                  <w:tcBorders>
                    <w:top w:val="nil"/>
                    <w:left w:val="nil"/>
                    <w:bottom w:val="single" w:sz="8" w:space="0" w:color="FFFFFF"/>
                    <w:right w:val="single" w:sz="8" w:space="0" w:color="FFFFFF"/>
                  </w:tcBorders>
                  <w:shd w:val="clear" w:color="000000" w:fill="FCD5B4"/>
                  <w:noWrap/>
                  <w:hideMark/>
                </w:tcPr>
                <w:p w14:paraId="7CD60254" w14:textId="56937397"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1.49 </w:t>
                  </w:r>
                </w:p>
              </w:tc>
              <w:tc>
                <w:tcPr>
                  <w:tcW w:w="920" w:type="dxa"/>
                  <w:tcBorders>
                    <w:top w:val="nil"/>
                    <w:left w:val="nil"/>
                    <w:bottom w:val="single" w:sz="8" w:space="0" w:color="FFFFFF"/>
                    <w:right w:val="single" w:sz="8" w:space="0" w:color="FFFFFF"/>
                  </w:tcBorders>
                  <w:shd w:val="clear" w:color="000000" w:fill="FCD5B4"/>
                  <w:noWrap/>
                  <w:hideMark/>
                </w:tcPr>
                <w:p w14:paraId="39243B4A" w14:textId="610EF617"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4.41 </w:t>
                  </w:r>
                </w:p>
              </w:tc>
            </w:tr>
            <w:tr w:rsidR="00692C32" w:rsidRPr="003F4793" w14:paraId="7406B1F6" w14:textId="77777777" w:rsidTr="00585D46">
              <w:trPr>
                <w:trHeight w:val="160"/>
              </w:trPr>
              <w:tc>
                <w:tcPr>
                  <w:tcW w:w="1309" w:type="dxa"/>
                  <w:tcBorders>
                    <w:top w:val="nil"/>
                    <w:left w:val="nil"/>
                    <w:bottom w:val="nil"/>
                    <w:right w:val="nil"/>
                  </w:tcBorders>
                  <w:shd w:val="clear" w:color="auto" w:fill="auto"/>
                  <w:noWrap/>
                  <w:hideMark/>
                </w:tcPr>
                <w:p w14:paraId="2190587C" w14:textId="77777777" w:rsidR="00692C32" w:rsidRPr="003F4793" w:rsidRDefault="00692C32" w:rsidP="00692C32">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399F5F18"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20FF196"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8B3E77A"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8C400F3" w14:textId="77777777" w:rsidR="00692C32" w:rsidRPr="003F4793" w:rsidRDefault="00692C32" w:rsidP="00692C32">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326524A6"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6D3BBAE2"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77D745A"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E56B1A"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64A8616" w14:textId="77777777" w:rsidR="00692C32" w:rsidRPr="003F4793" w:rsidRDefault="00692C32" w:rsidP="00692C32">
                  <w:pPr>
                    <w:widowControl/>
                    <w:jc w:val="center"/>
                    <w:rPr>
                      <w:rFonts w:ascii="KaiTi" w:eastAsia="KaiTi" w:hAnsi="KaiTi"/>
                      <w:kern w:val="0"/>
                      <w:sz w:val="20"/>
                      <w:szCs w:val="20"/>
                    </w:rPr>
                  </w:pPr>
                </w:p>
              </w:tc>
            </w:tr>
            <w:tr w:rsidR="00692C32" w:rsidRPr="003F4793" w14:paraId="67AF4F87" w14:textId="77777777" w:rsidTr="00585D46">
              <w:trPr>
                <w:trHeight w:val="74"/>
              </w:trPr>
              <w:tc>
                <w:tcPr>
                  <w:tcW w:w="1309" w:type="dxa"/>
                  <w:tcBorders>
                    <w:top w:val="nil"/>
                    <w:left w:val="nil"/>
                    <w:bottom w:val="single" w:sz="12" w:space="0" w:color="FFFFFF"/>
                    <w:right w:val="single" w:sz="8" w:space="0" w:color="FFFFFF"/>
                  </w:tcBorders>
                  <w:shd w:val="clear" w:color="000000" w:fill="F79646"/>
                  <w:noWrap/>
                  <w:hideMark/>
                </w:tcPr>
                <w:p w14:paraId="3FE61E82" w14:textId="25F58E37" w:rsidR="00692C32" w:rsidRPr="003F4793" w:rsidRDefault="00692C32" w:rsidP="00692C32">
                  <w:pPr>
                    <w:widowControl/>
                    <w:jc w:val="center"/>
                    <w:rPr>
                      <w:rFonts w:ascii="KaiTi" w:eastAsia="KaiTi" w:hAnsi="KaiTi" w:cs="宋体"/>
                      <w:b/>
                      <w:bCs/>
                      <w:color w:val="FFFFFF"/>
                      <w:kern w:val="0"/>
                      <w:sz w:val="20"/>
                      <w:szCs w:val="20"/>
                    </w:rPr>
                  </w:pPr>
                  <w:proofErr w:type="gramStart"/>
                  <w:r w:rsidRPr="00C76E8F">
                    <w:rPr>
                      <w:rFonts w:hint="eastAsia"/>
                    </w:rPr>
                    <w:t>周变化</w:t>
                  </w:r>
                  <w:proofErr w:type="gramEnd"/>
                  <w:r w:rsidRPr="00C76E8F">
                    <w:rPr>
                      <w:rFonts w:hint="eastAsia"/>
                    </w:rPr>
                    <w:t>(BP)</w:t>
                  </w:r>
                </w:p>
              </w:tc>
              <w:tc>
                <w:tcPr>
                  <w:tcW w:w="740" w:type="dxa"/>
                  <w:tcBorders>
                    <w:top w:val="nil"/>
                    <w:left w:val="nil"/>
                    <w:bottom w:val="single" w:sz="12" w:space="0" w:color="FFFFFF"/>
                    <w:right w:val="single" w:sz="8" w:space="0" w:color="FFFFFF"/>
                  </w:tcBorders>
                  <w:shd w:val="clear" w:color="000000" w:fill="F79646"/>
                  <w:noWrap/>
                  <w:hideMark/>
                </w:tcPr>
                <w:p w14:paraId="7A2D29AE" w14:textId="1CC56442"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31A4EADA" w14:textId="3AE88EAD"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ED283BD" w14:textId="1A797B5B"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D14BBA3" w14:textId="1EA67C67"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6F6F04C0" w14:textId="2400E776"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11161DDB" w14:textId="456ABB88"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88427D0" w14:textId="34486145"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0F81475" w14:textId="3E3BB9D1"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8358154" w14:textId="0422501A"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r>
            <w:tr w:rsidR="00692C32" w:rsidRPr="003F4793" w14:paraId="691FA2FB" w14:textId="77777777" w:rsidTr="00585D46">
              <w:trPr>
                <w:trHeight w:val="321"/>
              </w:trPr>
              <w:tc>
                <w:tcPr>
                  <w:tcW w:w="1309" w:type="dxa"/>
                  <w:tcBorders>
                    <w:top w:val="nil"/>
                    <w:left w:val="nil"/>
                    <w:bottom w:val="single" w:sz="8" w:space="0" w:color="FFFFFF"/>
                    <w:right w:val="single" w:sz="8" w:space="0" w:color="FFFFFF"/>
                  </w:tcBorders>
                  <w:shd w:val="clear" w:color="000000" w:fill="FCD5B4"/>
                  <w:noWrap/>
                  <w:hideMark/>
                </w:tcPr>
                <w:p w14:paraId="4B8AC9FB" w14:textId="2CC220A5" w:rsidR="00692C32" w:rsidRPr="003F4793" w:rsidRDefault="00692C32" w:rsidP="00692C32">
                  <w:pPr>
                    <w:widowControl/>
                    <w:jc w:val="center"/>
                    <w:rPr>
                      <w:rFonts w:ascii="KaiTi" w:eastAsia="KaiTi" w:hAnsi="KaiTi" w:cs="宋体"/>
                      <w:color w:val="000000"/>
                      <w:kern w:val="0"/>
                      <w:sz w:val="20"/>
                      <w:szCs w:val="20"/>
                    </w:rPr>
                  </w:pPr>
                  <w:r w:rsidRPr="00C76E8F">
                    <w:t>CP</w:t>
                  </w:r>
                </w:p>
              </w:tc>
              <w:tc>
                <w:tcPr>
                  <w:tcW w:w="740" w:type="dxa"/>
                  <w:tcBorders>
                    <w:top w:val="nil"/>
                    <w:left w:val="nil"/>
                    <w:bottom w:val="single" w:sz="8" w:space="0" w:color="FFFFFF"/>
                    <w:right w:val="single" w:sz="8" w:space="0" w:color="FFFFFF"/>
                  </w:tcBorders>
                  <w:shd w:val="clear" w:color="000000" w:fill="FCD5B4"/>
                  <w:noWrap/>
                  <w:hideMark/>
                </w:tcPr>
                <w:p w14:paraId="26737727" w14:textId="62270BE5" w:rsidR="00692C32" w:rsidRPr="003F4793" w:rsidRDefault="00692C32" w:rsidP="00692C32">
                  <w:pPr>
                    <w:widowControl/>
                    <w:jc w:val="center"/>
                    <w:rPr>
                      <w:rFonts w:ascii="KaiTi" w:eastAsia="KaiTi" w:hAnsi="KaiTi" w:cs="Calibri"/>
                      <w:color w:val="000000"/>
                      <w:kern w:val="0"/>
                      <w:szCs w:val="21"/>
                    </w:rPr>
                  </w:pPr>
                  <w:r w:rsidRPr="00C76E8F">
                    <w:t xml:space="preserve">-1.3 </w:t>
                  </w:r>
                </w:p>
              </w:tc>
              <w:tc>
                <w:tcPr>
                  <w:tcW w:w="920" w:type="dxa"/>
                  <w:tcBorders>
                    <w:top w:val="nil"/>
                    <w:left w:val="nil"/>
                    <w:bottom w:val="single" w:sz="8" w:space="0" w:color="FFFFFF"/>
                    <w:right w:val="single" w:sz="8" w:space="0" w:color="FFFFFF"/>
                  </w:tcBorders>
                  <w:shd w:val="clear" w:color="000000" w:fill="FCD5B4"/>
                  <w:noWrap/>
                  <w:hideMark/>
                </w:tcPr>
                <w:p w14:paraId="36AEEC42" w14:textId="1716A707" w:rsidR="00692C32" w:rsidRPr="003F4793" w:rsidRDefault="00692C32" w:rsidP="00692C32">
                  <w:pPr>
                    <w:widowControl/>
                    <w:jc w:val="center"/>
                    <w:rPr>
                      <w:rFonts w:ascii="KaiTi" w:eastAsia="KaiTi" w:hAnsi="KaiTi" w:cs="Calibri"/>
                      <w:color w:val="000000"/>
                      <w:kern w:val="0"/>
                      <w:szCs w:val="21"/>
                    </w:rPr>
                  </w:pPr>
                  <w:r w:rsidRPr="00C76E8F">
                    <w:t xml:space="preserve">-2.3 </w:t>
                  </w:r>
                </w:p>
              </w:tc>
              <w:tc>
                <w:tcPr>
                  <w:tcW w:w="920" w:type="dxa"/>
                  <w:tcBorders>
                    <w:top w:val="nil"/>
                    <w:left w:val="nil"/>
                    <w:bottom w:val="single" w:sz="8" w:space="0" w:color="FFFFFF"/>
                    <w:right w:val="single" w:sz="8" w:space="0" w:color="FFFFFF"/>
                  </w:tcBorders>
                  <w:shd w:val="clear" w:color="000000" w:fill="FCD5B4"/>
                  <w:noWrap/>
                  <w:hideMark/>
                </w:tcPr>
                <w:p w14:paraId="6FAA78B0" w14:textId="6B58BF3B" w:rsidR="00692C32" w:rsidRPr="003F4793" w:rsidRDefault="00692C32" w:rsidP="00692C32">
                  <w:pPr>
                    <w:widowControl/>
                    <w:jc w:val="center"/>
                    <w:rPr>
                      <w:rFonts w:ascii="KaiTi" w:eastAsia="KaiTi" w:hAnsi="KaiTi" w:cs="Calibri"/>
                      <w:color w:val="000000"/>
                      <w:kern w:val="0"/>
                      <w:szCs w:val="21"/>
                    </w:rPr>
                  </w:pPr>
                  <w:r w:rsidRPr="00C76E8F">
                    <w:t xml:space="preserve">-2.3 </w:t>
                  </w:r>
                </w:p>
              </w:tc>
              <w:tc>
                <w:tcPr>
                  <w:tcW w:w="920" w:type="dxa"/>
                  <w:tcBorders>
                    <w:top w:val="nil"/>
                    <w:left w:val="nil"/>
                    <w:bottom w:val="single" w:sz="8" w:space="0" w:color="FFFFFF"/>
                    <w:right w:val="single" w:sz="8" w:space="0" w:color="FFFFFF"/>
                  </w:tcBorders>
                  <w:shd w:val="clear" w:color="000000" w:fill="FCD5B4"/>
                  <w:noWrap/>
                  <w:hideMark/>
                </w:tcPr>
                <w:p w14:paraId="79E4FA89" w14:textId="7A4883A7" w:rsidR="00692C32" w:rsidRPr="003F4793" w:rsidRDefault="00692C32" w:rsidP="00692C32">
                  <w:pPr>
                    <w:widowControl/>
                    <w:jc w:val="center"/>
                    <w:rPr>
                      <w:rFonts w:ascii="KaiTi" w:eastAsia="KaiTi" w:hAnsi="KaiTi" w:cs="Calibri"/>
                      <w:color w:val="000000"/>
                      <w:kern w:val="0"/>
                      <w:szCs w:val="21"/>
                    </w:rPr>
                  </w:pPr>
                  <w:r w:rsidRPr="00C76E8F">
                    <w:t xml:space="preserve">-2.3 </w:t>
                  </w:r>
                </w:p>
              </w:tc>
              <w:tc>
                <w:tcPr>
                  <w:tcW w:w="1149" w:type="dxa"/>
                  <w:tcBorders>
                    <w:top w:val="nil"/>
                    <w:left w:val="nil"/>
                    <w:bottom w:val="single" w:sz="8" w:space="0" w:color="FFFFFF"/>
                    <w:right w:val="single" w:sz="8" w:space="0" w:color="FFFFFF"/>
                  </w:tcBorders>
                  <w:shd w:val="clear" w:color="000000" w:fill="FCD5B4"/>
                  <w:noWrap/>
                  <w:hideMark/>
                </w:tcPr>
                <w:p w14:paraId="606C4AAF" w14:textId="67235356" w:rsidR="00692C32" w:rsidRPr="003F4793" w:rsidRDefault="00692C32" w:rsidP="00692C32">
                  <w:pPr>
                    <w:widowControl/>
                    <w:jc w:val="center"/>
                    <w:rPr>
                      <w:rFonts w:ascii="KaiTi" w:eastAsia="KaiTi" w:hAnsi="KaiTi" w:cs="宋体"/>
                      <w:color w:val="000000"/>
                      <w:kern w:val="0"/>
                      <w:sz w:val="20"/>
                      <w:szCs w:val="20"/>
                    </w:rPr>
                  </w:pPr>
                  <w:r w:rsidRPr="00C76E8F">
                    <w:t>CP</w:t>
                  </w:r>
                </w:p>
              </w:tc>
              <w:tc>
                <w:tcPr>
                  <w:tcW w:w="920" w:type="dxa"/>
                  <w:tcBorders>
                    <w:top w:val="nil"/>
                    <w:left w:val="nil"/>
                    <w:bottom w:val="single" w:sz="8" w:space="0" w:color="FFFFFF"/>
                    <w:right w:val="single" w:sz="8" w:space="0" w:color="FFFFFF"/>
                  </w:tcBorders>
                  <w:shd w:val="clear" w:color="000000" w:fill="FCD5B4"/>
                  <w:noWrap/>
                  <w:hideMark/>
                </w:tcPr>
                <w:p w14:paraId="357A1196" w14:textId="472C29BB" w:rsidR="00692C32" w:rsidRPr="003F4793" w:rsidRDefault="00692C32" w:rsidP="00692C32">
                  <w:pPr>
                    <w:widowControl/>
                    <w:jc w:val="center"/>
                    <w:rPr>
                      <w:rFonts w:ascii="KaiTi" w:eastAsia="KaiTi" w:hAnsi="KaiTi" w:cs="Calibri"/>
                      <w:color w:val="000000"/>
                      <w:kern w:val="0"/>
                      <w:szCs w:val="21"/>
                    </w:rPr>
                  </w:pPr>
                  <w:r w:rsidRPr="00C76E8F">
                    <w:t xml:space="preserve">-6.0 </w:t>
                  </w:r>
                </w:p>
              </w:tc>
              <w:tc>
                <w:tcPr>
                  <w:tcW w:w="920" w:type="dxa"/>
                  <w:tcBorders>
                    <w:top w:val="nil"/>
                    <w:left w:val="nil"/>
                    <w:bottom w:val="single" w:sz="8" w:space="0" w:color="FFFFFF"/>
                    <w:right w:val="single" w:sz="8" w:space="0" w:color="FFFFFF"/>
                  </w:tcBorders>
                  <w:shd w:val="clear" w:color="000000" w:fill="FCD5B4"/>
                  <w:noWrap/>
                  <w:hideMark/>
                </w:tcPr>
                <w:p w14:paraId="2701848E" w14:textId="2013EED1" w:rsidR="00692C32" w:rsidRPr="003F4793" w:rsidRDefault="00692C32" w:rsidP="00692C32">
                  <w:pPr>
                    <w:widowControl/>
                    <w:jc w:val="center"/>
                    <w:rPr>
                      <w:rFonts w:ascii="KaiTi" w:eastAsia="KaiTi" w:hAnsi="KaiTi" w:cs="Calibri"/>
                      <w:color w:val="000000"/>
                      <w:kern w:val="0"/>
                      <w:szCs w:val="21"/>
                    </w:rPr>
                  </w:pPr>
                  <w:r w:rsidRPr="00C76E8F">
                    <w:t xml:space="preserve">-7.0 </w:t>
                  </w:r>
                </w:p>
              </w:tc>
              <w:tc>
                <w:tcPr>
                  <w:tcW w:w="920" w:type="dxa"/>
                  <w:tcBorders>
                    <w:top w:val="nil"/>
                    <w:left w:val="nil"/>
                    <w:bottom w:val="single" w:sz="8" w:space="0" w:color="FFFFFF"/>
                    <w:right w:val="single" w:sz="8" w:space="0" w:color="FFFFFF"/>
                  </w:tcBorders>
                  <w:shd w:val="clear" w:color="000000" w:fill="FCD5B4"/>
                  <w:noWrap/>
                  <w:hideMark/>
                </w:tcPr>
                <w:p w14:paraId="004705FE" w14:textId="7BBB0A02" w:rsidR="00692C32" w:rsidRPr="003F4793" w:rsidRDefault="00692C32" w:rsidP="00692C32">
                  <w:pPr>
                    <w:widowControl/>
                    <w:jc w:val="center"/>
                    <w:rPr>
                      <w:rFonts w:ascii="KaiTi" w:eastAsia="KaiTi" w:hAnsi="KaiTi" w:cs="Calibri"/>
                      <w:color w:val="000000"/>
                      <w:kern w:val="0"/>
                      <w:szCs w:val="21"/>
                    </w:rPr>
                  </w:pPr>
                  <w:r w:rsidRPr="00C76E8F">
                    <w:t xml:space="preserve">-7.0 </w:t>
                  </w:r>
                </w:p>
              </w:tc>
              <w:tc>
                <w:tcPr>
                  <w:tcW w:w="920" w:type="dxa"/>
                  <w:tcBorders>
                    <w:top w:val="nil"/>
                    <w:left w:val="nil"/>
                    <w:bottom w:val="single" w:sz="8" w:space="0" w:color="FFFFFF"/>
                    <w:right w:val="single" w:sz="8" w:space="0" w:color="FFFFFF"/>
                  </w:tcBorders>
                  <w:shd w:val="clear" w:color="000000" w:fill="FCD5B4"/>
                  <w:noWrap/>
                  <w:hideMark/>
                </w:tcPr>
                <w:p w14:paraId="3FBDA2E9" w14:textId="1A30D625" w:rsidR="00692C32" w:rsidRPr="003F4793" w:rsidRDefault="00692C32" w:rsidP="00692C32">
                  <w:pPr>
                    <w:widowControl/>
                    <w:jc w:val="center"/>
                    <w:rPr>
                      <w:rFonts w:ascii="KaiTi" w:eastAsia="KaiTi" w:hAnsi="KaiTi" w:cs="Calibri"/>
                      <w:color w:val="000000"/>
                      <w:kern w:val="0"/>
                      <w:szCs w:val="21"/>
                    </w:rPr>
                  </w:pPr>
                  <w:r w:rsidRPr="00C76E8F">
                    <w:t xml:space="preserve">-7.0 </w:t>
                  </w:r>
                </w:p>
              </w:tc>
            </w:tr>
            <w:tr w:rsidR="00692C32" w:rsidRPr="003F4793" w14:paraId="497D492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7DBC5358" w14:textId="702F1FF6" w:rsidR="00692C32" w:rsidRPr="003F4793" w:rsidRDefault="00692C32" w:rsidP="00692C32">
                  <w:pPr>
                    <w:widowControl/>
                    <w:jc w:val="center"/>
                    <w:rPr>
                      <w:rFonts w:ascii="KaiTi" w:eastAsia="KaiTi" w:hAnsi="KaiTi" w:cs="宋体"/>
                      <w:color w:val="000000"/>
                      <w:kern w:val="0"/>
                      <w:sz w:val="20"/>
                      <w:szCs w:val="20"/>
                    </w:rPr>
                  </w:pPr>
                  <w:r w:rsidRPr="00C76E8F">
                    <w:t>MTN3Y</w:t>
                  </w:r>
                </w:p>
              </w:tc>
              <w:tc>
                <w:tcPr>
                  <w:tcW w:w="740" w:type="dxa"/>
                  <w:tcBorders>
                    <w:top w:val="nil"/>
                    <w:left w:val="nil"/>
                    <w:bottom w:val="single" w:sz="8" w:space="0" w:color="FFFFFF"/>
                    <w:right w:val="single" w:sz="8" w:space="0" w:color="FFFFFF"/>
                  </w:tcBorders>
                  <w:shd w:val="clear" w:color="000000" w:fill="FDE9D9"/>
                  <w:noWrap/>
                  <w:hideMark/>
                </w:tcPr>
                <w:p w14:paraId="3CD640D8" w14:textId="5FF0D53D" w:rsidR="00692C32" w:rsidRPr="003F4793" w:rsidRDefault="00692C32" w:rsidP="00692C32">
                  <w:pPr>
                    <w:widowControl/>
                    <w:jc w:val="center"/>
                    <w:rPr>
                      <w:rFonts w:ascii="KaiTi" w:eastAsia="KaiTi" w:hAnsi="KaiTi" w:cs="Calibri"/>
                      <w:color w:val="000000"/>
                      <w:kern w:val="0"/>
                      <w:szCs w:val="21"/>
                    </w:rPr>
                  </w:pPr>
                  <w:r w:rsidRPr="00C76E8F">
                    <w:t xml:space="preserve">1.8 </w:t>
                  </w:r>
                </w:p>
              </w:tc>
              <w:tc>
                <w:tcPr>
                  <w:tcW w:w="920" w:type="dxa"/>
                  <w:tcBorders>
                    <w:top w:val="nil"/>
                    <w:left w:val="nil"/>
                    <w:bottom w:val="single" w:sz="8" w:space="0" w:color="FFFFFF"/>
                    <w:right w:val="single" w:sz="8" w:space="0" w:color="FFFFFF"/>
                  </w:tcBorders>
                  <w:shd w:val="clear" w:color="000000" w:fill="FDE9D9"/>
                  <w:noWrap/>
                  <w:hideMark/>
                </w:tcPr>
                <w:p w14:paraId="02826B46" w14:textId="45F04850" w:rsidR="00692C32" w:rsidRPr="003F4793" w:rsidRDefault="00692C32" w:rsidP="00692C32">
                  <w:pPr>
                    <w:widowControl/>
                    <w:jc w:val="center"/>
                    <w:rPr>
                      <w:rFonts w:ascii="KaiTi" w:eastAsia="KaiTi" w:hAnsi="KaiTi" w:cs="Calibri"/>
                      <w:color w:val="000000"/>
                      <w:kern w:val="0"/>
                      <w:szCs w:val="21"/>
                    </w:rPr>
                  </w:pPr>
                  <w:r w:rsidRPr="00C76E8F">
                    <w:t xml:space="preserve">1.8 </w:t>
                  </w:r>
                </w:p>
              </w:tc>
              <w:tc>
                <w:tcPr>
                  <w:tcW w:w="920" w:type="dxa"/>
                  <w:tcBorders>
                    <w:top w:val="nil"/>
                    <w:left w:val="nil"/>
                    <w:bottom w:val="single" w:sz="8" w:space="0" w:color="FFFFFF"/>
                    <w:right w:val="single" w:sz="8" w:space="0" w:color="FFFFFF"/>
                  </w:tcBorders>
                  <w:shd w:val="clear" w:color="000000" w:fill="FDE9D9"/>
                  <w:noWrap/>
                  <w:hideMark/>
                </w:tcPr>
                <w:p w14:paraId="605A16DF" w14:textId="2A9B8C27" w:rsidR="00692C32" w:rsidRPr="003F4793" w:rsidRDefault="00692C32" w:rsidP="00692C32">
                  <w:pPr>
                    <w:widowControl/>
                    <w:jc w:val="center"/>
                    <w:rPr>
                      <w:rFonts w:ascii="KaiTi" w:eastAsia="KaiTi" w:hAnsi="KaiTi" w:cs="Calibri"/>
                      <w:color w:val="000000"/>
                      <w:kern w:val="0"/>
                      <w:szCs w:val="21"/>
                    </w:rPr>
                  </w:pPr>
                  <w:r w:rsidRPr="00C76E8F">
                    <w:t xml:space="preserve">3.8 </w:t>
                  </w:r>
                </w:p>
              </w:tc>
              <w:tc>
                <w:tcPr>
                  <w:tcW w:w="920" w:type="dxa"/>
                  <w:tcBorders>
                    <w:top w:val="nil"/>
                    <w:left w:val="nil"/>
                    <w:bottom w:val="single" w:sz="8" w:space="0" w:color="FFFFFF"/>
                    <w:right w:val="single" w:sz="8" w:space="0" w:color="FFFFFF"/>
                  </w:tcBorders>
                  <w:shd w:val="clear" w:color="000000" w:fill="FDE9D9"/>
                  <w:noWrap/>
                  <w:hideMark/>
                </w:tcPr>
                <w:p w14:paraId="7B2C5CED" w14:textId="70D88CE9" w:rsidR="00692C32" w:rsidRPr="003F4793" w:rsidRDefault="00692C32" w:rsidP="00692C32">
                  <w:pPr>
                    <w:widowControl/>
                    <w:jc w:val="center"/>
                    <w:rPr>
                      <w:rFonts w:ascii="KaiTi" w:eastAsia="KaiTi" w:hAnsi="KaiTi" w:cs="Calibri"/>
                      <w:color w:val="000000"/>
                      <w:kern w:val="0"/>
                      <w:szCs w:val="21"/>
                    </w:rPr>
                  </w:pPr>
                  <w:r w:rsidRPr="00C76E8F">
                    <w:t xml:space="preserve">5.8 </w:t>
                  </w:r>
                </w:p>
              </w:tc>
              <w:tc>
                <w:tcPr>
                  <w:tcW w:w="1149" w:type="dxa"/>
                  <w:tcBorders>
                    <w:top w:val="nil"/>
                    <w:left w:val="nil"/>
                    <w:bottom w:val="single" w:sz="8" w:space="0" w:color="FFFFFF"/>
                    <w:right w:val="single" w:sz="8" w:space="0" w:color="FFFFFF"/>
                  </w:tcBorders>
                  <w:shd w:val="clear" w:color="000000" w:fill="FDE9D9"/>
                  <w:noWrap/>
                  <w:hideMark/>
                </w:tcPr>
                <w:p w14:paraId="6FF5E0DD" w14:textId="054EA909" w:rsidR="00692C32" w:rsidRPr="003F4793" w:rsidRDefault="00692C32" w:rsidP="00692C32">
                  <w:pPr>
                    <w:widowControl/>
                    <w:jc w:val="center"/>
                    <w:rPr>
                      <w:rFonts w:ascii="KaiTi" w:eastAsia="KaiTi" w:hAnsi="KaiTi" w:cs="宋体"/>
                      <w:color w:val="000000"/>
                      <w:kern w:val="0"/>
                      <w:sz w:val="20"/>
                      <w:szCs w:val="20"/>
                    </w:rPr>
                  </w:pPr>
                  <w:r w:rsidRPr="00C76E8F">
                    <w:t>MTN3Y</w:t>
                  </w:r>
                </w:p>
              </w:tc>
              <w:tc>
                <w:tcPr>
                  <w:tcW w:w="920" w:type="dxa"/>
                  <w:tcBorders>
                    <w:top w:val="nil"/>
                    <w:left w:val="nil"/>
                    <w:bottom w:val="single" w:sz="8" w:space="0" w:color="FFFFFF"/>
                    <w:right w:val="single" w:sz="8" w:space="0" w:color="FFFFFF"/>
                  </w:tcBorders>
                  <w:shd w:val="clear" w:color="000000" w:fill="FDE9D9"/>
                  <w:noWrap/>
                  <w:hideMark/>
                </w:tcPr>
                <w:p w14:paraId="46C0665C" w14:textId="5820AEBE" w:rsidR="00692C32" w:rsidRPr="003F4793" w:rsidRDefault="00692C32" w:rsidP="00692C32">
                  <w:pPr>
                    <w:widowControl/>
                    <w:jc w:val="center"/>
                    <w:rPr>
                      <w:rFonts w:ascii="KaiTi" w:eastAsia="KaiTi" w:hAnsi="KaiTi" w:cs="Calibri"/>
                      <w:color w:val="000000"/>
                      <w:kern w:val="0"/>
                      <w:szCs w:val="21"/>
                    </w:rPr>
                  </w:pPr>
                  <w:r w:rsidRPr="00C76E8F">
                    <w:t xml:space="preserve">3.8 </w:t>
                  </w:r>
                </w:p>
              </w:tc>
              <w:tc>
                <w:tcPr>
                  <w:tcW w:w="920" w:type="dxa"/>
                  <w:tcBorders>
                    <w:top w:val="nil"/>
                    <w:left w:val="nil"/>
                    <w:bottom w:val="single" w:sz="8" w:space="0" w:color="FFFFFF"/>
                    <w:right w:val="single" w:sz="8" w:space="0" w:color="FFFFFF"/>
                  </w:tcBorders>
                  <w:shd w:val="clear" w:color="000000" w:fill="FDE9D9"/>
                  <w:noWrap/>
                  <w:hideMark/>
                </w:tcPr>
                <w:p w14:paraId="5E23BCCC" w14:textId="3E98422D" w:rsidR="00692C32" w:rsidRPr="003F4793" w:rsidRDefault="00692C32" w:rsidP="00692C32">
                  <w:pPr>
                    <w:widowControl/>
                    <w:jc w:val="center"/>
                    <w:rPr>
                      <w:rFonts w:ascii="KaiTi" w:eastAsia="KaiTi" w:hAnsi="KaiTi" w:cs="Calibri"/>
                      <w:color w:val="000000"/>
                      <w:kern w:val="0"/>
                      <w:szCs w:val="21"/>
                    </w:rPr>
                  </w:pPr>
                  <w:r w:rsidRPr="00C76E8F">
                    <w:t xml:space="preserve">3.7 </w:t>
                  </w:r>
                </w:p>
              </w:tc>
              <w:tc>
                <w:tcPr>
                  <w:tcW w:w="920" w:type="dxa"/>
                  <w:tcBorders>
                    <w:top w:val="nil"/>
                    <w:left w:val="nil"/>
                    <w:bottom w:val="single" w:sz="8" w:space="0" w:color="FFFFFF"/>
                    <w:right w:val="single" w:sz="8" w:space="0" w:color="FFFFFF"/>
                  </w:tcBorders>
                  <w:shd w:val="clear" w:color="000000" w:fill="FDE9D9"/>
                  <w:noWrap/>
                  <w:hideMark/>
                </w:tcPr>
                <w:p w14:paraId="1C0ED519" w14:textId="2305AFC5" w:rsidR="00692C32" w:rsidRPr="003F4793" w:rsidRDefault="00692C32" w:rsidP="00692C32">
                  <w:pPr>
                    <w:widowControl/>
                    <w:jc w:val="center"/>
                    <w:rPr>
                      <w:rFonts w:ascii="KaiTi" w:eastAsia="KaiTi" w:hAnsi="KaiTi" w:cs="Calibri"/>
                      <w:color w:val="000000"/>
                      <w:kern w:val="0"/>
                      <w:szCs w:val="21"/>
                    </w:rPr>
                  </w:pPr>
                  <w:r w:rsidRPr="00C76E8F">
                    <w:t xml:space="preserve">5.7 </w:t>
                  </w:r>
                </w:p>
              </w:tc>
              <w:tc>
                <w:tcPr>
                  <w:tcW w:w="920" w:type="dxa"/>
                  <w:tcBorders>
                    <w:top w:val="nil"/>
                    <w:left w:val="nil"/>
                    <w:bottom w:val="single" w:sz="8" w:space="0" w:color="FFFFFF"/>
                    <w:right w:val="single" w:sz="8" w:space="0" w:color="FFFFFF"/>
                  </w:tcBorders>
                  <w:shd w:val="clear" w:color="000000" w:fill="FDE9D9"/>
                  <w:noWrap/>
                  <w:hideMark/>
                </w:tcPr>
                <w:p w14:paraId="0011E4A5" w14:textId="05025FF1" w:rsidR="00692C32" w:rsidRPr="003F4793" w:rsidRDefault="00692C32" w:rsidP="00692C32">
                  <w:pPr>
                    <w:widowControl/>
                    <w:jc w:val="center"/>
                    <w:rPr>
                      <w:rFonts w:ascii="KaiTi" w:eastAsia="KaiTi" w:hAnsi="KaiTi" w:cs="Calibri"/>
                      <w:color w:val="000000"/>
                      <w:kern w:val="0"/>
                      <w:szCs w:val="21"/>
                    </w:rPr>
                  </w:pPr>
                  <w:r w:rsidRPr="00C76E8F">
                    <w:t xml:space="preserve">7.7 </w:t>
                  </w:r>
                </w:p>
              </w:tc>
            </w:tr>
            <w:tr w:rsidR="00692C32" w:rsidRPr="003F4793" w14:paraId="0CE9EDD9"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666B8A39" w14:textId="4AEC20EC" w:rsidR="00692C32" w:rsidRPr="003F4793" w:rsidRDefault="00692C32" w:rsidP="00692C32">
                  <w:pPr>
                    <w:widowControl/>
                    <w:jc w:val="center"/>
                    <w:rPr>
                      <w:rFonts w:ascii="KaiTi" w:eastAsia="KaiTi" w:hAnsi="KaiTi" w:cs="宋体"/>
                      <w:color w:val="000000"/>
                      <w:kern w:val="0"/>
                      <w:sz w:val="20"/>
                      <w:szCs w:val="20"/>
                    </w:rPr>
                  </w:pPr>
                  <w:r w:rsidRPr="00C76E8F">
                    <w:t>MTN5Y</w:t>
                  </w:r>
                </w:p>
              </w:tc>
              <w:tc>
                <w:tcPr>
                  <w:tcW w:w="740" w:type="dxa"/>
                  <w:tcBorders>
                    <w:top w:val="nil"/>
                    <w:left w:val="nil"/>
                    <w:bottom w:val="single" w:sz="8" w:space="0" w:color="FFFFFF"/>
                    <w:right w:val="single" w:sz="8" w:space="0" w:color="FFFFFF"/>
                  </w:tcBorders>
                  <w:shd w:val="clear" w:color="000000" w:fill="FCD5B4"/>
                  <w:noWrap/>
                  <w:hideMark/>
                </w:tcPr>
                <w:p w14:paraId="46A29143" w14:textId="2A5779C4" w:rsidR="00692C32" w:rsidRPr="003F4793" w:rsidRDefault="00692C32" w:rsidP="00692C32">
                  <w:pPr>
                    <w:widowControl/>
                    <w:jc w:val="center"/>
                    <w:rPr>
                      <w:rFonts w:ascii="KaiTi" w:eastAsia="KaiTi" w:hAnsi="KaiTi" w:cs="Calibri"/>
                      <w:color w:val="000000"/>
                      <w:kern w:val="0"/>
                      <w:szCs w:val="21"/>
                    </w:rPr>
                  </w:pPr>
                  <w:r w:rsidRPr="00C76E8F">
                    <w:t xml:space="preserve">-6.3 </w:t>
                  </w:r>
                </w:p>
              </w:tc>
              <w:tc>
                <w:tcPr>
                  <w:tcW w:w="920" w:type="dxa"/>
                  <w:tcBorders>
                    <w:top w:val="nil"/>
                    <w:left w:val="nil"/>
                    <w:bottom w:val="single" w:sz="8" w:space="0" w:color="FFFFFF"/>
                    <w:right w:val="single" w:sz="8" w:space="0" w:color="FFFFFF"/>
                  </w:tcBorders>
                  <w:shd w:val="clear" w:color="000000" w:fill="FCD5B4"/>
                  <w:noWrap/>
                  <w:hideMark/>
                </w:tcPr>
                <w:p w14:paraId="65AB8809" w14:textId="563A808C" w:rsidR="00692C32" w:rsidRPr="003F4793" w:rsidRDefault="00692C32" w:rsidP="00692C32">
                  <w:pPr>
                    <w:widowControl/>
                    <w:jc w:val="center"/>
                    <w:rPr>
                      <w:rFonts w:ascii="KaiTi" w:eastAsia="KaiTi" w:hAnsi="KaiTi" w:cs="Calibri"/>
                      <w:color w:val="000000"/>
                      <w:kern w:val="0"/>
                      <w:szCs w:val="21"/>
                    </w:rPr>
                  </w:pPr>
                  <w:r w:rsidRPr="00C76E8F">
                    <w:t xml:space="preserve">-5.3 </w:t>
                  </w:r>
                </w:p>
              </w:tc>
              <w:tc>
                <w:tcPr>
                  <w:tcW w:w="920" w:type="dxa"/>
                  <w:tcBorders>
                    <w:top w:val="nil"/>
                    <w:left w:val="nil"/>
                    <w:bottom w:val="single" w:sz="8" w:space="0" w:color="FFFFFF"/>
                    <w:right w:val="single" w:sz="8" w:space="0" w:color="FFFFFF"/>
                  </w:tcBorders>
                  <w:shd w:val="clear" w:color="000000" w:fill="FCD5B4"/>
                  <w:noWrap/>
                  <w:hideMark/>
                </w:tcPr>
                <w:p w14:paraId="008EB32A" w14:textId="6434FC36" w:rsidR="00692C32" w:rsidRPr="003F4793" w:rsidRDefault="00692C32" w:rsidP="00692C32">
                  <w:pPr>
                    <w:widowControl/>
                    <w:jc w:val="center"/>
                    <w:rPr>
                      <w:rFonts w:ascii="KaiTi" w:eastAsia="KaiTi" w:hAnsi="KaiTi" w:cs="Calibri"/>
                      <w:color w:val="000000"/>
                      <w:kern w:val="0"/>
                      <w:szCs w:val="21"/>
                    </w:rPr>
                  </w:pPr>
                  <w:r w:rsidRPr="00C76E8F">
                    <w:t xml:space="preserve">-5.4 </w:t>
                  </w:r>
                </w:p>
              </w:tc>
              <w:tc>
                <w:tcPr>
                  <w:tcW w:w="920" w:type="dxa"/>
                  <w:tcBorders>
                    <w:top w:val="nil"/>
                    <w:left w:val="nil"/>
                    <w:bottom w:val="single" w:sz="8" w:space="0" w:color="FFFFFF"/>
                    <w:right w:val="single" w:sz="8" w:space="0" w:color="FFFFFF"/>
                  </w:tcBorders>
                  <w:shd w:val="clear" w:color="000000" w:fill="FCD5B4"/>
                  <w:noWrap/>
                  <w:hideMark/>
                </w:tcPr>
                <w:p w14:paraId="7D7C0954" w14:textId="5D5980D9" w:rsidR="00692C32" w:rsidRPr="003F4793" w:rsidRDefault="00692C32" w:rsidP="00692C32">
                  <w:pPr>
                    <w:widowControl/>
                    <w:jc w:val="center"/>
                    <w:rPr>
                      <w:rFonts w:ascii="KaiTi" w:eastAsia="KaiTi" w:hAnsi="KaiTi" w:cs="Calibri"/>
                      <w:color w:val="000000"/>
                      <w:kern w:val="0"/>
                      <w:szCs w:val="21"/>
                    </w:rPr>
                  </w:pPr>
                  <w:r w:rsidRPr="00C76E8F">
                    <w:t xml:space="preserve">2.6 </w:t>
                  </w:r>
                </w:p>
              </w:tc>
              <w:tc>
                <w:tcPr>
                  <w:tcW w:w="1149" w:type="dxa"/>
                  <w:tcBorders>
                    <w:top w:val="nil"/>
                    <w:left w:val="nil"/>
                    <w:bottom w:val="single" w:sz="8" w:space="0" w:color="FFFFFF"/>
                    <w:right w:val="single" w:sz="8" w:space="0" w:color="FFFFFF"/>
                  </w:tcBorders>
                  <w:shd w:val="clear" w:color="000000" w:fill="FCD5B4"/>
                  <w:noWrap/>
                  <w:hideMark/>
                </w:tcPr>
                <w:p w14:paraId="1A7EC8C4" w14:textId="15ABBA8A" w:rsidR="00692C32" w:rsidRPr="003F4793" w:rsidRDefault="00692C32" w:rsidP="00692C32">
                  <w:pPr>
                    <w:widowControl/>
                    <w:jc w:val="center"/>
                    <w:rPr>
                      <w:rFonts w:ascii="KaiTi" w:eastAsia="KaiTi" w:hAnsi="KaiTi" w:cs="宋体"/>
                      <w:color w:val="000000"/>
                      <w:kern w:val="0"/>
                      <w:sz w:val="20"/>
                      <w:szCs w:val="20"/>
                    </w:rPr>
                  </w:pPr>
                  <w:r w:rsidRPr="00C76E8F">
                    <w:t>MTN5Y</w:t>
                  </w:r>
                </w:p>
              </w:tc>
              <w:tc>
                <w:tcPr>
                  <w:tcW w:w="920" w:type="dxa"/>
                  <w:tcBorders>
                    <w:top w:val="nil"/>
                    <w:left w:val="nil"/>
                    <w:bottom w:val="single" w:sz="8" w:space="0" w:color="FFFFFF"/>
                    <w:right w:val="single" w:sz="8" w:space="0" w:color="FFFFFF"/>
                  </w:tcBorders>
                  <w:shd w:val="clear" w:color="000000" w:fill="FCD5B4"/>
                  <w:noWrap/>
                  <w:hideMark/>
                </w:tcPr>
                <w:p w14:paraId="0CE8BFC7" w14:textId="7CB4BAA2" w:rsidR="00692C32" w:rsidRPr="003F4793" w:rsidRDefault="00692C32" w:rsidP="00692C32">
                  <w:pPr>
                    <w:widowControl/>
                    <w:jc w:val="center"/>
                    <w:rPr>
                      <w:rFonts w:ascii="KaiTi" w:eastAsia="KaiTi" w:hAnsi="KaiTi" w:cs="Calibri"/>
                      <w:color w:val="000000"/>
                      <w:kern w:val="0"/>
                      <w:szCs w:val="21"/>
                    </w:rPr>
                  </w:pPr>
                  <w:r w:rsidRPr="00C76E8F">
                    <w:t xml:space="preserve">-5.5 </w:t>
                  </w:r>
                </w:p>
              </w:tc>
              <w:tc>
                <w:tcPr>
                  <w:tcW w:w="920" w:type="dxa"/>
                  <w:tcBorders>
                    <w:top w:val="nil"/>
                    <w:left w:val="nil"/>
                    <w:bottom w:val="single" w:sz="8" w:space="0" w:color="FFFFFF"/>
                    <w:right w:val="single" w:sz="8" w:space="0" w:color="FFFFFF"/>
                  </w:tcBorders>
                  <w:shd w:val="clear" w:color="000000" w:fill="FCD5B4"/>
                  <w:noWrap/>
                  <w:hideMark/>
                </w:tcPr>
                <w:p w14:paraId="5811EE16" w14:textId="1DB7BBB2" w:rsidR="00692C32" w:rsidRPr="003F4793" w:rsidRDefault="00692C32" w:rsidP="00692C32">
                  <w:pPr>
                    <w:widowControl/>
                    <w:jc w:val="center"/>
                    <w:rPr>
                      <w:rFonts w:ascii="KaiTi" w:eastAsia="KaiTi" w:hAnsi="KaiTi" w:cs="Calibri"/>
                      <w:color w:val="000000"/>
                      <w:kern w:val="0"/>
                      <w:szCs w:val="21"/>
                    </w:rPr>
                  </w:pPr>
                  <w:r w:rsidRPr="00C76E8F">
                    <w:t xml:space="preserve">-4.5 </w:t>
                  </w:r>
                </w:p>
              </w:tc>
              <w:tc>
                <w:tcPr>
                  <w:tcW w:w="920" w:type="dxa"/>
                  <w:tcBorders>
                    <w:top w:val="nil"/>
                    <w:left w:val="nil"/>
                    <w:bottom w:val="single" w:sz="8" w:space="0" w:color="FFFFFF"/>
                    <w:right w:val="single" w:sz="8" w:space="0" w:color="FFFFFF"/>
                  </w:tcBorders>
                  <w:shd w:val="clear" w:color="000000" w:fill="FCD5B4"/>
                  <w:noWrap/>
                  <w:hideMark/>
                </w:tcPr>
                <w:p w14:paraId="42E7B60E" w14:textId="5426D940" w:rsidR="00692C32" w:rsidRPr="003F4793" w:rsidRDefault="00692C32" w:rsidP="00692C32">
                  <w:pPr>
                    <w:widowControl/>
                    <w:jc w:val="center"/>
                    <w:rPr>
                      <w:rFonts w:ascii="KaiTi" w:eastAsia="KaiTi" w:hAnsi="KaiTi" w:cs="Calibri"/>
                      <w:color w:val="000000"/>
                      <w:kern w:val="0"/>
                      <w:szCs w:val="21"/>
                    </w:rPr>
                  </w:pPr>
                  <w:r w:rsidRPr="00C76E8F">
                    <w:t xml:space="preserve">-4.5 </w:t>
                  </w:r>
                </w:p>
              </w:tc>
              <w:tc>
                <w:tcPr>
                  <w:tcW w:w="920" w:type="dxa"/>
                  <w:tcBorders>
                    <w:top w:val="nil"/>
                    <w:left w:val="nil"/>
                    <w:bottom w:val="single" w:sz="8" w:space="0" w:color="FFFFFF"/>
                    <w:right w:val="single" w:sz="8" w:space="0" w:color="FFFFFF"/>
                  </w:tcBorders>
                  <w:shd w:val="clear" w:color="000000" w:fill="FCD5B4"/>
                  <w:noWrap/>
                  <w:hideMark/>
                </w:tcPr>
                <w:p w14:paraId="4E401EC9" w14:textId="72C06357" w:rsidR="00692C32" w:rsidRPr="003F4793" w:rsidRDefault="00692C32" w:rsidP="00692C32">
                  <w:pPr>
                    <w:widowControl/>
                    <w:jc w:val="center"/>
                    <w:rPr>
                      <w:rFonts w:ascii="KaiTi" w:eastAsia="KaiTi" w:hAnsi="KaiTi" w:cs="Calibri"/>
                      <w:color w:val="000000"/>
                      <w:kern w:val="0"/>
                      <w:szCs w:val="21"/>
                    </w:rPr>
                  </w:pPr>
                  <w:r w:rsidRPr="00C76E8F">
                    <w:t xml:space="preserve">3.5 </w:t>
                  </w:r>
                </w:p>
              </w:tc>
            </w:tr>
            <w:tr w:rsidR="00692C32" w:rsidRPr="003F4793" w14:paraId="4B96FC1F"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055655BC" w14:textId="4B928B31"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5C23ADBD" w14:textId="2FB3CF9E"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-2.5 </w:t>
                  </w:r>
                </w:p>
              </w:tc>
              <w:tc>
                <w:tcPr>
                  <w:tcW w:w="920" w:type="dxa"/>
                  <w:tcBorders>
                    <w:top w:val="nil"/>
                    <w:left w:val="nil"/>
                    <w:bottom w:val="single" w:sz="8" w:space="0" w:color="FFFFFF"/>
                    <w:right w:val="single" w:sz="8" w:space="0" w:color="FFFFFF"/>
                  </w:tcBorders>
                  <w:shd w:val="clear" w:color="000000" w:fill="FDE9D9"/>
                  <w:noWrap/>
                  <w:hideMark/>
                </w:tcPr>
                <w:p w14:paraId="5FCD1E73" w14:textId="06D5F9D0"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-2.5 </w:t>
                  </w:r>
                </w:p>
              </w:tc>
              <w:tc>
                <w:tcPr>
                  <w:tcW w:w="920" w:type="dxa"/>
                  <w:tcBorders>
                    <w:top w:val="nil"/>
                    <w:left w:val="nil"/>
                    <w:bottom w:val="single" w:sz="8" w:space="0" w:color="FFFFFF"/>
                    <w:right w:val="single" w:sz="8" w:space="0" w:color="FFFFFF"/>
                  </w:tcBorders>
                  <w:shd w:val="clear" w:color="000000" w:fill="FDE9D9"/>
                  <w:noWrap/>
                  <w:hideMark/>
                </w:tcPr>
                <w:p w14:paraId="5B16061B" w14:textId="1A77FA9C"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2.5 </w:t>
                  </w:r>
                </w:p>
              </w:tc>
              <w:tc>
                <w:tcPr>
                  <w:tcW w:w="920" w:type="dxa"/>
                  <w:tcBorders>
                    <w:top w:val="nil"/>
                    <w:left w:val="nil"/>
                    <w:bottom w:val="single" w:sz="8" w:space="0" w:color="FFFFFF"/>
                    <w:right w:val="single" w:sz="8" w:space="0" w:color="FFFFFF"/>
                  </w:tcBorders>
                  <w:shd w:val="clear" w:color="000000" w:fill="FDE9D9"/>
                  <w:noWrap/>
                  <w:hideMark/>
                </w:tcPr>
                <w:p w14:paraId="76F51BF6" w14:textId="362CD77C"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4.5 </w:t>
                  </w:r>
                </w:p>
              </w:tc>
              <w:tc>
                <w:tcPr>
                  <w:tcW w:w="1149" w:type="dxa"/>
                  <w:tcBorders>
                    <w:top w:val="nil"/>
                    <w:left w:val="nil"/>
                    <w:bottom w:val="single" w:sz="8" w:space="0" w:color="FFFFFF"/>
                    <w:right w:val="single" w:sz="8" w:space="0" w:color="FFFFFF"/>
                  </w:tcBorders>
                  <w:shd w:val="clear" w:color="000000" w:fill="FDE9D9"/>
                  <w:noWrap/>
                  <w:hideMark/>
                </w:tcPr>
                <w:p w14:paraId="343EAA9F" w14:textId="2965631A"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63247225" w14:textId="1F875640"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-0.5 </w:t>
                  </w:r>
                </w:p>
              </w:tc>
              <w:tc>
                <w:tcPr>
                  <w:tcW w:w="920" w:type="dxa"/>
                  <w:tcBorders>
                    <w:top w:val="nil"/>
                    <w:left w:val="nil"/>
                    <w:bottom w:val="single" w:sz="8" w:space="0" w:color="FFFFFF"/>
                    <w:right w:val="single" w:sz="8" w:space="0" w:color="FFFFFF"/>
                  </w:tcBorders>
                  <w:shd w:val="clear" w:color="000000" w:fill="FDE9D9"/>
                  <w:noWrap/>
                  <w:hideMark/>
                </w:tcPr>
                <w:p w14:paraId="083BF439" w14:textId="1C1CDE4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-0.6 </w:t>
                  </w:r>
                </w:p>
              </w:tc>
              <w:tc>
                <w:tcPr>
                  <w:tcW w:w="920" w:type="dxa"/>
                  <w:tcBorders>
                    <w:top w:val="nil"/>
                    <w:left w:val="nil"/>
                    <w:bottom w:val="single" w:sz="8" w:space="0" w:color="FFFFFF"/>
                    <w:right w:val="single" w:sz="8" w:space="0" w:color="FFFFFF"/>
                  </w:tcBorders>
                  <w:shd w:val="clear" w:color="000000" w:fill="FDE9D9"/>
                  <w:noWrap/>
                  <w:hideMark/>
                </w:tcPr>
                <w:p w14:paraId="7F14EF11" w14:textId="685213B1"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4.5 </w:t>
                  </w:r>
                </w:p>
              </w:tc>
              <w:tc>
                <w:tcPr>
                  <w:tcW w:w="920" w:type="dxa"/>
                  <w:tcBorders>
                    <w:top w:val="nil"/>
                    <w:left w:val="nil"/>
                    <w:bottom w:val="single" w:sz="8" w:space="0" w:color="FFFFFF"/>
                    <w:right w:val="single" w:sz="8" w:space="0" w:color="FFFFFF"/>
                  </w:tcBorders>
                  <w:shd w:val="clear" w:color="000000" w:fill="FDE9D9"/>
                  <w:noWrap/>
                  <w:hideMark/>
                </w:tcPr>
                <w:p w14:paraId="61246080" w14:textId="028A4E8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6.4 </w:t>
                  </w:r>
                </w:p>
              </w:tc>
            </w:tr>
            <w:tr w:rsidR="00692C32" w:rsidRPr="003F4793" w14:paraId="445C2E7B"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7A530122" w14:textId="396CCF9A"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5D5F6751" w14:textId="27F83895"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1.0 </w:t>
                  </w:r>
                </w:p>
              </w:tc>
              <w:tc>
                <w:tcPr>
                  <w:tcW w:w="920" w:type="dxa"/>
                  <w:tcBorders>
                    <w:top w:val="nil"/>
                    <w:left w:val="nil"/>
                    <w:bottom w:val="single" w:sz="8" w:space="0" w:color="FFFFFF"/>
                    <w:right w:val="single" w:sz="8" w:space="0" w:color="FFFFFF"/>
                  </w:tcBorders>
                  <w:shd w:val="clear" w:color="000000" w:fill="FCD5B4"/>
                  <w:noWrap/>
                  <w:hideMark/>
                </w:tcPr>
                <w:p w14:paraId="300B72E8" w14:textId="183FCB2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-1.0 </w:t>
                  </w:r>
                </w:p>
              </w:tc>
              <w:tc>
                <w:tcPr>
                  <w:tcW w:w="920" w:type="dxa"/>
                  <w:tcBorders>
                    <w:top w:val="nil"/>
                    <w:left w:val="nil"/>
                    <w:bottom w:val="single" w:sz="8" w:space="0" w:color="FFFFFF"/>
                    <w:right w:val="single" w:sz="8" w:space="0" w:color="FFFFFF"/>
                  </w:tcBorders>
                  <w:shd w:val="clear" w:color="000000" w:fill="FCD5B4"/>
                  <w:noWrap/>
                  <w:hideMark/>
                </w:tcPr>
                <w:p w14:paraId="4243F803" w14:textId="5651D9A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1.0 </w:t>
                  </w:r>
                </w:p>
              </w:tc>
              <w:tc>
                <w:tcPr>
                  <w:tcW w:w="920" w:type="dxa"/>
                  <w:tcBorders>
                    <w:top w:val="nil"/>
                    <w:left w:val="nil"/>
                    <w:bottom w:val="single" w:sz="8" w:space="0" w:color="FFFFFF"/>
                    <w:right w:val="single" w:sz="8" w:space="0" w:color="FFFFFF"/>
                  </w:tcBorders>
                  <w:shd w:val="clear" w:color="000000" w:fill="FCD5B4"/>
                  <w:noWrap/>
                  <w:hideMark/>
                </w:tcPr>
                <w:p w14:paraId="448E5ABD" w14:textId="436A00C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4.0 </w:t>
                  </w:r>
                </w:p>
              </w:tc>
              <w:tc>
                <w:tcPr>
                  <w:tcW w:w="1149" w:type="dxa"/>
                  <w:tcBorders>
                    <w:top w:val="nil"/>
                    <w:left w:val="nil"/>
                    <w:bottom w:val="single" w:sz="8" w:space="0" w:color="FFFFFF"/>
                    <w:right w:val="single" w:sz="8" w:space="0" w:color="FFFFFF"/>
                  </w:tcBorders>
                  <w:shd w:val="clear" w:color="000000" w:fill="FCD5B4"/>
                  <w:noWrap/>
                  <w:hideMark/>
                </w:tcPr>
                <w:p w14:paraId="243BE1B9" w14:textId="0E6038BB"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284F409D" w14:textId="1F80F7F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1.8 </w:t>
                  </w:r>
                </w:p>
              </w:tc>
              <w:tc>
                <w:tcPr>
                  <w:tcW w:w="920" w:type="dxa"/>
                  <w:tcBorders>
                    <w:top w:val="nil"/>
                    <w:left w:val="nil"/>
                    <w:bottom w:val="single" w:sz="8" w:space="0" w:color="FFFFFF"/>
                    <w:right w:val="single" w:sz="8" w:space="0" w:color="FFFFFF"/>
                  </w:tcBorders>
                  <w:shd w:val="clear" w:color="000000" w:fill="FCD5B4"/>
                  <w:noWrap/>
                  <w:hideMark/>
                </w:tcPr>
                <w:p w14:paraId="036E88AD" w14:textId="28027F1D"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-0.2 </w:t>
                  </w:r>
                </w:p>
              </w:tc>
              <w:tc>
                <w:tcPr>
                  <w:tcW w:w="920" w:type="dxa"/>
                  <w:tcBorders>
                    <w:top w:val="nil"/>
                    <w:left w:val="nil"/>
                    <w:bottom w:val="single" w:sz="8" w:space="0" w:color="FFFFFF"/>
                    <w:right w:val="single" w:sz="8" w:space="0" w:color="FFFFFF"/>
                  </w:tcBorders>
                  <w:shd w:val="clear" w:color="000000" w:fill="FCD5B4"/>
                  <w:noWrap/>
                  <w:hideMark/>
                </w:tcPr>
                <w:p w14:paraId="427E0CD2" w14:textId="7E45EF2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1.8 </w:t>
                  </w:r>
                </w:p>
              </w:tc>
              <w:tc>
                <w:tcPr>
                  <w:tcW w:w="920" w:type="dxa"/>
                  <w:tcBorders>
                    <w:top w:val="nil"/>
                    <w:left w:val="nil"/>
                    <w:bottom w:val="single" w:sz="8" w:space="0" w:color="FFFFFF"/>
                    <w:right w:val="single" w:sz="8" w:space="0" w:color="FFFFFF"/>
                  </w:tcBorders>
                  <w:shd w:val="clear" w:color="000000" w:fill="FCD5B4"/>
                  <w:noWrap/>
                  <w:hideMark/>
                </w:tcPr>
                <w:p w14:paraId="78BEA210" w14:textId="501AF554"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4.8 </w:t>
                  </w:r>
                </w:p>
              </w:tc>
            </w:tr>
            <w:tr w:rsidR="00692C32" w:rsidRPr="003F4793" w14:paraId="3191787A"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1F700977" w14:textId="544DBBD6"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2827D979" w14:textId="416155C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-1.5 </w:t>
                  </w:r>
                </w:p>
              </w:tc>
              <w:tc>
                <w:tcPr>
                  <w:tcW w:w="920" w:type="dxa"/>
                  <w:tcBorders>
                    <w:top w:val="nil"/>
                    <w:left w:val="nil"/>
                    <w:bottom w:val="single" w:sz="8" w:space="0" w:color="FFFFFF"/>
                    <w:right w:val="single" w:sz="8" w:space="0" w:color="FFFFFF"/>
                  </w:tcBorders>
                  <w:shd w:val="clear" w:color="000000" w:fill="FDE9D9"/>
                  <w:noWrap/>
                  <w:hideMark/>
                </w:tcPr>
                <w:p w14:paraId="1BCEB620" w14:textId="7B024DD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-3.5 </w:t>
                  </w:r>
                </w:p>
              </w:tc>
              <w:tc>
                <w:tcPr>
                  <w:tcW w:w="920" w:type="dxa"/>
                  <w:tcBorders>
                    <w:top w:val="nil"/>
                    <w:left w:val="nil"/>
                    <w:bottom w:val="single" w:sz="8" w:space="0" w:color="FFFFFF"/>
                    <w:right w:val="single" w:sz="8" w:space="0" w:color="FFFFFF"/>
                  </w:tcBorders>
                  <w:shd w:val="clear" w:color="000000" w:fill="FDE9D9"/>
                  <w:noWrap/>
                  <w:hideMark/>
                </w:tcPr>
                <w:p w14:paraId="642DA1D2" w14:textId="62CF797D"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-1.5 </w:t>
                  </w:r>
                </w:p>
              </w:tc>
              <w:tc>
                <w:tcPr>
                  <w:tcW w:w="920" w:type="dxa"/>
                  <w:tcBorders>
                    <w:top w:val="nil"/>
                    <w:left w:val="nil"/>
                    <w:bottom w:val="single" w:sz="8" w:space="0" w:color="FFFFFF"/>
                    <w:right w:val="single" w:sz="8" w:space="0" w:color="FFFFFF"/>
                  </w:tcBorders>
                  <w:shd w:val="clear" w:color="000000" w:fill="FDE9D9"/>
                  <w:noWrap/>
                  <w:hideMark/>
                </w:tcPr>
                <w:p w14:paraId="45A5D7F8" w14:textId="30249130"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1.5 </w:t>
                  </w:r>
                </w:p>
              </w:tc>
              <w:tc>
                <w:tcPr>
                  <w:tcW w:w="1149" w:type="dxa"/>
                  <w:tcBorders>
                    <w:top w:val="nil"/>
                    <w:left w:val="nil"/>
                    <w:bottom w:val="single" w:sz="8" w:space="0" w:color="FFFFFF"/>
                    <w:right w:val="single" w:sz="8" w:space="0" w:color="FFFFFF"/>
                  </w:tcBorders>
                  <w:shd w:val="clear" w:color="000000" w:fill="FDE9D9"/>
                  <w:noWrap/>
                  <w:hideMark/>
                </w:tcPr>
                <w:p w14:paraId="065B2767" w14:textId="63884733"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720359E1" w14:textId="39C4F4A3"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1.2 </w:t>
                  </w:r>
                </w:p>
              </w:tc>
              <w:tc>
                <w:tcPr>
                  <w:tcW w:w="920" w:type="dxa"/>
                  <w:tcBorders>
                    <w:top w:val="nil"/>
                    <w:left w:val="nil"/>
                    <w:bottom w:val="single" w:sz="8" w:space="0" w:color="FFFFFF"/>
                    <w:right w:val="single" w:sz="8" w:space="0" w:color="FFFFFF"/>
                  </w:tcBorders>
                  <w:shd w:val="clear" w:color="000000" w:fill="FDE9D9"/>
                  <w:noWrap/>
                  <w:hideMark/>
                </w:tcPr>
                <w:p w14:paraId="059C072D" w14:textId="4F5B903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-0.8 </w:t>
                  </w:r>
                </w:p>
              </w:tc>
              <w:tc>
                <w:tcPr>
                  <w:tcW w:w="920" w:type="dxa"/>
                  <w:tcBorders>
                    <w:top w:val="nil"/>
                    <w:left w:val="nil"/>
                    <w:bottom w:val="single" w:sz="8" w:space="0" w:color="FFFFFF"/>
                    <w:right w:val="single" w:sz="8" w:space="0" w:color="FFFFFF"/>
                  </w:tcBorders>
                  <w:shd w:val="clear" w:color="000000" w:fill="FDE9D9"/>
                  <w:noWrap/>
                  <w:hideMark/>
                </w:tcPr>
                <w:p w14:paraId="4DCBF554" w14:textId="790418BB"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1.2 </w:t>
                  </w:r>
                </w:p>
              </w:tc>
              <w:tc>
                <w:tcPr>
                  <w:tcW w:w="920" w:type="dxa"/>
                  <w:tcBorders>
                    <w:top w:val="nil"/>
                    <w:left w:val="nil"/>
                    <w:bottom w:val="single" w:sz="8" w:space="0" w:color="FFFFFF"/>
                    <w:right w:val="single" w:sz="8" w:space="0" w:color="FFFFFF"/>
                  </w:tcBorders>
                  <w:shd w:val="clear" w:color="000000" w:fill="FDE9D9"/>
                  <w:noWrap/>
                  <w:hideMark/>
                </w:tcPr>
                <w:p w14:paraId="248F8942" w14:textId="0313C7B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4.2 </w:t>
                  </w:r>
                </w:p>
              </w:tc>
            </w:tr>
            <w:tr w:rsidR="00692C32" w:rsidRPr="003F4793" w14:paraId="30D8B86F"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34C7AF72" w14:textId="75E06B4A"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BA27B0F" w14:textId="1625CA7C"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-0.3 </w:t>
                  </w:r>
                </w:p>
              </w:tc>
              <w:tc>
                <w:tcPr>
                  <w:tcW w:w="920" w:type="dxa"/>
                  <w:tcBorders>
                    <w:top w:val="nil"/>
                    <w:left w:val="nil"/>
                    <w:bottom w:val="single" w:sz="8" w:space="0" w:color="FFFFFF"/>
                    <w:right w:val="single" w:sz="8" w:space="0" w:color="FFFFFF"/>
                  </w:tcBorders>
                  <w:shd w:val="clear" w:color="000000" w:fill="FCD5B4"/>
                  <w:noWrap/>
                  <w:hideMark/>
                </w:tcPr>
                <w:p w14:paraId="5357D5B3" w14:textId="1C5FECC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-3.4 </w:t>
                  </w:r>
                </w:p>
              </w:tc>
              <w:tc>
                <w:tcPr>
                  <w:tcW w:w="920" w:type="dxa"/>
                  <w:tcBorders>
                    <w:top w:val="nil"/>
                    <w:left w:val="nil"/>
                    <w:bottom w:val="single" w:sz="8" w:space="0" w:color="FFFFFF"/>
                    <w:right w:val="single" w:sz="8" w:space="0" w:color="FFFFFF"/>
                  </w:tcBorders>
                  <w:shd w:val="clear" w:color="000000" w:fill="FCD5B4"/>
                  <w:noWrap/>
                  <w:hideMark/>
                </w:tcPr>
                <w:p w14:paraId="6BAE198E" w14:textId="2482FB6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0.6 </w:t>
                  </w:r>
                </w:p>
              </w:tc>
              <w:tc>
                <w:tcPr>
                  <w:tcW w:w="920" w:type="dxa"/>
                  <w:tcBorders>
                    <w:top w:val="nil"/>
                    <w:left w:val="nil"/>
                    <w:bottom w:val="single" w:sz="8" w:space="0" w:color="FFFFFF"/>
                    <w:right w:val="single" w:sz="8" w:space="0" w:color="FFFFFF"/>
                  </w:tcBorders>
                  <w:shd w:val="clear" w:color="000000" w:fill="FCD5B4"/>
                  <w:noWrap/>
                  <w:hideMark/>
                </w:tcPr>
                <w:p w14:paraId="11173B26" w14:textId="508EE621"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-1.3 </w:t>
                  </w:r>
                </w:p>
              </w:tc>
              <w:tc>
                <w:tcPr>
                  <w:tcW w:w="1149" w:type="dxa"/>
                  <w:tcBorders>
                    <w:top w:val="nil"/>
                    <w:left w:val="nil"/>
                    <w:bottom w:val="single" w:sz="8" w:space="0" w:color="FFFFFF"/>
                    <w:right w:val="single" w:sz="8" w:space="0" w:color="FFFFFF"/>
                  </w:tcBorders>
                  <w:shd w:val="clear" w:color="000000" w:fill="FCD5B4"/>
                  <w:noWrap/>
                  <w:hideMark/>
                </w:tcPr>
                <w:p w14:paraId="4344DD46" w14:textId="72216504"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3E9904F" w14:textId="11D5495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1.6 </w:t>
                  </w:r>
                </w:p>
              </w:tc>
              <w:tc>
                <w:tcPr>
                  <w:tcW w:w="920" w:type="dxa"/>
                  <w:tcBorders>
                    <w:top w:val="nil"/>
                    <w:left w:val="nil"/>
                    <w:bottom w:val="single" w:sz="8" w:space="0" w:color="FFFFFF"/>
                    <w:right w:val="single" w:sz="8" w:space="0" w:color="FFFFFF"/>
                  </w:tcBorders>
                  <w:shd w:val="clear" w:color="000000" w:fill="FCD5B4"/>
                  <w:noWrap/>
                  <w:hideMark/>
                </w:tcPr>
                <w:p w14:paraId="72520448" w14:textId="62E1F34B"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-1.4 </w:t>
                  </w:r>
                </w:p>
              </w:tc>
              <w:tc>
                <w:tcPr>
                  <w:tcW w:w="920" w:type="dxa"/>
                  <w:tcBorders>
                    <w:top w:val="nil"/>
                    <w:left w:val="nil"/>
                    <w:bottom w:val="single" w:sz="8" w:space="0" w:color="FFFFFF"/>
                    <w:right w:val="single" w:sz="8" w:space="0" w:color="FFFFFF"/>
                  </w:tcBorders>
                  <w:shd w:val="clear" w:color="000000" w:fill="FCD5B4"/>
                  <w:noWrap/>
                  <w:hideMark/>
                </w:tcPr>
                <w:p w14:paraId="4F7B3956" w14:textId="4B89EFCE"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2.6 </w:t>
                  </w:r>
                </w:p>
              </w:tc>
              <w:tc>
                <w:tcPr>
                  <w:tcW w:w="920" w:type="dxa"/>
                  <w:tcBorders>
                    <w:top w:val="nil"/>
                    <w:left w:val="nil"/>
                    <w:bottom w:val="single" w:sz="8" w:space="0" w:color="FFFFFF"/>
                    <w:right w:val="single" w:sz="8" w:space="0" w:color="FFFFFF"/>
                  </w:tcBorders>
                  <w:shd w:val="clear" w:color="000000" w:fill="FCD5B4"/>
                  <w:noWrap/>
                  <w:hideMark/>
                </w:tcPr>
                <w:p w14:paraId="455389C2" w14:textId="6C96E356"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0.6 </w:t>
                  </w:r>
                </w:p>
              </w:tc>
            </w:tr>
            <w:tr w:rsidR="00692C32" w:rsidRPr="003F4793" w14:paraId="6A7B0CBC"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052855D1" w14:textId="4F4104DB"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7770DE15" w14:textId="76BC6D3E"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-2.8 </w:t>
                  </w:r>
                </w:p>
              </w:tc>
              <w:tc>
                <w:tcPr>
                  <w:tcW w:w="920" w:type="dxa"/>
                  <w:tcBorders>
                    <w:top w:val="nil"/>
                    <w:left w:val="nil"/>
                    <w:bottom w:val="single" w:sz="8" w:space="0" w:color="FFFFFF"/>
                    <w:right w:val="single" w:sz="8" w:space="0" w:color="FFFFFF"/>
                  </w:tcBorders>
                  <w:shd w:val="clear" w:color="000000" w:fill="FDE9D9"/>
                  <w:noWrap/>
                  <w:hideMark/>
                </w:tcPr>
                <w:p w14:paraId="4004BD72" w14:textId="69F5F055"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-4.8 </w:t>
                  </w:r>
                </w:p>
              </w:tc>
              <w:tc>
                <w:tcPr>
                  <w:tcW w:w="920" w:type="dxa"/>
                  <w:tcBorders>
                    <w:top w:val="nil"/>
                    <w:left w:val="nil"/>
                    <w:bottom w:val="single" w:sz="8" w:space="0" w:color="FFFFFF"/>
                    <w:right w:val="single" w:sz="8" w:space="0" w:color="FFFFFF"/>
                  </w:tcBorders>
                  <w:shd w:val="clear" w:color="000000" w:fill="FDE9D9"/>
                  <w:noWrap/>
                  <w:hideMark/>
                </w:tcPr>
                <w:p w14:paraId="10E494F6" w14:textId="18C6FB8E"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-3.8 </w:t>
                  </w:r>
                </w:p>
              </w:tc>
              <w:tc>
                <w:tcPr>
                  <w:tcW w:w="920" w:type="dxa"/>
                  <w:tcBorders>
                    <w:top w:val="nil"/>
                    <w:left w:val="nil"/>
                    <w:bottom w:val="single" w:sz="8" w:space="0" w:color="FFFFFF"/>
                    <w:right w:val="single" w:sz="8" w:space="0" w:color="FFFFFF"/>
                  </w:tcBorders>
                  <w:shd w:val="clear" w:color="000000" w:fill="FDE9D9"/>
                  <w:noWrap/>
                  <w:hideMark/>
                </w:tcPr>
                <w:p w14:paraId="2C334CFA" w14:textId="241F035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-5.8 </w:t>
                  </w:r>
                </w:p>
              </w:tc>
              <w:tc>
                <w:tcPr>
                  <w:tcW w:w="1149" w:type="dxa"/>
                  <w:tcBorders>
                    <w:top w:val="nil"/>
                    <w:left w:val="nil"/>
                    <w:bottom w:val="single" w:sz="8" w:space="0" w:color="FFFFFF"/>
                    <w:right w:val="single" w:sz="8" w:space="0" w:color="FFFFFF"/>
                  </w:tcBorders>
                  <w:shd w:val="clear" w:color="000000" w:fill="FDE9D9"/>
                  <w:noWrap/>
                  <w:hideMark/>
                </w:tcPr>
                <w:p w14:paraId="471CE1B8" w14:textId="75952095"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0C33F3" w14:textId="7FBE56F7"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-2.0 </w:t>
                  </w:r>
                </w:p>
              </w:tc>
              <w:tc>
                <w:tcPr>
                  <w:tcW w:w="920" w:type="dxa"/>
                  <w:tcBorders>
                    <w:top w:val="nil"/>
                    <w:left w:val="nil"/>
                    <w:bottom w:val="single" w:sz="8" w:space="0" w:color="FFFFFF"/>
                    <w:right w:val="single" w:sz="8" w:space="0" w:color="FFFFFF"/>
                  </w:tcBorders>
                  <w:shd w:val="clear" w:color="000000" w:fill="FDE9D9"/>
                  <w:noWrap/>
                  <w:hideMark/>
                </w:tcPr>
                <w:p w14:paraId="0131BE88" w14:textId="6427C64B"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-3.9 </w:t>
                  </w:r>
                </w:p>
              </w:tc>
              <w:tc>
                <w:tcPr>
                  <w:tcW w:w="920" w:type="dxa"/>
                  <w:tcBorders>
                    <w:top w:val="nil"/>
                    <w:left w:val="nil"/>
                    <w:bottom w:val="single" w:sz="8" w:space="0" w:color="FFFFFF"/>
                    <w:right w:val="single" w:sz="8" w:space="0" w:color="FFFFFF"/>
                  </w:tcBorders>
                  <w:shd w:val="clear" w:color="000000" w:fill="FDE9D9"/>
                  <w:noWrap/>
                  <w:hideMark/>
                </w:tcPr>
                <w:p w14:paraId="6C67254B" w14:textId="44FB5C9D"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-2.9 </w:t>
                  </w:r>
                </w:p>
              </w:tc>
              <w:tc>
                <w:tcPr>
                  <w:tcW w:w="920" w:type="dxa"/>
                  <w:tcBorders>
                    <w:top w:val="nil"/>
                    <w:left w:val="nil"/>
                    <w:bottom w:val="single" w:sz="8" w:space="0" w:color="FFFFFF"/>
                    <w:right w:val="single" w:sz="8" w:space="0" w:color="FFFFFF"/>
                  </w:tcBorders>
                  <w:shd w:val="clear" w:color="000000" w:fill="FDE9D9"/>
                  <w:noWrap/>
                  <w:hideMark/>
                </w:tcPr>
                <w:p w14:paraId="4C0EAFCC" w14:textId="4050C380"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-4.9 </w:t>
                  </w:r>
                </w:p>
              </w:tc>
            </w:tr>
            <w:tr w:rsidR="00692C32" w:rsidRPr="003F4793" w14:paraId="3B417DAA" w14:textId="77777777" w:rsidTr="00585D46">
              <w:trPr>
                <w:trHeight w:val="310"/>
              </w:trPr>
              <w:tc>
                <w:tcPr>
                  <w:tcW w:w="1309" w:type="dxa"/>
                  <w:tcBorders>
                    <w:top w:val="nil"/>
                    <w:left w:val="nil"/>
                    <w:bottom w:val="nil"/>
                    <w:right w:val="nil"/>
                  </w:tcBorders>
                  <w:shd w:val="clear" w:color="000000" w:fill="FCD5B4"/>
                  <w:noWrap/>
                  <w:hideMark/>
                </w:tcPr>
                <w:p w14:paraId="0DA46A28" w14:textId="53EDD709"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77893C8C" w14:textId="7121DB65"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2.9 </w:t>
                  </w:r>
                </w:p>
              </w:tc>
              <w:tc>
                <w:tcPr>
                  <w:tcW w:w="920" w:type="dxa"/>
                  <w:tcBorders>
                    <w:top w:val="nil"/>
                    <w:left w:val="nil"/>
                    <w:bottom w:val="single" w:sz="8" w:space="0" w:color="FFFFFF"/>
                    <w:right w:val="single" w:sz="8" w:space="0" w:color="FFFFFF"/>
                  </w:tcBorders>
                  <w:shd w:val="clear" w:color="000000" w:fill="FCD5B4"/>
                  <w:noWrap/>
                  <w:hideMark/>
                </w:tcPr>
                <w:p w14:paraId="66E4B3A7" w14:textId="548FDFCA"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0.9 </w:t>
                  </w:r>
                </w:p>
              </w:tc>
              <w:tc>
                <w:tcPr>
                  <w:tcW w:w="920" w:type="dxa"/>
                  <w:tcBorders>
                    <w:top w:val="nil"/>
                    <w:left w:val="nil"/>
                    <w:bottom w:val="single" w:sz="8" w:space="0" w:color="FFFFFF"/>
                    <w:right w:val="single" w:sz="8" w:space="0" w:color="FFFFFF"/>
                  </w:tcBorders>
                  <w:shd w:val="clear" w:color="000000" w:fill="FCD5B4"/>
                  <w:noWrap/>
                  <w:hideMark/>
                </w:tcPr>
                <w:p w14:paraId="6ECD03FA" w14:textId="5D771BF0"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0.9 </w:t>
                  </w:r>
                </w:p>
              </w:tc>
              <w:tc>
                <w:tcPr>
                  <w:tcW w:w="920" w:type="dxa"/>
                  <w:tcBorders>
                    <w:top w:val="nil"/>
                    <w:left w:val="nil"/>
                    <w:bottom w:val="single" w:sz="8" w:space="0" w:color="FFFFFF"/>
                    <w:right w:val="single" w:sz="8" w:space="0" w:color="FFFFFF"/>
                  </w:tcBorders>
                  <w:shd w:val="clear" w:color="000000" w:fill="FCD5B4"/>
                  <w:noWrap/>
                  <w:hideMark/>
                </w:tcPr>
                <w:p w14:paraId="4A1E86C1" w14:textId="34C0F5FF"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0.9 </w:t>
                  </w:r>
                </w:p>
              </w:tc>
              <w:tc>
                <w:tcPr>
                  <w:tcW w:w="1149" w:type="dxa"/>
                  <w:tcBorders>
                    <w:top w:val="nil"/>
                    <w:left w:val="nil"/>
                    <w:bottom w:val="nil"/>
                    <w:right w:val="nil"/>
                  </w:tcBorders>
                  <w:shd w:val="clear" w:color="000000" w:fill="FCD5B4"/>
                  <w:noWrap/>
                  <w:hideMark/>
                </w:tcPr>
                <w:p w14:paraId="10247A8D" w14:textId="3A0342CC"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627E1DEE" w14:textId="1E9D8764"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5.6 </w:t>
                  </w:r>
                </w:p>
              </w:tc>
              <w:tc>
                <w:tcPr>
                  <w:tcW w:w="920" w:type="dxa"/>
                  <w:tcBorders>
                    <w:top w:val="nil"/>
                    <w:left w:val="nil"/>
                    <w:bottom w:val="single" w:sz="8" w:space="0" w:color="FFFFFF"/>
                    <w:right w:val="single" w:sz="8" w:space="0" w:color="FFFFFF"/>
                  </w:tcBorders>
                  <w:shd w:val="clear" w:color="000000" w:fill="FCD5B4"/>
                  <w:noWrap/>
                  <w:hideMark/>
                </w:tcPr>
                <w:p w14:paraId="1B4F21D5" w14:textId="21AD8A11"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3.6 </w:t>
                  </w:r>
                </w:p>
              </w:tc>
              <w:tc>
                <w:tcPr>
                  <w:tcW w:w="920" w:type="dxa"/>
                  <w:tcBorders>
                    <w:top w:val="nil"/>
                    <w:left w:val="nil"/>
                    <w:bottom w:val="single" w:sz="8" w:space="0" w:color="FFFFFF"/>
                    <w:right w:val="single" w:sz="8" w:space="0" w:color="FFFFFF"/>
                  </w:tcBorders>
                  <w:shd w:val="clear" w:color="000000" w:fill="FCD5B4"/>
                  <w:noWrap/>
                  <w:hideMark/>
                </w:tcPr>
                <w:p w14:paraId="45D1B136" w14:textId="3D1E07F2"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3.6 </w:t>
                  </w:r>
                </w:p>
              </w:tc>
              <w:tc>
                <w:tcPr>
                  <w:tcW w:w="920" w:type="dxa"/>
                  <w:tcBorders>
                    <w:top w:val="nil"/>
                    <w:left w:val="nil"/>
                    <w:bottom w:val="single" w:sz="8" w:space="0" w:color="FFFFFF"/>
                    <w:right w:val="single" w:sz="8" w:space="0" w:color="FFFFFF"/>
                  </w:tcBorders>
                  <w:shd w:val="clear" w:color="000000" w:fill="FCD5B4"/>
                  <w:noWrap/>
                  <w:hideMark/>
                </w:tcPr>
                <w:p w14:paraId="18882D60" w14:textId="28AE9309" w:rsidR="00692C32" w:rsidRPr="003F4793" w:rsidRDefault="00692C32" w:rsidP="00692C32">
                  <w:pPr>
                    <w:widowControl/>
                    <w:jc w:val="center"/>
                    <w:rPr>
                      <w:rFonts w:ascii="KaiTi" w:eastAsia="KaiTi" w:hAnsi="KaiTi" w:cs="Calibri"/>
                      <w:color w:val="000000"/>
                      <w:kern w:val="0"/>
                      <w:szCs w:val="21"/>
                    </w:rPr>
                  </w:pPr>
                  <w:r w:rsidRPr="00C76E8F">
                    <w:rPr>
                      <w:rFonts w:hint="eastAsia"/>
                    </w:rPr>
                    <w:t xml:space="preserve">3.6 </w:t>
                  </w:r>
                </w:p>
              </w:tc>
            </w:tr>
            <w:tr w:rsidR="00692C32" w:rsidRPr="003F4793" w14:paraId="42AE38BD" w14:textId="77777777" w:rsidTr="00585D46">
              <w:trPr>
                <w:trHeight w:val="160"/>
              </w:trPr>
              <w:tc>
                <w:tcPr>
                  <w:tcW w:w="1309" w:type="dxa"/>
                  <w:tcBorders>
                    <w:top w:val="nil"/>
                    <w:left w:val="nil"/>
                    <w:bottom w:val="nil"/>
                    <w:right w:val="nil"/>
                  </w:tcBorders>
                  <w:shd w:val="clear" w:color="auto" w:fill="auto"/>
                  <w:noWrap/>
                  <w:hideMark/>
                </w:tcPr>
                <w:p w14:paraId="5A7EA8AA" w14:textId="77777777" w:rsidR="00692C32" w:rsidRPr="003F4793" w:rsidRDefault="00692C32" w:rsidP="00692C32">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48196DA8"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908F17"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4ECE1CA7"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542E0E74" w14:textId="77777777" w:rsidR="00692C32" w:rsidRPr="003F4793" w:rsidRDefault="00692C32" w:rsidP="00692C32">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05ED658A"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F5D1A19"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1BF2F6A"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E8AB294" w14:textId="77777777" w:rsidR="00692C32" w:rsidRPr="003F4793" w:rsidRDefault="00692C32" w:rsidP="00692C32">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9F18CA9" w14:textId="77777777" w:rsidR="00692C32" w:rsidRPr="003F4793" w:rsidRDefault="00692C32" w:rsidP="00692C32">
                  <w:pPr>
                    <w:widowControl/>
                    <w:jc w:val="center"/>
                    <w:rPr>
                      <w:rFonts w:ascii="KaiTi" w:eastAsia="KaiTi" w:hAnsi="KaiTi"/>
                      <w:kern w:val="0"/>
                      <w:sz w:val="20"/>
                      <w:szCs w:val="20"/>
                    </w:rPr>
                  </w:pPr>
                </w:p>
              </w:tc>
            </w:tr>
            <w:tr w:rsidR="00692C32" w:rsidRPr="003F4793" w14:paraId="2463192E" w14:textId="77777777" w:rsidTr="00585D46">
              <w:trPr>
                <w:trHeight w:val="310"/>
              </w:trPr>
              <w:tc>
                <w:tcPr>
                  <w:tcW w:w="1309" w:type="dxa"/>
                  <w:tcBorders>
                    <w:top w:val="nil"/>
                    <w:left w:val="nil"/>
                    <w:bottom w:val="single" w:sz="12" w:space="0" w:color="FFFFFF"/>
                    <w:right w:val="single" w:sz="8" w:space="0" w:color="FFFFFF"/>
                  </w:tcBorders>
                  <w:shd w:val="clear" w:color="000000" w:fill="F79646"/>
                  <w:noWrap/>
                  <w:hideMark/>
                </w:tcPr>
                <w:p w14:paraId="30C3828D" w14:textId="0802BCC6"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lastRenderedPageBreak/>
                    <w:t>收益率分位</w:t>
                  </w:r>
                </w:p>
              </w:tc>
              <w:tc>
                <w:tcPr>
                  <w:tcW w:w="740" w:type="dxa"/>
                  <w:tcBorders>
                    <w:top w:val="nil"/>
                    <w:left w:val="nil"/>
                    <w:bottom w:val="single" w:sz="12" w:space="0" w:color="FFFFFF"/>
                    <w:right w:val="single" w:sz="8" w:space="0" w:color="FFFFFF"/>
                  </w:tcBorders>
                  <w:shd w:val="clear" w:color="000000" w:fill="F79646"/>
                  <w:noWrap/>
                  <w:hideMark/>
                </w:tcPr>
                <w:p w14:paraId="57743789" w14:textId="5866D11D"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20835438" w14:textId="3F5465F5"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942ACD3" w14:textId="3C9633CB"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3DED1B9B" w14:textId="684CAC8F"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4C48D3F0" w14:textId="6406C3A2"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20F774BB" w14:textId="02FFA10F"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5045FBE8" w14:textId="585F4854"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7DDC22F" w14:textId="2BC79A0D"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16F42D2" w14:textId="4482087E" w:rsidR="00692C32" w:rsidRPr="003F4793" w:rsidRDefault="00692C32" w:rsidP="00692C32">
                  <w:pPr>
                    <w:widowControl/>
                    <w:jc w:val="center"/>
                    <w:rPr>
                      <w:rFonts w:ascii="KaiTi" w:eastAsia="KaiTi" w:hAnsi="KaiTi" w:cs="宋体"/>
                      <w:b/>
                      <w:bCs/>
                      <w:color w:val="FFFFFF"/>
                      <w:kern w:val="0"/>
                      <w:sz w:val="20"/>
                      <w:szCs w:val="20"/>
                    </w:rPr>
                  </w:pPr>
                  <w:r w:rsidRPr="00C76E8F">
                    <w:rPr>
                      <w:rFonts w:hint="eastAsia"/>
                    </w:rPr>
                    <w:t>AA-</w:t>
                  </w:r>
                </w:p>
              </w:tc>
            </w:tr>
            <w:tr w:rsidR="00692C32" w:rsidRPr="003F4793" w14:paraId="6BCEED0C" w14:textId="77777777" w:rsidTr="00585D46">
              <w:trPr>
                <w:trHeight w:val="321"/>
              </w:trPr>
              <w:tc>
                <w:tcPr>
                  <w:tcW w:w="1309" w:type="dxa"/>
                  <w:tcBorders>
                    <w:top w:val="nil"/>
                    <w:left w:val="nil"/>
                    <w:bottom w:val="single" w:sz="8" w:space="0" w:color="FFFFFF"/>
                    <w:right w:val="single" w:sz="8" w:space="0" w:color="FFFFFF"/>
                  </w:tcBorders>
                  <w:shd w:val="clear" w:color="000000" w:fill="FCD5B4"/>
                  <w:noWrap/>
                  <w:hideMark/>
                </w:tcPr>
                <w:p w14:paraId="08C9B79B" w14:textId="6DEEE9E3" w:rsidR="00692C32" w:rsidRPr="003F4793" w:rsidRDefault="00692C32" w:rsidP="00692C32">
                  <w:pPr>
                    <w:widowControl/>
                    <w:jc w:val="center"/>
                    <w:rPr>
                      <w:rFonts w:ascii="KaiTi" w:eastAsia="KaiTi" w:hAnsi="KaiTi" w:cs="宋体"/>
                      <w:color w:val="000000"/>
                      <w:kern w:val="0"/>
                      <w:sz w:val="20"/>
                      <w:szCs w:val="20"/>
                    </w:rPr>
                  </w:pPr>
                  <w:r w:rsidRPr="00C76E8F">
                    <w:t>CP</w:t>
                  </w:r>
                </w:p>
              </w:tc>
              <w:tc>
                <w:tcPr>
                  <w:tcW w:w="740" w:type="dxa"/>
                  <w:tcBorders>
                    <w:top w:val="nil"/>
                    <w:left w:val="nil"/>
                    <w:bottom w:val="single" w:sz="8" w:space="0" w:color="FFFFFF"/>
                    <w:right w:val="single" w:sz="8" w:space="0" w:color="FFFFFF"/>
                  </w:tcBorders>
                  <w:shd w:val="clear" w:color="000000" w:fill="FCD5B4"/>
                  <w:noWrap/>
                  <w:hideMark/>
                </w:tcPr>
                <w:p w14:paraId="3D9575A3" w14:textId="7A902EF0" w:rsidR="00692C32" w:rsidRPr="003F4793" w:rsidRDefault="00692C32" w:rsidP="00692C32">
                  <w:pPr>
                    <w:widowControl/>
                    <w:jc w:val="center"/>
                    <w:rPr>
                      <w:rFonts w:ascii="KaiTi" w:eastAsia="KaiTi" w:hAnsi="KaiTi" w:cs="Calibri"/>
                      <w:color w:val="000000"/>
                      <w:kern w:val="0"/>
                      <w:szCs w:val="21"/>
                    </w:rPr>
                  </w:pPr>
                  <w:r w:rsidRPr="00C76E8F">
                    <w:t>11%</w:t>
                  </w:r>
                </w:p>
              </w:tc>
              <w:tc>
                <w:tcPr>
                  <w:tcW w:w="920" w:type="dxa"/>
                  <w:tcBorders>
                    <w:top w:val="nil"/>
                    <w:left w:val="nil"/>
                    <w:bottom w:val="single" w:sz="8" w:space="0" w:color="FFFFFF"/>
                    <w:right w:val="single" w:sz="8" w:space="0" w:color="FFFFFF"/>
                  </w:tcBorders>
                  <w:shd w:val="clear" w:color="000000" w:fill="FCD5B4"/>
                  <w:noWrap/>
                  <w:hideMark/>
                </w:tcPr>
                <w:p w14:paraId="29CEB283" w14:textId="3EF35B76" w:rsidR="00692C32" w:rsidRPr="003F4793" w:rsidRDefault="00692C32" w:rsidP="00692C32">
                  <w:pPr>
                    <w:widowControl/>
                    <w:jc w:val="center"/>
                    <w:rPr>
                      <w:rFonts w:ascii="KaiTi" w:eastAsia="KaiTi" w:hAnsi="KaiTi" w:cs="Calibri"/>
                      <w:color w:val="000000"/>
                      <w:kern w:val="0"/>
                      <w:szCs w:val="21"/>
                    </w:rPr>
                  </w:pPr>
                  <w:r w:rsidRPr="00C76E8F">
                    <w:t>8%</w:t>
                  </w:r>
                </w:p>
              </w:tc>
              <w:tc>
                <w:tcPr>
                  <w:tcW w:w="920" w:type="dxa"/>
                  <w:tcBorders>
                    <w:top w:val="nil"/>
                    <w:left w:val="nil"/>
                    <w:bottom w:val="single" w:sz="8" w:space="0" w:color="FFFFFF"/>
                    <w:right w:val="single" w:sz="8" w:space="0" w:color="FFFFFF"/>
                  </w:tcBorders>
                  <w:shd w:val="clear" w:color="000000" w:fill="FCD5B4"/>
                  <w:noWrap/>
                  <w:hideMark/>
                </w:tcPr>
                <w:p w14:paraId="79A327E6" w14:textId="7BD5D3B9" w:rsidR="00692C32" w:rsidRPr="003F4793" w:rsidRDefault="00692C32" w:rsidP="00692C32">
                  <w:pPr>
                    <w:widowControl/>
                    <w:jc w:val="center"/>
                    <w:rPr>
                      <w:rFonts w:ascii="KaiTi" w:eastAsia="KaiTi" w:hAnsi="KaiTi" w:cs="Calibri"/>
                      <w:color w:val="000000"/>
                      <w:kern w:val="0"/>
                      <w:szCs w:val="21"/>
                    </w:rPr>
                  </w:pPr>
                  <w:r w:rsidRPr="00C76E8F">
                    <w:t>9%</w:t>
                  </w:r>
                </w:p>
              </w:tc>
              <w:tc>
                <w:tcPr>
                  <w:tcW w:w="920" w:type="dxa"/>
                  <w:tcBorders>
                    <w:top w:val="nil"/>
                    <w:left w:val="nil"/>
                    <w:bottom w:val="single" w:sz="8" w:space="0" w:color="FFFFFF"/>
                    <w:right w:val="single" w:sz="8" w:space="0" w:color="FFFFFF"/>
                  </w:tcBorders>
                  <w:shd w:val="clear" w:color="000000" w:fill="FCD5B4"/>
                  <w:noWrap/>
                  <w:hideMark/>
                </w:tcPr>
                <w:p w14:paraId="033E9A5E" w14:textId="05FC70DE" w:rsidR="00692C32" w:rsidRPr="003F4793" w:rsidRDefault="00692C32" w:rsidP="00692C32">
                  <w:pPr>
                    <w:widowControl/>
                    <w:jc w:val="center"/>
                    <w:rPr>
                      <w:rFonts w:ascii="KaiTi" w:eastAsia="KaiTi" w:hAnsi="KaiTi" w:cs="Calibri"/>
                      <w:color w:val="000000"/>
                      <w:kern w:val="0"/>
                      <w:szCs w:val="21"/>
                    </w:rPr>
                  </w:pPr>
                  <w:r w:rsidRPr="00C76E8F">
                    <w:t>43%</w:t>
                  </w:r>
                </w:p>
              </w:tc>
              <w:tc>
                <w:tcPr>
                  <w:tcW w:w="1149" w:type="dxa"/>
                  <w:tcBorders>
                    <w:top w:val="nil"/>
                    <w:left w:val="nil"/>
                    <w:bottom w:val="single" w:sz="8" w:space="0" w:color="FFFFFF"/>
                    <w:right w:val="single" w:sz="8" w:space="0" w:color="FFFFFF"/>
                  </w:tcBorders>
                  <w:shd w:val="clear" w:color="000000" w:fill="FCD5B4"/>
                  <w:noWrap/>
                  <w:hideMark/>
                </w:tcPr>
                <w:p w14:paraId="13B4CCB6" w14:textId="700B3EB3" w:rsidR="00692C32" w:rsidRPr="003F4793" w:rsidRDefault="00692C32" w:rsidP="00692C32">
                  <w:pPr>
                    <w:widowControl/>
                    <w:jc w:val="center"/>
                    <w:rPr>
                      <w:rFonts w:ascii="KaiTi" w:eastAsia="KaiTi" w:hAnsi="KaiTi" w:cs="宋体"/>
                      <w:color w:val="000000"/>
                      <w:kern w:val="0"/>
                      <w:sz w:val="20"/>
                      <w:szCs w:val="20"/>
                    </w:rPr>
                  </w:pPr>
                  <w:r w:rsidRPr="00C76E8F">
                    <w:t>CP</w:t>
                  </w:r>
                </w:p>
              </w:tc>
              <w:tc>
                <w:tcPr>
                  <w:tcW w:w="920" w:type="dxa"/>
                  <w:tcBorders>
                    <w:top w:val="nil"/>
                    <w:left w:val="nil"/>
                    <w:bottom w:val="single" w:sz="8" w:space="0" w:color="FFFFFF"/>
                    <w:right w:val="single" w:sz="8" w:space="0" w:color="FFFFFF"/>
                  </w:tcBorders>
                  <w:shd w:val="clear" w:color="000000" w:fill="FCD5B4"/>
                  <w:noWrap/>
                  <w:hideMark/>
                </w:tcPr>
                <w:p w14:paraId="1A1E1D51" w14:textId="66A77E90" w:rsidR="00692C32" w:rsidRPr="003F4793" w:rsidRDefault="00692C32" w:rsidP="00692C32">
                  <w:pPr>
                    <w:widowControl/>
                    <w:jc w:val="center"/>
                    <w:rPr>
                      <w:rFonts w:ascii="KaiTi" w:eastAsia="KaiTi" w:hAnsi="KaiTi" w:cs="Calibri"/>
                      <w:color w:val="000000"/>
                      <w:kern w:val="0"/>
                      <w:szCs w:val="21"/>
                    </w:rPr>
                  </w:pPr>
                  <w:r w:rsidRPr="00C76E8F">
                    <w:t>0%</w:t>
                  </w:r>
                </w:p>
              </w:tc>
              <w:tc>
                <w:tcPr>
                  <w:tcW w:w="920" w:type="dxa"/>
                  <w:tcBorders>
                    <w:top w:val="nil"/>
                    <w:left w:val="nil"/>
                    <w:bottom w:val="single" w:sz="8" w:space="0" w:color="FFFFFF"/>
                    <w:right w:val="single" w:sz="8" w:space="0" w:color="FFFFFF"/>
                  </w:tcBorders>
                  <w:shd w:val="clear" w:color="000000" w:fill="FCD5B4"/>
                  <w:noWrap/>
                  <w:hideMark/>
                </w:tcPr>
                <w:p w14:paraId="10576394" w14:textId="5BEB4EBA" w:rsidR="00692C32" w:rsidRPr="003F4793" w:rsidRDefault="00692C32" w:rsidP="00692C32">
                  <w:pPr>
                    <w:widowControl/>
                    <w:jc w:val="center"/>
                    <w:rPr>
                      <w:rFonts w:ascii="KaiTi" w:eastAsia="KaiTi" w:hAnsi="KaiTi" w:cs="Calibri"/>
                      <w:color w:val="000000"/>
                      <w:kern w:val="0"/>
                      <w:szCs w:val="21"/>
                    </w:rPr>
                  </w:pPr>
                  <w:r w:rsidRPr="00C76E8F">
                    <w:t>0%</w:t>
                  </w:r>
                </w:p>
              </w:tc>
              <w:tc>
                <w:tcPr>
                  <w:tcW w:w="920" w:type="dxa"/>
                  <w:tcBorders>
                    <w:top w:val="nil"/>
                    <w:left w:val="nil"/>
                    <w:bottom w:val="single" w:sz="8" w:space="0" w:color="FFFFFF"/>
                    <w:right w:val="single" w:sz="8" w:space="0" w:color="FFFFFF"/>
                  </w:tcBorders>
                  <w:shd w:val="clear" w:color="000000" w:fill="FCD5B4"/>
                  <w:noWrap/>
                  <w:hideMark/>
                </w:tcPr>
                <w:p w14:paraId="0393CC42" w14:textId="1DF59B50" w:rsidR="00692C32" w:rsidRPr="003F4793" w:rsidRDefault="00692C32" w:rsidP="00692C32">
                  <w:pPr>
                    <w:widowControl/>
                    <w:jc w:val="center"/>
                    <w:rPr>
                      <w:rFonts w:ascii="KaiTi" w:eastAsia="KaiTi" w:hAnsi="KaiTi" w:cs="Calibri"/>
                      <w:color w:val="000000"/>
                      <w:kern w:val="0"/>
                      <w:szCs w:val="21"/>
                    </w:rPr>
                  </w:pPr>
                  <w:r w:rsidRPr="00C76E8F">
                    <w:t>0%</w:t>
                  </w:r>
                </w:p>
              </w:tc>
              <w:tc>
                <w:tcPr>
                  <w:tcW w:w="920" w:type="dxa"/>
                  <w:tcBorders>
                    <w:top w:val="nil"/>
                    <w:left w:val="nil"/>
                    <w:bottom w:val="single" w:sz="8" w:space="0" w:color="FFFFFF"/>
                    <w:right w:val="single" w:sz="8" w:space="0" w:color="FFFFFF"/>
                  </w:tcBorders>
                  <w:shd w:val="clear" w:color="000000" w:fill="FCD5B4"/>
                  <w:noWrap/>
                  <w:hideMark/>
                </w:tcPr>
                <w:p w14:paraId="580FA8E3" w14:textId="204D6B75" w:rsidR="00692C32" w:rsidRPr="003F4793" w:rsidRDefault="00692C32" w:rsidP="00692C32">
                  <w:pPr>
                    <w:widowControl/>
                    <w:jc w:val="center"/>
                    <w:rPr>
                      <w:rFonts w:ascii="KaiTi" w:eastAsia="KaiTi" w:hAnsi="KaiTi" w:cs="Calibri"/>
                      <w:color w:val="000000"/>
                      <w:kern w:val="0"/>
                      <w:szCs w:val="21"/>
                    </w:rPr>
                  </w:pPr>
                  <w:r w:rsidRPr="00C76E8F">
                    <w:t>58%</w:t>
                  </w:r>
                </w:p>
              </w:tc>
            </w:tr>
            <w:tr w:rsidR="00692C32" w:rsidRPr="003F4793" w14:paraId="3DF945E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7C68C45D" w14:textId="4BCEDFD2" w:rsidR="00692C32" w:rsidRPr="003F4793" w:rsidRDefault="00692C32" w:rsidP="00692C32">
                  <w:pPr>
                    <w:widowControl/>
                    <w:jc w:val="center"/>
                    <w:rPr>
                      <w:rFonts w:ascii="KaiTi" w:eastAsia="KaiTi" w:hAnsi="KaiTi" w:cs="宋体"/>
                      <w:color w:val="000000"/>
                      <w:kern w:val="0"/>
                      <w:sz w:val="20"/>
                      <w:szCs w:val="20"/>
                    </w:rPr>
                  </w:pPr>
                  <w:r w:rsidRPr="00C76E8F">
                    <w:t>MTN3Y</w:t>
                  </w:r>
                </w:p>
              </w:tc>
              <w:tc>
                <w:tcPr>
                  <w:tcW w:w="740" w:type="dxa"/>
                  <w:tcBorders>
                    <w:top w:val="nil"/>
                    <w:left w:val="nil"/>
                    <w:bottom w:val="single" w:sz="8" w:space="0" w:color="FFFFFF"/>
                    <w:right w:val="single" w:sz="8" w:space="0" w:color="FFFFFF"/>
                  </w:tcBorders>
                  <w:shd w:val="clear" w:color="000000" w:fill="FDE9D9"/>
                  <w:noWrap/>
                  <w:hideMark/>
                </w:tcPr>
                <w:p w14:paraId="5A423046" w14:textId="30255C20" w:rsidR="00692C32" w:rsidRPr="003F4793" w:rsidRDefault="00692C32" w:rsidP="00692C32">
                  <w:pPr>
                    <w:widowControl/>
                    <w:jc w:val="center"/>
                    <w:rPr>
                      <w:rFonts w:ascii="KaiTi" w:eastAsia="KaiTi" w:hAnsi="KaiTi" w:cs="Calibri"/>
                      <w:color w:val="000000"/>
                      <w:kern w:val="0"/>
                      <w:szCs w:val="21"/>
                    </w:rPr>
                  </w:pPr>
                  <w:r w:rsidRPr="00C76E8F">
                    <w:t>10%</w:t>
                  </w:r>
                </w:p>
              </w:tc>
              <w:tc>
                <w:tcPr>
                  <w:tcW w:w="920" w:type="dxa"/>
                  <w:tcBorders>
                    <w:top w:val="nil"/>
                    <w:left w:val="nil"/>
                    <w:bottom w:val="single" w:sz="8" w:space="0" w:color="FFFFFF"/>
                    <w:right w:val="single" w:sz="8" w:space="0" w:color="FFFFFF"/>
                  </w:tcBorders>
                  <w:shd w:val="clear" w:color="000000" w:fill="FDE9D9"/>
                  <w:noWrap/>
                  <w:hideMark/>
                </w:tcPr>
                <w:p w14:paraId="3842DD73" w14:textId="14B15AA1" w:rsidR="00692C32" w:rsidRPr="003F4793" w:rsidRDefault="00692C32" w:rsidP="00692C32">
                  <w:pPr>
                    <w:widowControl/>
                    <w:jc w:val="center"/>
                    <w:rPr>
                      <w:rFonts w:ascii="KaiTi" w:eastAsia="KaiTi" w:hAnsi="KaiTi" w:cs="Calibri"/>
                      <w:color w:val="000000"/>
                      <w:kern w:val="0"/>
                      <w:szCs w:val="21"/>
                    </w:rPr>
                  </w:pPr>
                  <w:r w:rsidRPr="00C76E8F">
                    <w:t>7%</w:t>
                  </w:r>
                </w:p>
              </w:tc>
              <w:tc>
                <w:tcPr>
                  <w:tcW w:w="920" w:type="dxa"/>
                  <w:tcBorders>
                    <w:top w:val="nil"/>
                    <w:left w:val="nil"/>
                    <w:bottom w:val="single" w:sz="8" w:space="0" w:color="FFFFFF"/>
                    <w:right w:val="single" w:sz="8" w:space="0" w:color="FFFFFF"/>
                  </w:tcBorders>
                  <w:shd w:val="clear" w:color="000000" w:fill="FDE9D9"/>
                  <w:noWrap/>
                  <w:hideMark/>
                </w:tcPr>
                <w:p w14:paraId="78364D74" w14:textId="46E34061" w:rsidR="00692C32" w:rsidRPr="003F4793" w:rsidRDefault="00692C32" w:rsidP="00692C32">
                  <w:pPr>
                    <w:widowControl/>
                    <w:jc w:val="center"/>
                    <w:rPr>
                      <w:rFonts w:ascii="KaiTi" w:eastAsia="KaiTi" w:hAnsi="KaiTi" w:cs="Calibri"/>
                      <w:color w:val="000000"/>
                      <w:kern w:val="0"/>
                      <w:szCs w:val="21"/>
                    </w:rPr>
                  </w:pPr>
                  <w:r w:rsidRPr="00C76E8F">
                    <w:t>9%</w:t>
                  </w:r>
                </w:p>
              </w:tc>
              <w:tc>
                <w:tcPr>
                  <w:tcW w:w="920" w:type="dxa"/>
                  <w:tcBorders>
                    <w:top w:val="nil"/>
                    <w:left w:val="nil"/>
                    <w:bottom w:val="single" w:sz="8" w:space="0" w:color="FFFFFF"/>
                    <w:right w:val="single" w:sz="8" w:space="0" w:color="FFFFFF"/>
                  </w:tcBorders>
                  <w:shd w:val="clear" w:color="000000" w:fill="FDE9D9"/>
                  <w:noWrap/>
                  <w:hideMark/>
                </w:tcPr>
                <w:p w14:paraId="564662AF" w14:textId="35B7ED0A" w:rsidR="00692C32" w:rsidRPr="003F4793" w:rsidRDefault="00692C32" w:rsidP="00692C32">
                  <w:pPr>
                    <w:widowControl/>
                    <w:jc w:val="center"/>
                    <w:rPr>
                      <w:rFonts w:ascii="KaiTi" w:eastAsia="KaiTi" w:hAnsi="KaiTi" w:cs="Calibri"/>
                      <w:color w:val="000000"/>
                      <w:kern w:val="0"/>
                      <w:szCs w:val="21"/>
                    </w:rPr>
                  </w:pPr>
                  <w:r w:rsidRPr="00C76E8F">
                    <w:t>48%</w:t>
                  </w:r>
                </w:p>
              </w:tc>
              <w:tc>
                <w:tcPr>
                  <w:tcW w:w="1149" w:type="dxa"/>
                  <w:tcBorders>
                    <w:top w:val="nil"/>
                    <w:left w:val="nil"/>
                    <w:bottom w:val="single" w:sz="8" w:space="0" w:color="FFFFFF"/>
                    <w:right w:val="single" w:sz="8" w:space="0" w:color="FFFFFF"/>
                  </w:tcBorders>
                  <w:shd w:val="clear" w:color="000000" w:fill="FDE9D9"/>
                  <w:noWrap/>
                  <w:hideMark/>
                </w:tcPr>
                <w:p w14:paraId="6544C40A" w14:textId="58E2352A" w:rsidR="00692C32" w:rsidRPr="003F4793" w:rsidRDefault="00692C32" w:rsidP="00692C32">
                  <w:pPr>
                    <w:widowControl/>
                    <w:jc w:val="center"/>
                    <w:rPr>
                      <w:rFonts w:ascii="KaiTi" w:eastAsia="KaiTi" w:hAnsi="KaiTi" w:cs="宋体"/>
                      <w:color w:val="000000"/>
                      <w:kern w:val="0"/>
                      <w:sz w:val="20"/>
                      <w:szCs w:val="20"/>
                    </w:rPr>
                  </w:pPr>
                  <w:r w:rsidRPr="00C76E8F">
                    <w:t>MTN3Y</w:t>
                  </w:r>
                </w:p>
              </w:tc>
              <w:tc>
                <w:tcPr>
                  <w:tcW w:w="920" w:type="dxa"/>
                  <w:tcBorders>
                    <w:top w:val="nil"/>
                    <w:left w:val="nil"/>
                    <w:bottom w:val="single" w:sz="8" w:space="0" w:color="FFFFFF"/>
                    <w:right w:val="single" w:sz="8" w:space="0" w:color="FFFFFF"/>
                  </w:tcBorders>
                  <w:shd w:val="clear" w:color="000000" w:fill="FDE9D9"/>
                  <w:noWrap/>
                  <w:hideMark/>
                </w:tcPr>
                <w:p w14:paraId="1A21A620" w14:textId="2158FB10" w:rsidR="00692C32" w:rsidRPr="003F4793" w:rsidRDefault="00692C32" w:rsidP="00692C32">
                  <w:pPr>
                    <w:widowControl/>
                    <w:jc w:val="center"/>
                    <w:rPr>
                      <w:rFonts w:ascii="KaiTi" w:eastAsia="KaiTi" w:hAnsi="KaiTi" w:cs="Calibri"/>
                      <w:color w:val="000000"/>
                      <w:kern w:val="0"/>
                      <w:szCs w:val="21"/>
                    </w:rPr>
                  </w:pPr>
                  <w:r w:rsidRPr="00C76E8F">
                    <w:t>1%</w:t>
                  </w:r>
                </w:p>
              </w:tc>
              <w:tc>
                <w:tcPr>
                  <w:tcW w:w="920" w:type="dxa"/>
                  <w:tcBorders>
                    <w:top w:val="nil"/>
                    <w:left w:val="nil"/>
                    <w:bottom w:val="single" w:sz="8" w:space="0" w:color="FFFFFF"/>
                    <w:right w:val="single" w:sz="8" w:space="0" w:color="FFFFFF"/>
                  </w:tcBorders>
                  <w:shd w:val="clear" w:color="000000" w:fill="FDE9D9"/>
                  <w:noWrap/>
                  <w:hideMark/>
                </w:tcPr>
                <w:p w14:paraId="17EEE215" w14:textId="546FF9CB" w:rsidR="00692C32" w:rsidRPr="003F4793" w:rsidRDefault="00692C32" w:rsidP="00692C32">
                  <w:pPr>
                    <w:widowControl/>
                    <w:jc w:val="center"/>
                    <w:rPr>
                      <w:rFonts w:ascii="KaiTi" w:eastAsia="KaiTi" w:hAnsi="KaiTi" w:cs="Calibri"/>
                      <w:color w:val="000000"/>
                      <w:kern w:val="0"/>
                      <w:szCs w:val="21"/>
                    </w:rPr>
                  </w:pPr>
                  <w:r w:rsidRPr="00C76E8F">
                    <w:t>0%</w:t>
                  </w:r>
                </w:p>
              </w:tc>
              <w:tc>
                <w:tcPr>
                  <w:tcW w:w="920" w:type="dxa"/>
                  <w:tcBorders>
                    <w:top w:val="nil"/>
                    <w:left w:val="nil"/>
                    <w:bottom w:val="single" w:sz="8" w:space="0" w:color="FFFFFF"/>
                    <w:right w:val="single" w:sz="8" w:space="0" w:color="FFFFFF"/>
                  </w:tcBorders>
                  <w:shd w:val="clear" w:color="000000" w:fill="FDE9D9"/>
                  <w:noWrap/>
                  <w:hideMark/>
                </w:tcPr>
                <w:p w14:paraId="42640BE8" w14:textId="2457587A" w:rsidR="00692C32" w:rsidRPr="003F4793" w:rsidRDefault="00692C32" w:rsidP="00692C32">
                  <w:pPr>
                    <w:widowControl/>
                    <w:jc w:val="center"/>
                    <w:rPr>
                      <w:rFonts w:ascii="KaiTi" w:eastAsia="KaiTi" w:hAnsi="KaiTi" w:cs="Calibri"/>
                      <w:color w:val="000000"/>
                      <w:kern w:val="0"/>
                      <w:szCs w:val="21"/>
                    </w:rPr>
                  </w:pPr>
                  <w:r w:rsidRPr="00C76E8F">
                    <w:t>11%</w:t>
                  </w:r>
                </w:p>
              </w:tc>
              <w:tc>
                <w:tcPr>
                  <w:tcW w:w="920" w:type="dxa"/>
                  <w:tcBorders>
                    <w:top w:val="nil"/>
                    <w:left w:val="nil"/>
                    <w:bottom w:val="single" w:sz="8" w:space="0" w:color="FFFFFF"/>
                    <w:right w:val="single" w:sz="8" w:space="0" w:color="FFFFFF"/>
                  </w:tcBorders>
                  <w:shd w:val="clear" w:color="000000" w:fill="FDE9D9"/>
                  <w:noWrap/>
                  <w:hideMark/>
                </w:tcPr>
                <w:p w14:paraId="132999AD" w14:textId="3CBBD974" w:rsidR="00692C32" w:rsidRPr="003F4793" w:rsidRDefault="00692C32" w:rsidP="00692C32">
                  <w:pPr>
                    <w:widowControl/>
                    <w:jc w:val="center"/>
                    <w:rPr>
                      <w:rFonts w:ascii="KaiTi" w:eastAsia="KaiTi" w:hAnsi="KaiTi" w:cs="Calibri"/>
                      <w:color w:val="000000"/>
                      <w:kern w:val="0"/>
                      <w:szCs w:val="21"/>
                    </w:rPr>
                  </w:pPr>
                  <w:r w:rsidRPr="00C76E8F">
                    <w:t>73%</w:t>
                  </w:r>
                </w:p>
              </w:tc>
            </w:tr>
            <w:tr w:rsidR="00692C32" w:rsidRPr="003F4793" w14:paraId="311BF477"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1EFAC63F" w14:textId="354C59C2" w:rsidR="00692C32" w:rsidRPr="003F4793" w:rsidRDefault="00692C32" w:rsidP="00692C32">
                  <w:pPr>
                    <w:widowControl/>
                    <w:jc w:val="center"/>
                    <w:rPr>
                      <w:rFonts w:ascii="KaiTi" w:eastAsia="KaiTi" w:hAnsi="KaiTi" w:cs="宋体"/>
                      <w:color w:val="000000"/>
                      <w:kern w:val="0"/>
                      <w:sz w:val="20"/>
                      <w:szCs w:val="20"/>
                    </w:rPr>
                  </w:pPr>
                  <w:r w:rsidRPr="00C76E8F">
                    <w:t>MTN5Y</w:t>
                  </w:r>
                </w:p>
              </w:tc>
              <w:tc>
                <w:tcPr>
                  <w:tcW w:w="740" w:type="dxa"/>
                  <w:tcBorders>
                    <w:top w:val="nil"/>
                    <w:left w:val="nil"/>
                    <w:bottom w:val="single" w:sz="8" w:space="0" w:color="FFFFFF"/>
                    <w:right w:val="single" w:sz="8" w:space="0" w:color="FFFFFF"/>
                  </w:tcBorders>
                  <w:shd w:val="clear" w:color="000000" w:fill="FCD5B4"/>
                  <w:noWrap/>
                  <w:hideMark/>
                </w:tcPr>
                <w:p w14:paraId="15941BE2" w14:textId="4C2B7E54" w:rsidR="00692C32" w:rsidRPr="003F4793" w:rsidRDefault="00692C32" w:rsidP="00692C32">
                  <w:pPr>
                    <w:widowControl/>
                    <w:jc w:val="center"/>
                    <w:rPr>
                      <w:rFonts w:ascii="KaiTi" w:eastAsia="KaiTi" w:hAnsi="KaiTi" w:cs="Calibri"/>
                      <w:color w:val="000000"/>
                      <w:kern w:val="0"/>
                      <w:szCs w:val="21"/>
                    </w:rPr>
                  </w:pPr>
                  <w:r w:rsidRPr="00C76E8F">
                    <w:t>7%</w:t>
                  </w:r>
                </w:p>
              </w:tc>
              <w:tc>
                <w:tcPr>
                  <w:tcW w:w="920" w:type="dxa"/>
                  <w:tcBorders>
                    <w:top w:val="nil"/>
                    <w:left w:val="nil"/>
                    <w:bottom w:val="single" w:sz="8" w:space="0" w:color="FFFFFF"/>
                    <w:right w:val="single" w:sz="8" w:space="0" w:color="FFFFFF"/>
                  </w:tcBorders>
                  <w:shd w:val="clear" w:color="000000" w:fill="FCD5B4"/>
                  <w:noWrap/>
                  <w:hideMark/>
                </w:tcPr>
                <w:p w14:paraId="6DFE5B08" w14:textId="2491A4D7" w:rsidR="00692C32" w:rsidRPr="003F4793" w:rsidRDefault="00692C32" w:rsidP="00692C32">
                  <w:pPr>
                    <w:widowControl/>
                    <w:jc w:val="center"/>
                    <w:rPr>
                      <w:rFonts w:ascii="KaiTi" w:eastAsia="KaiTi" w:hAnsi="KaiTi" w:cs="Calibri"/>
                      <w:color w:val="000000"/>
                      <w:kern w:val="0"/>
                      <w:szCs w:val="21"/>
                    </w:rPr>
                  </w:pPr>
                  <w:r w:rsidRPr="00C76E8F">
                    <w:t>5%</w:t>
                  </w:r>
                </w:p>
              </w:tc>
              <w:tc>
                <w:tcPr>
                  <w:tcW w:w="920" w:type="dxa"/>
                  <w:tcBorders>
                    <w:top w:val="nil"/>
                    <w:left w:val="nil"/>
                    <w:bottom w:val="single" w:sz="8" w:space="0" w:color="FFFFFF"/>
                    <w:right w:val="single" w:sz="8" w:space="0" w:color="FFFFFF"/>
                  </w:tcBorders>
                  <w:shd w:val="clear" w:color="000000" w:fill="FCD5B4"/>
                  <w:noWrap/>
                  <w:hideMark/>
                </w:tcPr>
                <w:p w14:paraId="51F72902" w14:textId="3DEC86FE" w:rsidR="00692C32" w:rsidRPr="003F4793" w:rsidRDefault="00692C32" w:rsidP="00692C32">
                  <w:pPr>
                    <w:widowControl/>
                    <w:jc w:val="center"/>
                    <w:rPr>
                      <w:rFonts w:ascii="KaiTi" w:eastAsia="KaiTi" w:hAnsi="KaiTi" w:cs="Calibri"/>
                      <w:color w:val="000000"/>
                      <w:kern w:val="0"/>
                      <w:szCs w:val="21"/>
                    </w:rPr>
                  </w:pPr>
                  <w:r w:rsidRPr="00C76E8F">
                    <w:t>7%</w:t>
                  </w:r>
                </w:p>
              </w:tc>
              <w:tc>
                <w:tcPr>
                  <w:tcW w:w="920" w:type="dxa"/>
                  <w:tcBorders>
                    <w:top w:val="nil"/>
                    <w:left w:val="nil"/>
                    <w:bottom w:val="single" w:sz="8" w:space="0" w:color="FFFFFF"/>
                    <w:right w:val="single" w:sz="8" w:space="0" w:color="FFFFFF"/>
                  </w:tcBorders>
                  <w:shd w:val="clear" w:color="000000" w:fill="FCD5B4"/>
                  <w:noWrap/>
                  <w:hideMark/>
                </w:tcPr>
                <w:p w14:paraId="11ED092C" w14:textId="3FF89B5A" w:rsidR="00692C32" w:rsidRPr="003F4793" w:rsidRDefault="00692C32" w:rsidP="00692C32">
                  <w:pPr>
                    <w:widowControl/>
                    <w:jc w:val="center"/>
                    <w:rPr>
                      <w:rFonts w:ascii="KaiTi" w:eastAsia="KaiTi" w:hAnsi="KaiTi" w:cs="Calibri"/>
                      <w:color w:val="000000"/>
                      <w:kern w:val="0"/>
                      <w:szCs w:val="21"/>
                    </w:rPr>
                  </w:pPr>
                  <w:r w:rsidRPr="00C76E8F">
                    <w:t>45%</w:t>
                  </w:r>
                </w:p>
              </w:tc>
              <w:tc>
                <w:tcPr>
                  <w:tcW w:w="1149" w:type="dxa"/>
                  <w:tcBorders>
                    <w:top w:val="nil"/>
                    <w:left w:val="nil"/>
                    <w:bottom w:val="single" w:sz="8" w:space="0" w:color="FFFFFF"/>
                    <w:right w:val="single" w:sz="8" w:space="0" w:color="FFFFFF"/>
                  </w:tcBorders>
                  <w:shd w:val="clear" w:color="000000" w:fill="FCD5B4"/>
                  <w:noWrap/>
                  <w:hideMark/>
                </w:tcPr>
                <w:p w14:paraId="4D858F7C" w14:textId="46BB2312" w:rsidR="00692C32" w:rsidRPr="003F4793" w:rsidRDefault="00692C32" w:rsidP="00692C32">
                  <w:pPr>
                    <w:widowControl/>
                    <w:jc w:val="center"/>
                    <w:rPr>
                      <w:rFonts w:ascii="KaiTi" w:eastAsia="KaiTi" w:hAnsi="KaiTi" w:cs="宋体"/>
                      <w:color w:val="000000"/>
                      <w:kern w:val="0"/>
                      <w:sz w:val="20"/>
                      <w:szCs w:val="20"/>
                    </w:rPr>
                  </w:pPr>
                  <w:r w:rsidRPr="00C76E8F">
                    <w:t>MTN5Y</w:t>
                  </w:r>
                </w:p>
              </w:tc>
              <w:tc>
                <w:tcPr>
                  <w:tcW w:w="920" w:type="dxa"/>
                  <w:tcBorders>
                    <w:top w:val="nil"/>
                    <w:left w:val="nil"/>
                    <w:bottom w:val="single" w:sz="8" w:space="0" w:color="FFFFFF"/>
                    <w:right w:val="single" w:sz="8" w:space="0" w:color="FFFFFF"/>
                  </w:tcBorders>
                  <w:shd w:val="clear" w:color="000000" w:fill="FCD5B4"/>
                  <w:noWrap/>
                  <w:hideMark/>
                </w:tcPr>
                <w:p w14:paraId="17DE7239" w14:textId="0C885AD6" w:rsidR="00692C32" w:rsidRPr="003F4793" w:rsidRDefault="00692C32" w:rsidP="00692C32">
                  <w:pPr>
                    <w:widowControl/>
                    <w:jc w:val="center"/>
                    <w:rPr>
                      <w:rFonts w:ascii="KaiTi" w:eastAsia="KaiTi" w:hAnsi="KaiTi" w:cs="Calibri"/>
                      <w:color w:val="000000"/>
                      <w:kern w:val="0"/>
                      <w:szCs w:val="21"/>
                    </w:rPr>
                  </w:pPr>
                  <w:r w:rsidRPr="00C76E8F">
                    <w:t>2%</w:t>
                  </w:r>
                </w:p>
              </w:tc>
              <w:tc>
                <w:tcPr>
                  <w:tcW w:w="920" w:type="dxa"/>
                  <w:tcBorders>
                    <w:top w:val="nil"/>
                    <w:left w:val="nil"/>
                    <w:bottom w:val="single" w:sz="8" w:space="0" w:color="FFFFFF"/>
                    <w:right w:val="single" w:sz="8" w:space="0" w:color="FFFFFF"/>
                  </w:tcBorders>
                  <w:shd w:val="clear" w:color="000000" w:fill="FCD5B4"/>
                  <w:noWrap/>
                  <w:hideMark/>
                </w:tcPr>
                <w:p w14:paraId="4BD0B6F1" w14:textId="4964B681" w:rsidR="00692C32" w:rsidRPr="003F4793" w:rsidRDefault="00692C32" w:rsidP="00692C32">
                  <w:pPr>
                    <w:widowControl/>
                    <w:jc w:val="center"/>
                    <w:rPr>
                      <w:rFonts w:ascii="KaiTi" w:eastAsia="KaiTi" w:hAnsi="KaiTi" w:cs="Calibri"/>
                      <w:color w:val="000000"/>
                      <w:kern w:val="0"/>
                      <w:szCs w:val="21"/>
                    </w:rPr>
                  </w:pPr>
                  <w:r w:rsidRPr="00C76E8F">
                    <w:t>0%</w:t>
                  </w:r>
                </w:p>
              </w:tc>
              <w:tc>
                <w:tcPr>
                  <w:tcW w:w="920" w:type="dxa"/>
                  <w:tcBorders>
                    <w:top w:val="nil"/>
                    <w:left w:val="nil"/>
                    <w:bottom w:val="single" w:sz="8" w:space="0" w:color="FFFFFF"/>
                    <w:right w:val="single" w:sz="8" w:space="0" w:color="FFFFFF"/>
                  </w:tcBorders>
                  <w:shd w:val="clear" w:color="000000" w:fill="FCD5B4"/>
                  <w:noWrap/>
                  <w:hideMark/>
                </w:tcPr>
                <w:p w14:paraId="21072B45" w14:textId="00EC8944" w:rsidR="00692C32" w:rsidRPr="003F4793" w:rsidRDefault="00692C32" w:rsidP="00692C32">
                  <w:pPr>
                    <w:widowControl/>
                    <w:jc w:val="center"/>
                    <w:rPr>
                      <w:rFonts w:ascii="KaiTi" w:eastAsia="KaiTi" w:hAnsi="KaiTi" w:cs="Calibri"/>
                      <w:color w:val="000000"/>
                      <w:kern w:val="0"/>
                      <w:szCs w:val="21"/>
                    </w:rPr>
                  </w:pPr>
                  <w:r w:rsidRPr="00C76E8F">
                    <w:t>9%</w:t>
                  </w:r>
                </w:p>
              </w:tc>
              <w:tc>
                <w:tcPr>
                  <w:tcW w:w="920" w:type="dxa"/>
                  <w:tcBorders>
                    <w:top w:val="nil"/>
                    <w:left w:val="nil"/>
                    <w:bottom w:val="single" w:sz="8" w:space="0" w:color="FFFFFF"/>
                    <w:right w:val="single" w:sz="8" w:space="0" w:color="FFFFFF"/>
                  </w:tcBorders>
                  <w:shd w:val="clear" w:color="000000" w:fill="FCD5B4"/>
                  <w:noWrap/>
                  <w:hideMark/>
                </w:tcPr>
                <w:p w14:paraId="2B13C93D" w14:textId="690807AB" w:rsidR="00692C32" w:rsidRPr="003F4793" w:rsidRDefault="00692C32" w:rsidP="00692C32">
                  <w:pPr>
                    <w:widowControl/>
                    <w:jc w:val="center"/>
                    <w:rPr>
                      <w:rFonts w:ascii="KaiTi" w:eastAsia="KaiTi" w:hAnsi="KaiTi" w:cs="Calibri"/>
                      <w:color w:val="000000"/>
                      <w:kern w:val="0"/>
                      <w:szCs w:val="21"/>
                    </w:rPr>
                  </w:pPr>
                  <w:r w:rsidRPr="00C76E8F">
                    <w:t>71%</w:t>
                  </w:r>
                </w:p>
              </w:tc>
            </w:tr>
            <w:tr w:rsidR="00692C32" w:rsidRPr="003F4793" w14:paraId="61191F6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187E41C4" w14:textId="4E6FF259"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3Y</w:t>
                  </w:r>
                </w:p>
              </w:tc>
              <w:tc>
                <w:tcPr>
                  <w:tcW w:w="740" w:type="dxa"/>
                  <w:tcBorders>
                    <w:top w:val="nil"/>
                    <w:left w:val="nil"/>
                    <w:bottom w:val="single" w:sz="8" w:space="0" w:color="FFFFFF"/>
                    <w:right w:val="single" w:sz="8" w:space="0" w:color="FFFFFF"/>
                  </w:tcBorders>
                  <w:shd w:val="clear" w:color="000000" w:fill="FDE9D9"/>
                  <w:noWrap/>
                  <w:hideMark/>
                </w:tcPr>
                <w:p w14:paraId="3EADA916" w14:textId="1EF86AA9" w:rsidR="00692C32" w:rsidRPr="003F4793" w:rsidRDefault="00692C32" w:rsidP="00692C32">
                  <w:pPr>
                    <w:widowControl/>
                    <w:jc w:val="center"/>
                    <w:rPr>
                      <w:rFonts w:ascii="KaiTi" w:eastAsia="KaiTi" w:hAnsi="KaiTi" w:cs="Calibri"/>
                      <w:color w:val="000000"/>
                      <w:kern w:val="0"/>
                      <w:szCs w:val="21"/>
                    </w:rPr>
                  </w:pPr>
                  <w:r w:rsidRPr="00C76E8F">
                    <w:rPr>
                      <w:rFonts w:hint="eastAsia"/>
                    </w:rPr>
                    <w:t>9%</w:t>
                  </w:r>
                </w:p>
              </w:tc>
              <w:tc>
                <w:tcPr>
                  <w:tcW w:w="920" w:type="dxa"/>
                  <w:tcBorders>
                    <w:top w:val="nil"/>
                    <w:left w:val="nil"/>
                    <w:bottom w:val="single" w:sz="8" w:space="0" w:color="FFFFFF"/>
                    <w:right w:val="single" w:sz="8" w:space="0" w:color="FFFFFF"/>
                  </w:tcBorders>
                  <w:shd w:val="clear" w:color="000000" w:fill="FDE9D9"/>
                  <w:noWrap/>
                  <w:hideMark/>
                </w:tcPr>
                <w:p w14:paraId="273C8344" w14:textId="6CC4C6F0"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DE9D9"/>
                  <w:noWrap/>
                  <w:hideMark/>
                </w:tcPr>
                <w:p w14:paraId="57848C1D" w14:textId="231B2EAB" w:rsidR="00692C32" w:rsidRPr="003F4793" w:rsidRDefault="00692C32" w:rsidP="00692C32">
                  <w:pPr>
                    <w:widowControl/>
                    <w:jc w:val="center"/>
                    <w:rPr>
                      <w:rFonts w:ascii="KaiTi" w:eastAsia="KaiTi" w:hAnsi="KaiTi" w:cs="Calibri"/>
                      <w:color w:val="000000"/>
                      <w:kern w:val="0"/>
                      <w:szCs w:val="21"/>
                    </w:rPr>
                  </w:pPr>
                  <w:r w:rsidRPr="00C76E8F">
                    <w:rPr>
                      <w:rFonts w:hint="eastAsia"/>
                    </w:rPr>
                    <w:t>11%</w:t>
                  </w:r>
                </w:p>
              </w:tc>
              <w:tc>
                <w:tcPr>
                  <w:tcW w:w="920" w:type="dxa"/>
                  <w:tcBorders>
                    <w:top w:val="nil"/>
                    <w:left w:val="nil"/>
                    <w:bottom w:val="single" w:sz="8" w:space="0" w:color="FFFFFF"/>
                    <w:right w:val="single" w:sz="8" w:space="0" w:color="FFFFFF"/>
                  </w:tcBorders>
                  <w:shd w:val="clear" w:color="000000" w:fill="FDE9D9"/>
                  <w:noWrap/>
                  <w:hideMark/>
                </w:tcPr>
                <w:p w14:paraId="13000828" w14:textId="1FB6F5D4" w:rsidR="00692C32" w:rsidRPr="003F4793" w:rsidRDefault="00692C32" w:rsidP="00692C32">
                  <w:pPr>
                    <w:widowControl/>
                    <w:jc w:val="center"/>
                    <w:rPr>
                      <w:rFonts w:ascii="KaiTi" w:eastAsia="KaiTi" w:hAnsi="KaiTi" w:cs="Calibri"/>
                      <w:color w:val="000000"/>
                      <w:kern w:val="0"/>
                      <w:szCs w:val="21"/>
                    </w:rPr>
                  </w:pPr>
                  <w:r w:rsidRPr="00C76E8F">
                    <w:rPr>
                      <w:rFonts w:hint="eastAsia"/>
                    </w:rPr>
                    <w:t>47%</w:t>
                  </w:r>
                </w:p>
              </w:tc>
              <w:tc>
                <w:tcPr>
                  <w:tcW w:w="1149" w:type="dxa"/>
                  <w:tcBorders>
                    <w:top w:val="nil"/>
                    <w:left w:val="nil"/>
                    <w:bottom w:val="single" w:sz="8" w:space="0" w:color="FFFFFF"/>
                    <w:right w:val="single" w:sz="8" w:space="0" w:color="FFFFFF"/>
                  </w:tcBorders>
                  <w:shd w:val="clear" w:color="000000" w:fill="FDE9D9"/>
                  <w:noWrap/>
                  <w:hideMark/>
                </w:tcPr>
                <w:p w14:paraId="0345B549" w14:textId="5B0E6C61"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3Y</w:t>
                  </w:r>
                </w:p>
              </w:tc>
              <w:tc>
                <w:tcPr>
                  <w:tcW w:w="920" w:type="dxa"/>
                  <w:tcBorders>
                    <w:top w:val="nil"/>
                    <w:left w:val="nil"/>
                    <w:bottom w:val="single" w:sz="8" w:space="0" w:color="FFFFFF"/>
                    <w:right w:val="single" w:sz="8" w:space="0" w:color="FFFFFF"/>
                  </w:tcBorders>
                  <w:shd w:val="clear" w:color="000000" w:fill="FDE9D9"/>
                  <w:noWrap/>
                  <w:hideMark/>
                </w:tcPr>
                <w:p w14:paraId="24486153" w14:textId="40A90710" w:rsidR="00692C32" w:rsidRPr="003F4793" w:rsidRDefault="00692C32" w:rsidP="00692C32">
                  <w:pPr>
                    <w:widowControl/>
                    <w:jc w:val="center"/>
                    <w:rPr>
                      <w:rFonts w:ascii="KaiTi" w:eastAsia="KaiTi" w:hAnsi="KaiTi" w:cs="Calibri"/>
                      <w:color w:val="000000"/>
                      <w:kern w:val="0"/>
                      <w:szCs w:val="21"/>
                    </w:rPr>
                  </w:pPr>
                  <w:r w:rsidRPr="00C76E8F">
                    <w:rPr>
                      <w:rFonts w:hint="eastAsia"/>
                    </w:rPr>
                    <w:t>0%</w:t>
                  </w:r>
                </w:p>
              </w:tc>
              <w:tc>
                <w:tcPr>
                  <w:tcW w:w="920" w:type="dxa"/>
                  <w:tcBorders>
                    <w:top w:val="nil"/>
                    <w:left w:val="nil"/>
                    <w:bottom w:val="single" w:sz="8" w:space="0" w:color="FFFFFF"/>
                    <w:right w:val="single" w:sz="8" w:space="0" w:color="FFFFFF"/>
                  </w:tcBorders>
                  <w:shd w:val="clear" w:color="000000" w:fill="FDE9D9"/>
                  <w:noWrap/>
                  <w:hideMark/>
                </w:tcPr>
                <w:p w14:paraId="07CA82A7" w14:textId="7944AD59" w:rsidR="00692C32" w:rsidRPr="003F4793" w:rsidRDefault="00692C32" w:rsidP="00692C32">
                  <w:pPr>
                    <w:widowControl/>
                    <w:jc w:val="center"/>
                    <w:rPr>
                      <w:rFonts w:ascii="KaiTi" w:eastAsia="KaiTi" w:hAnsi="KaiTi" w:cs="Calibri"/>
                      <w:color w:val="000000"/>
                      <w:kern w:val="0"/>
                      <w:szCs w:val="21"/>
                    </w:rPr>
                  </w:pPr>
                  <w:r w:rsidRPr="00C76E8F">
                    <w:rPr>
                      <w:rFonts w:hint="eastAsia"/>
                    </w:rPr>
                    <w:t>0%</w:t>
                  </w:r>
                </w:p>
              </w:tc>
              <w:tc>
                <w:tcPr>
                  <w:tcW w:w="920" w:type="dxa"/>
                  <w:tcBorders>
                    <w:top w:val="nil"/>
                    <w:left w:val="nil"/>
                    <w:bottom w:val="single" w:sz="8" w:space="0" w:color="FFFFFF"/>
                    <w:right w:val="single" w:sz="8" w:space="0" w:color="FFFFFF"/>
                  </w:tcBorders>
                  <w:shd w:val="clear" w:color="000000" w:fill="FDE9D9"/>
                  <w:noWrap/>
                  <w:hideMark/>
                </w:tcPr>
                <w:p w14:paraId="7F02EE72" w14:textId="58D69B34" w:rsidR="00692C32" w:rsidRPr="003F4793" w:rsidRDefault="00692C32" w:rsidP="00692C32">
                  <w:pPr>
                    <w:widowControl/>
                    <w:jc w:val="center"/>
                    <w:rPr>
                      <w:rFonts w:ascii="KaiTi" w:eastAsia="KaiTi" w:hAnsi="KaiTi" w:cs="Calibri"/>
                      <w:color w:val="000000"/>
                      <w:kern w:val="0"/>
                      <w:szCs w:val="21"/>
                    </w:rPr>
                  </w:pPr>
                  <w:r w:rsidRPr="00C76E8F">
                    <w:rPr>
                      <w:rFonts w:hint="eastAsia"/>
                    </w:rPr>
                    <w:t>14%</w:t>
                  </w:r>
                </w:p>
              </w:tc>
              <w:tc>
                <w:tcPr>
                  <w:tcW w:w="920" w:type="dxa"/>
                  <w:tcBorders>
                    <w:top w:val="nil"/>
                    <w:left w:val="nil"/>
                    <w:bottom w:val="single" w:sz="8" w:space="0" w:color="FFFFFF"/>
                    <w:right w:val="single" w:sz="8" w:space="0" w:color="FFFFFF"/>
                  </w:tcBorders>
                  <w:shd w:val="clear" w:color="000000" w:fill="FDE9D9"/>
                  <w:noWrap/>
                  <w:hideMark/>
                </w:tcPr>
                <w:p w14:paraId="2E828AF2" w14:textId="5AC09E25" w:rsidR="00692C32" w:rsidRPr="003F4793" w:rsidRDefault="00692C32" w:rsidP="00692C32">
                  <w:pPr>
                    <w:widowControl/>
                    <w:jc w:val="center"/>
                    <w:rPr>
                      <w:rFonts w:ascii="KaiTi" w:eastAsia="KaiTi" w:hAnsi="KaiTi" w:cs="Calibri"/>
                      <w:color w:val="000000"/>
                      <w:kern w:val="0"/>
                      <w:szCs w:val="21"/>
                    </w:rPr>
                  </w:pPr>
                  <w:r w:rsidRPr="00C76E8F">
                    <w:rPr>
                      <w:rFonts w:hint="eastAsia"/>
                    </w:rPr>
                    <w:t>71%</w:t>
                  </w:r>
                </w:p>
              </w:tc>
            </w:tr>
            <w:tr w:rsidR="00692C32" w:rsidRPr="003F4793" w14:paraId="60838313"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1BD5D8A8" w14:textId="03CBB927"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5Y</w:t>
                  </w:r>
                </w:p>
              </w:tc>
              <w:tc>
                <w:tcPr>
                  <w:tcW w:w="740" w:type="dxa"/>
                  <w:tcBorders>
                    <w:top w:val="nil"/>
                    <w:left w:val="nil"/>
                    <w:bottom w:val="single" w:sz="8" w:space="0" w:color="FFFFFF"/>
                    <w:right w:val="single" w:sz="8" w:space="0" w:color="FFFFFF"/>
                  </w:tcBorders>
                  <w:shd w:val="clear" w:color="000000" w:fill="FCD5B4"/>
                  <w:noWrap/>
                  <w:hideMark/>
                </w:tcPr>
                <w:p w14:paraId="75E567A4" w14:textId="18B486A5" w:rsidR="00692C32" w:rsidRPr="003F4793" w:rsidRDefault="00692C32" w:rsidP="00692C32">
                  <w:pPr>
                    <w:widowControl/>
                    <w:jc w:val="center"/>
                    <w:rPr>
                      <w:rFonts w:ascii="KaiTi" w:eastAsia="KaiTi" w:hAnsi="KaiTi" w:cs="Calibri"/>
                      <w:color w:val="000000"/>
                      <w:kern w:val="0"/>
                      <w:szCs w:val="21"/>
                    </w:rPr>
                  </w:pPr>
                  <w:r w:rsidRPr="00C76E8F">
                    <w:rPr>
                      <w:rFonts w:hint="eastAsia"/>
                    </w:rPr>
                    <w:t>8%</w:t>
                  </w:r>
                </w:p>
              </w:tc>
              <w:tc>
                <w:tcPr>
                  <w:tcW w:w="920" w:type="dxa"/>
                  <w:tcBorders>
                    <w:top w:val="nil"/>
                    <w:left w:val="nil"/>
                    <w:bottom w:val="single" w:sz="8" w:space="0" w:color="FFFFFF"/>
                    <w:right w:val="single" w:sz="8" w:space="0" w:color="FFFFFF"/>
                  </w:tcBorders>
                  <w:shd w:val="clear" w:color="000000" w:fill="FCD5B4"/>
                  <w:noWrap/>
                  <w:hideMark/>
                </w:tcPr>
                <w:p w14:paraId="7CC5EAC5" w14:textId="2F156C72"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4FCC92DC" w14:textId="41F2DA50" w:rsidR="00692C32" w:rsidRPr="003F4793" w:rsidRDefault="00692C32" w:rsidP="00692C32">
                  <w:pPr>
                    <w:widowControl/>
                    <w:jc w:val="center"/>
                    <w:rPr>
                      <w:rFonts w:ascii="KaiTi" w:eastAsia="KaiTi" w:hAnsi="KaiTi" w:cs="Calibri"/>
                      <w:color w:val="000000"/>
                      <w:kern w:val="0"/>
                      <w:szCs w:val="21"/>
                    </w:rPr>
                  </w:pPr>
                  <w:r w:rsidRPr="00C76E8F">
                    <w:rPr>
                      <w:rFonts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762ACF2C" w14:textId="5B78B903" w:rsidR="00692C32" w:rsidRPr="003F4793" w:rsidRDefault="00692C32" w:rsidP="00692C32">
                  <w:pPr>
                    <w:widowControl/>
                    <w:jc w:val="center"/>
                    <w:rPr>
                      <w:rFonts w:ascii="KaiTi" w:eastAsia="KaiTi" w:hAnsi="KaiTi" w:cs="Calibri"/>
                      <w:color w:val="000000"/>
                      <w:kern w:val="0"/>
                      <w:szCs w:val="21"/>
                    </w:rPr>
                  </w:pPr>
                  <w:r w:rsidRPr="00C76E8F">
                    <w:rPr>
                      <w:rFonts w:hint="eastAsia"/>
                    </w:rPr>
                    <w:t>45%</w:t>
                  </w:r>
                </w:p>
              </w:tc>
              <w:tc>
                <w:tcPr>
                  <w:tcW w:w="1149" w:type="dxa"/>
                  <w:tcBorders>
                    <w:top w:val="nil"/>
                    <w:left w:val="nil"/>
                    <w:bottom w:val="single" w:sz="8" w:space="0" w:color="FFFFFF"/>
                    <w:right w:val="single" w:sz="8" w:space="0" w:color="FFFFFF"/>
                  </w:tcBorders>
                  <w:shd w:val="clear" w:color="000000" w:fill="FCD5B4"/>
                  <w:noWrap/>
                  <w:hideMark/>
                </w:tcPr>
                <w:p w14:paraId="635AAF3D" w14:textId="62A56DE1"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5Y</w:t>
                  </w:r>
                </w:p>
              </w:tc>
              <w:tc>
                <w:tcPr>
                  <w:tcW w:w="920" w:type="dxa"/>
                  <w:tcBorders>
                    <w:top w:val="nil"/>
                    <w:left w:val="nil"/>
                    <w:bottom w:val="single" w:sz="8" w:space="0" w:color="FFFFFF"/>
                    <w:right w:val="single" w:sz="8" w:space="0" w:color="FFFFFF"/>
                  </w:tcBorders>
                  <w:shd w:val="clear" w:color="000000" w:fill="FCD5B4"/>
                  <w:noWrap/>
                  <w:hideMark/>
                </w:tcPr>
                <w:p w14:paraId="29019280" w14:textId="50A0F6E3"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3C5DFC16" w14:textId="21CCA313" w:rsidR="00692C32" w:rsidRPr="003F4793" w:rsidRDefault="00692C32" w:rsidP="00692C32">
                  <w:pPr>
                    <w:widowControl/>
                    <w:jc w:val="center"/>
                    <w:rPr>
                      <w:rFonts w:ascii="KaiTi" w:eastAsia="KaiTi" w:hAnsi="KaiTi" w:cs="Calibri"/>
                      <w:color w:val="000000"/>
                      <w:kern w:val="0"/>
                      <w:szCs w:val="21"/>
                    </w:rPr>
                  </w:pPr>
                  <w:r w:rsidRPr="00C76E8F">
                    <w:rPr>
                      <w:rFonts w:hint="eastAsia"/>
                    </w:rPr>
                    <w:t>0%</w:t>
                  </w:r>
                </w:p>
              </w:tc>
              <w:tc>
                <w:tcPr>
                  <w:tcW w:w="920" w:type="dxa"/>
                  <w:tcBorders>
                    <w:top w:val="nil"/>
                    <w:left w:val="nil"/>
                    <w:bottom w:val="single" w:sz="8" w:space="0" w:color="FFFFFF"/>
                    <w:right w:val="single" w:sz="8" w:space="0" w:color="FFFFFF"/>
                  </w:tcBorders>
                  <w:shd w:val="clear" w:color="000000" w:fill="FCD5B4"/>
                  <w:noWrap/>
                  <w:hideMark/>
                </w:tcPr>
                <w:p w14:paraId="7C9CABAF" w14:textId="7B695C70" w:rsidR="00692C32" w:rsidRPr="003F4793" w:rsidRDefault="00692C32" w:rsidP="00692C32">
                  <w:pPr>
                    <w:widowControl/>
                    <w:jc w:val="center"/>
                    <w:rPr>
                      <w:rFonts w:ascii="KaiTi" w:eastAsia="KaiTi" w:hAnsi="KaiTi" w:cs="Calibri"/>
                      <w:color w:val="000000"/>
                      <w:kern w:val="0"/>
                      <w:szCs w:val="21"/>
                    </w:rPr>
                  </w:pPr>
                  <w:r w:rsidRPr="00C76E8F">
                    <w:rPr>
                      <w:rFonts w:hint="eastAsia"/>
                    </w:rPr>
                    <w:t>15%</w:t>
                  </w:r>
                </w:p>
              </w:tc>
              <w:tc>
                <w:tcPr>
                  <w:tcW w:w="920" w:type="dxa"/>
                  <w:tcBorders>
                    <w:top w:val="nil"/>
                    <w:left w:val="nil"/>
                    <w:bottom w:val="single" w:sz="8" w:space="0" w:color="FFFFFF"/>
                    <w:right w:val="single" w:sz="8" w:space="0" w:color="FFFFFF"/>
                  </w:tcBorders>
                  <w:shd w:val="clear" w:color="000000" w:fill="FCD5B4"/>
                  <w:noWrap/>
                  <w:hideMark/>
                </w:tcPr>
                <w:p w14:paraId="217354A8" w14:textId="343BD63B" w:rsidR="00692C32" w:rsidRPr="003F4793" w:rsidRDefault="00692C32" w:rsidP="00692C32">
                  <w:pPr>
                    <w:widowControl/>
                    <w:jc w:val="center"/>
                    <w:rPr>
                      <w:rFonts w:ascii="KaiTi" w:eastAsia="KaiTi" w:hAnsi="KaiTi" w:cs="Calibri"/>
                      <w:color w:val="000000"/>
                      <w:kern w:val="0"/>
                      <w:szCs w:val="21"/>
                    </w:rPr>
                  </w:pPr>
                  <w:r w:rsidRPr="00C76E8F">
                    <w:rPr>
                      <w:rFonts w:hint="eastAsia"/>
                    </w:rPr>
                    <w:t>73%</w:t>
                  </w:r>
                </w:p>
              </w:tc>
            </w:tr>
            <w:tr w:rsidR="00692C32" w:rsidRPr="003F4793" w14:paraId="2C298517"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30486C22" w14:textId="01C7DE2B"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7Y</w:t>
                  </w:r>
                </w:p>
              </w:tc>
              <w:tc>
                <w:tcPr>
                  <w:tcW w:w="740" w:type="dxa"/>
                  <w:tcBorders>
                    <w:top w:val="nil"/>
                    <w:left w:val="nil"/>
                    <w:bottom w:val="single" w:sz="8" w:space="0" w:color="FFFFFF"/>
                    <w:right w:val="single" w:sz="8" w:space="0" w:color="FFFFFF"/>
                  </w:tcBorders>
                  <w:shd w:val="clear" w:color="000000" w:fill="FDE9D9"/>
                  <w:noWrap/>
                  <w:hideMark/>
                </w:tcPr>
                <w:p w14:paraId="65693455" w14:textId="6110FBD7"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DE9D9"/>
                  <w:noWrap/>
                  <w:hideMark/>
                </w:tcPr>
                <w:p w14:paraId="100994DF" w14:textId="2FFF527C" w:rsidR="00692C32" w:rsidRPr="003F4793" w:rsidRDefault="00692C32" w:rsidP="00692C32">
                  <w:pPr>
                    <w:widowControl/>
                    <w:jc w:val="center"/>
                    <w:rPr>
                      <w:rFonts w:ascii="KaiTi" w:eastAsia="KaiTi" w:hAnsi="KaiTi" w:cs="Calibri"/>
                      <w:color w:val="000000"/>
                      <w:kern w:val="0"/>
                      <w:szCs w:val="21"/>
                    </w:rPr>
                  </w:pPr>
                  <w:r w:rsidRPr="00C76E8F">
                    <w:rPr>
                      <w:rFonts w:hint="eastAsia"/>
                    </w:rPr>
                    <w:t>3%</w:t>
                  </w:r>
                </w:p>
              </w:tc>
              <w:tc>
                <w:tcPr>
                  <w:tcW w:w="920" w:type="dxa"/>
                  <w:tcBorders>
                    <w:top w:val="nil"/>
                    <w:left w:val="nil"/>
                    <w:bottom w:val="single" w:sz="8" w:space="0" w:color="FFFFFF"/>
                    <w:right w:val="single" w:sz="8" w:space="0" w:color="FFFFFF"/>
                  </w:tcBorders>
                  <w:shd w:val="clear" w:color="000000" w:fill="FDE9D9"/>
                  <w:noWrap/>
                  <w:hideMark/>
                </w:tcPr>
                <w:p w14:paraId="5AA0E961" w14:textId="798B1531"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DE9D9"/>
                  <w:noWrap/>
                  <w:hideMark/>
                </w:tcPr>
                <w:p w14:paraId="6A261B2F" w14:textId="3AEE12E0" w:rsidR="00692C32" w:rsidRPr="003F4793" w:rsidRDefault="00692C32" w:rsidP="00692C32">
                  <w:pPr>
                    <w:widowControl/>
                    <w:jc w:val="center"/>
                    <w:rPr>
                      <w:rFonts w:ascii="KaiTi" w:eastAsia="KaiTi" w:hAnsi="KaiTi" w:cs="Calibri"/>
                      <w:color w:val="000000"/>
                      <w:kern w:val="0"/>
                      <w:szCs w:val="21"/>
                    </w:rPr>
                  </w:pPr>
                  <w:r w:rsidRPr="00C76E8F">
                    <w:rPr>
                      <w:rFonts w:hint="eastAsia"/>
                    </w:rPr>
                    <w:t>35%</w:t>
                  </w:r>
                </w:p>
              </w:tc>
              <w:tc>
                <w:tcPr>
                  <w:tcW w:w="1149" w:type="dxa"/>
                  <w:tcBorders>
                    <w:top w:val="nil"/>
                    <w:left w:val="nil"/>
                    <w:bottom w:val="single" w:sz="8" w:space="0" w:color="FFFFFF"/>
                    <w:right w:val="single" w:sz="8" w:space="0" w:color="FFFFFF"/>
                  </w:tcBorders>
                  <w:shd w:val="clear" w:color="000000" w:fill="FDE9D9"/>
                  <w:noWrap/>
                  <w:hideMark/>
                </w:tcPr>
                <w:p w14:paraId="52EDB7F5" w14:textId="5260CF4D" w:rsidR="00692C32" w:rsidRPr="003F4793" w:rsidRDefault="00692C32" w:rsidP="00692C32">
                  <w:pPr>
                    <w:widowControl/>
                    <w:jc w:val="center"/>
                    <w:rPr>
                      <w:rFonts w:ascii="KaiTi" w:eastAsia="KaiTi" w:hAnsi="KaiTi" w:cs="宋体"/>
                      <w:color w:val="000000"/>
                      <w:kern w:val="0"/>
                      <w:sz w:val="20"/>
                      <w:szCs w:val="20"/>
                    </w:rPr>
                  </w:pPr>
                  <w:r w:rsidRPr="00C76E8F">
                    <w:rPr>
                      <w:rFonts w:hint="eastAsia"/>
                    </w:rPr>
                    <w:t>企业债</w:t>
                  </w:r>
                  <w:r w:rsidRPr="00C76E8F">
                    <w:rPr>
                      <w:rFonts w:hint="eastAsia"/>
                    </w:rPr>
                    <w:t>7Y</w:t>
                  </w:r>
                </w:p>
              </w:tc>
              <w:tc>
                <w:tcPr>
                  <w:tcW w:w="920" w:type="dxa"/>
                  <w:tcBorders>
                    <w:top w:val="nil"/>
                    <w:left w:val="nil"/>
                    <w:bottom w:val="single" w:sz="8" w:space="0" w:color="FFFFFF"/>
                    <w:right w:val="single" w:sz="8" w:space="0" w:color="FFFFFF"/>
                  </w:tcBorders>
                  <w:shd w:val="clear" w:color="000000" w:fill="FDE9D9"/>
                  <w:noWrap/>
                  <w:hideMark/>
                </w:tcPr>
                <w:p w14:paraId="04B722B3" w14:textId="2C21BD9F"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DE9D9"/>
                  <w:noWrap/>
                  <w:hideMark/>
                </w:tcPr>
                <w:p w14:paraId="00BAE7B3" w14:textId="77A76C18" w:rsidR="00692C32" w:rsidRPr="003F4793" w:rsidRDefault="00692C32" w:rsidP="00692C32">
                  <w:pPr>
                    <w:widowControl/>
                    <w:jc w:val="center"/>
                    <w:rPr>
                      <w:rFonts w:ascii="KaiTi" w:eastAsia="KaiTi" w:hAnsi="KaiTi" w:cs="Calibri"/>
                      <w:color w:val="000000"/>
                      <w:kern w:val="0"/>
                      <w:szCs w:val="21"/>
                    </w:rPr>
                  </w:pPr>
                  <w:r w:rsidRPr="00C76E8F">
                    <w:rPr>
                      <w:rFonts w:hint="eastAsia"/>
                    </w:rPr>
                    <w:t>2%</w:t>
                  </w:r>
                </w:p>
              </w:tc>
              <w:tc>
                <w:tcPr>
                  <w:tcW w:w="920" w:type="dxa"/>
                  <w:tcBorders>
                    <w:top w:val="nil"/>
                    <w:left w:val="nil"/>
                    <w:bottom w:val="single" w:sz="8" w:space="0" w:color="FFFFFF"/>
                    <w:right w:val="single" w:sz="8" w:space="0" w:color="FFFFFF"/>
                  </w:tcBorders>
                  <w:shd w:val="clear" w:color="000000" w:fill="FDE9D9"/>
                  <w:noWrap/>
                  <w:hideMark/>
                </w:tcPr>
                <w:p w14:paraId="1D577A1F" w14:textId="05BB2D25" w:rsidR="00692C32" w:rsidRPr="003F4793" w:rsidRDefault="00692C32" w:rsidP="00692C32">
                  <w:pPr>
                    <w:widowControl/>
                    <w:jc w:val="center"/>
                    <w:rPr>
                      <w:rFonts w:ascii="KaiTi" w:eastAsia="KaiTi" w:hAnsi="KaiTi" w:cs="Calibri"/>
                      <w:color w:val="000000"/>
                      <w:kern w:val="0"/>
                      <w:szCs w:val="21"/>
                    </w:rPr>
                  </w:pPr>
                  <w:r w:rsidRPr="00C76E8F">
                    <w:rPr>
                      <w:rFonts w:hint="eastAsia"/>
                    </w:rPr>
                    <w:t>9%</w:t>
                  </w:r>
                </w:p>
              </w:tc>
              <w:tc>
                <w:tcPr>
                  <w:tcW w:w="920" w:type="dxa"/>
                  <w:tcBorders>
                    <w:top w:val="nil"/>
                    <w:left w:val="nil"/>
                    <w:bottom w:val="single" w:sz="8" w:space="0" w:color="FFFFFF"/>
                    <w:right w:val="single" w:sz="8" w:space="0" w:color="FFFFFF"/>
                  </w:tcBorders>
                  <w:shd w:val="clear" w:color="000000" w:fill="FDE9D9"/>
                  <w:noWrap/>
                  <w:hideMark/>
                </w:tcPr>
                <w:p w14:paraId="3FF4C4AA" w14:textId="6B504BBA" w:rsidR="00692C32" w:rsidRPr="003F4793" w:rsidRDefault="00692C32" w:rsidP="00692C32">
                  <w:pPr>
                    <w:widowControl/>
                    <w:jc w:val="center"/>
                    <w:rPr>
                      <w:rFonts w:ascii="KaiTi" w:eastAsia="KaiTi" w:hAnsi="KaiTi" w:cs="Calibri"/>
                      <w:color w:val="000000"/>
                      <w:kern w:val="0"/>
                      <w:szCs w:val="21"/>
                    </w:rPr>
                  </w:pPr>
                  <w:r w:rsidRPr="00C76E8F">
                    <w:rPr>
                      <w:rFonts w:hint="eastAsia"/>
                    </w:rPr>
                    <w:t>67%</w:t>
                  </w:r>
                </w:p>
              </w:tc>
            </w:tr>
            <w:tr w:rsidR="00692C32" w:rsidRPr="003F4793" w14:paraId="21DC06D6"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4FE37E8C" w14:textId="075C7121"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57AADBA" w14:textId="66FE7143" w:rsidR="00692C32" w:rsidRPr="003F4793" w:rsidRDefault="00692C32" w:rsidP="00692C32">
                  <w:pPr>
                    <w:widowControl/>
                    <w:jc w:val="center"/>
                    <w:rPr>
                      <w:rFonts w:ascii="KaiTi" w:eastAsia="KaiTi" w:hAnsi="KaiTi" w:cs="Calibri"/>
                      <w:color w:val="000000"/>
                      <w:kern w:val="0"/>
                      <w:szCs w:val="21"/>
                    </w:rPr>
                  </w:pPr>
                  <w:r w:rsidRPr="00C76E8F">
                    <w:rPr>
                      <w:rFonts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2E67B5DA" w14:textId="61A1BE14"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5BB83AA5" w14:textId="1EC28FAC"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45AEAC99" w14:textId="2999697D" w:rsidR="00692C32" w:rsidRPr="003F4793" w:rsidRDefault="00692C32" w:rsidP="00692C32">
                  <w:pPr>
                    <w:widowControl/>
                    <w:jc w:val="center"/>
                    <w:rPr>
                      <w:rFonts w:ascii="KaiTi" w:eastAsia="KaiTi" w:hAnsi="KaiTi" w:cs="Calibri"/>
                      <w:color w:val="000000"/>
                      <w:kern w:val="0"/>
                      <w:szCs w:val="21"/>
                    </w:rPr>
                  </w:pPr>
                  <w:r w:rsidRPr="00C76E8F">
                    <w:rPr>
                      <w:rFonts w:hint="eastAsia"/>
                    </w:rPr>
                    <w:t>46%</w:t>
                  </w:r>
                </w:p>
              </w:tc>
              <w:tc>
                <w:tcPr>
                  <w:tcW w:w="1149" w:type="dxa"/>
                  <w:tcBorders>
                    <w:top w:val="nil"/>
                    <w:left w:val="nil"/>
                    <w:bottom w:val="single" w:sz="8" w:space="0" w:color="FFFFFF"/>
                    <w:right w:val="single" w:sz="8" w:space="0" w:color="FFFFFF"/>
                  </w:tcBorders>
                  <w:shd w:val="clear" w:color="000000" w:fill="FCD5B4"/>
                  <w:noWrap/>
                  <w:hideMark/>
                </w:tcPr>
                <w:p w14:paraId="59204F8F" w14:textId="66EB4ED6"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79902F5" w14:textId="61BA9F9F" w:rsidR="00692C32" w:rsidRPr="003F4793" w:rsidRDefault="00692C32" w:rsidP="00692C32">
                  <w:pPr>
                    <w:widowControl/>
                    <w:jc w:val="center"/>
                    <w:rPr>
                      <w:rFonts w:ascii="KaiTi" w:eastAsia="KaiTi" w:hAnsi="KaiTi" w:cs="Calibri"/>
                      <w:color w:val="000000"/>
                      <w:kern w:val="0"/>
                      <w:szCs w:val="21"/>
                    </w:rPr>
                  </w:pPr>
                  <w:r w:rsidRPr="00C76E8F">
                    <w:rPr>
                      <w:rFonts w:hint="eastAsia"/>
                    </w:rPr>
                    <w:t>1%</w:t>
                  </w:r>
                </w:p>
              </w:tc>
              <w:tc>
                <w:tcPr>
                  <w:tcW w:w="920" w:type="dxa"/>
                  <w:tcBorders>
                    <w:top w:val="nil"/>
                    <w:left w:val="nil"/>
                    <w:bottom w:val="single" w:sz="8" w:space="0" w:color="FFFFFF"/>
                    <w:right w:val="single" w:sz="8" w:space="0" w:color="FFFFFF"/>
                  </w:tcBorders>
                  <w:shd w:val="clear" w:color="000000" w:fill="FCD5B4"/>
                  <w:noWrap/>
                  <w:hideMark/>
                </w:tcPr>
                <w:p w14:paraId="54133AF5" w14:textId="1180E268" w:rsidR="00692C32" w:rsidRPr="003F4793" w:rsidRDefault="00692C32" w:rsidP="00692C32">
                  <w:pPr>
                    <w:widowControl/>
                    <w:jc w:val="center"/>
                    <w:rPr>
                      <w:rFonts w:ascii="KaiTi" w:eastAsia="KaiTi" w:hAnsi="KaiTi" w:cs="Calibri"/>
                      <w:color w:val="000000"/>
                      <w:kern w:val="0"/>
                      <w:szCs w:val="21"/>
                    </w:rPr>
                  </w:pPr>
                  <w:r w:rsidRPr="00C76E8F">
                    <w:rPr>
                      <w:rFonts w:hint="eastAsia"/>
                    </w:rPr>
                    <w:t>0%</w:t>
                  </w:r>
                </w:p>
              </w:tc>
              <w:tc>
                <w:tcPr>
                  <w:tcW w:w="920" w:type="dxa"/>
                  <w:tcBorders>
                    <w:top w:val="nil"/>
                    <w:left w:val="nil"/>
                    <w:bottom w:val="single" w:sz="8" w:space="0" w:color="FFFFFF"/>
                    <w:right w:val="single" w:sz="8" w:space="0" w:color="FFFFFF"/>
                  </w:tcBorders>
                  <w:shd w:val="clear" w:color="000000" w:fill="FCD5B4"/>
                  <w:noWrap/>
                  <w:hideMark/>
                </w:tcPr>
                <w:p w14:paraId="00C9AD90" w14:textId="2CD3CEE8" w:rsidR="00692C32" w:rsidRPr="003F4793" w:rsidRDefault="00692C32" w:rsidP="00692C32">
                  <w:pPr>
                    <w:widowControl/>
                    <w:jc w:val="center"/>
                    <w:rPr>
                      <w:rFonts w:ascii="KaiTi" w:eastAsia="KaiTi" w:hAnsi="KaiTi" w:cs="Calibri"/>
                      <w:color w:val="000000"/>
                      <w:kern w:val="0"/>
                      <w:szCs w:val="21"/>
                    </w:rPr>
                  </w:pPr>
                  <w:r w:rsidRPr="00C76E8F">
                    <w:rPr>
                      <w:rFonts w:hint="eastAsia"/>
                    </w:rPr>
                    <w:t>0%</w:t>
                  </w:r>
                </w:p>
              </w:tc>
              <w:tc>
                <w:tcPr>
                  <w:tcW w:w="920" w:type="dxa"/>
                  <w:tcBorders>
                    <w:top w:val="nil"/>
                    <w:left w:val="nil"/>
                    <w:bottom w:val="single" w:sz="8" w:space="0" w:color="FFFFFF"/>
                    <w:right w:val="single" w:sz="8" w:space="0" w:color="FFFFFF"/>
                  </w:tcBorders>
                  <w:shd w:val="clear" w:color="000000" w:fill="FCD5B4"/>
                  <w:noWrap/>
                  <w:hideMark/>
                </w:tcPr>
                <w:p w14:paraId="541417A5" w14:textId="4C12CA86" w:rsidR="00692C32" w:rsidRPr="003F4793" w:rsidRDefault="00692C32" w:rsidP="00692C32">
                  <w:pPr>
                    <w:widowControl/>
                    <w:jc w:val="center"/>
                    <w:rPr>
                      <w:rFonts w:ascii="KaiTi" w:eastAsia="KaiTi" w:hAnsi="KaiTi" w:cs="Calibri"/>
                      <w:color w:val="000000"/>
                      <w:kern w:val="0"/>
                      <w:szCs w:val="21"/>
                    </w:rPr>
                  </w:pPr>
                  <w:r w:rsidRPr="00C76E8F">
                    <w:rPr>
                      <w:rFonts w:hint="eastAsia"/>
                    </w:rPr>
                    <w:t>68%</w:t>
                  </w:r>
                </w:p>
              </w:tc>
            </w:tr>
            <w:tr w:rsidR="00692C32" w:rsidRPr="003F4793" w14:paraId="0EA4170B"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10FF0248" w14:textId="2C4A6D97"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2074306" w14:textId="43B10C22" w:rsidR="00692C32" w:rsidRPr="003F4793" w:rsidRDefault="00692C32" w:rsidP="00692C32">
                  <w:pPr>
                    <w:widowControl/>
                    <w:jc w:val="center"/>
                    <w:rPr>
                      <w:rFonts w:ascii="KaiTi" w:eastAsia="KaiTi" w:hAnsi="KaiTi" w:cs="Calibri"/>
                      <w:color w:val="000000"/>
                      <w:kern w:val="0"/>
                      <w:szCs w:val="21"/>
                    </w:rPr>
                  </w:pPr>
                  <w:r w:rsidRPr="00C76E8F">
                    <w:rPr>
                      <w:rFonts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0BA2FFDF" w14:textId="6B9FB13F" w:rsidR="00692C32" w:rsidRPr="003F4793" w:rsidRDefault="00692C32" w:rsidP="00692C32">
                  <w:pPr>
                    <w:widowControl/>
                    <w:jc w:val="center"/>
                    <w:rPr>
                      <w:rFonts w:ascii="KaiTi" w:eastAsia="KaiTi" w:hAnsi="KaiTi" w:cs="Calibri"/>
                      <w:color w:val="000000"/>
                      <w:kern w:val="0"/>
                      <w:szCs w:val="21"/>
                    </w:rPr>
                  </w:pPr>
                  <w:r w:rsidRPr="00C76E8F">
                    <w:rPr>
                      <w:rFonts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073EB474" w14:textId="374980F0" w:rsidR="00692C32" w:rsidRPr="003F4793" w:rsidRDefault="00692C32" w:rsidP="00692C32">
                  <w:pPr>
                    <w:widowControl/>
                    <w:jc w:val="center"/>
                    <w:rPr>
                      <w:rFonts w:ascii="KaiTi" w:eastAsia="KaiTi" w:hAnsi="KaiTi" w:cs="Calibri"/>
                      <w:color w:val="000000"/>
                      <w:kern w:val="0"/>
                      <w:szCs w:val="21"/>
                    </w:rPr>
                  </w:pPr>
                  <w:r w:rsidRPr="00C76E8F">
                    <w:rPr>
                      <w:rFonts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0B9D8097" w14:textId="65647DF7" w:rsidR="00692C32" w:rsidRPr="003F4793" w:rsidRDefault="00692C32" w:rsidP="00692C32">
                  <w:pPr>
                    <w:widowControl/>
                    <w:jc w:val="center"/>
                    <w:rPr>
                      <w:rFonts w:ascii="KaiTi" w:eastAsia="KaiTi" w:hAnsi="KaiTi" w:cs="Calibri"/>
                      <w:color w:val="000000"/>
                      <w:kern w:val="0"/>
                      <w:szCs w:val="21"/>
                    </w:rPr>
                  </w:pPr>
                  <w:r w:rsidRPr="00C76E8F">
                    <w:rPr>
                      <w:rFonts w:hint="eastAsia"/>
                    </w:rPr>
                    <w:t>59%</w:t>
                  </w:r>
                </w:p>
              </w:tc>
              <w:tc>
                <w:tcPr>
                  <w:tcW w:w="1149" w:type="dxa"/>
                  <w:tcBorders>
                    <w:top w:val="nil"/>
                    <w:left w:val="nil"/>
                    <w:bottom w:val="single" w:sz="8" w:space="0" w:color="FFFFFF"/>
                    <w:right w:val="single" w:sz="8" w:space="0" w:color="FFFFFF"/>
                  </w:tcBorders>
                  <w:shd w:val="clear" w:color="000000" w:fill="FDE9D9"/>
                  <w:noWrap/>
                  <w:hideMark/>
                </w:tcPr>
                <w:p w14:paraId="345AC80B" w14:textId="757BDB55"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19B927C3" w14:textId="59123733" w:rsidR="00692C32" w:rsidRPr="003F4793" w:rsidRDefault="00692C32" w:rsidP="00692C32">
                  <w:pPr>
                    <w:widowControl/>
                    <w:jc w:val="center"/>
                    <w:rPr>
                      <w:rFonts w:ascii="KaiTi" w:eastAsia="KaiTi" w:hAnsi="KaiTi" w:cs="Calibri"/>
                      <w:color w:val="000000"/>
                      <w:kern w:val="0"/>
                      <w:szCs w:val="21"/>
                    </w:rPr>
                  </w:pPr>
                  <w:r w:rsidRPr="00C76E8F">
                    <w:rPr>
                      <w:rFonts w:hint="eastAsia"/>
                    </w:rPr>
                    <w:t>4%</w:t>
                  </w:r>
                </w:p>
              </w:tc>
              <w:tc>
                <w:tcPr>
                  <w:tcW w:w="920" w:type="dxa"/>
                  <w:tcBorders>
                    <w:top w:val="nil"/>
                    <w:left w:val="nil"/>
                    <w:bottom w:val="single" w:sz="8" w:space="0" w:color="FFFFFF"/>
                    <w:right w:val="single" w:sz="8" w:space="0" w:color="FFFFFF"/>
                  </w:tcBorders>
                  <w:shd w:val="clear" w:color="000000" w:fill="FDE9D9"/>
                  <w:noWrap/>
                  <w:hideMark/>
                </w:tcPr>
                <w:p w14:paraId="6F372E8A" w14:textId="69D7DDE9" w:rsidR="00692C32" w:rsidRPr="003F4793" w:rsidRDefault="00692C32" w:rsidP="00692C32">
                  <w:pPr>
                    <w:widowControl/>
                    <w:jc w:val="center"/>
                    <w:rPr>
                      <w:rFonts w:ascii="KaiTi" w:eastAsia="KaiTi" w:hAnsi="KaiTi" w:cs="Calibri"/>
                      <w:color w:val="000000"/>
                      <w:kern w:val="0"/>
                      <w:szCs w:val="21"/>
                    </w:rPr>
                  </w:pPr>
                  <w:r w:rsidRPr="00C76E8F">
                    <w:rPr>
                      <w:rFonts w:hint="eastAsia"/>
                    </w:rPr>
                    <w:t>4%</w:t>
                  </w:r>
                </w:p>
              </w:tc>
              <w:tc>
                <w:tcPr>
                  <w:tcW w:w="920" w:type="dxa"/>
                  <w:tcBorders>
                    <w:top w:val="nil"/>
                    <w:left w:val="nil"/>
                    <w:bottom w:val="single" w:sz="8" w:space="0" w:color="FFFFFF"/>
                    <w:right w:val="single" w:sz="8" w:space="0" w:color="FFFFFF"/>
                  </w:tcBorders>
                  <w:shd w:val="clear" w:color="000000" w:fill="FDE9D9"/>
                  <w:noWrap/>
                  <w:hideMark/>
                </w:tcPr>
                <w:p w14:paraId="33016802" w14:textId="7005EAE5" w:rsidR="00692C32" w:rsidRPr="003F4793" w:rsidRDefault="00692C32" w:rsidP="00692C32">
                  <w:pPr>
                    <w:widowControl/>
                    <w:jc w:val="center"/>
                    <w:rPr>
                      <w:rFonts w:ascii="KaiTi" w:eastAsia="KaiTi" w:hAnsi="KaiTi" w:cs="Calibri"/>
                      <w:color w:val="000000"/>
                      <w:kern w:val="0"/>
                      <w:szCs w:val="21"/>
                    </w:rPr>
                  </w:pPr>
                  <w:r w:rsidRPr="00C76E8F">
                    <w:rPr>
                      <w:rFonts w:hint="eastAsia"/>
                    </w:rPr>
                    <w:t>7%</w:t>
                  </w:r>
                </w:p>
              </w:tc>
              <w:tc>
                <w:tcPr>
                  <w:tcW w:w="920" w:type="dxa"/>
                  <w:tcBorders>
                    <w:top w:val="nil"/>
                    <w:left w:val="nil"/>
                    <w:bottom w:val="single" w:sz="8" w:space="0" w:color="FFFFFF"/>
                    <w:right w:val="single" w:sz="8" w:space="0" w:color="FFFFFF"/>
                  </w:tcBorders>
                  <w:shd w:val="clear" w:color="000000" w:fill="FFC7CE"/>
                  <w:noWrap/>
                  <w:hideMark/>
                </w:tcPr>
                <w:p w14:paraId="57FFE293" w14:textId="67F5CFD1" w:rsidR="00692C32" w:rsidRPr="003F4793" w:rsidRDefault="00692C32" w:rsidP="00692C32">
                  <w:pPr>
                    <w:widowControl/>
                    <w:jc w:val="center"/>
                    <w:rPr>
                      <w:rFonts w:ascii="KaiTi" w:eastAsia="KaiTi" w:hAnsi="KaiTi" w:cs="Calibri"/>
                      <w:color w:val="9C0006"/>
                      <w:kern w:val="0"/>
                      <w:szCs w:val="21"/>
                    </w:rPr>
                  </w:pPr>
                  <w:r w:rsidRPr="00C76E8F">
                    <w:rPr>
                      <w:rFonts w:hint="eastAsia"/>
                    </w:rPr>
                    <w:t>82%</w:t>
                  </w:r>
                </w:p>
              </w:tc>
            </w:tr>
            <w:tr w:rsidR="00692C32" w:rsidRPr="003F4793" w14:paraId="72207D52" w14:textId="77777777" w:rsidTr="00585D46">
              <w:trPr>
                <w:trHeight w:val="310"/>
              </w:trPr>
              <w:tc>
                <w:tcPr>
                  <w:tcW w:w="1309" w:type="dxa"/>
                  <w:tcBorders>
                    <w:top w:val="nil"/>
                    <w:left w:val="nil"/>
                    <w:bottom w:val="nil"/>
                    <w:right w:val="nil"/>
                  </w:tcBorders>
                  <w:shd w:val="clear" w:color="000000" w:fill="FCD5B4"/>
                  <w:noWrap/>
                  <w:hideMark/>
                </w:tcPr>
                <w:p w14:paraId="4814BB37" w14:textId="14A96886"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5E5F0BFD" w14:textId="36D4FBF0"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7F5BCF09" w14:textId="4724A313" w:rsidR="00692C32" w:rsidRPr="003F4793" w:rsidRDefault="00692C32" w:rsidP="00692C32">
                  <w:pPr>
                    <w:widowControl/>
                    <w:jc w:val="center"/>
                    <w:rPr>
                      <w:rFonts w:ascii="KaiTi" w:eastAsia="KaiTi" w:hAnsi="KaiTi" w:cs="Calibri"/>
                      <w:color w:val="000000"/>
                      <w:kern w:val="0"/>
                      <w:szCs w:val="21"/>
                    </w:rPr>
                  </w:pPr>
                  <w:r w:rsidRPr="00C76E8F">
                    <w:rPr>
                      <w:rFonts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00227C37" w14:textId="471C69F3" w:rsidR="00692C32" w:rsidRPr="003F4793" w:rsidRDefault="00692C32" w:rsidP="00692C32">
                  <w:pPr>
                    <w:widowControl/>
                    <w:jc w:val="center"/>
                    <w:rPr>
                      <w:rFonts w:ascii="KaiTi" w:eastAsia="KaiTi" w:hAnsi="KaiTi" w:cs="Calibri"/>
                      <w:color w:val="000000"/>
                      <w:kern w:val="0"/>
                      <w:szCs w:val="21"/>
                    </w:rPr>
                  </w:pPr>
                  <w:r w:rsidRPr="00C76E8F">
                    <w:rPr>
                      <w:rFonts w:hint="eastAsia"/>
                    </w:rPr>
                    <w:t>6%</w:t>
                  </w:r>
                </w:p>
              </w:tc>
              <w:tc>
                <w:tcPr>
                  <w:tcW w:w="920" w:type="dxa"/>
                  <w:tcBorders>
                    <w:top w:val="nil"/>
                    <w:left w:val="nil"/>
                    <w:bottom w:val="single" w:sz="8" w:space="0" w:color="FFFFFF"/>
                    <w:right w:val="single" w:sz="8" w:space="0" w:color="FFFFFF"/>
                  </w:tcBorders>
                  <w:shd w:val="clear" w:color="000000" w:fill="FCD5B4"/>
                  <w:noWrap/>
                  <w:hideMark/>
                </w:tcPr>
                <w:p w14:paraId="46040BD8" w14:textId="70B4A326" w:rsidR="00692C32" w:rsidRPr="003F4793" w:rsidRDefault="00692C32" w:rsidP="00692C32">
                  <w:pPr>
                    <w:widowControl/>
                    <w:jc w:val="center"/>
                    <w:rPr>
                      <w:rFonts w:ascii="KaiTi" w:eastAsia="KaiTi" w:hAnsi="KaiTi" w:cs="Calibri"/>
                      <w:color w:val="000000"/>
                      <w:kern w:val="0"/>
                      <w:szCs w:val="21"/>
                    </w:rPr>
                  </w:pPr>
                  <w:r w:rsidRPr="00C76E8F">
                    <w:rPr>
                      <w:rFonts w:hint="eastAsia"/>
                    </w:rPr>
                    <w:t>61%</w:t>
                  </w:r>
                </w:p>
              </w:tc>
              <w:tc>
                <w:tcPr>
                  <w:tcW w:w="1149" w:type="dxa"/>
                  <w:tcBorders>
                    <w:top w:val="nil"/>
                    <w:left w:val="nil"/>
                    <w:bottom w:val="nil"/>
                    <w:right w:val="nil"/>
                  </w:tcBorders>
                  <w:shd w:val="clear" w:color="000000" w:fill="FCD5B4"/>
                  <w:noWrap/>
                  <w:hideMark/>
                </w:tcPr>
                <w:p w14:paraId="24472A59" w14:textId="2A38D3E6" w:rsidR="00692C32" w:rsidRPr="003F4793" w:rsidRDefault="00692C32" w:rsidP="00692C32">
                  <w:pPr>
                    <w:widowControl/>
                    <w:jc w:val="center"/>
                    <w:rPr>
                      <w:rFonts w:ascii="KaiTi" w:eastAsia="KaiTi" w:hAnsi="KaiTi" w:cs="宋体"/>
                      <w:color w:val="000000"/>
                      <w:kern w:val="0"/>
                      <w:sz w:val="20"/>
                      <w:szCs w:val="20"/>
                    </w:rPr>
                  </w:pPr>
                  <w:proofErr w:type="gramStart"/>
                  <w:r w:rsidRPr="00C76E8F">
                    <w:rPr>
                      <w:rFonts w:hint="eastAsia"/>
                    </w:rPr>
                    <w:t>城投债</w:t>
                  </w:r>
                  <w:proofErr w:type="gramEnd"/>
                  <w:r w:rsidRPr="00C76E8F">
                    <w:rPr>
                      <w:rFonts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59306821" w14:textId="0486DC9B" w:rsidR="00692C32" w:rsidRPr="003F4793" w:rsidRDefault="00692C32" w:rsidP="00692C32">
                  <w:pPr>
                    <w:widowControl/>
                    <w:jc w:val="center"/>
                    <w:rPr>
                      <w:rFonts w:ascii="KaiTi" w:eastAsia="KaiTi" w:hAnsi="KaiTi" w:cs="Calibri"/>
                      <w:color w:val="000000"/>
                      <w:kern w:val="0"/>
                      <w:szCs w:val="21"/>
                    </w:rPr>
                  </w:pPr>
                  <w:r w:rsidRPr="00C76E8F">
                    <w:rPr>
                      <w:rFonts w:hint="eastAsia"/>
                    </w:rPr>
                    <w:t>3%</w:t>
                  </w:r>
                </w:p>
              </w:tc>
              <w:tc>
                <w:tcPr>
                  <w:tcW w:w="920" w:type="dxa"/>
                  <w:tcBorders>
                    <w:top w:val="nil"/>
                    <w:left w:val="nil"/>
                    <w:bottom w:val="single" w:sz="8" w:space="0" w:color="FFFFFF"/>
                    <w:right w:val="single" w:sz="8" w:space="0" w:color="FFFFFF"/>
                  </w:tcBorders>
                  <w:shd w:val="clear" w:color="000000" w:fill="FCD5B4"/>
                  <w:noWrap/>
                  <w:hideMark/>
                </w:tcPr>
                <w:p w14:paraId="3117A4FD" w14:textId="0F0821F2" w:rsidR="00692C32" w:rsidRPr="003F4793" w:rsidRDefault="00692C32" w:rsidP="00692C32">
                  <w:pPr>
                    <w:widowControl/>
                    <w:jc w:val="center"/>
                    <w:rPr>
                      <w:rFonts w:ascii="KaiTi" w:eastAsia="KaiTi" w:hAnsi="KaiTi" w:cs="Calibri"/>
                      <w:color w:val="000000"/>
                      <w:kern w:val="0"/>
                      <w:szCs w:val="21"/>
                    </w:rPr>
                  </w:pPr>
                  <w:r w:rsidRPr="00C76E8F">
                    <w:rPr>
                      <w:rFonts w:hint="eastAsia"/>
                    </w:rPr>
                    <w:t>3%</w:t>
                  </w:r>
                </w:p>
              </w:tc>
              <w:tc>
                <w:tcPr>
                  <w:tcW w:w="920" w:type="dxa"/>
                  <w:tcBorders>
                    <w:top w:val="nil"/>
                    <w:left w:val="nil"/>
                    <w:bottom w:val="single" w:sz="8" w:space="0" w:color="FFFFFF"/>
                    <w:right w:val="single" w:sz="8" w:space="0" w:color="FFFFFF"/>
                  </w:tcBorders>
                  <w:shd w:val="clear" w:color="000000" w:fill="FCD5B4"/>
                  <w:noWrap/>
                  <w:hideMark/>
                </w:tcPr>
                <w:p w14:paraId="73214012" w14:textId="2C939A68" w:rsidR="00692C32" w:rsidRPr="003F4793" w:rsidRDefault="00692C32" w:rsidP="00692C32">
                  <w:pPr>
                    <w:widowControl/>
                    <w:jc w:val="center"/>
                    <w:rPr>
                      <w:rFonts w:ascii="KaiTi" w:eastAsia="KaiTi" w:hAnsi="KaiTi" w:cs="Calibri"/>
                      <w:color w:val="000000"/>
                      <w:kern w:val="0"/>
                      <w:szCs w:val="21"/>
                    </w:rPr>
                  </w:pPr>
                  <w:r w:rsidRPr="00C76E8F">
                    <w:rPr>
                      <w:rFonts w:hint="eastAsia"/>
                    </w:rPr>
                    <w:t>9%</w:t>
                  </w:r>
                </w:p>
              </w:tc>
              <w:tc>
                <w:tcPr>
                  <w:tcW w:w="920" w:type="dxa"/>
                  <w:tcBorders>
                    <w:top w:val="nil"/>
                    <w:left w:val="nil"/>
                    <w:bottom w:val="single" w:sz="8" w:space="0" w:color="FFFFFF"/>
                    <w:right w:val="single" w:sz="8" w:space="0" w:color="FFFFFF"/>
                  </w:tcBorders>
                  <w:shd w:val="clear" w:color="000000" w:fill="FFC7CE"/>
                  <w:noWrap/>
                  <w:hideMark/>
                </w:tcPr>
                <w:p w14:paraId="5DA3DB4A" w14:textId="0B5DC461" w:rsidR="00692C32" w:rsidRPr="003F4793" w:rsidRDefault="00692C32" w:rsidP="00692C32">
                  <w:pPr>
                    <w:widowControl/>
                    <w:jc w:val="center"/>
                    <w:rPr>
                      <w:rFonts w:ascii="KaiTi" w:eastAsia="KaiTi" w:hAnsi="KaiTi" w:cs="Calibri"/>
                      <w:color w:val="9C0006"/>
                      <w:kern w:val="0"/>
                      <w:szCs w:val="21"/>
                    </w:rPr>
                  </w:pPr>
                  <w:r w:rsidRPr="00C76E8F">
                    <w:rPr>
                      <w:rFonts w:hint="eastAsia"/>
                    </w:rPr>
                    <w:t>82%</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lastRenderedPageBreak/>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6BFE87D9" w:rsidR="002D3316" w:rsidRPr="007A1586" w:rsidRDefault="003E4A57" w:rsidP="002D3316">
      <w:pPr>
        <w:pStyle w:val="Body-text"/>
        <w:spacing w:after="240"/>
        <w:ind w:firstLineChars="200" w:firstLine="480"/>
        <w:rPr>
          <w:rFonts w:ascii="华文楷体" w:hAnsi="华文楷体"/>
          <w:sz w:val="24"/>
          <w:szCs w:val="24"/>
          <w:lang w:eastAsia="zh-CN"/>
        </w:rPr>
      </w:pPr>
      <w:r w:rsidRPr="003E4A57">
        <w:rPr>
          <w:rFonts w:ascii="华文楷体" w:hAnsi="华文楷体" w:hint="eastAsia"/>
          <w:sz w:val="24"/>
          <w:szCs w:val="24"/>
          <w:lang w:eastAsia="zh-CN"/>
        </w:rPr>
        <w:t>权益主要指数仍在分化，小盘股较大盘股抗跌，医药、锂电两</w:t>
      </w:r>
      <w:proofErr w:type="gramStart"/>
      <w:r w:rsidRPr="003E4A57">
        <w:rPr>
          <w:rFonts w:ascii="华文楷体" w:hAnsi="华文楷体" w:hint="eastAsia"/>
          <w:sz w:val="24"/>
          <w:szCs w:val="24"/>
          <w:lang w:eastAsia="zh-CN"/>
        </w:rPr>
        <w:t>大成长</w:t>
      </w:r>
      <w:proofErr w:type="gramEnd"/>
      <w:r w:rsidRPr="003E4A57">
        <w:rPr>
          <w:rFonts w:ascii="华文楷体" w:hAnsi="华文楷体" w:hint="eastAsia"/>
          <w:sz w:val="24"/>
          <w:szCs w:val="24"/>
          <w:lang w:eastAsia="zh-CN"/>
        </w:rPr>
        <w:t>赛道仍在调整。具体看，上证综指下跌2.53%，上证50指数下跌4.51%，沪深300指数下跌3.57%，中证500指数下跌2.38%，</w:t>
      </w:r>
      <w:proofErr w:type="gramStart"/>
      <w:r w:rsidRPr="003E4A57">
        <w:rPr>
          <w:rFonts w:ascii="华文楷体" w:hAnsi="华文楷体" w:hint="eastAsia"/>
          <w:sz w:val="24"/>
          <w:szCs w:val="24"/>
          <w:lang w:eastAsia="zh-CN"/>
        </w:rPr>
        <w:t>创业板受部分</w:t>
      </w:r>
      <w:proofErr w:type="gramEnd"/>
      <w:r w:rsidRPr="003E4A57">
        <w:rPr>
          <w:rFonts w:ascii="华文楷体" w:hAnsi="华文楷体" w:hint="eastAsia"/>
          <w:sz w:val="24"/>
          <w:szCs w:val="24"/>
          <w:lang w:eastAsia="zh-CN"/>
        </w:rPr>
        <w:t>热门成长赛道拖累下跌4.55%。中</w:t>
      </w:r>
      <w:proofErr w:type="gramStart"/>
      <w:r w:rsidRPr="003E4A57">
        <w:rPr>
          <w:rFonts w:ascii="华文楷体" w:hAnsi="华文楷体" w:hint="eastAsia"/>
          <w:sz w:val="24"/>
          <w:szCs w:val="24"/>
          <w:lang w:eastAsia="zh-CN"/>
        </w:rPr>
        <w:t>证转债下跌</w:t>
      </w:r>
      <w:proofErr w:type="gramEnd"/>
      <w:r w:rsidRPr="003E4A57">
        <w:rPr>
          <w:rFonts w:ascii="华文楷体" w:hAnsi="华文楷体" w:hint="eastAsia"/>
          <w:sz w:val="24"/>
          <w:szCs w:val="24"/>
          <w:lang w:eastAsia="zh-CN"/>
        </w:rPr>
        <w:t>1.09%，较沪深300及上证50指数抗跌。</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3E4A57">
        <w:tblPrEx>
          <w:tblCellMar>
            <w:left w:w="108" w:type="dxa"/>
            <w:right w:w="108" w:type="dxa"/>
          </w:tblCellMar>
        </w:tblPrEx>
        <w:trPr>
          <w:trHeight w:val="2921"/>
          <w:jc w:val="center"/>
        </w:trPr>
        <w:tc>
          <w:tcPr>
            <w:tcW w:w="4939" w:type="dxa"/>
            <w:vAlign w:val="center"/>
          </w:tcPr>
          <w:p w14:paraId="5C83721A" w14:textId="5FFA4BEB" w:rsidR="00E0626C" w:rsidRPr="009864B5" w:rsidRDefault="00FA26CF" w:rsidP="00345C30">
            <w:pPr>
              <w:widowControl/>
              <w:jc w:val="left"/>
              <w:rPr>
                <w:rFonts w:ascii="宋体" w:hAnsi="宋体" w:cs="宋体"/>
                <w:kern w:val="0"/>
                <w:sz w:val="24"/>
                <w:szCs w:val="24"/>
              </w:rPr>
            </w:pPr>
            <w:r>
              <w:rPr>
                <w:rFonts w:ascii="宋体" w:hAnsi="宋体" w:cs="宋体"/>
                <w:noProof/>
                <w:kern w:val="0"/>
                <w:sz w:val="24"/>
                <w:szCs w:val="24"/>
              </w:rPr>
              <w:drawing>
                <wp:inline distT="0" distB="0" distL="0" distR="0" wp14:anchorId="1F5932E1" wp14:editId="28159B79">
                  <wp:extent cx="3048000" cy="17132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1713230"/>
                          </a:xfrm>
                          <a:prstGeom prst="rect">
                            <a:avLst/>
                          </a:prstGeom>
                          <a:noFill/>
                        </pic:spPr>
                      </pic:pic>
                    </a:graphicData>
                  </a:graphic>
                </wp:inline>
              </w:drawing>
            </w:r>
          </w:p>
        </w:tc>
        <w:tc>
          <w:tcPr>
            <w:tcW w:w="4938" w:type="dxa"/>
            <w:vAlign w:val="center"/>
          </w:tcPr>
          <w:p w14:paraId="39BD4383" w14:textId="4BDE120F" w:rsidR="00E0626C" w:rsidRPr="009864B5" w:rsidRDefault="003E4A57" w:rsidP="009A2BA0">
            <w:pPr>
              <w:jc w:val="center"/>
              <w:rPr>
                <w:noProof/>
                <w:szCs w:val="18"/>
              </w:rPr>
            </w:pPr>
            <w:r>
              <w:rPr>
                <w:noProof/>
              </w:rPr>
              <w:drawing>
                <wp:inline distT="0" distB="0" distL="0" distR="0" wp14:anchorId="21679A00" wp14:editId="1E8BAF98">
                  <wp:extent cx="2996814" cy="1863367"/>
                  <wp:effectExtent l="0" t="0" r="0" b="3810"/>
                  <wp:docPr id="8" name="图表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4E844C6C" w14:textId="3D204079" w:rsidR="00E0626C" w:rsidRDefault="00E0626C" w:rsidP="009A2BA0">
      <w:pPr>
        <w:pStyle w:val="Body-text"/>
        <w:spacing w:after="0"/>
        <w:rPr>
          <w:lang w:eastAsia="zh-CN"/>
        </w:rPr>
      </w:pPr>
    </w:p>
    <w:p w14:paraId="310684E7" w14:textId="49EDF410"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其他资产</w:t>
      </w:r>
    </w:p>
    <w:p w14:paraId="195646D0" w14:textId="0ACDE895" w:rsidR="007A1586" w:rsidRDefault="003E4A57" w:rsidP="007A1586">
      <w:pPr>
        <w:pStyle w:val="Body-text"/>
        <w:spacing w:after="240"/>
        <w:ind w:firstLineChars="200" w:firstLine="480"/>
        <w:rPr>
          <w:rFonts w:ascii="华文楷体" w:hAnsi="华文楷体"/>
          <w:sz w:val="24"/>
          <w:szCs w:val="24"/>
          <w:lang w:eastAsia="zh-CN"/>
        </w:rPr>
      </w:pPr>
      <w:r w:rsidRPr="003E4A57">
        <w:rPr>
          <w:rFonts w:ascii="华文楷体" w:hAnsi="华文楷体" w:hint="eastAsia"/>
          <w:sz w:val="24"/>
          <w:szCs w:val="24"/>
          <w:lang w:eastAsia="zh-CN"/>
        </w:rPr>
        <w:t>其他资产方面，在岸人民币对美元贬值0.28%收于6.5012，伦敦金现上涨0.08%至1780.66美元，</w:t>
      </w:r>
      <w:proofErr w:type="gramStart"/>
      <w:r w:rsidRPr="003E4A57">
        <w:rPr>
          <w:rFonts w:ascii="华文楷体" w:hAnsi="华文楷体" w:hint="eastAsia"/>
          <w:sz w:val="24"/>
          <w:szCs w:val="24"/>
          <w:lang w:eastAsia="zh-CN"/>
        </w:rPr>
        <w:t>标普</w:t>
      </w:r>
      <w:proofErr w:type="gramEnd"/>
      <w:r w:rsidRPr="003E4A57">
        <w:rPr>
          <w:rFonts w:ascii="华文楷体" w:hAnsi="华文楷体" w:hint="eastAsia"/>
          <w:sz w:val="24"/>
          <w:szCs w:val="24"/>
          <w:lang w:eastAsia="zh-CN"/>
        </w:rPr>
        <w:t>500指数下跌0.59%，</w:t>
      </w:r>
      <w:proofErr w:type="gramStart"/>
      <w:r w:rsidRPr="003E4A57">
        <w:rPr>
          <w:rFonts w:ascii="华文楷体" w:hAnsi="华文楷体" w:hint="eastAsia"/>
          <w:sz w:val="24"/>
          <w:szCs w:val="24"/>
          <w:lang w:eastAsia="zh-CN"/>
        </w:rPr>
        <w:t>布油价格</w:t>
      </w:r>
      <w:proofErr w:type="gramEnd"/>
      <w:r w:rsidRPr="003E4A57">
        <w:rPr>
          <w:rFonts w:ascii="华文楷体" w:hAnsi="华文楷体" w:hint="eastAsia"/>
          <w:sz w:val="24"/>
          <w:szCs w:val="24"/>
          <w:lang w:eastAsia="zh-CN"/>
        </w:rPr>
        <w:t>大跌7.92%至65美元每桶，LME铜下跌5.42%，10年美债震荡下行2.5bp收于1.258%。</w:t>
      </w:r>
      <w:bookmarkStart w:id="0" w:name="_GoBack"/>
      <w:bookmarkEnd w:id="0"/>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lastRenderedPageBreak/>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3E4A57">
        <w:tblPrEx>
          <w:tblCellMar>
            <w:left w:w="108" w:type="dxa"/>
            <w:right w:w="108" w:type="dxa"/>
          </w:tblCellMar>
        </w:tblPrEx>
        <w:trPr>
          <w:trHeight w:val="2921"/>
          <w:jc w:val="center"/>
        </w:trPr>
        <w:tc>
          <w:tcPr>
            <w:tcW w:w="4939" w:type="dxa"/>
            <w:vAlign w:val="center"/>
          </w:tcPr>
          <w:p w14:paraId="3608D4C9" w14:textId="5CED387C" w:rsidR="00FC1FA4" w:rsidRPr="009864B5" w:rsidRDefault="003E4A57" w:rsidP="00692D2B">
            <w:pPr>
              <w:widowControl/>
              <w:jc w:val="left"/>
              <w:rPr>
                <w:rFonts w:ascii="宋体" w:hAnsi="宋体" w:cs="宋体"/>
                <w:kern w:val="0"/>
                <w:sz w:val="24"/>
                <w:szCs w:val="24"/>
              </w:rPr>
            </w:pPr>
            <w:r>
              <w:rPr>
                <w:noProof/>
              </w:rPr>
              <w:drawing>
                <wp:inline distT="0" distB="0" distL="0" distR="0" wp14:anchorId="139CE635" wp14:editId="05384E15">
                  <wp:extent cx="2999105" cy="1747520"/>
                  <wp:effectExtent l="0" t="0" r="0" b="5080"/>
                  <wp:docPr id="9" name="图表 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11C8601F" w:rsidR="00FC1FA4" w:rsidRPr="009864B5" w:rsidRDefault="003E4A57" w:rsidP="00692D2B">
            <w:pPr>
              <w:jc w:val="center"/>
              <w:rPr>
                <w:noProof/>
                <w:szCs w:val="18"/>
              </w:rPr>
            </w:pPr>
            <w:r>
              <w:rPr>
                <w:noProof/>
              </w:rPr>
              <w:drawing>
                <wp:inline distT="0" distB="0" distL="0" distR="0" wp14:anchorId="4F1C43FA" wp14:editId="0A68A8F0">
                  <wp:extent cx="2998470" cy="1742440"/>
                  <wp:effectExtent l="0" t="0" r="11430" b="0"/>
                  <wp:docPr id="12" name="图表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http://schemas.microsoft.com/office/drawing/2014/main"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01B19A5B" w14:textId="7BA451BD" w:rsidR="00FC1FA4" w:rsidRDefault="00FC1FA4" w:rsidP="003E4A57">
      <w:pPr>
        <w:pStyle w:val="Body-text"/>
        <w:spacing w:after="240"/>
        <w:rPr>
          <w:rFonts w:ascii="华文楷体" w:hAnsi="华文楷体"/>
          <w:sz w:val="24"/>
          <w:szCs w:val="24"/>
          <w:lang w:eastAsia="zh-CN"/>
        </w:rPr>
      </w:pPr>
    </w:p>
    <w:p w14:paraId="70131D19" w14:textId="1C98DF93" w:rsidR="002D3316" w:rsidRDefault="002D3316" w:rsidP="002D3316">
      <w:pPr>
        <w:pStyle w:val="Header2"/>
        <w:rPr>
          <w:sz w:val="28"/>
          <w:szCs w:val="21"/>
          <w:lang w:eastAsia="zh-CN"/>
        </w:rPr>
      </w:pPr>
      <w:r>
        <w:rPr>
          <w:sz w:val="28"/>
          <w:szCs w:val="21"/>
          <w:lang w:eastAsia="zh-CN"/>
        </w:rPr>
        <w:t>5</w:t>
      </w:r>
      <w:r>
        <w:rPr>
          <w:rFonts w:hint="eastAsia"/>
          <w:sz w:val="28"/>
          <w:szCs w:val="21"/>
          <w:lang w:eastAsia="zh-CN"/>
        </w:rPr>
        <w:t>、高频数据</w:t>
      </w:r>
    </w:p>
    <w:p w14:paraId="24A84318" w14:textId="3BB3AF9D" w:rsidR="003F3A2E" w:rsidRDefault="002D3316" w:rsidP="006F3FA1">
      <w:pPr>
        <w:pStyle w:val="Body-text"/>
        <w:spacing w:after="240"/>
        <w:ind w:firstLineChars="200" w:firstLine="480"/>
        <w:rPr>
          <w:rFonts w:ascii="华文楷体" w:hAnsi="华文楷体"/>
          <w:sz w:val="24"/>
          <w:szCs w:val="24"/>
          <w:lang w:eastAsia="zh-CN"/>
        </w:rPr>
      </w:pPr>
      <w:r w:rsidRPr="002D3316">
        <w:rPr>
          <w:rFonts w:ascii="华文楷体" w:hAnsi="华文楷体" w:hint="eastAsia"/>
          <w:sz w:val="24"/>
          <w:szCs w:val="24"/>
          <w:lang w:eastAsia="zh-CN"/>
        </w:rPr>
        <w:t>上游</w:t>
      </w:r>
      <w:r w:rsidR="002A7C89" w:rsidRPr="002D3316">
        <w:rPr>
          <w:rFonts w:ascii="华文楷体" w:hAnsi="华文楷体" w:hint="eastAsia"/>
          <w:sz w:val="24"/>
          <w:szCs w:val="24"/>
          <w:lang w:eastAsia="zh-CN"/>
        </w:rPr>
        <w:t>原油</w:t>
      </w:r>
      <w:r w:rsidR="00CD1AE8">
        <w:rPr>
          <w:rFonts w:ascii="华文楷体" w:hAnsi="华文楷体" w:hint="eastAsia"/>
          <w:sz w:val="24"/>
          <w:szCs w:val="24"/>
          <w:lang w:eastAsia="zh-CN"/>
        </w:rPr>
        <w:t>价格</w:t>
      </w:r>
      <w:r w:rsidRPr="002D3316">
        <w:rPr>
          <w:rFonts w:ascii="华文楷体" w:hAnsi="华文楷体" w:hint="eastAsia"/>
          <w:sz w:val="24"/>
          <w:szCs w:val="24"/>
          <w:lang w:eastAsia="zh-CN"/>
        </w:rPr>
        <w:t>回落，</w:t>
      </w:r>
      <w:r w:rsidR="006F3FA1">
        <w:rPr>
          <w:rFonts w:ascii="华文楷体" w:hAnsi="华文楷体" w:hint="eastAsia"/>
          <w:sz w:val="24"/>
          <w:szCs w:val="24"/>
          <w:lang w:eastAsia="zh-CN"/>
        </w:rPr>
        <w:t>焦煤、动力煤反弹，</w:t>
      </w:r>
      <w:r w:rsidR="002A7C89">
        <w:rPr>
          <w:rFonts w:ascii="华文楷体" w:hAnsi="华文楷体" w:hint="eastAsia"/>
          <w:sz w:val="24"/>
          <w:szCs w:val="24"/>
          <w:lang w:eastAsia="zh-CN"/>
        </w:rPr>
        <w:t>水泥</w:t>
      </w:r>
      <w:r w:rsidR="006F3FA1">
        <w:rPr>
          <w:rFonts w:ascii="华文楷体" w:hAnsi="华文楷体" w:hint="eastAsia"/>
          <w:sz w:val="24"/>
          <w:szCs w:val="24"/>
          <w:lang w:eastAsia="zh-CN"/>
        </w:rPr>
        <w:t>价格连续三周</w:t>
      </w:r>
      <w:r w:rsidR="002A7C89">
        <w:rPr>
          <w:rFonts w:ascii="华文楷体" w:hAnsi="华文楷体" w:hint="eastAsia"/>
          <w:sz w:val="24"/>
          <w:szCs w:val="24"/>
          <w:lang w:eastAsia="zh-CN"/>
        </w:rPr>
        <w:t>回暖</w:t>
      </w:r>
      <w:r w:rsidR="00BC1DA3">
        <w:rPr>
          <w:rFonts w:ascii="华文楷体" w:hAnsi="华文楷体" w:hint="eastAsia"/>
          <w:sz w:val="24"/>
          <w:szCs w:val="24"/>
          <w:lang w:eastAsia="zh-CN"/>
        </w:rPr>
        <w:t>。</w:t>
      </w:r>
      <w:r w:rsidR="001948F6" w:rsidRPr="001948F6">
        <w:rPr>
          <w:rFonts w:ascii="华文楷体" w:hAnsi="华文楷体" w:hint="eastAsia"/>
          <w:sz w:val="24"/>
          <w:szCs w:val="24"/>
          <w:lang w:eastAsia="zh-CN"/>
        </w:rPr>
        <w:t>食品价格</w:t>
      </w:r>
      <w:r w:rsidR="001948F6">
        <w:rPr>
          <w:rFonts w:ascii="华文楷体" w:hAnsi="华文楷体" w:hint="eastAsia"/>
          <w:sz w:val="24"/>
          <w:szCs w:val="24"/>
          <w:lang w:eastAsia="zh-CN"/>
        </w:rPr>
        <w:t>方面</w:t>
      </w:r>
      <w:r w:rsidR="00BC1DA3">
        <w:rPr>
          <w:rFonts w:ascii="华文楷体" w:hAnsi="华文楷体" w:hint="eastAsia"/>
          <w:sz w:val="24"/>
          <w:szCs w:val="24"/>
          <w:lang w:eastAsia="zh-CN"/>
        </w:rPr>
        <w:t>，</w:t>
      </w:r>
      <w:r w:rsidR="001948F6" w:rsidRPr="001948F6">
        <w:rPr>
          <w:rFonts w:ascii="华文楷体" w:hAnsi="华文楷体" w:hint="eastAsia"/>
          <w:sz w:val="24"/>
          <w:szCs w:val="24"/>
          <w:lang w:eastAsia="zh-CN"/>
        </w:rPr>
        <w:t>猪肉价格跌幅收窄，蔬菜、鸡蛋价格</w:t>
      </w:r>
      <w:r w:rsidR="001948F6">
        <w:rPr>
          <w:rFonts w:ascii="华文楷体" w:hAnsi="华文楷体" w:hint="eastAsia"/>
          <w:sz w:val="24"/>
          <w:szCs w:val="24"/>
          <w:lang w:eastAsia="zh-CN"/>
        </w:rPr>
        <w:t>连续两周</w:t>
      </w:r>
      <w:r w:rsidR="001948F6" w:rsidRPr="001948F6">
        <w:rPr>
          <w:rFonts w:ascii="华文楷体" w:hAnsi="华文楷体" w:hint="eastAsia"/>
          <w:sz w:val="24"/>
          <w:szCs w:val="24"/>
          <w:lang w:eastAsia="zh-CN"/>
        </w:rPr>
        <w:t>转跌，其余食品分项价格多有下降，农产品和菜篮子批发价格200指数转为下行。</w:t>
      </w:r>
      <w:r w:rsidR="001948F6">
        <w:rPr>
          <w:rFonts w:ascii="华文楷体" w:hAnsi="华文楷体" w:hint="eastAsia"/>
          <w:sz w:val="24"/>
          <w:szCs w:val="24"/>
          <w:lang w:eastAsia="zh-CN"/>
        </w:rPr>
        <w:t>工业品价格方面，</w:t>
      </w:r>
      <w:r w:rsidR="007C4C14" w:rsidRPr="007C4C14">
        <w:rPr>
          <w:rFonts w:ascii="华文楷体" w:hAnsi="华文楷体" w:hint="eastAsia"/>
          <w:sz w:val="24"/>
          <w:szCs w:val="24"/>
          <w:lang w:eastAsia="zh-CN"/>
        </w:rPr>
        <w:t>周四公布的美联储7月会议纪要显示，美联储内部已开始正式讨论缩减</w:t>
      </w:r>
      <w:proofErr w:type="gramStart"/>
      <w:r w:rsidR="007C4C14" w:rsidRPr="007C4C14">
        <w:rPr>
          <w:rFonts w:ascii="华文楷体" w:hAnsi="华文楷体" w:hint="eastAsia"/>
          <w:sz w:val="24"/>
          <w:szCs w:val="24"/>
          <w:lang w:eastAsia="zh-CN"/>
        </w:rPr>
        <w:t>购债规模</w:t>
      </w:r>
      <w:proofErr w:type="gramEnd"/>
      <w:r w:rsidR="007C4C14" w:rsidRPr="007C4C14">
        <w:rPr>
          <w:rFonts w:ascii="华文楷体" w:hAnsi="华文楷体" w:hint="eastAsia"/>
          <w:sz w:val="24"/>
          <w:szCs w:val="24"/>
          <w:lang w:eastAsia="zh-CN"/>
        </w:rPr>
        <w:t>的可能性，市场对于收紧货币政策的预期导致有色金属</w:t>
      </w:r>
      <w:r w:rsidR="0037354B">
        <w:rPr>
          <w:rFonts w:ascii="华文楷体" w:hAnsi="华文楷体" w:hint="eastAsia"/>
          <w:sz w:val="24"/>
          <w:szCs w:val="24"/>
          <w:lang w:eastAsia="zh-CN"/>
        </w:rPr>
        <w:t>上</w:t>
      </w:r>
      <w:r w:rsidR="007C4C14" w:rsidRPr="007C4C14">
        <w:rPr>
          <w:rFonts w:ascii="华文楷体" w:hAnsi="华文楷体" w:hint="eastAsia"/>
          <w:sz w:val="24"/>
          <w:szCs w:val="24"/>
          <w:lang w:eastAsia="zh-CN"/>
        </w:rPr>
        <w:t>周整体出现较大回调</w:t>
      </w:r>
      <w:r w:rsidR="007C4C14">
        <w:rPr>
          <w:rFonts w:ascii="华文楷体" w:hAnsi="华文楷体" w:hint="eastAsia"/>
          <w:sz w:val="24"/>
          <w:szCs w:val="24"/>
          <w:lang w:eastAsia="zh-CN"/>
        </w:rPr>
        <w:t>。</w:t>
      </w:r>
      <w:r w:rsidR="003F3A2E">
        <w:rPr>
          <w:rFonts w:ascii="华文楷体" w:hAnsi="华文楷体" w:hint="eastAsia"/>
          <w:sz w:val="24"/>
          <w:szCs w:val="24"/>
          <w:lang w:eastAsia="zh-CN"/>
        </w:rPr>
        <w:t>地产方面，</w:t>
      </w:r>
      <w:r w:rsidR="00BC1DA3">
        <w:rPr>
          <w:rFonts w:ascii="华文楷体" w:hAnsi="华文楷体" w:hint="eastAsia"/>
          <w:sz w:val="24"/>
          <w:szCs w:val="24"/>
          <w:lang w:eastAsia="zh-CN"/>
        </w:rPr>
        <w:t>下游</w:t>
      </w:r>
      <w:r w:rsidRPr="002D3316">
        <w:rPr>
          <w:rFonts w:ascii="华文楷体" w:hAnsi="华文楷体" w:hint="eastAsia"/>
          <w:sz w:val="24"/>
          <w:szCs w:val="24"/>
          <w:lang w:eastAsia="zh-CN"/>
        </w:rPr>
        <w:t>商品房成交</w:t>
      </w:r>
      <w:r w:rsidR="00BC1DA3">
        <w:rPr>
          <w:rFonts w:ascii="华文楷体" w:hAnsi="华文楷体" w:hint="eastAsia"/>
          <w:sz w:val="24"/>
          <w:szCs w:val="24"/>
          <w:lang w:eastAsia="zh-CN"/>
        </w:rPr>
        <w:t>面积</w:t>
      </w:r>
      <w:r w:rsidR="00CD1AE8">
        <w:rPr>
          <w:rFonts w:ascii="华文楷体" w:hAnsi="华文楷体" w:hint="eastAsia"/>
          <w:sz w:val="24"/>
          <w:szCs w:val="24"/>
          <w:lang w:eastAsia="zh-CN"/>
        </w:rPr>
        <w:t>下行企稳</w:t>
      </w:r>
      <w:r w:rsidRPr="002D3316">
        <w:rPr>
          <w:rFonts w:ascii="华文楷体" w:hAnsi="华文楷体" w:hint="eastAsia"/>
          <w:sz w:val="24"/>
          <w:szCs w:val="24"/>
          <w:lang w:eastAsia="zh-CN"/>
        </w:rPr>
        <w:t>，</w:t>
      </w:r>
      <w:r w:rsidR="007C4C14">
        <w:rPr>
          <w:rFonts w:ascii="华文楷体" w:hAnsi="华文楷体" w:hint="eastAsia"/>
          <w:sz w:val="24"/>
          <w:szCs w:val="24"/>
          <w:lang w:eastAsia="zh-CN"/>
        </w:rPr>
        <w:t>二三线城市仍在持续下降</w:t>
      </w:r>
      <w:r w:rsidRPr="002D3316">
        <w:rPr>
          <w:rFonts w:ascii="华文楷体" w:hAnsi="华文楷体" w:hint="eastAsia"/>
          <w:sz w:val="24"/>
          <w:szCs w:val="24"/>
          <w:lang w:eastAsia="zh-CN"/>
        </w:rPr>
        <w:t>，</w:t>
      </w:r>
      <w:r w:rsidR="00BC1DA3">
        <w:rPr>
          <w:rFonts w:ascii="华文楷体" w:hAnsi="华文楷体" w:hint="eastAsia"/>
          <w:sz w:val="24"/>
          <w:szCs w:val="24"/>
          <w:lang w:eastAsia="zh-CN"/>
        </w:rPr>
        <w:t>一线</w:t>
      </w:r>
      <w:proofErr w:type="gramStart"/>
      <w:r w:rsidR="00BC1DA3">
        <w:rPr>
          <w:rFonts w:ascii="华文楷体" w:hAnsi="华文楷体" w:hint="eastAsia"/>
          <w:sz w:val="24"/>
          <w:szCs w:val="24"/>
          <w:lang w:eastAsia="zh-CN"/>
        </w:rPr>
        <w:t>城市环</w:t>
      </w:r>
      <w:proofErr w:type="gramEnd"/>
      <w:r w:rsidR="00BC1DA3">
        <w:rPr>
          <w:rFonts w:ascii="华文楷体" w:hAnsi="华文楷体" w:hint="eastAsia"/>
          <w:sz w:val="24"/>
          <w:szCs w:val="24"/>
          <w:lang w:eastAsia="zh-CN"/>
        </w:rPr>
        <w:t>比连续</w:t>
      </w:r>
      <w:r w:rsidR="007C4C14">
        <w:rPr>
          <w:rFonts w:ascii="华文楷体" w:hAnsi="华文楷体" w:hint="eastAsia"/>
          <w:sz w:val="24"/>
          <w:szCs w:val="24"/>
          <w:lang w:eastAsia="zh-CN"/>
        </w:rPr>
        <w:t>四</w:t>
      </w:r>
      <w:r w:rsidR="00BC1DA3">
        <w:rPr>
          <w:rFonts w:ascii="华文楷体" w:hAnsi="华文楷体" w:hint="eastAsia"/>
          <w:sz w:val="24"/>
          <w:szCs w:val="24"/>
          <w:lang w:eastAsia="zh-CN"/>
        </w:rPr>
        <w:t>周上行</w:t>
      </w:r>
      <w:r w:rsidRPr="002D3316">
        <w:rPr>
          <w:rFonts w:ascii="华文楷体" w:hAnsi="华文楷体" w:hint="eastAsia"/>
          <w:sz w:val="24"/>
          <w:szCs w:val="24"/>
          <w:lang w:eastAsia="zh-CN"/>
        </w:rPr>
        <w:t>。</w:t>
      </w: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5EB78977">
                  <wp:extent cx="5984374" cy="6946265"/>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stretch>
                            <a:fillRect/>
                          </a:stretch>
                        </pic:blipFill>
                        <pic:spPr bwMode="auto">
                          <a:xfrm>
                            <a:off x="0" y="0"/>
                            <a:ext cx="6023674" cy="6991882"/>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76966DEC"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37354B">
        <w:rPr>
          <w:rFonts w:hint="eastAsia"/>
          <w:color w:val="C45911" w:themeColor="accent2" w:themeShade="BF"/>
        </w:rPr>
        <w:t>本</w:t>
      </w:r>
      <w:r w:rsidR="003E4A57">
        <w:rPr>
          <w:rFonts w:hint="eastAsia"/>
          <w:color w:val="C45911" w:themeColor="accent2" w:themeShade="BF"/>
        </w:rPr>
        <w:t>周关注</w:t>
      </w:r>
    </w:p>
    <w:p w14:paraId="5F84F6C0" w14:textId="4E387530" w:rsidR="00213121" w:rsidRDefault="003E4A57" w:rsidP="001E3FCD">
      <w:pPr>
        <w:pStyle w:val="Body-text"/>
        <w:ind w:firstLineChars="200" w:firstLine="480"/>
        <w:rPr>
          <w:rFonts w:ascii="黑体" w:eastAsia="黑体"/>
          <w:b/>
          <w:sz w:val="24"/>
          <w:szCs w:val="24"/>
        </w:rPr>
      </w:pPr>
      <w:r w:rsidRPr="003E4A57">
        <w:rPr>
          <w:rFonts w:ascii="华文楷体" w:hAnsi="华文楷体" w:hint="eastAsia"/>
          <w:bCs/>
          <w:sz w:val="24"/>
          <w:szCs w:val="24"/>
          <w:lang w:eastAsia="zh-CN"/>
        </w:rPr>
        <w:t>国内外疫情、地方债发行、美国8月Markit制造业及服务业PMI（周一）、杰克逊霍尔全球央行年会（周四到周六）、7月工业企业利润数据（周五）</w:t>
      </w:r>
      <w:r w:rsidRPr="003E4A57">
        <w:rPr>
          <w:rFonts w:ascii="华文楷体" w:hAnsi="华文楷体"/>
          <w:bCs/>
          <w:sz w:val="24"/>
          <w:szCs w:val="24"/>
          <w:lang w:eastAsia="zh-CN"/>
        </w:rPr>
        <w:cr/>
      </w:r>
      <w:r w:rsidR="00213121">
        <w:rPr>
          <w:rFonts w:ascii="黑体" w:eastAsia="黑体"/>
          <w:b/>
          <w:sz w:val="24"/>
          <w:szCs w:val="24"/>
        </w:rPr>
        <w:br w:type="page"/>
      </w:r>
    </w:p>
    <w:p w14:paraId="5D082B5F" w14:textId="77777777" w:rsidR="0037354B" w:rsidRDefault="0037354B" w:rsidP="0037354B">
      <w:r w:rsidRPr="008A3EFA">
        <w:rPr>
          <w:rFonts w:ascii="微软雅黑" w:eastAsia="微软雅黑" w:hAnsi="微软雅黑" w:hint="eastAsia"/>
          <w:color w:val="808080"/>
          <w:sz w:val="13"/>
          <w:szCs w:val="13"/>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8A3EFA">
        <w:rPr>
          <w:rFonts w:ascii="微软雅黑" w:eastAsia="微软雅黑" w:hAnsi="微软雅黑" w:hint="eastAsia"/>
          <w:color w:val="808080"/>
          <w:sz w:val="13"/>
          <w:szCs w:val="13"/>
          <w:shd w:val="clear" w:color="auto" w:fill="FFFFFF"/>
        </w:rPr>
        <w:t>作出</w:t>
      </w:r>
      <w:proofErr w:type="gramEnd"/>
      <w:r w:rsidRPr="008A3EFA">
        <w:rPr>
          <w:rFonts w:ascii="微软雅黑" w:eastAsia="微软雅黑" w:hAnsi="微软雅黑" w:hint="eastAsia"/>
          <w:color w:val="808080"/>
          <w:sz w:val="13"/>
          <w:szCs w:val="13"/>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083765" w14:textId="77777777" w:rsidR="00A60A3D" w:rsidRDefault="00A60A3D">
      <w:r>
        <w:separator/>
      </w:r>
    </w:p>
  </w:endnote>
  <w:endnote w:type="continuationSeparator" w:id="0">
    <w:p w14:paraId="2F8BD311" w14:textId="77777777" w:rsidR="00A60A3D" w:rsidRDefault="00A60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 w:name="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FA26CF" w:rsidRPr="00FA26CF">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7B45DB" w14:textId="77777777" w:rsidR="00A60A3D" w:rsidRDefault="00A60A3D">
      <w:r>
        <w:separator/>
      </w:r>
    </w:p>
  </w:footnote>
  <w:footnote w:type="continuationSeparator" w:id="0">
    <w:p w14:paraId="00AF45B3" w14:textId="77777777" w:rsidR="00A60A3D" w:rsidRDefault="00A60A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8F6"/>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3FCD"/>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893"/>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54B"/>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A57"/>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A2E"/>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2C32"/>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3FA1"/>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4C14"/>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424"/>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0A3D"/>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A2"/>
    <w:rsid w:val="00A67DAD"/>
    <w:rsid w:val="00A67DB8"/>
    <w:rsid w:val="00A70159"/>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BFF"/>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176"/>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3E2"/>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65FE"/>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6CF"/>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26144171">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4836636">
      <w:bodyDiv w:val="1"/>
      <w:marLeft w:val="0"/>
      <w:marRight w:val="0"/>
      <w:marTop w:val="0"/>
      <w:marBottom w:val="0"/>
      <w:divBdr>
        <w:top w:val="none" w:sz="0" w:space="0" w:color="auto"/>
        <w:left w:val="none" w:sz="0" w:space="0" w:color="auto"/>
        <w:bottom w:val="none" w:sz="0" w:space="0" w:color="auto"/>
        <w:right w:val="none" w:sz="0" w:space="0" w:color="auto"/>
      </w:divBdr>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0.24</c:v>
                </c:pt>
                <c:pt idx="1">
                  <c:v>2.38</c:v>
                </c:pt>
                <c:pt idx="2">
                  <c:v>4.7300000000000004</c:v>
                </c:pt>
                <c:pt idx="3">
                  <c:v>-1.97</c:v>
                </c:pt>
                <c:pt idx="4">
                  <c:v>-0.86</c:v>
                </c:pt>
                <c:pt idx="5">
                  <c:v>-2.76</c:v>
                </c:pt>
                <c:pt idx="6">
                  <c:v>-2.72</c:v>
                </c:pt>
              </c:numCache>
            </c:numRef>
          </c:val>
          <c:extLst xmlns:c16r2="http://schemas.microsoft.com/office/drawing/2015/06/chart">
            <c:ext xmlns:c16="http://schemas.microsoft.com/office/drawing/2014/chart" uri="{C3380CC4-5D6E-409C-BE32-E72D297353CC}">
              <c16:uniqueId val="{00000000-80F6-4C82-AEA1-AF7480C2F2E1}"/>
            </c:ext>
          </c:extLst>
        </c:ser>
        <c:dLbls>
          <c:showLegendKey val="0"/>
          <c:showVal val="0"/>
          <c:showCatName val="0"/>
          <c:showSerName val="0"/>
          <c:showPercent val="0"/>
          <c:showBubbleSize val="0"/>
        </c:dLbls>
        <c:gapWidth val="150"/>
        <c:axId val="379887616"/>
        <c:axId val="379889536"/>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0F6-4C82-AEA1-AF7480C2F2E1}"/>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0F6-4C82-AEA1-AF7480C2F2E1}"/>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80F6-4C82-AEA1-AF7480C2F2E1}"/>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80F6-4C82-AEA1-AF7480C2F2E1}"/>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80F6-4C82-AEA1-AF7480C2F2E1}"/>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80F6-4C82-AEA1-AF7480C2F2E1}"/>
                </c:ext>
              </c:extLst>
            </c:dLbl>
            <c:dLbl>
              <c:idx val="6"/>
              <c:layout>
                <c:manualLayout>
                  <c:x val="-6.9598794750148615E-2"/>
                  <c:y val="-7.848178925491457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80F6-4C82-AEA1-AF7480C2F2E1}"/>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1.6363000000000001</c:v>
                </c:pt>
                <c:pt idx="1">
                  <c:v>1.9311</c:v>
                </c:pt>
                <c:pt idx="2">
                  <c:v>2.2682000000000002</c:v>
                </c:pt>
                <c:pt idx="3">
                  <c:v>2.5710999999999999</c:v>
                </c:pt>
                <c:pt idx="4">
                  <c:v>2.7065999999999999</c:v>
                </c:pt>
                <c:pt idx="5">
                  <c:v>2.8573</c:v>
                </c:pt>
                <c:pt idx="6">
                  <c:v>2.8519999999999999</c:v>
                </c:pt>
              </c:numCache>
            </c:numRef>
          </c:val>
          <c:smooth val="0"/>
          <c:extLst xmlns:c16r2="http://schemas.microsoft.com/office/drawing/2015/06/chart">
            <c:ext xmlns:c16="http://schemas.microsoft.com/office/drawing/2014/chart" uri="{C3380CC4-5D6E-409C-BE32-E72D297353CC}">
              <c16:uniqueId val="{00000008-80F6-4C82-AEA1-AF7480C2F2E1}"/>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1.6338999999999999</c:v>
                </c:pt>
                <c:pt idx="1">
                  <c:v>1.9073</c:v>
                </c:pt>
                <c:pt idx="2">
                  <c:v>2.2208999999999999</c:v>
                </c:pt>
                <c:pt idx="3">
                  <c:v>2.5908000000000002</c:v>
                </c:pt>
                <c:pt idx="4">
                  <c:v>2.7151999999999998</c:v>
                </c:pt>
                <c:pt idx="5">
                  <c:v>2.8849</c:v>
                </c:pt>
                <c:pt idx="6">
                  <c:v>2.8792</c:v>
                </c:pt>
              </c:numCache>
            </c:numRef>
          </c:val>
          <c:smooth val="0"/>
          <c:extLst xmlns:c16r2="http://schemas.microsoft.com/office/drawing/2015/06/chart">
            <c:ext xmlns:c16="http://schemas.microsoft.com/office/drawing/2014/chart" uri="{C3380CC4-5D6E-409C-BE32-E72D297353CC}">
              <c16:uniqueId val="{00000009-80F6-4C82-AEA1-AF7480C2F2E1}"/>
            </c:ext>
          </c:extLst>
        </c:ser>
        <c:dLbls>
          <c:showLegendKey val="0"/>
          <c:showVal val="0"/>
          <c:showCatName val="0"/>
          <c:showSerName val="0"/>
          <c:showPercent val="0"/>
          <c:showBubbleSize val="0"/>
        </c:dLbls>
        <c:marker val="1"/>
        <c:smooth val="0"/>
        <c:axId val="379896960"/>
        <c:axId val="379891072"/>
      </c:lineChart>
      <c:dateAx>
        <c:axId val="37988761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9889536"/>
        <c:crosses val="autoZero"/>
        <c:auto val="0"/>
        <c:lblOffset val="0"/>
        <c:baseTimeUnit val="days"/>
      </c:dateAx>
      <c:valAx>
        <c:axId val="37988953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9887616"/>
        <c:crosses val="autoZero"/>
        <c:crossBetween val="between"/>
      </c:valAx>
      <c:valAx>
        <c:axId val="379891072"/>
        <c:scaling>
          <c:orientation val="minMax"/>
        </c:scaling>
        <c:delete val="0"/>
        <c:axPos val="r"/>
        <c:numFmt formatCode="#,##0.0_);[Red]\(#,##0.0\)" sourceLinked="0"/>
        <c:majorTickMark val="out"/>
        <c:minorTickMark val="none"/>
        <c:tickLblPos val="nextTo"/>
        <c:spPr>
          <a:ln w="3175">
            <a:solidFill>
              <a:sysClr val="windowText" lastClr="000000"/>
            </a:solidFill>
          </a:ln>
        </c:spPr>
        <c:crossAx val="379896960"/>
        <c:crosses val="max"/>
        <c:crossBetween val="between"/>
      </c:valAx>
      <c:dateAx>
        <c:axId val="379896960"/>
        <c:scaling>
          <c:orientation val="minMax"/>
        </c:scaling>
        <c:delete val="1"/>
        <c:axPos val="b"/>
        <c:numFmt formatCode="General" sourceLinked="1"/>
        <c:majorTickMark val="out"/>
        <c:minorTickMark val="none"/>
        <c:tickLblPos val="nextTo"/>
        <c:crossAx val="379891072"/>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-0.59</c:v>
                </c:pt>
                <c:pt idx="1">
                  <c:v>4.17</c:v>
                </c:pt>
                <c:pt idx="2">
                  <c:v>5.99</c:v>
                </c:pt>
                <c:pt idx="3">
                  <c:v>-2.1</c:v>
                </c:pt>
                <c:pt idx="4">
                  <c:v>-3.79</c:v>
                </c:pt>
                <c:pt idx="5">
                  <c:v>-1.19</c:v>
                </c:pt>
                <c:pt idx="6">
                  <c:v>-3.96</c:v>
                </c:pt>
              </c:numCache>
            </c:numRef>
          </c:val>
          <c:extLst xmlns:c16r2="http://schemas.microsoft.com/office/drawing/2015/06/chart">
            <c:ext xmlns:c16="http://schemas.microsoft.com/office/drawing/2014/chart" uri="{C3380CC4-5D6E-409C-BE32-E72D297353CC}">
              <c16:uniqueId val="{00000000-3F59-48A3-9EE2-0DE0FCD38110}"/>
            </c:ext>
          </c:extLst>
        </c:ser>
        <c:dLbls>
          <c:showLegendKey val="0"/>
          <c:showVal val="0"/>
          <c:showCatName val="0"/>
          <c:showSerName val="0"/>
          <c:showPercent val="0"/>
          <c:showBubbleSize val="0"/>
        </c:dLbls>
        <c:gapWidth val="150"/>
        <c:axId val="323642112"/>
        <c:axId val="323644032"/>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3F59-48A3-9EE2-0DE0FCD3811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3F59-48A3-9EE2-0DE0FCD3811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3F59-48A3-9EE2-0DE0FCD3811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3F59-48A3-9EE2-0DE0FCD3811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3F59-48A3-9EE2-0DE0FCD3811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3F59-48A3-9EE2-0DE0FCD38110}"/>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3F59-48A3-9EE2-0DE0FCD3811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1.6371</c:v>
                </c:pt>
                <c:pt idx="1">
                  <c:v>1.9635</c:v>
                </c:pt>
                <c:pt idx="2">
                  <c:v>2.3338000000000001</c:v>
                </c:pt>
                <c:pt idx="3">
                  <c:v>2.74</c:v>
                </c:pt>
                <c:pt idx="4">
                  <c:v>2.9984999999999999</c:v>
                </c:pt>
                <c:pt idx="5">
                  <c:v>3.1680999999999999</c:v>
                </c:pt>
                <c:pt idx="6">
                  <c:v>3.1815000000000002</c:v>
                </c:pt>
              </c:numCache>
            </c:numRef>
          </c:val>
          <c:smooth val="0"/>
          <c:extLst xmlns:c16r2="http://schemas.microsoft.com/office/drawing/2015/06/chart">
            <c:ext xmlns:c16="http://schemas.microsoft.com/office/drawing/2014/chart" uri="{C3380CC4-5D6E-409C-BE32-E72D297353CC}">
              <c16:uniqueId val="{00000008-3F59-48A3-9EE2-0DE0FCD38110}"/>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1.643</c:v>
                </c:pt>
                <c:pt idx="1">
                  <c:v>1.9218</c:v>
                </c:pt>
                <c:pt idx="2">
                  <c:v>2.2738999999999998</c:v>
                </c:pt>
                <c:pt idx="3">
                  <c:v>2.7610000000000001</c:v>
                </c:pt>
                <c:pt idx="4">
                  <c:v>3.0364</c:v>
                </c:pt>
                <c:pt idx="5">
                  <c:v>3.18</c:v>
                </c:pt>
                <c:pt idx="6">
                  <c:v>3.2210999999999999</c:v>
                </c:pt>
              </c:numCache>
            </c:numRef>
          </c:val>
          <c:smooth val="0"/>
          <c:extLst xmlns:c16r2="http://schemas.microsoft.com/office/drawing/2015/06/chart">
            <c:ext xmlns:c16="http://schemas.microsoft.com/office/drawing/2014/chart" uri="{C3380CC4-5D6E-409C-BE32-E72D297353CC}">
              <c16:uniqueId val="{00000009-3F59-48A3-9EE2-0DE0FCD38110}"/>
            </c:ext>
          </c:extLst>
        </c:ser>
        <c:dLbls>
          <c:showLegendKey val="0"/>
          <c:showVal val="0"/>
          <c:showCatName val="0"/>
          <c:showSerName val="0"/>
          <c:showPercent val="0"/>
          <c:showBubbleSize val="0"/>
        </c:dLbls>
        <c:marker val="1"/>
        <c:smooth val="0"/>
        <c:axId val="323663744"/>
        <c:axId val="323662208"/>
      </c:lineChart>
      <c:dateAx>
        <c:axId val="32364211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23644032"/>
        <c:crosses val="autoZero"/>
        <c:auto val="0"/>
        <c:lblOffset val="0"/>
        <c:baseTimeUnit val="days"/>
      </c:dateAx>
      <c:valAx>
        <c:axId val="32364403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3642112"/>
        <c:crosses val="autoZero"/>
        <c:crossBetween val="between"/>
      </c:valAx>
      <c:valAx>
        <c:axId val="323662208"/>
        <c:scaling>
          <c:orientation val="minMax"/>
        </c:scaling>
        <c:delete val="0"/>
        <c:axPos val="r"/>
        <c:numFmt formatCode="#,##0.0_);[Red]\(#,##0.0\)" sourceLinked="0"/>
        <c:majorTickMark val="out"/>
        <c:minorTickMark val="none"/>
        <c:tickLblPos val="nextTo"/>
        <c:spPr>
          <a:ln w="3175">
            <a:solidFill>
              <a:sysClr val="windowText" lastClr="000000"/>
            </a:solidFill>
          </a:ln>
        </c:spPr>
        <c:crossAx val="323663744"/>
        <c:crosses val="max"/>
        <c:crossBetween val="between"/>
      </c:valAx>
      <c:dateAx>
        <c:axId val="323663744"/>
        <c:scaling>
          <c:orientation val="minMax"/>
        </c:scaling>
        <c:delete val="1"/>
        <c:axPos val="b"/>
        <c:numFmt formatCode="General" sourceLinked="1"/>
        <c:majorTickMark val="out"/>
        <c:minorTickMark val="none"/>
        <c:tickLblPos val="nextTo"/>
        <c:crossAx val="323662208"/>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44431</c:v>
                </c:pt>
                <c:pt idx="1">
                  <c:v>44428</c:v>
                </c:pt>
                <c:pt idx="2">
                  <c:v>44421</c:v>
                </c:pt>
                <c:pt idx="3">
                  <c:v>44414</c:v>
                </c:pt>
                <c:pt idx="4">
                  <c:v>44407</c:v>
                </c:pt>
                <c:pt idx="5">
                  <c:v>44400</c:v>
                </c:pt>
                <c:pt idx="6">
                  <c:v>44393</c:v>
                </c:pt>
                <c:pt idx="7">
                  <c:v>44386</c:v>
                </c:pt>
                <c:pt idx="8">
                  <c:v>44379</c:v>
                </c:pt>
                <c:pt idx="9">
                  <c:v>44372</c:v>
                </c:pt>
                <c:pt idx="10">
                  <c:v>44365</c:v>
                </c:pt>
                <c:pt idx="11">
                  <c:v>44358</c:v>
                </c:pt>
                <c:pt idx="12">
                  <c:v>44351</c:v>
                </c:pt>
                <c:pt idx="13">
                  <c:v>44344</c:v>
                </c:pt>
                <c:pt idx="14">
                  <c:v>44337</c:v>
                </c:pt>
                <c:pt idx="15">
                  <c:v>44330</c:v>
                </c:pt>
                <c:pt idx="16">
                  <c:v>44323</c:v>
                </c:pt>
                <c:pt idx="17">
                  <c:v>44316</c:v>
                </c:pt>
                <c:pt idx="18">
                  <c:v>44309</c:v>
                </c:pt>
                <c:pt idx="19">
                  <c:v>44302</c:v>
                </c:pt>
                <c:pt idx="20">
                  <c:v>44295</c:v>
                </c:pt>
                <c:pt idx="21">
                  <c:v>44288</c:v>
                </c:pt>
                <c:pt idx="22">
                  <c:v>44281</c:v>
                </c:pt>
                <c:pt idx="23">
                  <c:v>44274</c:v>
                </c:pt>
              </c:numCache>
            </c:numRef>
          </c:cat>
          <c:val>
            <c:numRef>
              <c:f>转债!$H$5:$H$28</c:f>
              <c:numCache>
                <c:formatCode>General</c:formatCode>
                <c:ptCount val="24"/>
                <c:pt idx="0">
                  <c:v>8.4354676235363293</c:v>
                </c:pt>
                <c:pt idx="1">
                  <c:v>8.4354676235363293</c:v>
                </c:pt>
                <c:pt idx="2">
                  <c:v>9.6323056973792056</c:v>
                </c:pt>
                <c:pt idx="3">
                  <c:v>8.4245011546008932</c:v>
                </c:pt>
                <c:pt idx="4">
                  <c:v>7.0712551748025376</c:v>
                </c:pt>
                <c:pt idx="5">
                  <c:v>8.0259351561378303</c:v>
                </c:pt>
                <c:pt idx="6">
                  <c:v>6.5290392911752315</c:v>
                </c:pt>
                <c:pt idx="7">
                  <c:v>5.1069271438293207</c:v>
                </c:pt>
                <c:pt idx="8">
                  <c:v>3.1556557256233075</c:v>
                </c:pt>
                <c:pt idx="9">
                  <c:v>4.1584090150889486</c:v>
                </c:pt>
                <c:pt idx="10">
                  <c:v>2.1180486091450179</c:v>
                </c:pt>
                <c:pt idx="11">
                  <c:v>3.8249632121113208</c:v>
                </c:pt>
                <c:pt idx="12">
                  <c:v>3.9962735721399634</c:v>
                </c:pt>
                <c:pt idx="13">
                  <c:v>3.9149479757771388</c:v>
                </c:pt>
                <c:pt idx="14">
                  <c:v>2.2278490221248504</c:v>
                </c:pt>
                <c:pt idx="15">
                  <c:v>2.0004305153398905</c:v>
                </c:pt>
                <c:pt idx="16">
                  <c:v>1.1072876257784747</c:v>
                </c:pt>
                <c:pt idx="17">
                  <c:v>0.82191513093123891</c:v>
                </c:pt>
                <c:pt idx="18">
                  <c:v>0.82381526168737729</c:v>
                </c:pt>
                <c:pt idx="19">
                  <c:v>0.1018198638040646</c:v>
                </c:pt>
                <c:pt idx="20">
                  <c:v>0.38602513547254524</c:v>
                </c:pt>
                <c:pt idx="21">
                  <c:v>1.194367903860627E-2</c:v>
                </c:pt>
                <c:pt idx="22">
                  <c:v>-0.57069070024432511</c:v>
                </c:pt>
                <c:pt idx="23">
                  <c:v>0</c:v>
                </c:pt>
              </c:numCache>
            </c:numRef>
          </c:val>
          <c:smooth val="1"/>
          <c:extLst xmlns:c16r2="http://schemas.microsoft.com/office/drawing/2015/06/chart">
            <c:ext xmlns:c16="http://schemas.microsoft.com/office/drawing/2014/chart" uri="{C3380CC4-5D6E-409C-BE32-E72D297353CC}">
              <c16:uniqueId val="{00000000-1F58-4A81-951C-61161B5FC84A}"/>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44431</c:v>
                </c:pt>
                <c:pt idx="1">
                  <c:v>44428</c:v>
                </c:pt>
                <c:pt idx="2">
                  <c:v>44421</c:v>
                </c:pt>
                <c:pt idx="3">
                  <c:v>44414</c:v>
                </c:pt>
                <c:pt idx="4">
                  <c:v>44407</c:v>
                </c:pt>
                <c:pt idx="5">
                  <c:v>44400</c:v>
                </c:pt>
                <c:pt idx="6">
                  <c:v>44393</c:v>
                </c:pt>
                <c:pt idx="7">
                  <c:v>44386</c:v>
                </c:pt>
                <c:pt idx="8">
                  <c:v>44379</c:v>
                </c:pt>
                <c:pt idx="9">
                  <c:v>44372</c:v>
                </c:pt>
                <c:pt idx="10">
                  <c:v>44365</c:v>
                </c:pt>
                <c:pt idx="11">
                  <c:v>44358</c:v>
                </c:pt>
                <c:pt idx="12">
                  <c:v>44351</c:v>
                </c:pt>
                <c:pt idx="13">
                  <c:v>44344</c:v>
                </c:pt>
                <c:pt idx="14">
                  <c:v>44337</c:v>
                </c:pt>
                <c:pt idx="15">
                  <c:v>44330</c:v>
                </c:pt>
                <c:pt idx="16">
                  <c:v>44323</c:v>
                </c:pt>
                <c:pt idx="17">
                  <c:v>44316</c:v>
                </c:pt>
                <c:pt idx="18">
                  <c:v>44309</c:v>
                </c:pt>
                <c:pt idx="19">
                  <c:v>44302</c:v>
                </c:pt>
                <c:pt idx="20">
                  <c:v>44295</c:v>
                </c:pt>
                <c:pt idx="21">
                  <c:v>44288</c:v>
                </c:pt>
                <c:pt idx="22">
                  <c:v>44281</c:v>
                </c:pt>
                <c:pt idx="23">
                  <c:v>44274</c:v>
                </c:pt>
              </c:numCache>
            </c:numRef>
          </c:cat>
          <c:val>
            <c:numRef>
              <c:f>转债!$I$5:$I$28</c:f>
              <c:numCache>
                <c:formatCode>General</c:formatCode>
                <c:ptCount val="24"/>
                <c:pt idx="0">
                  <c:v>2.0990529473797315</c:v>
                </c:pt>
                <c:pt idx="1">
                  <c:v>2.0990529473797315</c:v>
                </c:pt>
                <c:pt idx="2">
                  <c:v>1.9139526286289676</c:v>
                </c:pt>
                <c:pt idx="3">
                  <c:v>2.2176261842416833</c:v>
                </c:pt>
                <c:pt idx="4">
                  <c:v>2.0476882477908021</c:v>
                </c:pt>
                <c:pt idx="5">
                  <c:v>1.7578993456324854</c:v>
                </c:pt>
                <c:pt idx="6">
                  <c:v>1.4940909299992144</c:v>
                </c:pt>
                <c:pt idx="7">
                  <c:v>1.1635850686310789</c:v>
                </c:pt>
                <c:pt idx="8">
                  <c:v>0.74798246615297437</c:v>
                </c:pt>
                <c:pt idx="9">
                  <c:v>0.7190206123217413</c:v>
                </c:pt>
                <c:pt idx="10">
                  <c:v>0.51202853935150561</c:v>
                </c:pt>
                <c:pt idx="11">
                  <c:v>0.58979963508065669</c:v>
                </c:pt>
                <c:pt idx="12">
                  <c:v>0.80573580996936567</c:v>
                </c:pt>
                <c:pt idx="13">
                  <c:v>0.90335429376520171</c:v>
                </c:pt>
                <c:pt idx="14">
                  <c:v>0.96766664565512972</c:v>
                </c:pt>
                <c:pt idx="15">
                  <c:v>0.69815104117865179</c:v>
                </c:pt>
                <c:pt idx="16">
                  <c:v>0.60811374853275701</c:v>
                </c:pt>
                <c:pt idx="17">
                  <c:v>0.55061595048544465</c:v>
                </c:pt>
                <c:pt idx="18">
                  <c:v>0.59022554469581046</c:v>
                </c:pt>
                <c:pt idx="19">
                  <c:v>0.46245266014628417</c:v>
                </c:pt>
                <c:pt idx="20">
                  <c:v>0.16763802452899323</c:v>
                </c:pt>
                <c:pt idx="21">
                  <c:v>0.19566287720684805</c:v>
                </c:pt>
                <c:pt idx="22">
                  <c:v>0.16866020760539779</c:v>
                </c:pt>
                <c:pt idx="23">
                  <c:v>0</c:v>
                </c:pt>
              </c:numCache>
            </c:numRef>
          </c:val>
          <c:smooth val="1"/>
          <c:extLst xmlns:c16r2="http://schemas.microsoft.com/office/drawing/2015/06/chart">
            <c:ext xmlns:c16="http://schemas.microsoft.com/office/drawing/2014/chart" uri="{C3380CC4-5D6E-409C-BE32-E72D297353CC}">
              <c16:uniqueId val="{00000001-1F58-4A81-951C-61161B5FC84A}"/>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44431</c:v>
                </c:pt>
                <c:pt idx="1">
                  <c:v>44428</c:v>
                </c:pt>
                <c:pt idx="2">
                  <c:v>44421</c:v>
                </c:pt>
                <c:pt idx="3">
                  <c:v>44414</c:v>
                </c:pt>
                <c:pt idx="4">
                  <c:v>44407</c:v>
                </c:pt>
                <c:pt idx="5">
                  <c:v>44400</c:v>
                </c:pt>
                <c:pt idx="6">
                  <c:v>44393</c:v>
                </c:pt>
                <c:pt idx="7">
                  <c:v>44386</c:v>
                </c:pt>
                <c:pt idx="8">
                  <c:v>44379</c:v>
                </c:pt>
                <c:pt idx="9">
                  <c:v>44372</c:v>
                </c:pt>
                <c:pt idx="10">
                  <c:v>44365</c:v>
                </c:pt>
                <c:pt idx="11">
                  <c:v>44358</c:v>
                </c:pt>
                <c:pt idx="12">
                  <c:v>44351</c:v>
                </c:pt>
                <c:pt idx="13">
                  <c:v>44344</c:v>
                </c:pt>
                <c:pt idx="14">
                  <c:v>44337</c:v>
                </c:pt>
                <c:pt idx="15">
                  <c:v>44330</c:v>
                </c:pt>
                <c:pt idx="16">
                  <c:v>44323</c:v>
                </c:pt>
                <c:pt idx="17">
                  <c:v>44316</c:v>
                </c:pt>
                <c:pt idx="18">
                  <c:v>44309</c:v>
                </c:pt>
                <c:pt idx="19">
                  <c:v>44302</c:v>
                </c:pt>
                <c:pt idx="20">
                  <c:v>44295</c:v>
                </c:pt>
                <c:pt idx="21">
                  <c:v>44288</c:v>
                </c:pt>
                <c:pt idx="22">
                  <c:v>44281</c:v>
                </c:pt>
                <c:pt idx="23">
                  <c:v>44274</c:v>
                </c:pt>
              </c:numCache>
            </c:numRef>
          </c:cat>
          <c:val>
            <c:numRef>
              <c:f>转债!$J$5:$J$28</c:f>
              <c:numCache>
                <c:formatCode>General</c:formatCode>
                <c:ptCount val="24"/>
                <c:pt idx="0">
                  <c:v>-4.7497222289182854</c:v>
                </c:pt>
                <c:pt idx="1">
                  <c:v>-4.7497222289182854</c:v>
                </c:pt>
                <c:pt idx="2">
                  <c:v>-1.2204252661131121</c:v>
                </c:pt>
                <c:pt idx="3">
                  <c:v>-1.7080976783584112</c:v>
                </c:pt>
                <c:pt idx="4">
                  <c:v>-3.912874995453941</c:v>
                </c:pt>
                <c:pt idx="5">
                  <c:v>1.6404236496055491</c:v>
                </c:pt>
                <c:pt idx="6">
                  <c:v>1.7511566147583535</c:v>
                </c:pt>
                <c:pt idx="7">
                  <c:v>1.2451422140206114</c:v>
                </c:pt>
                <c:pt idx="8">
                  <c:v>1.4784333744942924</c:v>
                </c:pt>
                <c:pt idx="9">
                  <c:v>4.6509582900106095</c:v>
                </c:pt>
                <c:pt idx="10">
                  <c:v>1.9047987287308388</c:v>
                </c:pt>
                <c:pt idx="11">
                  <c:v>4.3460826463559199</c:v>
                </c:pt>
                <c:pt idx="12">
                  <c:v>5.4959359933304253</c:v>
                </c:pt>
                <c:pt idx="13">
                  <c:v>6.2710647522322693</c:v>
                </c:pt>
                <c:pt idx="14">
                  <c:v>2.5375533940297901</c:v>
                </c:pt>
                <c:pt idx="15">
                  <c:v>2.0670566243188082</c:v>
                </c:pt>
                <c:pt idx="16">
                  <c:v>-0.22044737475994669</c:v>
                </c:pt>
                <c:pt idx="17">
                  <c:v>2.3246692934881352</c:v>
                </c:pt>
                <c:pt idx="18">
                  <c:v>2.5636184301594644</c:v>
                </c:pt>
                <c:pt idx="19">
                  <c:v>-0.81703333235005893</c:v>
                </c:pt>
                <c:pt idx="20">
                  <c:v>0.56413397903898321</c:v>
                </c:pt>
                <c:pt idx="21">
                  <c:v>3.0849491102687532</c:v>
                </c:pt>
                <c:pt idx="22">
                  <c:v>0.6171088532508584</c:v>
                </c:pt>
                <c:pt idx="23">
                  <c:v>0</c:v>
                </c:pt>
              </c:numCache>
            </c:numRef>
          </c:val>
          <c:smooth val="1"/>
          <c:extLst xmlns:c16r2="http://schemas.microsoft.com/office/drawing/2015/06/chart">
            <c:ext xmlns:c16="http://schemas.microsoft.com/office/drawing/2014/chart" uri="{C3380CC4-5D6E-409C-BE32-E72D297353CC}">
              <c16:uniqueId val="{00000002-1F58-4A81-951C-61161B5FC84A}"/>
            </c:ext>
          </c:extLst>
        </c:ser>
        <c:dLbls>
          <c:showLegendKey val="0"/>
          <c:showVal val="0"/>
          <c:showCatName val="0"/>
          <c:showSerName val="0"/>
          <c:showPercent val="0"/>
          <c:showBubbleSize val="0"/>
        </c:dLbls>
        <c:marker val="1"/>
        <c:smooth val="0"/>
        <c:axId val="379854208"/>
        <c:axId val="356066432"/>
      </c:lineChart>
      <c:dateAx>
        <c:axId val="37985420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6066432"/>
        <c:crosses val="autoZero"/>
        <c:auto val="0"/>
        <c:lblOffset val="0"/>
        <c:baseTimeUnit val="days"/>
      </c:dateAx>
      <c:valAx>
        <c:axId val="35606643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9854208"/>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44429</c:v>
                </c:pt>
                <c:pt idx="1">
                  <c:v>44422</c:v>
                </c:pt>
                <c:pt idx="2">
                  <c:v>44415</c:v>
                </c:pt>
                <c:pt idx="3">
                  <c:v>44408</c:v>
                </c:pt>
                <c:pt idx="4">
                  <c:v>44401</c:v>
                </c:pt>
                <c:pt idx="5">
                  <c:v>44394</c:v>
                </c:pt>
                <c:pt idx="6">
                  <c:v>44387</c:v>
                </c:pt>
                <c:pt idx="7">
                  <c:v>44380</c:v>
                </c:pt>
                <c:pt idx="8">
                  <c:v>44373</c:v>
                </c:pt>
                <c:pt idx="9">
                  <c:v>44366</c:v>
                </c:pt>
                <c:pt idx="10">
                  <c:v>44359</c:v>
                </c:pt>
                <c:pt idx="11">
                  <c:v>44352</c:v>
                </c:pt>
                <c:pt idx="12">
                  <c:v>44345</c:v>
                </c:pt>
                <c:pt idx="13">
                  <c:v>44338</c:v>
                </c:pt>
                <c:pt idx="14">
                  <c:v>44331</c:v>
                </c:pt>
                <c:pt idx="15">
                  <c:v>44324</c:v>
                </c:pt>
                <c:pt idx="16">
                  <c:v>44317</c:v>
                </c:pt>
                <c:pt idx="17">
                  <c:v>44310</c:v>
                </c:pt>
                <c:pt idx="18">
                  <c:v>44303</c:v>
                </c:pt>
                <c:pt idx="19">
                  <c:v>44296</c:v>
                </c:pt>
                <c:pt idx="20">
                  <c:v>44289</c:v>
                </c:pt>
                <c:pt idx="21">
                  <c:v>44282</c:v>
                </c:pt>
                <c:pt idx="22">
                  <c:v>44275</c:v>
                </c:pt>
                <c:pt idx="23">
                  <c:v>44268</c:v>
                </c:pt>
                <c:pt idx="24">
                  <c:v>44261</c:v>
                </c:pt>
                <c:pt idx="25">
                  <c:v>44254</c:v>
                </c:pt>
              </c:numCache>
            </c:numRef>
          </c:cat>
          <c:val>
            <c:numRef>
              <c:f>汇率!$B$3:$B$28</c:f>
              <c:numCache>
                <c:formatCode>###,###,###,###,##0.00</c:formatCode>
                <c:ptCount val="26"/>
                <c:pt idx="0">
                  <c:v>6.5</c:v>
                </c:pt>
                <c:pt idx="1">
                  <c:v>6.4829999999999997</c:v>
                </c:pt>
                <c:pt idx="2">
                  <c:v>6.4687999999999999</c:v>
                </c:pt>
                <c:pt idx="3">
                  <c:v>6.4560000000000004</c:v>
                </c:pt>
                <c:pt idx="4">
                  <c:v>6.4759000000000002</c:v>
                </c:pt>
                <c:pt idx="5">
                  <c:v>6.4678000000000004</c:v>
                </c:pt>
                <c:pt idx="6">
                  <c:v>6.4847000000000001</c:v>
                </c:pt>
                <c:pt idx="7">
                  <c:v>6.4824999999999999</c:v>
                </c:pt>
                <c:pt idx="8">
                  <c:v>6.4553000000000003</c:v>
                </c:pt>
                <c:pt idx="9">
                  <c:v>6.4408000000000003</c:v>
                </c:pt>
                <c:pt idx="10">
                  <c:v>6.3914</c:v>
                </c:pt>
                <c:pt idx="11">
                  <c:v>6.4092000000000002</c:v>
                </c:pt>
                <c:pt idx="12">
                  <c:v>6.3654000000000002</c:v>
                </c:pt>
                <c:pt idx="13">
                  <c:v>6.4337</c:v>
                </c:pt>
                <c:pt idx="14">
                  <c:v>6.4347000000000003</c:v>
                </c:pt>
                <c:pt idx="15">
                  <c:v>6.4588999999999999</c:v>
                </c:pt>
                <c:pt idx="16">
                  <c:v>6.4715999999999996</c:v>
                </c:pt>
                <c:pt idx="17">
                  <c:v>6.4935999999999998</c:v>
                </c:pt>
                <c:pt idx="18">
                  <c:v>6.5228000000000002</c:v>
                </c:pt>
                <c:pt idx="19">
                  <c:v>6.5589000000000004</c:v>
                </c:pt>
                <c:pt idx="20">
                  <c:v>6.5612000000000004</c:v>
                </c:pt>
                <c:pt idx="21">
                  <c:v>6.5407000000000002</c:v>
                </c:pt>
                <c:pt idx="22">
                  <c:v>6.5045000000000002</c:v>
                </c:pt>
                <c:pt idx="23">
                  <c:v>6.5035999999999996</c:v>
                </c:pt>
                <c:pt idx="24">
                  <c:v>6.4767999999999999</c:v>
                </c:pt>
                <c:pt idx="25">
                  <c:v>6.4589999999999996</c:v>
                </c:pt>
              </c:numCache>
            </c:numRef>
          </c:val>
          <c:smooth val="1"/>
          <c:extLst xmlns:c16r2="http://schemas.microsoft.com/office/drawing/2015/06/chart">
            <c:ext xmlns:c16="http://schemas.microsoft.com/office/drawing/2014/chart" uri="{C3380CC4-5D6E-409C-BE32-E72D297353CC}">
              <c16:uniqueId val="{00000000-7CF2-4E37-8961-09BC92158B61}"/>
            </c:ext>
          </c:extLst>
        </c:ser>
        <c:dLbls>
          <c:showLegendKey val="0"/>
          <c:showVal val="0"/>
          <c:showCatName val="0"/>
          <c:showSerName val="0"/>
          <c:showPercent val="0"/>
          <c:showBubbleSize val="0"/>
        </c:dLbls>
        <c:marker val="1"/>
        <c:smooth val="0"/>
        <c:axId val="356087296"/>
        <c:axId val="35608883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44429</c:v>
                </c:pt>
                <c:pt idx="1">
                  <c:v>44422</c:v>
                </c:pt>
                <c:pt idx="2">
                  <c:v>44415</c:v>
                </c:pt>
                <c:pt idx="3">
                  <c:v>44408</c:v>
                </c:pt>
                <c:pt idx="4">
                  <c:v>44401</c:v>
                </c:pt>
                <c:pt idx="5">
                  <c:v>44394</c:v>
                </c:pt>
                <c:pt idx="6">
                  <c:v>44387</c:v>
                </c:pt>
                <c:pt idx="7">
                  <c:v>44380</c:v>
                </c:pt>
                <c:pt idx="8">
                  <c:v>44373</c:v>
                </c:pt>
                <c:pt idx="9">
                  <c:v>44366</c:v>
                </c:pt>
                <c:pt idx="10">
                  <c:v>44359</c:v>
                </c:pt>
                <c:pt idx="11">
                  <c:v>44352</c:v>
                </c:pt>
                <c:pt idx="12">
                  <c:v>44345</c:v>
                </c:pt>
                <c:pt idx="13">
                  <c:v>44338</c:v>
                </c:pt>
                <c:pt idx="14">
                  <c:v>44331</c:v>
                </c:pt>
                <c:pt idx="15">
                  <c:v>44324</c:v>
                </c:pt>
                <c:pt idx="16">
                  <c:v>44317</c:v>
                </c:pt>
                <c:pt idx="17">
                  <c:v>44310</c:v>
                </c:pt>
                <c:pt idx="18">
                  <c:v>44303</c:v>
                </c:pt>
                <c:pt idx="19">
                  <c:v>44296</c:v>
                </c:pt>
                <c:pt idx="20">
                  <c:v>44289</c:v>
                </c:pt>
                <c:pt idx="21">
                  <c:v>44282</c:v>
                </c:pt>
                <c:pt idx="22">
                  <c:v>44275</c:v>
                </c:pt>
                <c:pt idx="23">
                  <c:v>44268</c:v>
                </c:pt>
                <c:pt idx="24">
                  <c:v>44261</c:v>
                </c:pt>
                <c:pt idx="25">
                  <c:v>44254</c:v>
                </c:pt>
              </c:numCache>
            </c:numRef>
          </c:cat>
          <c:val>
            <c:numRef>
              <c:f>汇率!$C$3:$C$28</c:f>
              <c:numCache>
                <c:formatCode>###,###,###,###,##0.00</c:formatCode>
                <c:ptCount val="26"/>
                <c:pt idx="0">
                  <c:v>159.19999999999999</c:v>
                </c:pt>
                <c:pt idx="1">
                  <c:v>158.91999999999999</c:v>
                </c:pt>
                <c:pt idx="2">
                  <c:v>150.38999999999999</c:v>
                </c:pt>
                <c:pt idx="3">
                  <c:v>159.63</c:v>
                </c:pt>
                <c:pt idx="4">
                  <c:v>161.34</c:v>
                </c:pt>
                <c:pt idx="5">
                  <c:v>163.32</c:v>
                </c:pt>
                <c:pt idx="6">
                  <c:v>164.04999999999998</c:v>
                </c:pt>
                <c:pt idx="7">
                  <c:v>164.02999999999997</c:v>
                </c:pt>
                <c:pt idx="8">
                  <c:v>154.26999999999998</c:v>
                </c:pt>
                <c:pt idx="9">
                  <c:v>167.02</c:v>
                </c:pt>
                <c:pt idx="10">
                  <c:v>165.76000000000002</c:v>
                </c:pt>
                <c:pt idx="11">
                  <c:v>153.24999999999997</c:v>
                </c:pt>
                <c:pt idx="12">
                  <c:v>150.25</c:v>
                </c:pt>
                <c:pt idx="13">
                  <c:v>145.76000000000002</c:v>
                </c:pt>
                <c:pt idx="14">
                  <c:v>151.22</c:v>
                </c:pt>
                <c:pt idx="15">
                  <c:v>155.88999999999999</c:v>
                </c:pt>
                <c:pt idx="16">
                  <c:v>151.40000000000003</c:v>
                </c:pt>
                <c:pt idx="17">
                  <c:v>159.19</c:v>
                </c:pt>
                <c:pt idx="18">
                  <c:v>157.31</c:v>
                </c:pt>
                <c:pt idx="19">
                  <c:v>154.21</c:v>
                </c:pt>
                <c:pt idx="20">
                  <c:v>148.13</c:v>
                </c:pt>
                <c:pt idx="21">
                  <c:v>152.85000000000002</c:v>
                </c:pt>
                <c:pt idx="22">
                  <c:v>149.64000000000001</c:v>
                </c:pt>
                <c:pt idx="23">
                  <c:v>162.13</c:v>
                </c:pt>
                <c:pt idx="24">
                  <c:v>168.56999999999996</c:v>
                </c:pt>
                <c:pt idx="25">
                  <c:v>183.98</c:v>
                </c:pt>
              </c:numCache>
            </c:numRef>
          </c:val>
          <c:smooth val="1"/>
          <c:extLst xmlns:c16r2="http://schemas.microsoft.com/office/drawing/2015/06/chart">
            <c:ext xmlns:c16="http://schemas.microsoft.com/office/drawing/2014/chart" uri="{C3380CC4-5D6E-409C-BE32-E72D297353CC}">
              <c16:uniqueId val="{00000001-7CF2-4E37-8961-09BC92158B61}"/>
            </c:ext>
          </c:extLst>
        </c:ser>
        <c:dLbls>
          <c:showLegendKey val="0"/>
          <c:showVal val="0"/>
          <c:showCatName val="0"/>
          <c:showSerName val="0"/>
          <c:showPercent val="0"/>
          <c:showBubbleSize val="0"/>
        </c:dLbls>
        <c:marker val="1"/>
        <c:smooth val="0"/>
        <c:axId val="356096256"/>
        <c:axId val="356094720"/>
      </c:lineChart>
      <c:dateAx>
        <c:axId val="3560872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6088832"/>
        <c:crosses val="autoZero"/>
        <c:auto val="0"/>
        <c:lblOffset val="0"/>
        <c:baseTimeUnit val="days"/>
      </c:dateAx>
      <c:valAx>
        <c:axId val="35608883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6087296"/>
        <c:crosses val="autoZero"/>
        <c:crossBetween val="between"/>
      </c:valAx>
      <c:valAx>
        <c:axId val="356094720"/>
        <c:scaling>
          <c:orientation val="minMax"/>
        </c:scaling>
        <c:delete val="0"/>
        <c:axPos val="r"/>
        <c:numFmt formatCode="#,##0_);[Red]\(#,##0\)" sourceLinked="0"/>
        <c:majorTickMark val="out"/>
        <c:minorTickMark val="none"/>
        <c:tickLblPos val="nextTo"/>
        <c:spPr>
          <a:ln w="3175">
            <a:solidFill>
              <a:sysClr val="windowText" lastClr="000000"/>
            </a:solidFill>
          </a:ln>
        </c:spPr>
        <c:crossAx val="356096256"/>
        <c:crosses val="max"/>
        <c:crossBetween val="between"/>
      </c:valAx>
      <c:dateAx>
        <c:axId val="356096256"/>
        <c:scaling>
          <c:orientation val="minMax"/>
        </c:scaling>
        <c:delete val="1"/>
        <c:axPos val="b"/>
        <c:numFmt formatCode="yyyy/mm/dd;@" sourceLinked="1"/>
        <c:majorTickMark val="out"/>
        <c:minorTickMark val="none"/>
        <c:tickLblPos val="nextTo"/>
        <c:crossAx val="35609472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汇率!$K$3:$K$189</c:f>
              <c:numCache>
                <c:formatCode>yyyy/mm/dd;@</c:formatCode>
                <c:ptCount val="187"/>
                <c:pt idx="0">
                  <c:v>44429</c:v>
                </c:pt>
                <c:pt idx="1">
                  <c:v>44422</c:v>
                </c:pt>
                <c:pt idx="2">
                  <c:v>44415</c:v>
                </c:pt>
                <c:pt idx="3">
                  <c:v>44408</c:v>
                </c:pt>
                <c:pt idx="4">
                  <c:v>44401</c:v>
                </c:pt>
                <c:pt idx="5">
                  <c:v>44394</c:v>
                </c:pt>
                <c:pt idx="6">
                  <c:v>44387</c:v>
                </c:pt>
                <c:pt idx="7">
                  <c:v>44380</c:v>
                </c:pt>
                <c:pt idx="8">
                  <c:v>44373</c:v>
                </c:pt>
                <c:pt idx="9">
                  <c:v>44366</c:v>
                </c:pt>
                <c:pt idx="10">
                  <c:v>44359</c:v>
                </c:pt>
                <c:pt idx="11">
                  <c:v>44352</c:v>
                </c:pt>
                <c:pt idx="12">
                  <c:v>44345</c:v>
                </c:pt>
                <c:pt idx="13">
                  <c:v>44338</c:v>
                </c:pt>
                <c:pt idx="14">
                  <c:v>44331</c:v>
                </c:pt>
                <c:pt idx="15">
                  <c:v>44324</c:v>
                </c:pt>
                <c:pt idx="16">
                  <c:v>44317</c:v>
                </c:pt>
                <c:pt idx="17">
                  <c:v>44310</c:v>
                </c:pt>
                <c:pt idx="18">
                  <c:v>44303</c:v>
                </c:pt>
                <c:pt idx="19">
                  <c:v>44296</c:v>
                </c:pt>
                <c:pt idx="20">
                  <c:v>44289</c:v>
                </c:pt>
                <c:pt idx="21">
                  <c:v>44282</c:v>
                </c:pt>
                <c:pt idx="22">
                  <c:v>44275</c:v>
                </c:pt>
                <c:pt idx="23">
                  <c:v>44268</c:v>
                </c:pt>
                <c:pt idx="24">
                  <c:v>44261</c:v>
                </c:pt>
                <c:pt idx="25">
                  <c:v>44254</c:v>
                </c:pt>
                <c:pt idx="26">
                  <c:v>44247</c:v>
                </c:pt>
                <c:pt idx="27">
                  <c:v>44240</c:v>
                </c:pt>
                <c:pt idx="28">
                  <c:v>44233</c:v>
                </c:pt>
                <c:pt idx="29">
                  <c:v>44226</c:v>
                </c:pt>
                <c:pt idx="30">
                  <c:v>44219</c:v>
                </c:pt>
                <c:pt idx="31">
                  <c:v>44212</c:v>
                </c:pt>
                <c:pt idx="32">
                  <c:v>44205</c:v>
                </c:pt>
                <c:pt idx="33">
                  <c:v>44198</c:v>
                </c:pt>
                <c:pt idx="34">
                  <c:v>44191</c:v>
                </c:pt>
                <c:pt idx="35">
                  <c:v>44184</c:v>
                </c:pt>
                <c:pt idx="36">
                  <c:v>44177</c:v>
                </c:pt>
                <c:pt idx="37">
                  <c:v>44170</c:v>
                </c:pt>
                <c:pt idx="38">
                  <c:v>44163</c:v>
                </c:pt>
                <c:pt idx="39">
                  <c:v>44156</c:v>
                </c:pt>
                <c:pt idx="40">
                  <c:v>44149</c:v>
                </c:pt>
                <c:pt idx="41">
                  <c:v>44142</c:v>
                </c:pt>
                <c:pt idx="42">
                  <c:v>44135</c:v>
                </c:pt>
                <c:pt idx="43">
                  <c:v>44128</c:v>
                </c:pt>
                <c:pt idx="44">
                  <c:v>44121</c:v>
                </c:pt>
                <c:pt idx="45">
                  <c:v>44114</c:v>
                </c:pt>
                <c:pt idx="46">
                  <c:v>44107</c:v>
                </c:pt>
                <c:pt idx="47">
                  <c:v>44100</c:v>
                </c:pt>
                <c:pt idx="48">
                  <c:v>44093</c:v>
                </c:pt>
                <c:pt idx="49">
                  <c:v>44086</c:v>
                </c:pt>
                <c:pt idx="50">
                  <c:v>44079</c:v>
                </c:pt>
                <c:pt idx="51">
                  <c:v>44072</c:v>
                </c:pt>
                <c:pt idx="52">
                  <c:v>44065</c:v>
                </c:pt>
                <c:pt idx="53">
                  <c:v>44058</c:v>
                </c:pt>
                <c:pt idx="54">
                  <c:v>44051</c:v>
                </c:pt>
                <c:pt idx="55">
                  <c:v>44044</c:v>
                </c:pt>
                <c:pt idx="56">
                  <c:v>44037</c:v>
                </c:pt>
                <c:pt idx="57">
                  <c:v>44030</c:v>
                </c:pt>
                <c:pt idx="58">
                  <c:v>44023</c:v>
                </c:pt>
                <c:pt idx="59">
                  <c:v>44016</c:v>
                </c:pt>
                <c:pt idx="60">
                  <c:v>44009</c:v>
                </c:pt>
                <c:pt idx="61">
                  <c:v>44002</c:v>
                </c:pt>
                <c:pt idx="62">
                  <c:v>43995</c:v>
                </c:pt>
                <c:pt idx="63">
                  <c:v>43988</c:v>
                </c:pt>
                <c:pt idx="64">
                  <c:v>43981</c:v>
                </c:pt>
                <c:pt idx="65">
                  <c:v>43974</c:v>
                </c:pt>
                <c:pt idx="66">
                  <c:v>43967</c:v>
                </c:pt>
                <c:pt idx="67">
                  <c:v>43960</c:v>
                </c:pt>
                <c:pt idx="68">
                  <c:v>43953</c:v>
                </c:pt>
                <c:pt idx="69">
                  <c:v>43946</c:v>
                </c:pt>
                <c:pt idx="70">
                  <c:v>43939</c:v>
                </c:pt>
                <c:pt idx="71">
                  <c:v>43932</c:v>
                </c:pt>
                <c:pt idx="72">
                  <c:v>43925</c:v>
                </c:pt>
                <c:pt idx="73">
                  <c:v>43918</c:v>
                </c:pt>
                <c:pt idx="74">
                  <c:v>43911</c:v>
                </c:pt>
                <c:pt idx="75">
                  <c:v>43904</c:v>
                </c:pt>
                <c:pt idx="76">
                  <c:v>43897</c:v>
                </c:pt>
                <c:pt idx="77">
                  <c:v>43890</c:v>
                </c:pt>
                <c:pt idx="78">
                  <c:v>43883</c:v>
                </c:pt>
                <c:pt idx="79">
                  <c:v>43876</c:v>
                </c:pt>
                <c:pt idx="80">
                  <c:v>43869</c:v>
                </c:pt>
                <c:pt idx="81">
                  <c:v>43862</c:v>
                </c:pt>
                <c:pt idx="82">
                  <c:v>43855</c:v>
                </c:pt>
                <c:pt idx="83">
                  <c:v>43848</c:v>
                </c:pt>
                <c:pt idx="84">
                  <c:v>43841</c:v>
                </c:pt>
                <c:pt idx="85">
                  <c:v>43834</c:v>
                </c:pt>
                <c:pt idx="86">
                  <c:v>43827</c:v>
                </c:pt>
                <c:pt idx="87">
                  <c:v>43820</c:v>
                </c:pt>
                <c:pt idx="88">
                  <c:v>43813</c:v>
                </c:pt>
                <c:pt idx="89">
                  <c:v>43806</c:v>
                </c:pt>
                <c:pt idx="90">
                  <c:v>43799</c:v>
                </c:pt>
                <c:pt idx="91">
                  <c:v>43792</c:v>
                </c:pt>
                <c:pt idx="92">
                  <c:v>43785</c:v>
                </c:pt>
                <c:pt idx="93">
                  <c:v>43778</c:v>
                </c:pt>
                <c:pt idx="94">
                  <c:v>43771</c:v>
                </c:pt>
                <c:pt idx="95">
                  <c:v>43764</c:v>
                </c:pt>
                <c:pt idx="96">
                  <c:v>43757</c:v>
                </c:pt>
                <c:pt idx="97">
                  <c:v>43750</c:v>
                </c:pt>
                <c:pt idx="98">
                  <c:v>43743</c:v>
                </c:pt>
                <c:pt idx="99">
                  <c:v>43736</c:v>
                </c:pt>
                <c:pt idx="100">
                  <c:v>43729</c:v>
                </c:pt>
                <c:pt idx="101">
                  <c:v>43722</c:v>
                </c:pt>
                <c:pt idx="102">
                  <c:v>43715</c:v>
                </c:pt>
                <c:pt idx="103">
                  <c:v>43708</c:v>
                </c:pt>
                <c:pt idx="104">
                  <c:v>43701</c:v>
                </c:pt>
                <c:pt idx="105">
                  <c:v>43694</c:v>
                </c:pt>
                <c:pt idx="106">
                  <c:v>43687</c:v>
                </c:pt>
                <c:pt idx="107">
                  <c:v>43680</c:v>
                </c:pt>
                <c:pt idx="108">
                  <c:v>43673</c:v>
                </c:pt>
                <c:pt idx="109">
                  <c:v>43666</c:v>
                </c:pt>
                <c:pt idx="110">
                  <c:v>43659</c:v>
                </c:pt>
                <c:pt idx="111">
                  <c:v>43652</c:v>
                </c:pt>
                <c:pt idx="112">
                  <c:v>43645</c:v>
                </c:pt>
                <c:pt idx="113">
                  <c:v>43638</c:v>
                </c:pt>
                <c:pt idx="114">
                  <c:v>43631</c:v>
                </c:pt>
                <c:pt idx="115">
                  <c:v>43624</c:v>
                </c:pt>
                <c:pt idx="116">
                  <c:v>43617</c:v>
                </c:pt>
                <c:pt idx="117">
                  <c:v>43610</c:v>
                </c:pt>
                <c:pt idx="118">
                  <c:v>43603</c:v>
                </c:pt>
                <c:pt idx="119">
                  <c:v>43596</c:v>
                </c:pt>
                <c:pt idx="120">
                  <c:v>43589</c:v>
                </c:pt>
                <c:pt idx="121">
                  <c:v>43582</c:v>
                </c:pt>
                <c:pt idx="122">
                  <c:v>43575</c:v>
                </c:pt>
                <c:pt idx="123">
                  <c:v>43568</c:v>
                </c:pt>
                <c:pt idx="124">
                  <c:v>43561</c:v>
                </c:pt>
                <c:pt idx="125">
                  <c:v>43554</c:v>
                </c:pt>
                <c:pt idx="126">
                  <c:v>43547</c:v>
                </c:pt>
                <c:pt idx="127">
                  <c:v>43540</c:v>
                </c:pt>
                <c:pt idx="128">
                  <c:v>43533</c:v>
                </c:pt>
                <c:pt idx="129">
                  <c:v>43526</c:v>
                </c:pt>
                <c:pt idx="130">
                  <c:v>43519</c:v>
                </c:pt>
                <c:pt idx="131">
                  <c:v>43512</c:v>
                </c:pt>
                <c:pt idx="132">
                  <c:v>43505</c:v>
                </c:pt>
                <c:pt idx="133">
                  <c:v>43498</c:v>
                </c:pt>
                <c:pt idx="134">
                  <c:v>43491</c:v>
                </c:pt>
                <c:pt idx="135">
                  <c:v>43484</c:v>
                </c:pt>
                <c:pt idx="136">
                  <c:v>43477</c:v>
                </c:pt>
                <c:pt idx="137">
                  <c:v>43470</c:v>
                </c:pt>
                <c:pt idx="138">
                  <c:v>43463</c:v>
                </c:pt>
                <c:pt idx="139">
                  <c:v>43456</c:v>
                </c:pt>
                <c:pt idx="140">
                  <c:v>43449</c:v>
                </c:pt>
                <c:pt idx="141">
                  <c:v>43442</c:v>
                </c:pt>
                <c:pt idx="142">
                  <c:v>43435</c:v>
                </c:pt>
                <c:pt idx="143">
                  <c:v>43428</c:v>
                </c:pt>
                <c:pt idx="144">
                  <c:v>43421</c:v>
                </c:pt>
                <c:pt idx="145">
                  <c:v>43414</c:v>
                </c:pt>
                <c:pt idx="146">
                  <c:v>43407</c:v>
                </c:pt>
                <c:pt idx="147">
                  <c:v>43400</c:v>
                </c:pt>
                <c:pt idx="148">
                  <c:v>43393</c:v>
                </c:pt>
                <c:pt idx="149">
                  <c:v>43386</c:v>
                </c:pt>
                <c:pt idx="150">
                  <c:v>43379</c:v>
                </c:pt>
                <c:pt idx="151">
                  <c:v>43372</c:v>
                </c:pt>
                <c:pt idx="152">
                  <c:v>43365</c:v>
                </c:pt>
                <c:pt idx="153">
                  <c:v>43358</c:v>
                </c:pt>
                <c:pt idx="154">
                  <c:v>43351</c:v>
                </c:pt>
                <c:pt idx="155">
                  <c:v>43344</c:v>
                </c:pt>
                <c:pt idx="156">
                  <c:v>43337</c:v>
                </c:pt>
                <c:pt idx="157">
                  <c:v>43330</c:v>
                </c:pt>
                <c:pt idx="158">
                  <c:v>43323</c:v>
                </c:pt>
                <c:pt idx="159">
                  <c:v>43316</c:v>
                </c:pt>
                <c:pt idx="160">
                  <c:v>43309</c:v>
                </c:pt>
                <c:pt idx="161">
                  <c:v>43302</c:v>
                </c:pt>
                <c:pt idx="162">
                  <c:v>43295</c:v>
                </c:pt>
                <c:pt idx="163">
                  <c:v>43288</c:v>
                </c:pt>
                <c:pt idx="164">
                  <c:v>43281</c:v>
                </c:pt>
                <c:pt idx="165">
                  <c:v>43274</c:v>
                </c:pt>
                <c:pt idx="166">
                  <c:v>43267</c:v>
                </c:pt>
                <c:pt idx="167">
                  <c:v>43260</c:v>
                </c:pt>
                <c:pt idx="168">
                  <c:v>43253</c:v>
                </c:pt>
                <c:pt idx="169">
                  <c:v>43246</c:v>
                </c:pt>
                <c:pt idx="170">
                  <c:v>43239</c:v>
                </c:pt>
                <c:pt idx="171">
                  <c:v>43232</c:v>
                </c:pt>
                <c:pt idx="172">
                  <c:v>43225</c:v>
                </c:pt>
                <c:pt idx="173">
                  <c:v>43218</c:v>
                </c:pt>
                <c:pt idx="174">
                  <c:v>43211</c:v>
                </c:pt>
                <c:pt idx="175">
                  <c:v>43204</c:v>
                </c:pt>
                <c:pt idx="176">
                  <c:v>43197</c:v>
                </c:pt>
                <c:pt idx="177">
                  <c:v>43190</c:v>
                </c:pt>
                <c:pt idx="178">
                  <c:v>43183</c:v>
                </c:pt>
                <c:pt idx="179">
                  <c:v>43176</c:v>
                </c:pt>
                <c:pt idx="180">
                  <c:v>43169</c:v>
                </c:pt>
                <c:pt idx="181">
                  <c:v>43162</c:v>
                </c:pt>
                <c:pt idx="182">
                  <c:v>43155</c:v>
                </c:pt>
                <c:pt idx="183">
                  <c:v>43148</c:v>
                </c:pt>
                <c:pt idx="184">
                  <c:v>43141</c:v>
                </c:pt>
                <c:pt idx="185">
                  <c:v>43134</c:v>
                </c:pt>
                <c:pt idx="186">
                  <c:v>43127</c:v>
                </c:pt>
              </c:numCache>
            </c:numRef>
          </c:cat>
          <c:val>
            <c:numRef>
              <c:f>汇率!$L$3:$L$189</c:f>
              <c:numCache>
                <c:formatCode>###,###,###,###,##0.00</c:formatCode>
                <c:ptCount val="187"/>
                <c:pt idx="0">
                  <c:v>8922</c:v>
                </c:pt>
                <c:pt idx="1">
                  <c:v>9429.5</c:v>
                </c:pt>
                <c:pt idx="2">
                  <c:v>9529.5</c:v>
                </c:pt>
                <c:pt idx="3">
                  <c:v>9747.5</c:v>
                </c:pt>
                <c:pt idx="4">
                  <c:v>9433.5</c:v>
                </c:pt>
                <c:pt idx="5">
                  <c:v>9396.5</c:v>
                </c:pt>
                <c:pt idx="6">
                  <c:v>9437.5</c:v>
                </c:pt>
                <c:pt idx="7">
                  <c:v>9296.5</c:v>
                </c:pt>
                <c:pt idx="8">
                  <c:v>9432.5</c:v>
                </c:pt>
                <c:pt idx="9">
                  <c:v>9206</c:v>
                </c:pt>
                <c:pt idx="10">
                  <c:v>10029</c:v>
                </c:pt>
                <c:pt idx="11">
                  <c:v>9852</c:v>
                </c:pt>
                <c:pt idx="12">
                  <c:v>10159.5</c:v>
                </c:pt>
                <c:pt idx="13">
                  <c:v>10011</c:v>
                </c:pt>
                <c:pt idx="14">
                  <c:v>10212</c:v>
                </c:pt>
                <c:pt idx="15">
                  <c:v>10361</c:v>
                </c:pt>
                <c:pt idx="16">
                  <c:v>9949</c:v>
                </c:pt>
                <c:pt idx="17">
                  <c:v>9545.5</c:v>
                </c:pt>
                <c:pt idx="18">
                  <c:v>9336</c:v>
                </c:pt>
                <c:pt idx="19">
                  <c:v>8993</c:v>
                </c:pt>
                <c:pt idx="20">
                  <c:v>8768</c:v>
                </c:pt>
                <c:pt idx="21">
                  <c:v>8929</c:v>
                </c:pt>
                <c:pt idx="22">
                  <c:v>9036</c:v>
                </c:pt>
                <c:pt idx="23">
                  <c:v>9052.5</c:v>
                </c:pt>
                <c:pt idx="24">
                  <c:v>9021.5</c:v>
                </c:pt>
                <c:pt idx="25">
                  <c:v>9172.5</c:v>
                </c:pt>
                <c:pt idx="26">
                  <c:v>8806.5</c:v>
                </c:pt>
                <c:pt idx="27">
                  <c:v>8270.5</c:v>
                </c:pt>
                <c:pt idx="28">
                  <c:v>7936.5</c:v>
                </c:pt>
                <c:pt idx="29">
                  <c:v>7877</c:v>
                </c:pt>
                <c:pt idx="30">
                  <c:v>7872</c:v>
                </c:pt>
                <c:pt idx="31">
                  <c:v>7979.5</c:v>
                </c:pt>
                <c:pt idx="32">
                  <c:v>8146</c:v>
                </c:pt>
                <c:pt idx="33">
                  <c:v>7741.5</c:v>
                </c:pt>
                <c:pt idx="34">
                  <c:v>7793</c:v>
                </c:pt>
                <c:pt idx="35">
                  <c:v>7964</c:v>
                </c:pt>
                <c:pt idx="36">
                  <c:v>7741</c:v>
                </c:pt>
                <c:pt idx="37">
                  <c:v>7741.5</c:v>
                </c:pt>
                <c:pt idx="38">
                  <c:v>7462</c:v>
                </c:pt>
                <c:pt idx="39">
                  <c:v>7178.5</c:v>
                </c:pt>
                <c:pt idx="40">
                  <c:v>6926</c:v>
                </c:pt>
                <c:pt idx="41">
                  <c:v>6938.5</c:v>
                </c:pt>
                <c:pt idx="42">
                  <c:v>6694.5</c:v>
                </c:pt>
                <c:pt idx="43">
                  <c:v>6879.5</c:v>
                </c:pt>
                <c:pt idx="44">
                  <c:v>6728</c:v>
                </c:pt>
                <c:pt idx="45">
                  <c:v>6740.5</c:v>
                </c:pt>
                <c:pt idx="46">
                  <c:v>6409.5</c:v>
                </c:pt>
                <c:pt idx="47">
                  <c:v>6529</c:v>
                </c:pt>
                <c:pt idx="48">
                  <c:v>6833.5</c:v>
                </c:pt>
                <c:pt idx="49">
                  <c:v>6757.5</c:v>
                </c:pt>
                <c:pt idx="50">
                  <c:v>6678</c:v>
                </c:pt>
                <c:pt idx="51">
                  <c:v>6728</c:v>
                </c:pt>
                <c:pt idx="52">
                  <c:v>6564.5</c:v>
                </c:pt>
                <c:pt idx="53">
                  <c:v>6342.5</c:v>
                </c:pt>
                <c:pt idx="54">
                  <c:v>6437</c:v>
                </c:pt>
                <c:pt idx="55">
                  <c:v>6446.5</c:v>
                </c:pt>
                <c:pt idx="56">
                  <c:v>6412.5</c:v>
                </c:pt>
                <c:pt idx="57">
                  <c:v>6454.5</c:v>
                </c:pt>
                <c:pt idx="58">
                  <c:v>6322.5</c:v>
                </c:pt>
                <c:pt idx="59">
                  <c:v>6022.5</c:v>
                </c:pt>
                <c:pt idx="60">
                  <c:v>5985.5</c:v>
                </c:pt>
                <c:pt idx="61">
                  <c:v>5835.5</c:v>
                </c:pt>
                <c:pt idx="62">
                  <c:v>5785.5</c:v>
                </c:pt>
                <c:pt idx="63">
                  <c:v>5588</c:v>
                </c:pt>
                <c:pt idx="64">
                  <c:v>5332.5</c:v>
                </c:pt>
                <c:pt idx="65">
                  <c:v>5242.5</c:v>
                </c:pt>
                <c:pt idx="66">
                  <c:v>5165</c:v>
                </c:pt>
                <c:pt idx="67">
                  <c:v>5227.5</c:v>
                </c:pt>
                <c:pt idx="68">
                  <c:v>5061</c:v>
                </c:pt>
                <c:pt idx="69">
                  <c:v>5118</c:v>
                </c:pt>
                <c:pt idx="70">
                  <c:v>5175.5</c:v>
                </c:pt>
                <c:pt idx="71">
                  <c:v>4963.5</c:v>
                </c:pt>
                <c:pt idx="72">
                  <c:v>4863.5</c:v>
                </c:pt>
                <c:pt idx="73">
                  <c:v>4774</c:v>
                </c:pt>
                <c:pt idx="74">
                  <c:v>4855</c:v>
                </c:pt>
                <c:pt idx="75">
                  <c:v>5530.5</c:v>
                </c:pt>
                <c:pt idx="76">
                  <c:v>5624</c:v>
                </c:pt>
                <c:pt idx="77">
                  <c:v>5573</c:v>
                </c:pt>
                <c:pt idx="78">
                  <c:v>5702</c:v>
                </c:pt>
                <c:pt idx="79">
                  <c:v>5737</c:v>
                </c:pt>
                <c:pt idx="80">
                  <c:v>5653</c:v>
                </c:pt>
                <c:pt idx="81">
                  <c:v>5570</c:v>
                </c:pt>
                <c:pt idx="82">
                  <c:v>5968</c:v>
                </c:pt>
                <c:pt idx="83">
                  <c:v>6276.5</c:v>
                </c:pt>
                <c:pt idx="84">
                  <c:v>6157</c:v>
                </c:pt>
                <c:pt idx="85">
                  <c:v>6077</c:v>
                </c:pt>
                <c:pt idx="86">
                  <c:v>6211</c:v>
                </c:pt>
                <c:pt idx="87">
                  <c:v>6155.5</c:v>
                </c:pt>
                <c:pt idx="88">
                  <c:v>6154</c:v>
                </c:pt>
                <c:pt idx="89">
                  <c:v>5867.5</c:v>
                </c:pt>
                <c:pt idx="90">
                  <c:v>5854</c:v>
                </c:pt>
                <c:pt idx="91">
                  <c:v>5834</c:v>
                </c:pt>
                <c:pt idx="92">
                  <c:v>5812</c:v>
                </c:pt>
                <c:pt idx="93">
                  <c:v>5951.5</c:v>
                </c:pt>
                <c:pt idx="94">
                  <c:v>5797</c:v>
                </c:pt>
                <c:pt idx="95">
                  <c:v>5867.5</c:v>
                </c:pt>
                <c:pt idx="96">
                  <c:v>5751</c:v>
                </c:pt>
                <c:pt idx="97">
                  <c:v>5763</c:v>
                </c:pt>
                <c:pt idx="98">
                  <c:v>5599</c:v>
                </c:pt>
                <c:pt idx="99">
                  <c:v>5714</c:v>
                </c:pt>
                <c:pt idx="100">
                  <c:v>5777.5</c:v>
                </c:pt>
                <c:pt idx="101">
                  <c:v>5870</c:v>
                </c:pt>
                <c:pt idx="102">
                  <c:v>5787.5</c:v>
                </c:pt>
                <c:pt idx="103">
                  <c:v>5678</c:v>
                </c:pt>
                <c:pt idx="104">
                  <c:v>5675</c:v>
                </c:pt>
                <c:pt idx="105">
                  <c:v>5710</c:v>
                </c:pt>
                <c:pt idx="106">
                  <c:v>5744</c:v>
                </c:pt>
                <c:pt idx="107">
                  <c:v>5769</c:v>
                </c:pt>
                <c:pt idx="108">
                  <c:v>5945</c:v>
                </c:pt>
                <c:pt idx="109">
                  <c:v>6066</c:v>
                </c:pt>
                <c:pt idx="110">
                  <c:v>5950</c:v>
                </c:pt>
                <c:pt idx="111">
                  <c:v>5857</c:v>
                </c:pt>
                <c:pt idx="112">
                  <c:v>5972</c:v>
                </c:pt>
                <c:pt idx="113">
                  <c:v>5941</c:v>
                </c:pt>
                <c:pt idx="114">
                  <c:v>5805.5</c:v>
                </c:pt>
                <c:pt idx="115">
                  <c:v>5770</c:v>
                </c:pt>
                <c:pt idx="116">
                  <c:v>5780.5</c:v>
                </c:pt>
                <c:pt idx="117">
                  <c:v>5919</c:v>
                </c:pt>
                <c:pt idx="118">
                  <c:v>6025</c:v>
                </c:pt>
                <c:pt idx="119">
                  <c:v>6135.5</c:v>
                </c:pt>
                <c:pt idx="120">
                  <c:v>6180</c:v>
                </c:pt>
                <c:pt idx="121">
                  <c:v>6393</c:v>
                </c:pt>
                <c:pt idx="122">
                  <c:v>6448</c:v>
                </c:pt>
                <c:pt idx="123">
                  <c:v>6490</c:v>
                </c:pt>
                <c:pt idx="124">
                  <c:v>6419</c:v>
                </c:pt>
                <c:pt idx="125">
                  <c:v>6485</c:v>
                </c:pt>
                <c:pt idx="126">
                  <c:v>6375</c:v>
                </c:pt>
                <c:pt idx="127">
                  <c:v>6410</c:v>
                </c:pt>
                <c:pt idx="128">
                  <c:v>6398.5</c:v>
                </c:pt>
                <c:pt idx="129">
                  <c:v>6572</c:v>
                </c:pt>
                <c:pt idx="130">
                  <c:v>6489</c:v>
                </c:pt>
                <c:pt idx="131">
                  <c:v>6190</c:v>
                </c:pt>
                <c:pt idx="132">
                  <c:v>6207</c:v>
                </c:pt>
                <c:pt idx="133">
                  <c:v>6097.5</c:v>
                </c:pt>
                <c:pt idx="134">
                  <c:v>5901</c:v>
                </c:pt>
                <c:pt idx="135">
                  <c:v>6022</c:v>
                </c:pt>
                <c:pt idx="136">
                  <c:v>5926.5</c:v>
                </c:pt>
                <c:pt idx="137">
                  <c:v>5840</c:v>
                </c:pt>
                <c:pt idx="138">
                  <c:v>6018</c:v>
                </c:pt>
                <c:pt idx="139">
                  <c:v>5987</c:v>
                </c:pt>
                <c:pt idx="140">
                  <c:v>6104</c:v>
                </c:pt>
                <c:pt idx="141">
                  <c:v>6173</c:v>
                </c:pt>
                <c:pt idx="142">
                  <c:v>6238</c:v>
                </c:pt>
                <c:pt idx="143">
                  <c:v>6210</c:v>
                </c:pt>
                <c:pt idx="144">
                  <c:v>6181</c:v>
                </c:pt>
                <c:pt idx="145">
                  <c:v>6088</c:v>
                </c:pt>
                <c:pt idx="146">
                  <c:v>6255</c:v>
                </c:pt>
                <c:pt idx="147">
                  <c:v>6159</c:v>
                </c:pt>
                <c:pt idx="148">
                  <c:v>6191.5</c:v>
                </c:pt>
                <c:pt idx="149">
                  <c:v>6325</c:v>
                </c:pt>
                <c:pt idx="150">
                  <c:v>6182.5</c:v>
                </c:pt>
                <c:pt idx="151">
                  <c:v>6180</c:v>
                </c:pt>
                <c:pt idx="152">
                  <c:v>6203</c:v>
                </c:pt>
                <c:pt idx="153">
                  <c:v>5946.5</c:v>
                </c:pt>
                <c:pt idx="154">
                  <c:v>5883</c:v>
                </c:pt>
                <c:pt idx="155">
                  <c:v>6019</c:v>
                </c:pt>
                <c:pt idx="156">
                  <c:v>6001</c:v>
                </c:pt>
                <c:pt idx="157">
                  <c:v>5844</c:v>
                </c:pt>
                <c:pt idx="158">
                  <c:v>6120</c:v>
                </c:pt>
                <c:pt idx="159">
                  <c:v>6167</c:v>
                </c:pt>
                <c:pt idx="160">
                  <c:v>6251.5</c:v>
                </c:pt>
                <c:pt idx="161">
                  <c:v>6073</c:v>
                </c:pt>
                <c:pt idx="162">
                  <c:v>6166</c:v>
                </c:pt>
                <c:pt idx="163">
                  <c:v>6326</c:v>
                </c:pt>
                <c:pt idx="164">
                  <c:v>6646</c:v>
                </c:pt>
                <c:pt idx="165">
                  <c:v>6811</c:v>
                </c:pt>
                <c:pt idx="166">
                  <c:v>7136</c:v>
                </c:pt>
                <c:pt idx="167">
                  <c:v>7262.5</c:v>
                </c:pt>
                <c:pt idx="168">
                  <c:v>6814</c:v>
                </c:pt>
                <c:pt idx="169">
                  <c:v>6886</c:v>
                </c:pt>
                <c:pt idx="170">
                  <c:v>6783.5</c:v>
                </c:pt>
                <c:pt idx="171">
                  <c:v>6869</c:v>
                </c:pt>
                <c:pt idx="172">
                  <c:v>6783</c:v>
                </c:pt>
                <c:pt idx="173">
                  <c:v>6797</c:v>
                </c:pt>
                <c:pt idx="174">
                  <c:v>6939</c:v>
                </c:pt>
                <c:pt idx="175">
                  <c:v>6830</c:v>
                </c:pt>
                <c:pt idx="176">
                  <c:v>6703</c:v>
                </c:pt>
                <c:pt idx="177">
                  <c:v>6685</c:v>
                </c:pt>
                <c:pt idx="178">
                  <c:v>6658</c:v>
                </c:pt>
                <c:pt idx="179">
                  <c:v>6923</c:v>
                </c:pt>
                <c:pt idx="180">
                  <c:v>6808</c:v>
                </c:pt>
                <c:pt idx="181">
                  <c:v>6883</c:v>
                </c:pt>
                <c:pt idx="182">
                  <c:v>7073.5</c:v>
                </c:pt>
                <c:pt idx="183">
                  <c:v>7159</c:v>
                </c:pt>
                <c:pt idx="184">
                  <c:v>6755</c:v>
                </c:pt>
                <c:pt idx="185">
                  <c:v>7066</c:v>
                </c:pt>
                <c:pt idx="186">
                  <c:v>7063.5</c:v>
                </c:pt>
              </c:numCache>
            </c:numRef>
          </c:val>
          <c:smooth val="1"/>
          <c:extLst xmlns:c16r2="http://schemas.microsoft.com/office/drawing/2015/06/chart">
            <c:ext xmlns:c16="http://schemas.microsoft.com/office/drawing/2014/chart" uri="{C3380CC4-5D6E-409C-BE32-E72D297353CC}">
              <c16:uniqueId val="{00000000-D53A-4B2A-8FA6-D0296DF0F5EE}"/>
            </c:ext>
          </c:extLst>
        </c:ser>
        <c:dLbls>
          <c:showLegendKey val="0"/>
          <c:showVal val="0"/>
          <c:showCatName val="0"/>
          <c:showSerName val="0"/>
          <c:showPercent val="0"/>
          <c:showBubbleSize val="0"/>
        </c:dLbls>
        <c:marker val="1"/>
        <c:smooth val="0"/>
        <c:axId val="356385920"/>
        <c:axId val="356387456"/>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汇率!$K$3:$K$189</c:f>
              <c:numCache>
                <c:formatCode>yyyy/mm/dd;@</c:formatCode>
                <c:ptCount val="187"/>
                <c:pt idx="0">
                  <c:v>44429</c:v>
                </c:pt>
                <c:pt idx="1">
                  <c:v>44422</c:v>
                </c:pt>
                <c:pt idx="2">
                  <c:v>44415</c:v>
                </c:pt>
                <c:pt idx="3">
                  <c:v>44408</c:v>
                </c:pt>
                <c:pt idx="4">
                  <c:v>44401</c:v>
                </c:pt>
                <c:pt idx="5">
                  <c:v>44394</c:v>
                </c:pt>
                <c:pt idx="6">
                  <c:v>44387</c:v>
                </c:pt>
                <c:pt idx="7">
                  <c:v>44380</c:v>
                </c:pt>
                <c:pt idx="8">
                  <c:v>44373</c:v>
                </c:pt>
                <c:pt idx="9">
                  <c:v>44366</c:v>
                </c:pt>
                <c:pt idx="10">
                  <c:v>44359</c:v>
                </c:pt>
                <c:pt idx="11">
                  <c:v>44352</c:v>
                </c:pt>
                <c:pt idx="12">
                  <c:v>44345</c:v>
                </c:pt>
                <c:pt idx="13">
                  <c:v>44338</c:v>
                </c:pt>
                <c:pt idx="14">
                  <c:v>44331</c:v>
                </c:pt>
                <c:pt idx="15">
                  <c:v>44324</c:v>
                </c:pt>
                <c:pt idx="16">
                  <c:v>44317</c:v>
                </c:pt>
                <c:pt idx="17">
                  <c:v>44310</c:v>
                </c:pt>
                <c:pt idx="18">
                  <c:v>44303</c:v>
                </c:pt>
                <c:pt idx="19">
                  <c:v>44296</c:v>
                </c:pt>
                <c:pt idx="20">
                  <c:v>44289</c:v>
                </c:pt>
                <c:pt idx="21">
                  <c:v>44282</c:v>
                </c:pt>
                <c:pt idx="22">
                  <c:v>44275</c:v>
                </c:pt>
                <c:pt idx="23">
                  <c:v>44268</c:v>
                </c:pt>
                <c:pt idx="24">
                  <c:v>44261</c:v>
                </c:pt>
                <c:pt idx="25">
                  <c:v>44254</c:v>
                </c:pt>
                <c:pt idx="26">
                  <c:v>44247</c:v>
                </c:pt>
                <c:pt idx="27">
                  <c:v>44240</c:v>
                </c:pt>
                <c:pt idx="28">
                  <c:v>44233</c:v>
                </c:pt>
                <c:pt idx="29">
                  <c:v>44226</c:v>
                </c:pt>
                <c:pt idx="30">
                  <c:v>44219</c:v>
                </c:pt>
                <c:pt idx="31">
                  <c:v>44212</c:v>
                </c:pt>
                <c:pt idx="32">
                  <c:v>44205</c:v>
                </c:pt>
                <c:pt idx="33">
                  <c:v>44198</c:v>
                </c:pt>
                <c:pt idx="34">
                  <c:v>44191</c:v>
                </c:pt>
                <c:pt idx="35">
                  <c:v>44184</c:v>
                </c:pt>
                <c:pt idx="36">
                  <c:v>44177</c:v>
                </c:pt>
                <c:pt idx="37">
                  <c:v>44170</c:v>
                </c:pt>
                <c:pt idx="38">
                  <c:v>44163</c:v>
                </c:pt>
                <c:pt idx="39">
                  <c:v>44156</c:v>
                </c:pt>
                <c:pt idx="40">
                  <c:v>44149</c:v>
                </c:pt>
                <c:pt idx="41">
                  <c:v>44142</c:v>
                </c:pt>
                <c:pt idx="42">
                  <c:v>44135</c:v>
                </c:pt>
                <c:pt idx="43">
                  <c:v>44128</c:v>
                </c:pt>
                <c:pt idx="44">
                  <c:v>44121</c:v>
                </c:pt>
                <c:pt idx="45">
                  <c:v>44114</c:v>
                </c:pt>
                <c:pt idx="46">
                  <c:v>44107</c:v>
                </c:pt>
                <c:pt idx="47">
                  <c:v>44100</c:v>
                </c:pt>
                <c:pt idx="48">
                  <c:v>44093</c:v>
                </c:pt>
                <c:pt idx="49">
                  <c:v>44086</c:v>
                </c:pt>
                <c:pt idx="50">
                  <c:v>44079</c:v>
                </c:pt>
                <c:pt idx="51">
                  <c:v>44072</c:v>
                </c:pt>
                <c:pt idx="52">
                  <c:v>44065</c:v>
                </c:pt>
                <c:pt idx="53">
                  <c:v>44058</c:v>
                </c:pt>
                <c:pt idx="54">
                  <c:v>44051</c:v>
                </c:pt>
                <c:pt idx="55">
                  <c:v>44044</c:v>
                </c:pt>
                <c:pt idx="56">
                  <c:v>44037</c:v>
                </c:pt>
                <c:pt idx="57">
                  <c:v>44030</c:v>
                </c:pt>
                <c:pt idx="58">
                  <c:v>44023</c:v>
                </c:pt>
                <c:pt idx="59">
                  <c:v>44016</c:v>
                </c:pt>
                <c:pt idx="60">
                  <c:v>44009</c:v>
                </c:pt>
                <c:pt idx="61">
                  <c:v>44002</c:v>
                </c:pt>
                <c:pt idx="62">
                  <c:v>43995</c:v>
                </c:pt>
                <c:pt idx="63">
                  <c:v>43988</c:v>
                </c:pt>
                <c:pt idx="64">
                  <c:v>43981</c:v>
                </c:pt>
                <c:pt idx="65">
                  <c:v>43974</c:v>
                </c:pt>
                <c:pt idx="66">
                  <c:v>43967</c:v>
                </c:pt>
                <c:pt idx="67">
                  <c:v>43960</c:v>
                </c:pt>
                <c:pt idx="68">
                  <c:v>43953</c:v>
                </c:pt>
                <c:pt idx="69">
                  <c:v>43946</c:v>
                </c:pt>
                <c:pt idx="70">
                  <c:v>43939</c:v>
                </c:pt>
                <c:pt idx="71">
                  <c:v>43932</c:v>
                </c:pt>
                <c:pt idx="72">
                  <c:v>43925</c:v>
                </c:pt>
                <c:pt idx="73">
                  <c:v>43918</c:v>
                </c:pt>
                <c:pt idx="74">
                  <c:v>43911</c:v>
                </c:pt>
                <c:pt idx="75">
                  <c:v>43904</c:v>
                </c:pt>
                <c:pt idx="76">
                  <c:v>43897</c:v>
                </c:pt>
                <c:pt idx="77">
                  <c:v>43890</c:v>
                </c:pt>
                <c:pt idx="78">
                  <c:v>43883</c:v>
                </c:pt>
                <c:pt idx="79">
                  <c:v>43876</c:v>
                </c:pt>
                <c:pt idx="80">
                  <c:v>43869</c:v>
                </c:pt>
                <c:pt idx="81">
                  <c:v>43862</c:v>
                </c:pt>
                <c:pt idx="82">
                  <c:v>43855</c:v>
                </c:pt>
                <c:pt idx="83">
                  <c:v>43848</c:v>
                </c:pt>
                <c:pt idx="84">
                  <c:v>43841</c:v>
                </c:pt>
                <c:pt idx="85">
                  <c:v>43834</c:v>
                </c:pt>
                <c:pt idx="86">
                  <c:v>43827</c:v>
                </c:pt>
                <c:pt idx="87">
                  <c:v>43820</c:v>
                </c:pt>
                <c:pt idx="88">
                  <c:v>43813</c:v>
                </c:pt>
                <c:pt idx="89">
                  <c:v>43806</c:v>
                </c:pt>
                <c:pt idx="90">
                  <c:v>43799</c:v>
                </c:pt>
                <c:pt idx="91">
                  <c:v>43792</c:v>
                </c:pt>
                <c:pt idx="92">
                  <c:v>43785</c:v>
                </c:pt>
                <c:pt idx="93">
                  <c:v>43778</c:v>
                </c:pt>
                <c:pt idx="94">
                  <c:v>43771</c:v>
                </c:pt>
                <c:pt idx="95">
                  <c:v>43764</c:v>
                </c:pt>
                <c:pt idx="96">
                  <c:v>43757</c:v>
                </c:pt>
                <c:pt idx="97">
                  <c:v>43750</c:v>
                </c:pt>
                <c:pt idx="98">
                  <c:v>43743</c:v>
                </c:pt>
                <c:pt idx="99">
                  <c:v>43736</c:v>
                </c:pt>
                <c:pt idx="100">
                  <c:v>43729</c:v>
                </c:pt>
                <c:pt idx="101">
                  <c:v>43722</c:v>
                </c:pt>
                <c:pt idx="102">
                  <c:v>43715</c:v>
                </c:pt>
                <c:pt idx="103">
                  <c:v>43708</c:v>
                </c:pt>
                <c:pt idx="104">
                  <c:v>43701</c:v>
                </c:pt>
                <c:pt idx="105">
                  <c:v>43694</c:v>
                </c:pt>
                <c:pt idx="106">
                  <c:v>43687</c:v>
                </c:pt>
                <c:pt idx="107">
                  <c:v>43680</c:v>
                </c:pt>
                <c:pt idx="108">
                  <c:v>43673</c:v>
                </c:pt>
                <c:pt idx="109">
                  <c:v>43666</c:v>
                </c:pt>
                <c:pt idx="110">
                  <c:v>43659</c:v>
                </c:pt>
                <c:pt idx="111">
                  <c:v>43652</c:v>
                </c:pt>
                <c:pt idx="112">
                  <c:v>43645</c:v>
                </c:pt>
                <c:pt idx="113">
                  <c:v>43638</c:v>
                </c:pt>
                <c:pt idx="114">
                  <c:v>43631</c:v>
                </c:pt>
                <c:pt idx="115">
                  <c:v>43624</c:v>
                </c:pt>
                <c:pt idx="116">
                  <c:v>43617</c:v>
                </c:pt>
                <c:pt idx="117">
                  <c:v>43610</c:v>
                </c:pt>
                <c:pt idx="118">
                  <c:v>43603</c:v>
                </c:pt>
                <c:pt idx="119">
                  <c:v>43596</c:v>
                </c:pt>
                <c:pt idx="120">
                  <c:v>43589</c:v>
                </c:pt>
                <c:pt idx="121">
                  <c:v>43582</c:v>
                </c:pt>
                <c:pt idx="122">
                  <c:v>43575</c:v>
                </c:pt>
                <c:pt idx="123">
                  <c:v>43568</c:v>
                </c:pt>
                <c:pt idx="124">
                  <c:v>43561</c:v>
                </c:pt>
                <c:pt idx="125">
                  <c:v>43554</c:v>
                </c:pt>
                <c:pt idx="126">
                  <c:v>43547</c:v>
                </c:pt>
                <c:pt idx="127">
                  <c:v>43540</c:v>
                </c:pt>
                <c:pt idx="128">
                  <c:v>43533</c:v>
                </c:pt>
                <c:pt idx="129">
                  <c:v>43526</c:v>
                </c:pt>
                <c:pt idx="130">
                  <c:v>43519</c:v>
                </c:pt>
                <c:pt idx="131">
                  <c:v>43512</c:v>
                </c:pt>
                <c:pt idx="132">
                  <c:v>43505</c:v>
                </c:pt>
                <c:pt idx="133">
                  <c:v>43498</c:v>
                </c:pt>
                <c:pt idx="134">
                  <c:v>43491</c:v>
                </c:pt>
                <c:pt idx="135">
                  <c:v>43484</c:v>
                </c:pt>
                <c:pt idx="136">
                  <c:v>43477</c:v>
                </c:pt>
                <c:pt idx="137">
                  <c:v>43470</c:v>
                </c:pt>
                <c:pt idx="138">
                  <c:v>43463</c:v>
                </c:pt>
                <c:pt idx="139">
                  <c:v>43456</c:v>
                </c:pt>
                <c:pt idx="140">
                  <c:v>43449</c:v>
                </c:pt>
                <c:pt idx="141">
                  <c:v>43442</c:v>
                </c:pt>
                <c:pt idx="142">
                  <c:v>43435</c:v>
                </c:pt>
                <c:pt idx="143">
                  <c:v>43428</c:v>
                </c:pt>
                <c:pt idx="144">
                  <c:v>43421</c:v>
                </c:pt>
                <c:pt idx="145">
                  <c:v>43414</c:v>
                </c:pt>
                <c:pt idx="146">
                  <c:v>43407</c:v>
                </c:pt>
                <c:pt idx="147">
                  <c:v>43400</c:v>
                </c:pt>
                <c:pt idx="148">
                  <c:v>43393</c:v>
                </c:pt>
                <c:pt idx="149">
                  <c:v>43386</c:v>
                </c:pt>
                <c:pt idx="150">
                  <c:v>43379</c:v>
                </c:pt>
                <c:pt idx="151">
                  <c:v>43372</c:v>
                </c:pt>
                <c:pt idx="152">
                  <c:v>43365</c:v>
                </c:pt>
                <c:pt idx="153">
                  <c:v>43358</c:v>
                </c:pt>
                <c:pt idx="154">
                  <c:v>43351</c:v>
                </c:pt>
                <c:pt idx="155">
                  <c:v>43344</c:v>
                </c:pt>
                <c:pt idx="156">
                  <c:v>43337</c:v>
                </c:pt>
                <c:pt idx="157">
                  <c:v>43330</c:v>
                </c:pt>
                <c:pt idx="158">
                  <c:v>43323</c:v>
                </c:pt>
                <c:pt idx="159">
                  <c:v>43316</c:v>
                </c:pt>
                <c:pt idx="160">
                  <c:v>43309</c:v>
                </c:pt>
                <c:pt idx="161">
                  <c:v>43302</c:v>
                </c:pt>
                <c:pt idx="162">
                  <c:v>43295</c:v>
                </c:pt>
                <c:pt idx="163">
                  <c:v>43288</c:v>
                </c:pt>
                <c:pt idx="164">
                  <c:v>43281</c:v>
                </c:pt>
                <c:pt idx="165">
                  <c:v>43274</c:v>
                </c:pt>
                <c:pt idx="166">
                  <c:v>43267</c:v>
                </c:pt>
                <c:pt idx="167">
                  <c:v>43260</c:v>
                </c:pt>
                <c:pt idx="168">
                  <c:v>43253</c:v>
                </c:pt>
                <c:pt idx="169">
                  <c:v>43246</c:v>
                </c:pt>
                <c:pt idx="170">
                  <c:v>43239</c:v>
                </c:pt>
                <c:pt idx="171">
                  <c:v>43232</c:v>
                </c:pt>
                <c:pt idx="172">
                  <c:v>43225</c:v>
                </c:pt>
                <c:pt idx="173">
                  <c:v>43218</c:v>
                </c:pt>
                <c:pt idx="174">
                  <c:v>43211</c:v>
                </c:pt>
                <c:pt idx="175">
                  <c:v>43204</c:v>
                </c:pt>
                <c:pt idx="176">
                  <c:v>43197</c:v>
                </c:pt>
                <c:pt idx="177">
                  <c:v>43190</c:v>
                </c:pt>
                <c:pt idx="178">
                  <c:v>43183</c:v>
                </c:pt>
                <c:pt idx="179">
                  <c:v>43176</c:v>
                </c:pt>
                <c:pt idx="180">
                  <c:v>43169</c:v>
                </c:pt>
                <c:pt idx="181">
                  <c:v>43162</c:v>
                </c:pt>
                <c:pt idx="182">
                  <c:v>43155</c:v>
                </c:pt>
                <c:pt idx="183">
                  <c:v>43148</c:v>
                </c:pt>
                <c:pt idx="184">
                  <c:v>43141</c:v>
                </c:pt>
                <c:pt idx="185">
                  <c:v>43134</c:v>
                </c:pt>
                <c:pt idx="186">
                  <c:v>43127</c:v>
                </c:pt>
              </c:numCache>
            </c:numRef>
          </c:cat>
          <c:val>
            <c:numRef>
              <c:f>汇率!$M$3:$M$189</c:f>
              <c:numCache>
                <c:formatCode>###,###,###,###,##0.00</c:formatCode>
                <c:ptCount val="187"/>
                <c:pt idx="0">
                  <c:v>65.180000000000007</c:v>
                </c:pt>
                <c:pt idx="1">
                  <c:v>70.59</c:v>
                </c:pt>
                <c:pt idx="2">
                  <c:v>70.7</c:v>
                </c:pt>
                <c:pt idx="3">
                  <c:v>76.33</c:v>
                </c:pt>
                <c:pt idx="4">
                  <c:v>74.099999999999994</c:v>
                </c:pt>
                <c:pt idx="5">
                  <c:v>73.59</c:v>
                </c:pt>
                <c:pt idx="6">
                  <c:v>75.55</c:v>
                </c:pt>
                <c:pt idx="7">
                  <c:v>76.17</c:v>
                </c:pt>
                <c:pt idx="8">
                  <c:v>76.180000000000007</c:v>
                </c:pt>
                <c:pt idx="9">
                  <c:v>73.510000000000005</c:v>
                </c:pt>
                <c:pt idx="10">
                  <c:v>72.69</c:v>
                </c:pt>
                <c:pt idx="11">
                  <c:v>71.89</c:v>
                </c:pt>
                <c:pt idx="12">
                  <c:v>69.63</c:v>
                </c:pt>
                <c:pt idx="13">
                  <c:v>66.44</c:v>
                </c:pt>
                <c:pt idx="14">
                  <c:v>68.709999999999994</c:v>
                </c:pt>
                <c:pt idx="15">
                  <c:v>68.28</c:v>
                </c:pt>
                <c:pt idx="16">
                  <c:v>67.25</c:v>
                </c:pt>
                <c:pt idx="17">
                  <c:v>66.11</c:v>
                </c:pt>
                <c:pt idx="18">
                  <c:v>66.77</c:v>
                </c:pt>
                <c:pt idx="19">
                  <c:v>62.95</c:v>
                </c:pt>
                <c:pt idx="20">
                  <c:v>63.54</c:v>
                </c:pt>
                <c:pt idx="21">
                  <c:v>64.569999999999993</c:v>
                </c:pt>
                <c:pt idx="22">
                  <c:v>64.53</c:v>
                </c:pt>
                <c:pt idx="23">
                  <c:v>69.22</c:v>
                </c:pt>
                <c:pt idx="24">
                  <c:v>69.36</c:v>
                </c:pt>
                <c:pt idx="25">
                  <c:v>66.13</c:v>
                </c:pt>
                <c:pt idx="26">
                  <c:v>62.91</c:v>
                </c:pt>
                <c:pt idx="27">
                  <c:v>62.43</c:v>
                </c:pt>
                <c:pt idx="28">
                  <c:v>59.34</c:v>
                </c:pt>
                <c:pt idx="29">
                  <c:v>55.88</c:v>
                </c:pt>
                <c:pt idx="30">
                  <c:v>55.41</c:v>
                </c:pt>
                <c:pt idx="31">
                  <c:v>55.1</c:v>
                </c:pt>
                <c:pt idx="32">
                  <c:v>55.99</c:v>
                </c:pt>
                <c:pt idx="33">
                  <c:v>51.8</c:v>
                </c:pt>
                <c:pt idx="34">
                  <c:v>51.29</c:v>
                </c:pt>
                <c:pt idx="35">
                  <c:v>52.26</c:v>
                </c:pt>
                <c:pt idx="36">
                  <c:v>49.97</c:v>
                </c:pt>
                <c:pt idx="37">
                  <c:v>49.25</c:v>
                </c:pt>
                <c:pt idx="38">
                  <c:v>48.18</c:v>
                </c:pt>
                <c:pt idx="39">
                  <c:v>44.96</c:v>
                </c:pt>
                <c:pt idx="40">
                  <c:v>42.78</c:v>
                </c:pt>
                <c:pt idx="41">
                  <c:v>39.450000000000003</c:v>
                </c:pt>
                <c:pt idx="42">
                  <c:v>37.46</c:v>
                </c:pt>
                <c:pt idx="43">
                  <c:v>41.77</c:v>
                </c:pt>
                <c:pt idx="44">
                  <c:v>42.93</c:v>
                </c:pt>
                <c:pt idx="45">
                  <c:v>42.85</c:v>
                </c:pt>
                <c:pt idx="46">
                  <c:v>39.270000000000003</c:v>
                </c:pt>
                <c:pt idx="47">
                  <c:v>41.92</c:v>
                </c:pt>
                <c:pt idx="48">
                  <c:v>43.15</c:v>
                </c:pt>
                <c:pt idx="49">
                  <c:v>39.83</c:v>
                </c:pt>
                <c:pt idx="50">
                  <c:v>42.66</c:v>
                </c:pt>
                <c:pt idx="51">
                  <c:v>45.05</c:v>
                </c:pt>
                <c:pt idx="52">
                  <c:v>44.35</c:v>
                </c:pt>
                <c:pt idx="53">
                  <c:v>44.8</c:v>
                </c:pt>
                <c:pt idx="54">
                  <c:v>44.4</c:v>
                </c:pt>
                <c:pt idx="55">
                  <c:v>43.3</c:v>
                </c:pt>
                <c:pt idx="56">
                  <c:v>43.34</c:v>
                </c:pt>
                <c:pt idx="57">
                  <c:v>43.14</c:v>
                </c:pt>
                <c:pt idx="58">
                  <c:v>43.24</c:v>
                </c:pt>
                <c:pt idx="59">
                  <c:v>42.8</c:v>
                </c:pt>
                <c:pt idx="60">
                  <c:v>41.02</c:v>
                </c:pt>
                <c:pt idx="61">
                  <c:v>42.19</c:v>
                </c:pt>
                <c:pt idx="62">
                  <c:v>38.729999999999997</c:v>
                </c:pt>
                <c:pt idx="63">
                  <c:v>42.3</c:v>
                </c:pt>
                <c:pt idx="64">
                  <c:v>35.33</c:v>
                </c:pt>
                <c:pt idx="65">
                  <c:v>35.130000000000003</c:v>
                </c:pt>
                <c:pt idx="66">
                  <c:v>32.5</c:v>
                </c:pt>
                <c:pt idx="67">
                  <c:v>30.97</c:v>
                </c:pt>
                <c:pt idx="68">
                  <c:v>26.44</c:v>
                </c:pt>
                <c:pt idx="69">
                  <c:v>21.44</c:v>
                </c:pt>
                <c:pt idx="70">
                  <c:v>28.08</c:v>
                </c:pt>
                <c:pt idx="71">
                  <c:v>31.48</c:v>
                </c:pt>
                <c:pt idx="72">
                  <c:v>34.11</c:v>
                </c:pt>
                <c:pt idx="73">
                  <c:v>24.93</c:v>
                </c:pt>
                <c:pt idx="74">
                  <c:v>26.98</c:v>
                </c:pt>
                <c:pt idx="75">
                  <c:v>33.85</c:v>
                </c:pt>
                <c:pt idx="76">
                  <c:v>45.27</c:v>
                </c:pt>
                <c:pt idx="77">
                  <c:v>50.52</c:v>
                </c:pt>
                <c:pt idx="78">
                  <c:v>58.5</c:v>
                </c:pt>
                <c:pt idx="79">
                  <c:v>57.32</c:v>
                </c:pt>
                <c:pt idx="80">
                  <c:v>54.54</c:v>
                </c:pt>
                <c:pt idx="81">
                  <c:v>58.16</c:v>
                </c:pt>
                <c:pt idx="82">
                  <c:v>60.69</c:v>
                </c:pt>
                <c:pt idx="83">
                  <c:v>64.849999999999994</c:v>
                </c:pt>
                <c:pt idx="84">
                  <c:v>64.98</c:v>
                </c:pt>
                <c:pt idx="85">
                  <c:v>68.599999999999994</c:v>
                </c:pt>
                <c:pt idx="86">
                  <c:v>68.16</c:v>
                </c:pt>
                <c:pt idx="87">
                  <c:v>66.14</c:v>
                </c:pt>
                <c:pt idx="88">
                  <c:v>65.22</c:v>
                </c:pt>
                <c:pt idx="89">
                  <c:v>64.39</c:v>
                </c:pt>
                <c:pt idx="90">
                  <c:v>62.43</c:v>
                </c:pt>
                <c:pt idx="91">
                  <c:v>63.39</c:v>
                </c:pt>
                <c:pt idx="92">
                  <c:v>63.3</c:v>
                </c:pt>
                <c:pt idx="93">
                  <c:v>62.51</c:v>
                </c:pt>
                <c:pt idx="94">
                  <c:v>61.69</c:v>
                </c:pt>
                <c:pt idx="95">
                  <c:v>62.02</c:v>
                </c:pt>
                <c:pt idx="96">
                  <c:v>59.42</c:v>
                </c:pt>
                <c:pt idx="97">
                  <c:v>60.51</c:v>
                </c:pt>
                <c:pt idx="98">
                  <c:v>58.37</c:v>
                </c:pt>
                <c:pt idx="99">
                  <c:v>61.91</c:v>
                </c:pt>
                <c:pt idx="100">
                  <c:v>64.28</c:v>
                </c:pt>
                <c:pt idx="101">
                  <c:v>60.22</c:v>
                </c:pt>
                <c:pt idx="102">
                  <c:v>61.54</c:v>
                </c:pt>
                <c:pt idx="103">
                  <c:v>60.43</c:v>
                </c:pt>
                <c:pt idx="104">
                  <c:v>59.34</c:v>
                </c:pt>
                <c:pt idx="105">
                  <c:v>58.64</c:v>
                </c:pt>
                <c:pt idx="106">
                  <c:v>58.53</c:v>
                </c:pt>
                <c:pt idx="107">
                  <c:v>61.89</c:v>
                </c:pt>
                <c:pt idx="108">
                  <c:v>63.46</c:v>
                </c:pt>
                <c:pt idx="109">
                  <c:v>62.47</c:v>
                </c:pt>
                <c:pt idx="110">
                  <c:v>66.72</c:v>
                </c:pt>
                <c:pt idx="111">
                  <c:v>64.23</c:v>
                </c:pt>
                <c:pt idx="112">
                  <c:v>66.55</c:v>
                </c:pt>
                <c:pt idx="113">
                  <c:v>65.2</c:v>
                </c:pt>
                <c:pt idx="114">
                  <c:v>62.01</c:v>
                </c:pt>
                <c:pt idx="115">
                  <c:v>63.29</c:v>
                </c:pt>
                <c:pt idx="116">
                  <c:v>64.489999999999995</c:v>
                </c:pt>
                <c:pt idx="117">
                  <c:v>68.69</c:v>
                </c:pt>
                <c:pt idx="118">
                  <c:v>72.209999999999994</c:v>
                </c:pt>
                <c:pt idx="119">
                  <c:v>70.62</c:v>
                </c:pt>
                <c:pt idx="120">
                  <c:v>70.849999999999994</c:v>
                </c:pt>
                <c:pt idx="121">
                  <c:v>72.150000000000006</c:v>
                </c:pt>
                <c:pt idx="122">
                  <c:v>71.97</c:v>
                </c:pt>
                <c:pt idx="123">
                  <c:v>71.55</c:v>
                </c:pt>
                <c:pt idx="124">
                  <c:v>70.34</c:v>
                </c:pt>
                <c:pt idx="125">
                  <c:v>68.39</c:v>
                </c:pt>
                <c:pt idx="126">
                  <c:v>67.03</c:v>
                </c:pt>
                <c:pt idx="127">
                  <c:v>67.16</c:v>
                </c:pt>
                <c:pt idx="128">
                  <c:v>65.739999999999995</c:v>
                </c:pt>
                <c:pt idx="129">
                  <c:v>65.069999999999993</c:v>
                </c:pt>
                <c:pt idx="130">
                  <c:v>67.12</c:v>
                </c:pt>
                <c:pt idx="131">
                  <c:v>66.25</c:v>
                </c:pt>
                <c:pt idx="132">
                  <c:v>62.1</c:v>
                </c:pt>
                <c:pt idx="133">
                  <c:v>62.75</c:v>
                </c:pt>
                <c:pt idx="134">
                  <c:v>61.64</c:v>
                </c:pt>
                <c:pt idx="135">
                  <c:v>62.7</c:v>
                </c:pt>
                <c:pt idx="136">
                  <c:v>60.48</c:v>
                </c:pt>
                <c:pt idx="137">
                  <c:v>57.06</c:v>
                </c:pt>
                <c:pt idx="138">
                  <c:v>52.2</c:v>
                </c:pt>
                <c:pt idx="139">
                  <c:v>53.82</c:v>
                </c:pt>
                <c:pt idx="140">
                  <c:v>60.28</c:v>
                </c:pt>
                <c:pt idx="141">
                  <c:v>61.67</c:v>
                </c:pt>
                <c:pt idx="142">
                  <c:v>58.71</c:v>
                </c:pt>
                <c:pt idx="143">
                  <c:v>58.8</c:v>
                </c:pt>
                <c:pt idx="144">
                  <c:v>66.760000000000005</c:v>
                </c:pt>
                <c:pt idx="145">
                  <c:v>70.180000000000007</c:v>
                </c:pt>
                <c:pt idx="146">
                  <c:v>72.83</c:v>
                </c:pt>
                <c:pt idx="147">
                  <c:v>77.62</c:v>
                </c:pt>
                <c:pt idx="148">
                  <c:v>79.78</c:v>
                </c:pt>
                <c:pt idx="149">
                  <c:v>80.430000000000007</c:v>
                </c:pt>
                <c:pt idx="150">
                  <c:v>84.16</c:v>
                </c:pt>
                <c:pt idx="151">
                  <c:v>82.72</c:v>
                </c:pt>
                <c:pt idx="152">
                  <c:v>78.8</c:v>
                </c:pt>
                <c:pt idx="153">
                  <c:v>78.09</c:v>
                </c:pt>
                <c:pt idx="154">
                  <c:v>76.83</c:v>
                </c:pt>
                <c:pt idx="155">
                  <c:v>77.42</c:v>
                </c:pt>
                <c:pt idx="156">
                  <c:v>75.819999999999993</c:v>
                </c:pt>
                <c:pt idx="157">
                  <c:v>71.83</c:v>
                </c:pt>
                <c:pt idx="158">
                  <c:v>72.81</c:v>
                </c:pt>
                <c:pt idx="159">
                  <c:v>73.209999999999994</c:v>
                </c:pt>
                <c:pt idx="160">
                  <c:v>74.290000000000006</c:v>
                </c:pt>
                <c:pt idx="161">
                  <c:v>73.069999999999993</c:v>
                </c:pt>
                <c:pt idx="162">
                  <c:v>75.33</c:v>
                </c:pt>
                <c:pt idx="163">
                  <c:v>77.11</c:v>
                </c:pt>
                <c:pt idx="164">
                  <c:v>79.44</c:v>
                </c:pt>
                <c:pt idx="165">
                  <c:v>75.55</c:v>
                </c:pt>
                <c:pt idx="166">
                  <c:v>73.44</c:v>
                </c:pt>
                <c:pt idx="167">
                  <c:v>76.459999999999994</c:v>
                </c:pt>
                <c:pt idx="168">
                  <c:v>76.790000000000006</c:v>
                </c:pt>
                <c:pt idx="169">
                  <c:v>76.44</c:v>
                </c:pt>
                <c:pt idx="170">
                  <c:v>78.510000000000005</c:v>
                </c:pt>
                <c:pt idx="171">
                  <c:v>77.12</c:v>
                </c:pt>
                <c:pt idx="172">
                  <c:v>74.87</c:v>
                </c:pt>
                <c:pt idx="173">
                  <c:v>74.64</c:v>
                </c:pt>
                <c:pt idx="174">
                  <c:v>74.06</c:v>
                </c:pt>
                <c:pt idx="175">
                  <c:v>72.58</c:v>
                </c:pt>
                <c:pt idx="176">
                  <c:v>67.11</c:v>
                </c:pt>
                <c:pt idx="177">
                  <c:v>70.27</c:v>
                </c:pt>
                <c:pt idx="178">
                  <c:v>70.45</c:v>
                </c:pt>
                <c:pt idx="179">
                  <c:v>66.209999999999994</c:v>
                </c:pt>
                <c:pt idx="180">
                  <c:v>65.489999999999995</c:v>
                </c:pt>
                <c:pt idx="181">
                  <c:v>64.37</c:v>
                </c:pt>
                <c:pt idx="182">
                  <c:v>67.31</c:v>
                </c:pt>
                <c:pt idx="183">
                  <c:v>64.84</c:v>
                </c:pt>
                <c:pt idx="184">
                  <c:v>62.79</c:v>
                </c:pt>
                <c:pt idx="185">
                  <c:v>68.58</c:v>
                </c:pt>
                <c:pt idx="186">
                  <c:v>70.52</c:v>
                </c:pt>
              </c:numCache>
            </c:numRef>
          </c:val>
          <c:smooth val="1"/>
          <c:extLst xmlns:c16r2="http://schemas.microsoft.com/office/drawing/2015/06/chart">
            <c:ext xmlns:c16="http://schemas.microsoft.com/office/drawing/2014/chart" uri="{C3380CC4-5D6E-409C-BE32-E72D297353CC}">
              <c16:uniqueId val="{00000001-D53A-4B2A-8FA6-D0296DF0F5EE}"/>
            </c:ext>
          </c:extLst>
        </c:ser>
        <c:dLbls>
          <c:showLegendKey val="0"/>
          <c:showVal val="0"/>
          <c:showCatName val="0"/>
          <c:showSerName val="0"/>
          <c:showPercent val="0"/>
          <c:showBubbleSize val="0"/>
        </c:dLbls>
        <c:marker val="1"/>
        <c:smooth val="0"/>
        <c:axId val="356394880"/>
        <c:axId val="356393344"/>
      </c:lineChart>
      <c:dateAx>
        <c:axId val="35638592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6387456"/>
        <c:crosses val="autoZero"/>
        <c:auto val="0"/>
        <c:lblOffset val="0"/>
        <c:baseTimeUnit val="days"/>
      </c:dateAx>
      <c:valAx>
        <c:axId val="356387456"/>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6385920"/>
        <c:crosses val="autoZero"/>
        <c:crossBetween val="between"/>
      </c:valAx>
      <c:valAx>
        <c:axId val="356393344"/>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356394880"/>
        <c:crosses val="max"/>
        <c:crossBetween val="between"/>
      </c:valAx>
      <c:dateAx>
        <c:axId val="356394880"/>
        <c:scaling>
          <c:orientation val="minMax"/>
        </c:scaling>
        <c:delete val="1"/>
        <c:axPos val="b"/>
        <c:numFmt formatCode="yyyy/mm/dd;@" sourceLinked="1"/>
        <c:majorTickMark val="out"/>
        <c:minorTickMark val="none"/>
        <c:tickLblPos val="nextTo"/>
        <c:crossAx val="356393344"/>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713AE-A7A9-4D40-9433-3FDF2686D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548</Words>
  <Characters>3125</Characters>
  <Application>Microsoft Office Word</Application>
  <DocSecurity>0</DocSecurity>
  <Lines>26</Lines>
  <Paragraphs>7</Paragraphs>
  <ScaleCrop>false</ScaleCrop>
  <Company>Microsoft</Company>
  <LinksUpToDate>false</LinksUpToDate>
  <CharactersWithSpaces>3666</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2021-08-23T03:03:00Z</dcterms:created>
  <dcterms:modified xsi:type="dcterms:W3CDTF">2021-08-23T07:43:00Z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