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B1F7153" w:rsidR="007E1695" w:rsidRPr="00006470" w:rsidRDefault="007B2DFA" w:rsidP="00CB3ACD">
            <w:pPr>
              <w:jc w:val="center"/>
              <w:rPr>
                <w:rFonts w:ascii="Times New Roman" w:hAnsi="Times New Roman" w:cs="Times New Roman"/>
                <w:b/>
                <w:sz w:val="32"/>
                <w:szCs w:val="32"/>
              </w:rPr>
            </w:pPr>
            <w:r w:rsidRPr="007B2DFA">
              <w:rPr>
                <w:rFonts w:ascii="Times New Roman" w:hAnsi="Times New Roman" w:cs="Times New Roman" w:hint="eastAsia"/>
                <w:b/>
                <w:sz w:val="32"/>
                <w:szCs w:val="32"/>
              </w:rPr>
              <w:t>市场阶段调整，看好成长风格向中小盘扩散</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1070E262"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5C5D07">
        <w:rPr>
          <w:rFonts w:ascii="Times New Roman" w:eastAsia="楷体" w:hAnsi="Times New Roman" w:cs="Times New Roman" w:hint="eastAsia"/>
          <w:sz w:val="24"/>
        </w:rPr>
        <w:t>中央提出促进共同富裕</w:t>
      </w:r>
      <w:r w:rsidR="00951651" w:rsidRPr="00006470">
        <w:rPr>
          <w:rFonts w:ascii="Times New Roman" w:eastAsia="楷体" w:hAnsi="Times New Roman" w:cs="Times New Roman"/>
          <w:sz w:val="24"/>
        </w:rPr>
        <w:t xml:space="preserve"> </w:t>
      </w:r>
    </w:p>
    <w:bookmarkEnd w:id="0"/>
    <w:p w14:paraId="4D03E9CD" w14:textId="51E9BA64" w:rsidR="008C00C3" w:rsidRDefault="005C5D07" w:rsidP="005C5D07">
      <w:pPr>
        <w:ind w:firstLineChars="200" w:firstLine="480"/>
        <w:rPr>
          <w:rFonts w:ascii="Times New Roman" w:eastAsia="楷体" w:hAnsi="Times New Roman" w:cs="Times New Roman"/>
          <w:color w:val="000000" w:themeColor="text1"/>
        </w:rPr>
      </w:pPr>
      <w:r w:rsidRPr="005C5D07">
        <w:rPr>
          <w:rFonts w:ascii="Times New Roman" w:eastAsia="楷体" w:hAnsi="Times New Roman" w:cs="Times New Roman" w:hint="eastAsia"/>
          <w:color w:val="000000" w:themeColor="text1"/>
        </w:rPr>
        <w:t>2021</w:t>
      </w:r>
      <w:r w:rsidRPr="005C5D07">
        <w:rPr>
          <w:rFonts w:ascii="Times New Roman" w:eastAsia="楷体" w:hAnsi="Times New Roman" w:cs="Times New Roman" w:hint="eastAsia"/>
          <w:color w:val="000000" w:themeColor="text1"/>
        </w:rPr>
        <w:t>年</w:t>
      </w:r>
      <w:r w:rsidRPr="005C5D07">
        <w:rPr>
          <w:rFonts w:ascii="Times New Roman" w:eastAsia="楷体" w:hAnsi="Times New Roman" w:cs="Times New Roman" w:hint="eastAsia"/>
          <w:color w:val="000000" w:themeColor="text1"/>
        </w:rPr>
        <w:t>8</w:t>
      </w:r>
      <w:r w:rsidRPr="005C5D07">
        <w:rPr>
          <w:rFonts w:ascii="Times New Roman" w:eastAsia="楷体" w:hAnsi="Times New Roman" w:cs="Times New Roman" w:hint="eastAsia"/>
          <w:color w:val="000000" w:themeColor="text1"/>
        </w:rPr>
        <w:t>月</w:t>
      </w:r>
      <w:r w:rsidRPr="005C5D07">
        <w:rPr>
          <w:rFonts w:ascii="Times New Roman" w:eastAsia="楷体" w:hAnsi="Times New Roman" w:cs="Times New Roman" w:hint="eastAsia"/>
          <w:color w:val="000000" w:themeColor="text1"/>
        </w:rPr>
        <w:t>17</w:t>
      </w:r>
      <w:r w:rsidRPr="005C5D07">
        <w:rPr>
          <w:rFonts w:ascii="Times New Roman" w:eastAsia="楷体" w:hAnsi="Times New Roman" w:cs="Times New Roman" w:hint="eastAsia"/>
          <w:color w:val="000000" w:themeColor="text1"/>
        </w:rPr>
        <w:t>日，中央财经委员会第十次会议强调在高质量发展中促进共同富裕，</w:t>
      </w:r>
      <w:proofErr w:type="gramStart"/>
      <w:r w:rsidRPr="005C5D07">
        <w:rPr>
          <w:rFonts w:ascii="Times New Roman" w:eastAsia="楷体" w:hAnsi="Times New Roman" w:cs="Times New Roman" w:hint="eastAsia"/>
          <w:color w:val="000000" w:themeColor="text1"/>
        </w:rPr>
        <w:t>习主席</w:t>
      </w:r>
      <w:proofErr w:type="gramEnd"/>
      <w:r w:rsidRPr="005C5D07">
        <w:rPr>
          <w:rFonts w:ascii="Times New Roman" w:eastAsia="楷体" w:hAnsi="Times New Roman" w:cs="Times New Roman" w:hint="eastAsia"/>
          <w:color w:val="000000" w:themeColor="text1"/>
        </w:rPr>
        <w:t>强调，共同富裕是社会主义的本质要求。近年来，我国的收入分配整体改善，但财富积累的差异较为明显。过去五年，扶贫政策有效地提高了贫困人口的收入，但经济增长和市场化减贫的边际弹性在降低。</w:t>
      </w:r>
      <w:r w:rsidRPr="005C5D07">
        <w:rPr>
          <w:rFonts w:ascii="Times New Roman" w:eastAsia="楷体" w:hAnsi="Times New Roman" w:cs="Times New Roman" w:hint="eastAsia"/>
          <w:color w:val="000000" w:themeColor="text1"/>
        </w:rPr>
        <w:t>2020</w:t>
      </w:r>
      <w:r w:rsidRPr="005C5D07">
        <w:rPr>
          <w:rFonts w:ascii="Times New Roman" w:eastAsia="楷体" w:hAnsi="Times New Roman" w:cs="Times New Roman" w:hint="eastAsia"/>
          <w:color w:val="000000" w:themeColor="text1"/>
        </w:rPr>
        <w:t>年的新冠疫情又主要冲击了低附加值、劳动密集型的行业，造成低收入群体的困难，导致共同富裕更具急迫性</w:t>
      </w:r>
      <w:r w:rsidR="00D66D86">
        <w:rPr>
          <w:rFonts w:ascii="Times New Roman" w:eastAsia="楷体" w:hAnsi="Times New Roman" w:cs="Times New Roman" w:hint="eastAsia"/>
          <w:color w:val="000000" w:themeColor="text1"/>
        </w:rPr>
        <w:t>。</w:t>
      </w:r>
    </w:p>
    <w:p w14:paraId="0EA07489" w14:textId="6DD21676" w:rsidR="005C5D07" w:rsidRDefault="005C5D07" w:rsidP="005C5D07">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会议指出，应</w:t>
      </w:r>
      <w:r w:rsidR="00CB3ACD">
        <w:rPr>
          <w:rFonts w:ascii="Times New Roman" w:eastAsia="楷体" w:hAnsi="Times New Roman" w:cs="Times New Roman" w:hint="eastAsia"/>
          <w:color w:val="000000" w:themeColor="text1"/>
        </w:rPr>
        <w:t>在</w:t>
      </w:r>
      <w:r>
        <w:rPr>
          <w:rFonts w:ascii="Times New Roman" w:eastAsia="楷体" w:hAnsi="Times New Roman" w:cs="Times New Roman" w:hint="eastAsia"/>
          <w:color w:val="000000" w:themeColor="text1"/>
        </w:rPr>
        <w:t>高质量发展中促进共同富裕，正确处理效率和公平的关系，通过加大税收、社保、转移支付等调节力度并提高精准性，以构建初次分配、再分配、三次分配协调配套的基础制度。扩大中等收入群体比重，增加低收入群体收入，合理调节高收入，取缔非法收入，形成中间大、两头小的橄榄模型分配结构。</w:t>
      </w:r>
    </w:p>
    <w:p w14:paraId="74C3DFEB" w14:textId="77777777" w:rsidR="007B2DFA" w:rsidRDefault="007B2DFA" w:rsidP="007B2DFA">
      <w:pPr>
        <w:rPr>
          <w:rFonts w:ascii="Times New Roman" w:eastAsia="楷体" w:hAnsi="Times New Roman" w:cs="Times New Roman"/>
          <w:color w:val="000000" w:themeColor="text1"/>
        </w:rPr>
      </w:pPr>
    </w:p>
    <w:p w14:paraId="19722765" w14:textId="2EEF1DFE" w:rsidR="007B2DFA" w:rsidRDefault="007B2DFA" w:rsidP="007B2DFA">
      <w:pPr>
        <w:pStyle w:val="3"/>
        <w:rPr>
          <w:rFonts w:ascii="Times New Roman" w:eastAsia="楷体" w:hAnsi="Times New Roman" w:cs="Times New Roman"/>
          <w:sz w:val="24"/>
        </w:rPr>
      </w:pPr>
      <w:r w:rsidRPr="007B2DFA">
        <w:rPr>
          <w:rFonts w:ascii="Times New Roman" w:eastAsia="楷体" w:hAnsi="Times New Roman" w:cs="Times New Roman" w:hint="eastAsia"/>
          <w:sz w:val="24"/>
        </w:rPr>
        <w:t>1.2.</w:t>
      </w:r>
      <w:r w:rsidRPr="007B2DFA">
        <w:rPr>
          <w:rFonts w:ascii="Times New Roman" w:eastAsia="楷体" w:hAnsi="Times New Roman" w:cs="Times New Roman" w:hint="eastAsia"/>
          <w:sz w:val="24"/>
        </w:rPr>
        <w:t>非银行业点评</w:t>
      </w:r>
    </w:p>
    <w:p w14:paraId="3F77C9C1" w14:textId="77777777" w:rsidR="007B2DFA" w:rsidRPr="007B2DFA" w:rsidRDefault="007B2DFA" w:rsidP="007B2DFA">
      <w:pPr>
        <w:ind w:firstLineChars="200" w:firstLine="480"/>
        <w:rPr>
          <w:rFonts w:ascii="Times New Roman" w:eastAsia="楷体" w:hAnsi="Times New Roman" w:cs="Times New Roman"/>
          <w:color w:val="000000" w:themeColor="text1"/>
        </w:rPr>
      </w:pPr>
      <w:r w:rsidRPr="007B2DFA">
        <w:rPr>
          <w:rFonts w:ascii="Times New Roman" w:eastAsia="楷体" w:hAnsi="Times New Roman" w:cs="Times New Roman" w:hint="eastAsia"/>
          <w:color w:val="000000" w:themeColor="text1"/>
        </w:rPr>
        <w:t>上周非</w:t>
      </w:r>
      <w:proofErr w:type="gramStart"/>
      <w:r w:rsidRPr="007B2DFA">
        <w:rPr>
          <w:rFonts w:ascii="Times New Roman" w:eastAsia="楷体" w:hAnsi="Times New Roman" w:cs="Times New Roman" w:hint="eastAsia"/>
          <w:color w:val="000000" w:themeColor="text1"/>
        </w:rPr>
        <w:t>银金融</w:t>
      </w:r>
      <w:proofErr w:type="gramEnd"/>
      <w:r w:rsidRPr="007B2DFA">
        <w:rPr>
          <w:rFonts w:ascii="Times New Roman" w:eastAsia="楷体" w:hAnsi="Times New Roman" w:cs="Times New Roman" w:hint="eastAsia"/>
          <w:color w:val="000000" w:themeColor="text1"/>
        </w:rPr>
        <w:t>板块涨幅</w:t>
      </w:r>
      <w:r w:rsidRPr="007B2DFA">
        <w:rPr>
          <w:rFonts w:ascii="Times New Roman" w:eastAsia="楷体" w:hAnsi="Times New Roman" w:cs="Times New Roman" w:hint="eastAsia"/>
          <w:color w:val="000000" w:themeColor="text1"/>
        </w:rPr>
        <w:t>2.21%</w:t>
      </w:r>
      <w:r w:rsidRPr="007B2DFA">
        <w:rPr>
          <w:rFonts w:ascii="Times New Roman" w:eastAsia="楷体" w:hAnsi="Times New Roman" w:cs="Times New Roman" w:hint="eastAsia"/>
          <w:color w:val="000000" w:themeColor="text1"/>
        </w:rPr>
        <w:t>，同期上证指数下跌</w:t>
      </w:r>
      <w:r w:rsidRPr="007B2DFA">
        <w:rPr>
          <w:rFonts w:ascii="Times New Roman" w:eastAsia="楷体" w:hAnsi="Times New Roman" w:cs="Times New Roman" w:hint="eastAsia"/>
          <w:color w:val="000000" w:themeColor="text1"/>
        </w:rPr>
        <w:t>2.53%</w:t>
      </w:r>
      <w:r w:rsidRPr="007B2DFA">
        <w:rPr>
          <w:rFonts w:ascii="Times New Roman" w:eastAsia="楷体" w:hAnsi="Times New Roman" w:cs="Times New Roman" w:hint="eastAsia"/>
          <w:color w:val="000000" w:themeColor="text1"/>
        </w:rPr>
        <w:t>、深证成指下跌</w:t>
      </w:r>
      <w:r w:rsidRPr="007B2DFA">
        <w:rPr>
          <w:rFonts w:ascii="Times New Roman" w:eastAsia="楷体" w:hAnsi="Times New Roman" w:cs="Times New Roman" w:hint="eastAsia"/>
          <w:color w:val="000000" w:themeColor="text1"/>
        </w:rPr>
        <w:t>3.69%</w:t>
      </w:r>
      <w:r w:rsidRPr="007B2DFA">
        <w:rPr>
          <w:rFonts w:ascii="Times New Roman" w:eastAsia="楷体" w:hAnsi="Times New Roman" w:cs="Times New Roman" w:hint="eastAsia"/>
          <w:color w:val="000000" w:themeColor="text1"/>
        </w:rPr>
        <w:t>。根据数据显示八月以来，两市合计成交额数日超过万亿，</w:t>
      </w:r>
      <w:proofErr w:type="gramStart"/>
      <w:r w:rsidRPr="007B2DFA">
        <w:rPr>
          <w:rFonts w:ascii="Times New Roman" w:eastAsia="楷体" w:hAnsi="Times New Roman" w:cs="Times New Roman" w:hint="eastAsia"/>
          <w:color w:val="000000" w:themeColor="text1"/>
        </w:rPr>
        <w:t>券商板块</w:t>
      </w:r>
      <w:proofErr w:type="gramEnd"/>
      <w:r w:rsidRPr="007B2DFA">
        <w:rPr>
          <w:rFonts w:ascii="Times New Roman" w:eastAsia="楷体" w:hAnsi="Times New Roman" w:cs="Times New Roman" w:hint="eastAsia"/>
          <w:color w:val="000000" w:themeColor="text1"/>
        </w:rPr>
        <w:t>多次飘红大涨。</w:t>
      </w:r>
    </w:p>
    <w:p w14:paraId="72112805" w14:textId="65816AC3" w:rsidR="007B2DFA" w:rsidRPr="007B2DFA" w:rsidRDefault="007B2DFA" w:rsidP="007B2DFA">
      <w:pPr>
        <w:ind w:firstLineChars="200" w:firstLine="480"/>
        <w:rPr>
          <w:rFonts w:ascii="Times New Roman" w:eastAsia="楷体" w:hAnsi="Times New Roman" w:cs="Times New Roman"/>
          <w:color w:val="000000" w:themeColor="text1"/>
        </w:rPr>
      </w:pPr>
      <w:r w:rsidRPr="007B2DFA">
        <w:rPr>
          <w:rFonts w:ascii="Times New Roman" w:eastAsia="楷体" w:hAnsi="Times New Roman" w:cs="Times New Roman" w:hint="eastAsia"/>
          <w:color w:val="000000" w:themeColor="text1"/>
        </w:rPr>
        <w:t>本次上涨目前来看主要存在两个原因，其一是目前非</w:t>
      </w:r>
      <w:proofErr w:type="gramStart"/>
      <w:r w:rsidRPr="007B2DFA">
        <w:rPr>
          <w:rFonts w:ascii="Times New Roman" w:eastAsia="楷体" w:hAnsi="Times New Roman" w:cs="Times New Roman" w:hint="eastAsia"/>
          <w:color w:val="000000" w:themeColor="text1"/>
        </w:rPr>
        <w:t>银整体</w:t>
      </w:r>
      <w:proofErr w:type="gramEnd"/>
      <w:r w:rsidRPr="007B2DFA">
        <w:rPr>
          <w:rFonts w:ascii="Times New Roman" w:eastAsia="楷体" w:hAnsi="Times New Roman" w:cs="Times New Roman" w:hint="eastAsia"/>
          <w:color w:val="000000" w:themeColor="text1"/>
        </w:rPr>
        <w:t>相较于市场处于较低估值区间，部分券商已经达到历史估值底部。但从市场表现来看，低估值个股并未在本次市场下跌时展现出较好的估值修复。其二是本次领涨个股其主要逻辑在于财富管理，在券商业务转型以及共同富裕等相关政策的催化下，行业估值存在修复以及重新调整的需求。在当下地产下行，大类资产配置调整的背景下，参控股资产管理公司，会受益于大类资产配置调整的行情。目前来看传统业务向财富管理以及中收业务逐级渗透会成为未来券商、银行的新增方向。</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二、上周市场回顾</w:t>
      </w:r>
    </w:p>
    <w:p w14:paraId="0A9AF66E" w14:textId="45D090B6"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091EAB">
        <w:rPr>
          <w:rFonts w:ascii="Times New Roman" w:eastAsia="楷体" w:hAnsi="Times New Roman" w:cs="Times New Roman" w:hint="eastAsia"/>
          <w:color w:val="000000" w:themeColor="text1"/>
        </w:rPr>
        <w:t>美元</w:t>
      </w:r>
      <w:r w:rsidR="00246570">
        <w:rPr>
          <w:rFonts w:ascii="Times New Roman" w:eastAsia="楷体" w:hAnsi="Times New Roman" w:cs="Times New Roman" w:hint="eastAsia"/>
          <w:color w:val="000000" w:themeColor="text1"/>
        </w:rPr>
        <w:t>指数</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1</w:t>
      </w:r>
      <w:r w:rsidR="00C90EB8">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01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COMEX</w:t>
      </w:r>
      <w:r w:rsidR="00091EAB">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0.36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00091EAB">
        <w:rPr>
          <w:rFonts w:ascii="Times New Roman" w:eastAsia="楷体" w:hAnsi="Times New Roman" w:cs="Times New Roman" w:hint="eastAsia"/>
          <w:color w:val="000000" w:themeColor="text1"/>
        </w:rPr>
        <w:t>中债总</w:t>
      </w:r>
      <w:r w:rsidR="00246570">
        <w:rPr>
          <w:rFonts w:ascii="Times New Roman" w:eastAsia="楷体" w:hAnsi="Times New Roman" w:cs="Times New Roman" w:hint="eastAsia"/>
          <w:color w:val="000000" w:themeColor="text1"/>
        </w:rPr>
        <w:t>指数</w:t>
      </w:r>
      <w:proofErr w:type="gramEnd"/>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0.24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F44D6A">
        <w:rPr>
          <w:rFonts w:ascii="Times New Roman" w:eastAsia="楷体" w:hAnsi="Times New Roman" w:cs="Times New Roman" w:hint="eastAsia"/>
          <w:color w:val="000000" w:themeColor="text1"/>
        </w:rPr>
        <w:t>NYMEX</w:t>
      </w:r>
      <w:r w:rsidR="00F44D6A">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9.04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螺纹</w:t>
      </w:r>
      <w:r w:rsidR="0024657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6.48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恒生</w:t>
      </w:r>
      <w:r w:rsidR="00F44D6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5.48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C90EB8">
        <w:rPr>
          <w:rFonts w:ascii="Times New Roman" w:eastAsia="楷体" w:hAnsi="Times New Roman" w:cs="Times New Roman" w:hint="eastAsia"/>
          <w:color w:val="000000" w:themeColor="text1"/>
        </w:rPr>
        <w:t>普遍</w:t>
      </w:r>
      <w:r w:rsidR="00091EAB">
        <w:rPr>
          <w:rFonts w:ascii="Times New Roman" w:eastAsia="楷体" w:hAnsi="Times New Roman" w:cs="Times New Roman" w:hint="eastAsia"/>
          <w:color w:val="000000" w:themeColor="text1"/>
        </w:rPr>
        <w:t>下跌</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091EAB">
        <w:rPr>
          <w:rFonts w:ascii="Times New Roman" w:eastAsia="楷体" w:hAnsi="Times New Roman" w:cs="Times New Roman" w:hint="eastAsia"/>
          <w:color w:val="000000" w:themeColor="text1"/>
        </w:rPr>
        <w:t>-1.81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091EAB">
        <w:rPr>
          <w:rFonts w:ascii="Times New Roman" w:eastAsia="楷体" w:hAnsi="Times New Roman" w:cs="Times New Roman" w:hint="eastAsia"/>
          <w:color w:val="000000" w:themeColor="text1"/>
        </w:rPr>
        <w:t>-1.06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091EAB">
        <w:rPr>
          <w:rFonts w:ascii="Times New Roman" w:eastAsia="楷体" w:hAnsi="Times New Roman" w:cs="Times New Roman" w:hint="eastAsia"/>
          <w:color w:val="000000" w:themeColor="text1"/>
        </w:rPr>
        <w:t>-3.91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w:t>
      </w:r>
      <w:r w:rsidR="00F44D6A">
        <w:rPr>
          <w:rFonts w:ascii="Times New Roman" w:eastAsia="楷体" w:hAnsi="Times New Roman" w:cs="Times New Roman" w:hint="eastAsia"/>
          <w:color w:val="000000" w:themeColor="text1"/>
        </w:rPr>
        <w:t>偏弱</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F44D6A">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0.73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091EAB">
        <w:rPr>
          <w:rFonts w:ascii="Times New Roman" w:eastAsia="楷体" w:hAnsi="Times New Roman" w:cs="Times New Roman" w:hint="eastAsia"/>
          <w:color w:val="000000" w:themeColor="text1"/>
        </w:rPr>
        <w:t>-0.59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091EAB">
        <w:rPr>
          <w:rFonts w:ascii="Times New Roman" w:eastAsia="楷体" w:hAnsi="Times New Roman" w:cs="Times New Roman" w:hint="eastAsia"/>
          <w:color w:val="000000" w:themeColor="text1"/>
        </w:rPr>
        <w:t>-1.11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7CA4B9F7"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表现较</w:t>
      </w:r>
      <w:r w:rsidR="00091EAB">
        <w:rPr>
          <w:rFonts w:ascii="Times New Roman" w:eastAsia="楷体" w:hAnsi="Times New Roman" w:cs="Times New Roman" w:hint="eastAsia"/>
          <w:color w:val="000000" w:themeColor="text1"/>
        </w:rPr>
        <w:t>弱</w:t>
      </w:r>
      <w:r w:rsidRPr="00D127E3">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创业板</w:t>
      </w:r>
      <w:r w:rsidR="00091EAB">
        <w:rPr>
          <w:rFonts w:ascii="Times New Roman" w:eastAsia="楷体" w:hAnsi="Times New Roman" w:cs="Times New Roman" w:hint="eastAsia"/>
          <w:color w:val="000000" w:themeColor="text1"/>
        </w:rPr>
        <w:t>50</w:t>
      </w:r>
      <w:r w:rsidR="00091EAB">
        <w:rPr>
          <w:rFonts w:ascii="Times New Roman" w:eastAsia="楷体" w:hAnsi="Times New Roman" w:cs="Times New Roman" w:hint="eastAsia"/>
          <w:color w:val="000000" w:themeColor="text1"/>
        </w:rPr>
        <w:t>指数领跌</w:t>
      </w:r>
      <w:r w:rsidRPr="00D127E3">
        <w:rPr>
          <w:rFonts w:ascii="Times New Roman" w:eastAsia="楷体" w:hAnsi="Times New Roman" w:cs="Times New Roman" w:hint="eastAsia"/>
          <w:color w:val="000000" w:themeColor="text1"/>
        </w:rPr>
        <w:t>，周涨幅</w:t>
      </w:r>
      <w:r w:rsidR="00091EAB">
        <w:rPr>
          <w:rFonts w:ascii="Times New Roman" w:eastAsia="楷体" w:hAnsi="Times New Roman" w:cs="Times New Roman" w:hint="eastAsia"/>
          <w:color w:val="000000" w:themeColor="text1"/>
        </w:rPr>
        <w:t>-5.23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091EAB">
        <w:rPr>
          <w:rFonts w:ascii="Times New Roman" w:eastAsia="楷体" w:hAnsi="Times New Roman" w:cs="Times New Roman" w:hint="eastAsia"/>
          <w:color w:val="000000" w:themeColor="text1"/>
        </w:rPr>
        <w:t>下跌</w:t>
      </w:r>
      <w:r w:rsidR="00091EAB">
        <w:rPr>
          <w:rFonts w:ascii="Times New Roman" w:eastAsia="楷体" w:hAnsi="Times New Roman" w:cs="Times New Roman" w:hint="eastAsia"/>
          <w:color w:val="000000" w:themeColor="text1"/>
        </w:rPr>
        <w:t>2.53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091EAB">
        <w:rPr>
          <w:rFonts w:ascii="Times New Roman" w:eastAsia="楷体" w:hAnsi="Times New Roman" w:cs="Times New Roman" w:hint="eastAsia"/>
          <w:color w:val="000000" w:themeColor="text1"/>
        </w:rPr>
        <w:t>3427.33</w:t>
      </w:r>
      <w:r w:rsidRPr="00D127E3">
        <w:rPr>
          <w:rFonts w:ascii="Times New Roman" w:eastAsia="楷体" w:hAnsi="Times New Roman" w:cs="Times New Roman" w:hint="eastAsia"/>
          <w:color w:val="000000" w:themeColor="text1"/>
        </w:rPr>
        <w:t>点；深证成指周内</w:t>
      </w:r>
      <w:r w:rsidR="00F44D6A">
        <w:rPr>
          <w:rFonts w:ascii="Times New Roman" w:eastAsia="楷体" w:hAnsi="Times New Roman" w:cs="Times New Roman" w:hint="eastAsia"/>
          <w:color w:val="000000" w:themeColor="text1"/>
        </w:rPr>
        <w:t>下跌</w:t>
      </w:r>
      <w:r w:rsidR="00091EAB">
        <w:rPr>
          <w:rFonts w:ascii="Times New Roman" w:eastAsia="楷体" w:hAnsi="Times New Roman" w:cs="Times New Roman" w:hint="eastAsia"/>
          <w:color w:val="000000" w:themeColor="text1"/>
        </w:rPr>
        <w:t>3.69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091EAB">
        <w:rPr>
          <w:rFonts w:ascii="Times New Roman" w:eastAsia="楷体" w:hAnsi="Times New Roman" w:cs="Times New Roman" w:hint="eastAsia"/>
          <w:color w:val="000000" w:themeColor="text1"/>
        </w:rPr>
        <w:t>14253.53</w:t>
      </w:r>
      <w:r w:rsidRPr="00D127E3">
        <w:rPr>
          <w:rFonts w:ascii="Times New Roman" w:eastAsia="楷体" w:hAnsi="Times New Roman" w:cs="Times New Roman" w:hint="eastAsia"/>
          <w:color w:val="000000" w:themeColor="text1"/>
        </w:rPr>
        <w:t>点；创业板指周内</w:t>
      </w:r>
      <w:r w:rsidR="00F44D6A">
        <w:rPr>
          <w:rFonts w:ascii="Times New Roman" w:eastAsia="楷体" w:hAnsi="Times New Roman" w:cs="Times New Roman" w:hint="eastAsia"/>
          <w:color w:val="000000" w:themeColor="text1"/>
        </w:rPr>
        <w:t>下跌</w:t>
      </w:r>
      <w:r w:rsidR="00F44D6A">
        <w:rPr>
          <w:rFonts w:ascii="Times New Roman" w:eastAsia="楷体" w:hAnsi="Times New Roman" w:cs="Times New Roman" w:hint="eastAsia"/>
          <w:color w:val="000000" w:themeColor="text1"/>
        </w:rPr>
        <w:t>4.</w:t>
      </w:r>
      <w:r w:rsidR="00091EAB">
        <w:rPr>
          <w:rFonts w:ascii="Times New Roman" w:eastAsia="楷体" w:hAnsi="Times New Roman" w:cs="Times New Roman" w:hint="eastAsia"/>
          <w:color w:val="000000" w:themeColor="text1"/>
        </w:rPr>
        <w:t>55</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091EAB">
        <w:rPr>
          <w:rFonts w:ascii="Times New Roman" w:eastAsia="楷体" w:hAnsi="Times New Roman" w:cs="Times New Roman" w:hint="eastAsia"/>
          <w:color w:val="000000" w:themeColor="text1"/>
        </w:rPr>
        <w:t>3192.90</w:t>
      </w:r>
      <w:r w:rsidRPr="00D127E3">
        <w:rPr>
          <w:rFonts w:ascii="Times New Roman" w:eastAsia="楷体" w:hAnsi="Times New Roman" w:cs="Times New Roman" w:hint="eastAsia"/>
          <w:color w:val="000000" w:themeColor="text1"/>
        </w:rPr>
        <w:t>点。两市周内日均成交</w:t>
      </w:r>
      <w:r w:rsidR="00091EAB">
        <w:rPr>
          <w:rFonts w:ascii="Times New Roman" w:eastAsia="楷体" w:hAnsi="Times New Roman" w:cs="Times New Roman" w:hint="eastAsia"/>
          <w:color w:val="000000" w:themeColor="text1"/>
        </w:rPr>
        <w:t>12460.24</w:t>
      </w:r>
      <w:r w:rsidRPr="00D127E3">
        <w:rPr>
          <w:rFonts w:ascii="Times New Roman" w:eastAsia="楷体" w:hAnsi="Times New Roman" w:cs="Times New Roman" w:hint="eastAsia"/>
          <w:color w:val="000000" w:themeColor="text1"/>
        </w:rPr>
        <w:t>亿元，较上</w:t>
      </w:r>
      <w:r w:rsidR="005C41D5">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7272C0">
        <w:rPr>
          <w:rFonts w:ascii="Times New Roman" w:eastAsia="楷体" w:hAnsi="Times New Roman" w:cs="Times New Roman" w:hint="eastAsia"/>
          <w:color w:val="000000" w:themeColor="text1"/>
        </w:rPr>
        <w:t>减少</w:t>
      </w:r>
      <w:r w:rsidR="00091EAB">
        <w:rPr>
          <w:rFonts w:ascii="Times New Roman" w:eastAsia="楷体" w:hAnsi="Times New Roman" w:cs="Times New Roman" w:hint="eastAsia"/>
          <w:color w:val="000000" w:themeColor="text1"/>
        </w:rPr>
        <w:t>511.66</w:t>
      </w:r>
      <w:r w:rsidRPr="00D127E3">
        <w:rPr>
          <w:rFonts w:ascii="Times New Roman" w:eastAsia="楷体" w:hAnsi="Times New Roman" w:cs="Times New Roman" w:hint="eastAsia"/>
          <w:color w:val="000000" w:themeColor="text1"/>
        </w:rPr>
        <w:t>亿元。两市个股周内</w:t>
      </w:r>
      <w:r w:rsidR="00091EAB">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091EAB">
        <w:rPr>
          <w:rFonts w:ascii="Times New Roman" w:eastAsia="楷体" w:hAnsi="Times New Roman" w:cs="Times New Roman" w:hint="eastAsia"/>
          <w:color w:val="000000" w:themeColor="text1"/>
        </w:rPr>
        <w:t>1218</w:t>
      </w:r>
      <w:r w:rsidRPr="00D127E3">
        <w:rPr>
          <w:rFonts w:ascii="Times New Roman" w:eastAsia="楷体" w:hAnsi="Times New Roman" w:cs="Times New Roman" w:hint="eastAsia"/>
          <w:color w:val="000000" w:themeColor="text1"/>
        </w:rPr>
        <w:t>家上涨，</w:t>
      </w:r>
      <w:r w:rsidR="00091EAB">
        <w:rPr>
          <w:rFonts w:ascii="Times New Roman" w:eastAsia="楷体" w:hAnsi="Times New Roman" w:cs="Times New Roman" w:hint="eastAsia"/>
          <w:color w:val="000000" w:themeColor="text1"/>
        </w:rPr>
        <w:t>58</w:t>
      </w:r>
      <w:r w:rsidRPr="00D127E3">
        <w:rPr>
          <w:rFonts w:ascii="Times New Roman" w:eastAsia="楷体" w:hAnsi="Times New Roman" w:cs="Times New Roman" w:hint="eastAsia"/>
          <w:color w:val="000000" w:themeColor="text1"/>
        </w:rPr>
        <w:t>家平盘，</w:t>
      </w:r>
      <w:r w:rsidR="00091EAB">
        <w:rPr>
          <w:rFonts w:ascii="Times New Roman" w:eastAsia="楷体" w:hAnsi="Times New Roman" w:cs="Times New Roman" w:hint="eastAsia"/>
          <w:color w:val="000000" w:themeColor="text1"/>
        </w:rPr>
        <w:t>3169</w:t>
      </w:r>
      <w:r w:rsidRPr="00D127E3">
        <w:rPr>
          <w:rFonts w:ascii="Times New Roman" w:eastAsia="楷体" w:hAnsi="Times New Roman" w:cs="Times New Roman" w:hint="eastAsia"/>
          <w:color w:val="000000" w:themeColor="text1"/>
        </w:rPr>
        <w:t>家下跌；全市场</w:t>
      </w:r>
      <w:r w:rsidR="005C41D5">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D62097">
        <w:rPr>
          <w:rFonts w:ascii="Times New Roman" w:eastAsia="楷体" w:hAnsi="Times New Roman" w:cs="Times New Roman" w:hint="eastAsia"/>
          <w:color w:val="000000" w:themeColor="text1"/>
        </w:rPr>
        <w:t>363</w:t>
      </w:r>
      <w:r w:rsidRPr="00D127E3">
        <w:rPr>
          <w:rFonts w:ascii="Times New Roman" w:eastAsia="楷体" w:hAnsi="Times New Roman" w:cs="Times New Roman" w:hint="eastAsia"/>
          <w:color w:val="000000" w:themeColor="text1"/>
        </w:rPr>
        <w:t>家，累计跌停</w:t>
      </w:r>
      <w:r w:rsidR="00D62097">
        <w:rPr>
          <w:rFonts w:ascii="Times New Roman" w:eastAsia="楷体" w:hAnsi="Times New Roman" w:cs="Times New Roman" w:hint="eastAsia"/>
          <w:color w:val="000000" w:themeColor="text1"/>
        </w:rPr>
        <w:t>99</w:t>
      </w:r>
      <w:r w:rsidRPr="00D127E3">
        <w:rPr>
          <w:rFonts w:ascii="Times New Roman" w:eastAsia="楷体" w:hAnsi="Times New Roman" w:cs="Times New Roman" w:hint="eastAsia"/>
          <w:color w:val="000000" w:themeColor="text1"/>
        </w:rPr>
        <w:t>家。</w:t>
      </w:r>
    </w:p>
    <w:bookmarkEnd w:id="1"/>
    <w:p w14:paraId="001A09E6" w14:textId="12DF540D"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D62097">
        <w:rPr>
          <w:rFonts w:ascii="Times New Roman" w:eastAsia="楷体" w:hAnsi="Times New Roman" w:cs="Times New Roman" w:hint="eastAsia"/>
          <w:b/>
        </w:rPr>
        <w:t>创业板</w:t>
      </w:r>
      <w:r w:rsidR="00D62097">
        <w:rPr>
          <w:rFonts w:ascii="Times New Roman" w:eastAsia="楷体" w:hAnsi="Times New Roman" w:cs="Times New Roman" w:hint="eastAsia"/>
          <w:b/>
        </w:rPr>
        <w:t>50</w:t>
      </w:r>
      <w:r w:rsidR="00D62097">
        <w:rPr>
          <w:rFonts w:ascii="Times New Roman" w:eastAsia="楷体" w:hAnsi="Times New Roman" w:cs="Times New Roman" w:hint="eastAsia"/>
          <w:b/>
        </w:rPr>
        <w:t>指数领跌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47F04DB" w:rsidR="007E1695" w:rsidRPr="00006470" w:rsidRDefault="00D62097">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1046D448" wp14:editId="6F1DC798">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6E778D9A"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D62097">
        <w:rPr>
          <w:rFonts w:ascii="Times New Roman" w:eastAsia="楷体" w:hAnsi="Times New Roman" w:cs="Times New Roman" w:hint="eastAsia"/>
          <w:color w:val="000000" w:themeColor="text1"/>
        </w:rPr>
        <w:t>非</w:t>
      </w:r>
      <w:proofErr w:type="gramStart"/>
      <w:r w:rsidR="00D62097">
        <w:rPr>
          <w:rFonts w:ascii="Times New Roman" w:eastAsia="楷体" w:hAnsi="Times New Roman" w:cs="Times New Roman" w:hint="eastAsia"/>
          <w:color w:val="000000" w:themeColor="text1"/>
        </w:rPr>
        <w:t>银金融</w:t>
      </w:r>
      <w:proofErr w:type="gramEnd"/>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2.21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D62097">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1.56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D62097">
        <w:rPr>
          <w:rFonts w:ascii="Times New Roman" w:eastAsia="楷体" w:hAnsi="Times New Roman" w:cs="Times New Roman" w:hint="eastAsia"/>
          <w:color w:val="000000" w:themeColor="text1"/>
        </w:rPr>
        <w:t>综合</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0.50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305257">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w:t>
      </w:r>
      <w:r w:rsidR="00305257">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48.62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44.43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34.54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D62097">
        <w:rPr>
          <w:rFonts w:ascii="Times New Roman" w:eastAsia="楷体" w:hAnsi="Times New Roman" w:cs="Times New Roman" w:hint="eastAsia"/>
          <w:color w:val="000000" w:themeColor="text1"/>
        </w:rPr>
        <w:t>农林牧渔</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19.94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传媒</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20.07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2097">
        <w:rPr>
          <w:rFonts w:ascii="Times New Roman" w:eastAsia="楷体" w:hAnsi="Times New Roman" w:cs="Times New Roman" w:hint="eastAsia"/>
          <w:color w:val="000000" w:themeColor="text1"/>
        </w:rPr>
        <w:t>22.18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397AAE06"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D62097">
        <w:rPr>
          <w:rFonts w:ascii="Times New Roman" w:eastAsia="楷体" w:hAnsi="Times New Roman" w:cs="Times New Roman" w:hint="eastAsia"/>
          <w:b/>
        </w:rPr>
        <w:t>非</w:t>
      </w:r>
      <w:proofErr w:type="gramStart"/>
      <w:r w:rsidR="00D62097">
        <w:rPr>
          <w:rFonts w:ascii="Times New Roman" w:eastAsia="楷体" w:hAnsi="Times New Roman" w:cs="Times New Roman" w:hint="eastAsia"/>
          <w:b/>
        </w:rPr>
        <w:t>银金融</w:t>
      </w:r>
      <w:proofErr w:type="gramEnd"/>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0F41289F" w:rsidR="00C13CA5" w:rsidRPr="00006470" w:rsidRDefault="00D62097"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BAEA746" wp14:editId="48274544">
            <wp:extent cx="6579565" cy="1573097"/>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18058" cy="158230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A3A61B3"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D62097">
        <w:rPr>
          <w:rFonts w:ascii="Times New Roman" w:eastAsia="楷体" w:hAnsi="Times New Roman" w:cs="Times New Roman" w:hint="eastAsia"/>
          <w:color w:val="000000" w:themeColor="text1"/>
        </w:rPr>
        <w:t>流出</w:t>
      </w:r>
      <w:r w:rsidR="00D62097">
        <w:rPr>
          <w:rFonts w:ascii="Times New Roman" w:eastAsia="楷体" w:hAnsi="Times New Roman" w:cs="Times New Roman" w:hint="eastAsia"/>
          <w:color w:val="000000" w:themeColor="text1"/>
        </w:rPr>
        <w:t>104.91</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D62097">
        <w:rPr>
          <w:rFonts w:ascii="Times New Roman" w:eastAsia="楷体" w:hAnsi="Times New Roman" w:cs="Times New Roman" w:hint="eastAsia"/>
          <w:color w:val="000000" w:themeColor="text1"/>
        </w:rPr>
        <w:t>361.25</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D62097">
        <w:rPr>
          <w:rFonts w:ascii="Times New Roman" w:eastAsia="楷体" w:hAnsi="Times New Roman" w:cs="Times New Roman" w:hint="eastAsia"/>
          <w:color w:val="000000" w:themeColor="text1"/>
        </w:rPr>
        <w:t>减少</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8</w:t>
      </w:r>
      <w:r w:rsidRPr="00B41C69">
        <w:rPr>
          <w:rFonts w:ascii="Times New Roman" w:eastAsia="楷体" w:hAnsi="Times New Roman" w:cs="Times New Roman" w:hint="eastAsia"/>
          <w:color w:val="000000" w:themeColor="text1"/>
        </w:rPr>
        <w:t>月最新募资合计</w:t>
      </w:r>
      <w:r w:rsidR="00D62097">
        <w:rPr>
          <w:rFonts w:ascii="Times New Roman" w:eastAsia="楷体" w:hAnsi="Times New Roman" w:cs="Times New Roman" w:hint="eastAsia"/>
          <w:color w:val="000000" w:themeColor="text1"/>
        </w:rPr>
        <w:t>1586.63</w:t>
      </w:r>
      <w:r w:rsidRPr="00B41C69">
        <w:rPr>
          <w:rFonts w:ascii="Times New Roman" w:eastAsia="楷体" w:hAnsi="Times New Roman" w:cs="Times New Roman" w:hint="eastAsia"/>
          <w:color w:val="000000" w:themeColor="text1"/>
        </w:rPr>
        <w:t>亿元；本周限售解禁市值约</w:t>
      </w:r>
      <w:r w:rsidR="00D62097">
        <w:rPr>
          <w:rFonts w:ascii="Times New Roman" w:eastAsia="楷体" w:hAnsi="Times New Roman" w:cs="Times New Roman" w:hint="eastAsia"/>
          <w:color w:val="000000" w:themeColor="text1"/>
        </w:rPr>
        <w:t>1037.48</w:t>
      </w:r>
      <w:r w:rsidRPr="00B41C69">
        <w:rPr>
          <w:rFonts w:ascii="Times New Roman" w:eastAsia="楷体" w:hAnsi="Times New Roman" w:cs="Times New Roman" w:hint="eastAsia"/>
          <w:color w:val="000000" w:themeColor="text1"/>
        </w:rPr>
        <w:t>亿元，与上周相比</w:t>
      </w:r>
      <w:r w:rsidR="00CF2E30">
        <w:rPr>
          <w:rFonts w:ascii="Times New Roman" w:eastAsia="楷体" w:hAnsi="Times New Roman" w:cs="Times New Roman" w:hint="eastAsia"/>
          <w:color w:val="000000" w:themeColor="text1"/>
        </w:rPr>
        <w:t>大</w:t>
      </w:r>
      <w:r w:rsidR="00AB21BA">
        <w:rPr>
          <w:rFonts w:ascii="Times New Roman" w:eastAsia="楷体" w:hAnsi="Times New Roman" w:cs="Times New Roman" w:hint="eastAsia"/>
          <w:color w:val="000000" w:themeColor="text1"/>
        </w:rPr>
        <w:t>幅</w:t>
      </w:r>
      <w:r w:rsidR="00305257">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4AC32FE5" w:rsidR="0052683C" w:rsidRPr="00006470" w:rsidRDefault="007B2DFA"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7B2DFA">
        <w:rPr>
          <w:rFonts w:ascii="Times New Roman" w:eastAsia="楷体" w:hAnsi="Times New Roman" w:cs="Times New Roman" w:hint="eastAsia"/>
          <w:color w:val="000000"/>
          <w:shd w:val="clear" w:color="auto" w:fill="FFFFFF"/>
        </w:rPr>
        <w:t>周市场跌幅较大，尤其以去年强势的食品饮料、医药</w:t>
      </w:r>
      <w:r w:rsidR="005C41D5">
        <w:rPr>
          <w:rFonts w:ascii="Times New Roman" w:eastAsia="楷体" w:hAnsi="Times New Roman" w:cs="Times New Roman" w:hint="eastAsia"/>
          <w:color w:val="000000"/>
          <w:shd w:val="clear" w:color="auto" w:fill="FFFFFF"/>
        </w:rPr>
        <w:t>等</w:t>
      </w:r>
      <w:r w:rsidRPr="007B2DFA">
        <w:rPr>
          <w:rFonts w:ascii="Times New Roman" w:eastAsia="楷体" w:hAnsi="Times New Roman" w:cs="Times New Roman" w:hint="eastAsia"/>
          <w:color w:val="000000"/>
          <w:shd w:val="clear" w:color="auto" w:fill="FFFFFF"/>
        </w:rPr>
        <w:t>大消费板块跌幅较大。基本面上</w:t>
      </w:r>
      <w:r w:rsidRPr="007B2DFA">
        <w:rPr>
          <w:rFonts w:ascii="Times New Roman" w:eastAsia="楷体" w:hAnsi="Times New Roman" w:cs="Times New Roman" w:hint="eastAsia"/>
          <w:color w:val="000000"/>
          <w:shd w:val="clear" w:color="auto" w:fill="FFFFFF"/>
        </w:rPr>
        <w:t>7</w:t>
      </w:r>
      <w:r w:rsidRPr="007B2DFA">
        <w:rPr>
          <w:rFonts w:ascii="Times New Roman" w:eastAsia="楷体" w:hAnsi="Times New Roman" w:cs="Times New Roman" w:hint="eastAsia"/>
          <w:color w:val="000000"/>
          <w:shd w:val="clear" w:color="auto" w:fill="FFFFFF"/>
        </w:rPr>
        <w:t>月数据显示经济下行压力有所加剧，全国规模以上工业增加值同比增长</w:t>
      </w:r>
      <w:r w:rsidRPr="007B2DFA">
        <w:rPr>
          <w:rFonts w:ascii="Times New Roman" w:eastAsia="楷体" w:hAnsi="Times New Roman" w:cs="Times New Roman" w:hint="eastAsia"/>
          <w:color w:val="000000"/>
          <w:shd w:val="clear" w:color="auto" w:fill="FFFFFF"/>
        </w:rPr>
        <w:t>6.4%</w:t>
      </w:r>
      <w:r w:rsidRPr="007B2DFA">
        <w:rPr>
          <w:rFonts w:ascii="Times New Roman" w:eastAsia="楷体" w:hAnsi="Times New Roman" w:cs="Times New Roman" w:hint="eastAsia"/>
          <w:color w:val="000000"/>
          <w:shd w:val="clear" w:color="auto" w:fill="FFFFFF"/>
        </w:rPr>
        <w:t>，较</w:t>
      </w:r>
      <w:r w:rsidRPr="007B2DFA">
        <w:rPr>
          <w:rFonts w:ascii="Times New Roman" w:eastAsia="楷体" w:hAnsi="Times New Roman" w:cs="Times New Roman" w:hint="eastAsia"/>
          <w:color w:val="000000"/>
          <w:shd w:val="clear" w:color="auto" w:fill="FFFFFF"/>
        </w:rPr>
        <w:t>6</w:t>
      </w:r>
      <w:r w:rsidRPr="007B2DFA">
        <w:rPr>
          <w:rFonts w:ascii="Times New Roman" w:eastAsia="楷体" w:hAnsi="Times New Roman" w:cs="Times New Roman" w:hint="eastAsia"/>
          <w:color w:val="000000"/>
          <w:shd w:val="clear" w:color="auto" w:fill="FFFFFF"/>
        </w:rPr>
        <w:t>月份下滑</w:t>
      </w:r>
      <w:r w:rsidRPr="007B2DFA">
        <w:rPr>
          <w:rFonts w:ascii="Times New Roman" w:eastAsia="楷体" w:hAnsi="Times New Roman" w:cs="Times New Roman" w:hint="eastAsia"/>
          <w:color w:val="000000"/>
          <w:shd w:val="clear" w:color="auto" w:fill="FFFFFF"/>
        </w:rPr>
        <w:t>1.9</w:t>
      </w:r>
      <w:r w:rsidRPr="007B2DFA">
        <w:rPr>
          <w:rFonts w:ascii="Times New Roman" w:eastAsia="楷体" w:hAnsi="Times New Roman" w:cs="Times New Roman" w:hint="eastAsia"/>
          <w:color w:val="000000"/>
          <w:shd w:val="clear" w:color="auto" w:fill="FFFFFF"/>
        </w:rPr>
        <w:t>个百分点，</w:t>
      </w:r>
      <w:r w:rsidRPr="007B2DFA">
        <w:rPr>
          <w:rFonts w:ascii="Times New Roman" w:eastAsia="楷体" w:hAnsi="Times New Roman" w:cs="Times New Roman" w:hint="eastAsia"/>
          <w:color w:val="000000"/>
          <w:shd w:val="clear" w:color="auto" w:fill="FFFFFF"/>
        </w:rPr>
        <w:t>7</w:t>
      </w:r>
      <w:r w:rsidRPr="007B2DFA">
        <w:rPr>
          <w:rFonts w:ascii="Times New Roman" w:eastAsia="楷体" w:hAnsi="Times New Roman" w:cs="Times New Roman" w:hint="eastAsia"/>
          <w:color w:val="000000"/>
          <w:shd w:val="clear" w:color="auto" w:fill="FFFFFF"/>
        </w:rPr>
        <w:t>月社会消费品零售总额同比增长</w:t>
      </w:r>
      <w:r w:rsidRPr="007B2DFA">
        <w:rPr>
          <w:rFonts w:ascii="Times New Roman" w:eastAsia="楷体" w:hAnsi="Times New Roman" w:cs="Times New Roman" w:hint="eastAsia"/>
          <w:color w:val="000000"/>
          <w:shd w:val="clear" w:color="auto" w:fill="FFFFFF"/>
        </w:rPr>
        <w:t>8.5%</w:t>
      </w:r>
      <w:r w:rsidRPr="007B2DFA">
        <w:rPr>
          <w:rFonts w:ascii="Times New Roman" w:eastAsia="楷体" w:hAnsi="Times New Roman" w:cs="Times New Roman" w:hint="eastAsia"/>
          <w:color w:val="000000"/>
          <w:shd w:val="clear" w:color="auto" w:fill="FFFFFF"/>
        </w:rPr>
        <w:t>，比</w:t>
      </w:r>
      <w:r w:rsidRPr="007B2DFA">
        <w:rPr>
          <w:rFonts w:ascii="Times New Roman" w:eastAsia="楷体" w:hAnsi="Times New Roman" w:cs="Times New Roman" w:hint="eastAsia"/>
          <w:color w:val="000000"/>
          <w:shd w:val="clear" w:color="auto" w:fill="FFFFFF"/>
        </w:rPr>
        <w:t>6</w:t>
      </w:r>
      <w:r w:rsidRPr="007B2DFA">
        <w:rPr>
          <w:rFonts w:ascii="Times New Roman" w:eastAsia="楷体" w:hAnsi="Times New Roman" w:cs="Times New Roman" w:hint="eastAsia"/>
          <w:color w:val="000000"/>
          <w:shd w:val="clear" w:color="auto" w:fill="FFFFFF"/>
        </w:rPr>
        <w:t>月份回落</w:t>
      </w:r>
      <w:r w:rsidRPr="007B2DFA">
        <w:rPr>
          <w:rFonts w:ascii="Times New Roman" w:eastAsia="楷体" w:hAnsi="Times New Roman" w:cs="Times New Roman" w:hint="eastAsia"/>
          <w:color w:val="000000"/>
          <w:shd w:val="clear" w:color="auto" w:fill="FFFFFF"/>
        </w:rPr>
        <w:t>3.6</w:t>
      </w:r>
      <w:r w:rsidRPr="007B2DFA">
        <w:rPr>
          <w:rFonts w:ascii="Times New Roman" w:eastAsia="楷体" w:hAnsi="Times New Roman" w:cs="Times New Roman" w:hint="eastAsia"/>
          <w:color w:val="000000"/>
          <w:shd w:val="clear" w:color="auto" w:fill="FFFFFF"/>
        </w:rPr>
        <w:t>个百分点，环比下降</w:t>
      </w:r>
      <w:r w:rsidRPr="007B2DFA">
        <w:rPr>
          <w:rFonts w:ascii="Times New Roman" w:eastAsia="楷体" w:hAnsi="Times New Roman" w:cs="Times New Roman" w:hint="eastAsia"/>
          <w:color w:val="000000"/>
          <w:shd w:val="clear" w:color="auto" w:fill="FFFFFF"/>
        </w:rPr>
        <w:t>0.13%</w:t>
      </w:r>
      <w:r w:rsidR="005C41D5">
        <w:rPr>
          <w:rFonts w:ascii="Times New Roman" w:eastAsia="楷体" w:hAnsi="Times New Roman" w:cs="Times New Roman" w:hint="eastAsia"/>
          <w:color w:val="000000"/>
          <w:shd w:val="clear" w:color="auto" w:fill="FFFFFF"/>
        </w:rPr>
        <w:t>，制造业投资、地产</w:t>
      </w:r>
      <w:r w:rsidRPr="007B2DFA">
        <w:rPr>
          <w:rFonts w:ascii="Times New Roman" w:eastAsia="楷体" w:hAnsi="Times New Roman" w:cs="Times New Roman" w:hint="eastAsia"/>
          <w:color w:val="000000"/>
          <w:shd w:val="clear" w:color="auto" w:fill="FFFFFF"/>
        </w:rPr>
        <w:t>均出现不同程度的下行。经济压力下流动性宽松预期得到支撑</w:t>
      </w:r>
      <w:r w:rsidR="005C41D5">
        <w:rPr>
          <w:rFonts w:ascii="Times New Roman" w:eastAsia="楷体" w:hAnsi="Times New Roman" w:cs="Times New Roman" w:hint="eastAsia"/>
          <w:color w:val="000000"/>
          <w:shd w:val="clear" w:color="auto" w:fill="FFFFFF"/>
        </w:rPr>
        <w:t>，</w:t>
      </w:r>
      <w:r w:rsidRPr="007B2DFA">
        <w:rPr>
          <w:rFonts w:ascii="Times New Roman" w:eastAsia="楷体" w:hAnsi="Times New Roman" w:cs="Times New Roman" w:hint="eastAsia"/>
          <w:color w:val="000000"/>
          <w:shd w:val="clear" w:color="auto" w:fill="FFFFFF"/>
        </w:rPr>
        <w:t>8</w:t>
      </w:r>
      <w:r w:rsidRPr="007B2DFA">
        <w:rPr>
          <w:rFonts w:ascii="Times New Roman" w:eastAsia="楷体" w:hAnsi="Times New Roman" w:cs="Times New Roman" w:hint="eastAsia"/>
          <w:color w:val="000000"/>
          <w:shd w:val="clear" w:color="auto" w:fill="FFFFFF"/>
        </w:rPr>
        <w:t>月</w:t>
      </w:r>
      <w:r w:rsidRPr="007B2DFA">
        <w:rPr>
          <w:rFonts w:ascii="Times New Roman" w:eastAsia="楷体" w:hAnsi="Times New Roman" w:cs="Times New Roman" w:hint="eastAsia"/>
          <w:color w:val="000000"/>
          <w:shd w:val="clear" w:color="auto" w:fill="FFFFFF"/>
        </w:rPr>
        <w:t>16</w:t>
      </w:r>
      <w:r w:rsidRPr="007B2DFA">
        <w:rPr>
          <w:rFonts w:ascii="Times New Roman" w:eastAsia="楷体" w:hAnsi="Times New Roman" w:cs="Times New Roman" w:hint="eastAsia"/>
          <w:color w:val="000000"/>
          <w:shd w:val="clear" w:color="auto" w:fill="FFFFFF"/>
        </w:rPr>
        <w:t>日央行开展了</w:t>
      </w:r>
      <w:r w:rsidRPr="007B2DFA">
        <w:rPr>
          <w:rFonts w:ascii="Times New Roman" w:eastAsia="楷体" w:hAnsi="Times New Roman" w:cs="Times New Roman" w:hint="eastAsia"/>
          <w:color w:val="000000"/>
          <w:shd w:val="clear" w:color="auto" w:fill="FFFFFF"/>
        </w:rPr>
        <w:t>6000</w:t>
      </w:r>
      <w:r w:rsidRPr="007B2DFA">
        <w:rPr>
          <w:rFonts w:ascii="Times New Roman" w:eastAsia="楷体" w:hAnsi="Times New Roman" w:cs="Times New Roman" w:hint="eastAsia"/>
          <w:color w:val="000000"/>
          <w:shd w:val="clear" w:color="auto" w:fill="FFFFFF"/>
        </w:rPr>
        <w:t>亿元一年期</w:t>
      </w:r>
      <w:r w:rsidRPr="007B2DFA">
        <w:rPr>
          <w:rFonts w:ascii="Times New Roman" w:eastAsia="楷体" w:hAnsi="Times New Roman" w:cs="Times New Roman" w:hint="eastAsia"/>
          <w:color w:val="000000"/>
          <w:shd w:val="clear" w:color="auto" w:fill="FFFFFF"/>
        </w:rPr>
        <w:t>MLF</w:t>
      </w:r>
      <w:r w:rsidRPr="007B2DFA">
        <w:rPr>
          <w:rFonts w:ascii="Times New Roman" w:eastAsia="楷体" w:hAnsi="Times New Roman" w:cs="Times New Roman" w:hint="eastAsia"/>
          <w:color w:val="000000"/>
          <w:shd w:val="clear" w:color="auto" w:fill="FFFFFF"/>
        </w:rPr>
        <w:t>操作略超市场预期。整体宏观经济边际下行</w:t>
      </w:r>
      <w:r w:rsidRPr="007B2DFA">
        <w:rPr>
          <w:rFonts w:ascii="Times New Roman" w:eastAsia="楷体" w:hAnsi="Times New Roman" w:cs="Times New Roman" w:hint="eastAsia"/>
          <w:color w:val="000000"/>
          <w:shd w:val="clear" w:color="auto" w:fill="FFFFFF"/>
        </w:rPr>
        <w:t>+</w:t>
      </w:r>
      <w:r w:rsidRPr="007B2DFA">
        <w:rPr>
          <w:rFonts w:ascii="Times New Roman" w:eastAsia="楷体" w:hAnsi="Times New Roman" w:cs="Times New Roman" w:hint="eastAsia"/>
          <w:color w:val="000000"/>
          <w:shd w:val="clear" w:color="auto" w:fill="FFFFFF"/>
        </w:rPr>
        <w:t>流动性稳中趋松的组合下</w:t>
      </w:r>
      <w:r w:rsidR="005C41D5">
        <w:rPr>
          <w:rFonts w:ascii="Times New Roman" w:eastAsia="楷体" w:hAnsi="Times New Roman" w:cs="Times New Roman" w:hint="eastAsia"/>
          <w:color w:val="000000"/>
          <w:shd w:val="clear" w:color="auto" w:fill="FFFFFF"/>
        </w:rPr>
        <w:t>，</w:t>
      </w:r>
      <w:r w:rsidRPr="007B2DFA">
        <w:rPr>
          <w:rFonts w:ascii="Times New Roman" w:eastAsia="楷体" w:hAnsi="Times New Roman" w:cs="Times New Roman" w:hint="eastAsia"/>
          <w:color w:val="000000"/>
          <w:shd w:val="clear" w:color="auto" w:fill="FFFFFF"/>
        </w:rPr>
        <w:t>我们仍然看好成长风格的表现，尤其是政策推动下成长逻辑向中小盘的扩散。政策端以共同富裕为基调的社会性变革正在不断演绎，中央财经委员会上习近平总书记强调共同富裕是社会主义的本质要求，再次确认了从“效率优先”向“兼顾公平”的偏转，中长期可能带来某些龙头公司盈利能力的下滑甚至投资逻辑的改变，短期对市场而言则是估值体系的重估，白酒龙头、互联网龙头等均出现了</w:t>
      </w:r>
      <w:r w:rsidRPr="007B2DFA">
        <w:rPr>
          <w:rFonts w:ascii="Times New Roman" w:eastAsia="楷体" w:hAnsi="Times New Roman" w:cs="Times New Roman" w:hint="eastAsia"/>
          <w:color w:val="000000"/>
          <w:shd w:val="clear" w:color="auto" w:fill="FFFFFF"/>
        </w:rPr>
        <w:t>40%</w:t>
      </w:r>
      <w:r w:rsidRPr="007B2DFA">
        <w:rPr>
          <w:rFonts w:ascii="Times New Roman" w:eastAsia="楷体" w:hAnsi="Times New Roman" w:cs="Times New Roman" w:hint="eastAsia"/>
          <w:color w:val="000000"/>
          <w:shd w:val="clear" w:color="auto" w:fill="FFFFFF"/>
        </w:rPr>
        <w:t>甚至以上的跌幅</w:t>
      </w:r>
      <w:r w:rsidR="005C41D5">
        <w:rPr>
          <w:rFonts w:ascii="Times New Roman" w:eastAsia="楷体" w:hAnsi="Times New Roman" w:cs="Times New Roman" w:hint="eastAsia"/>
          <w:color w:val="000000"/>
          <w:shd w:val="clear" w:color="auto" w:fill="FFFFFF"/>
        </w:rPr>
        <w:t>，</w:t>
      </w:r>
      <w:r w:rsidRPr="007B2DFA">
        <w:rPr>
          <w:rFonts w:ascii="Times New Roman" w:eastAsia="楷体" w:hAnsi="Times New Roman" w:cs="Times New Roman" w:hint="eastAsia"/>
          <w:color w:val="000000"/>
          <w:shd w:val="clear" w:color="auto" w:fill="FFFFFF"/>
        </w:rPr>
        <w:t>远超</w:t>
      </w:r>
      <w:r w:rsidRPr="007B2DFA">
        <w:rPr>
          <w:rFonts w:ascii="Times New Roman" w:eastAsia="楷体" w:hAnsi="Times New Roman" w:cs="Times New Roman" w:hint="eastAsia"/>
          <w:color w:val="000000"/>
          <w:shd w:val="clear" w:color="auto" w:fill="FFFFFF"/>
        </w:rPr>
        <w:t>2015</w:t>
      </w:r>
      <w:r w:rsidRPr="007B2DFA">
        <w:rPr>
          <w:rFonts w:ascii="Times New Roman" w:eastAsia="楷体" w:hAnsi="Times New Roman" w:cs="Times New Roman" w:hint="eastAsia"/>
          <w:color w:val="000000"/>
          <w:shd w:val="clear" w:color="auto" w:fill="FFFFFF"/>
        </w:rPr>
        <w:t>、</w:t>
      </w:r>
      <w:r w:rsidR="005C41D5">
        <w:rPr>
          <w:rFonts w:ascii="Times New Roman" w:eastAsia="楷体" w:hAnsi="Times New Roman" w:cs="Times New Roman" w:hint="eastAsia"/>
          <w:color w:val="000000"/>
          <w:shd w:val="clear" w:color="auto" w:fill="FFFFFF"/>
        </w:rPr>
        <w:t>20</w:t>
      </w:r>
      <w:r w:rsidRPr="007B2DFA">
        <w:rPr>
          <w:rFonts w:ascii="Times New Roman" w:eastAsia="楷体" w:hAnsi="Times New Roman" w:cs="Times New Roman" w:hint="eastAsia"/>
          <w:color w:val="000000"/>
          <w:shd w:val="clear" w:color="auto" w:fill="FFFFFF"/>
        </w:rPr>
        <w:t>18</w:t>
      </w:r>
      <w:r w:rsidRPr="007B2DFA">
        <w:rPr>
          <w:rFonts w:ascii="Times New Roman" w:eastAsia="楷体" w:hAnsi="Times New Roman" w:cs="Times New Roman" w:hint="eastAsia"/>
          <w:color w:val="000000"/>
          <w:shd w:val="clear" w:color="auto" w:fill="FFFFFF"/>
        </w:rPr>
        <w:t>年的下跌。结合近</w:t>
      </w:r>
      <w:r w:rsidR="005C41D5">
        <w:rPr>
          <w:rFonts w:ascii="Times New Roman" w:eastAsia="楷体" w:hAnsi="Times New Roman" w:cs="Times New Roman" w:hint="eastAsia"/>
          <w:color w:val="000000"/>
          <w:shd w:val="clear" w:color="auto" w:fill="FFFFFF"/>
        </w:rPr>
        <w:t>期的“专精特新”等细分行业“小巨人”的提出，我们认为中小</w:t>
      </w:r>
      <w:proofErr w:type="gramStart"/>
      <w:r w:rsidR="005C41D5">
        <w:rPr>
          <w:rFonts w:ascii="Times New Roman" w:eastAsia="楷体" w:hAnsi="Times New Roman" w:cs="Times New Roman" w:hint="eastAsia"/>
          <w:color w:val="000000"/>
          <w:shd w:val="clear" w:color="auto" w:fill="FFFFFF"/>
        </w:rPr>
        <w:t>盘成长</w:t>
      </w:r>
      <w:proofErr w:type="gramEnd"/>
      <w:r w:rsidRPr="007B2DFA">
        <w:rPr>
          <w:rFonts w:ascii="Times New Roman" w:eastAsia="楷体" w:hAnsi="Times New Roman" w:cs="Times New Roman" w:hint="eastAsia"/>
          <w:color w:val="000000"/>
          <w:shd w:val="clear" w:color="auto" w:fill="FFFFFF"/>
        </w:rPr>
        <w:t>风格仍将延续。我们维持市场区间震荡的观点，短期重点关注半年报业绩较好的周期龙头</w:t>
      </w:r>
      <w:r w:rsidR="005C41D5">
        <w:rPr>
          <w:rFonts w:ascii="Times New Roman" w:eastAsia="楷体" w:hAnsi="Times New Roman" w:cs="Times New Roman" w:hint="eastAsia"/>
          <w:color w:val="000000"/>
          <w:shd w:val="clear" w:color="auto" w:fill="FFFFFF"/>
        </w:rPr>
        <w:t>，</w:t>
      </w:r>
      <w:r w:rsidRPr="007B2DFA">
        <w:rPr>
          <w:rFonts w:ascii="Times New Roman" w:eastAsia="楷体" w:hAnsi="Times New Roman" w:cs="Times New Roman" w:hint="eastAsia"/>
          <w:color w:val="000000"/>
          <w:shd w:val="clear" w:color="auto" w:fill="FFFFFF"/>
        </w:rPr>
        <w:t>中</w:t>
      </w:r>
      <w:r>
        <w:rPr>
          <w:rFonts w:ascii="Times New Roman" w:eastAsia="楷体" w:hAnsi="Times New Roman" w:cs="Times New Roman" w:hint="eastAsia"/>
          <w:color w:val="000000"/>
          <w:shd w:val="clear" w:color="auto" w:fill="FFFFFF"/>
        </w:rPr>
        <w:t>期围绕景气行业顺势而为，主线看好高景气周期的电新、电子、军工等</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65A4B1EA"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7B2DFA">
        <w:rPr>
          <w:rFonts w:ascii="Times New Roman" w:eastAsia="楷体" w:hAnsi="Times New Roman" w:cs="Times New Roman" w:hint="eastAsia"/>
          <w:color w:val="000000" w:themeColor="text1"/>
        </w:rPr>
        <w:t>高景气周期的电新、电子、军工等</w:t>
      </w:r>
      <w:r w:rsidRPr="00006470">
        <w:rPr>
          <w:rFonts w:ascii="Times New Roman" w:eastAsia="楷体" w:hAnsi="Times New Roman" w:cs="Times New Roman"/>
          <w:color w:val="000000" w:themeColor="text1"/>
        </w:rPr>
        <w:t>；</w:t>
      </w:r>
    </w:p>
    <w:p w14:paraId="1F660E1A" w14:textId="52C899DF"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lastRenderedPageBreak/>
        <w:t>2</w:t>
      </w:r>
      <w:r w:rsidR="007B2DFA">
        <w:rPr>
          <w:rFonts w:ascii="Times New Roman" w:eastAsia="楷体" w:hAnsi="Times New Roman" w:cs="Times New Roman"/>
          <w:color w:val="000000" w:themeColor="text1"/>
        </w:rPr>
        <w:t>、周期龙头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2A12BF61" w14:textId="27A6F0CC" w:rsidR="00DB6256" w:rsidRPr="00006470"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7AC21EA5"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D62097">
        <w:rPr>
          <w:rFonts w:ascii="Times New Roman" w:eastAsia="楷体" w:hAnsi="Times New Roman" w:cs="Times New Roman" w:hint="eastAsia"/>
          <w:b/>
        </w:rPr>
        <w:t>美元</w:t>
      </w:r>
      <w:r w:rsidR="00C646A7">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w:t>
      </w:r>
      <w:r w:rsidR="00C646A7">
        <w:rPr>
          <w:rFonts w:ascii="Times New Roman" w:eastAsia="楷体" w:hAnsi="Times New Roman" w:cs="Times New Roman" w:hint="eastAsia"/>
          <w:b/>
        </w:rPr>
        <w:t>NYMEX</w:t>
      </w:r>
      <w:r w:rsidR="00C646A7">
        <w:rPr>
          <w:rFonts w:ascii="Times New Roman" w:eastAsia="楷体" w:hAnsi="Times New Roman" w:cs="Times New Roman" w:hint="eastAsia"/>
          <w:b/>
        </w:rPr>
        <w:t>原油</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D62097"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40F51CCF"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26436517" w14:textId="53F5B5CF"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1.01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08400122"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3.89</w:t>
            </w:r>
          </w:p>
        </w:tc>
      </w:tr>
      <w:tr w:rsidR="00D62097"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5B7367FE"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COMEX黄金</w:t>
            </w:r>
          </w:p>
        </w:tc>
        <w:tc>
          <w:tcPr>
            <w:tcW w:w="1875" w:type="dxa"/>
            <w:noWrap/>
          </w:tcPr>
          <w:p w14:paraId="6CBF5955" w14:textId="6668BA65"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0.36</w:t>
            </w:r>
          </w:p>
        </w:tc>
        <w:tc>
          <w:tcPr>
            <w:tcW w:w="2293" w:type="dxa"/>
            <w:noWrap/>
          </w:tcPr>
          <w:p w14:paraId="03D306C5" w14:textId="4BD6A2FF"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-5.89</w:t>
            </w:r>
          </w:p>
        </w:tc>
      </w:tr>
      <w:tr w:rsidR="00D62097"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B624787" w:rsidR="00D62097" w:rsidRPr="00D60997" w:rsidRDefault="00D62097" w:rsidP="00D62097">
            <w:pPr>
              <w:jc w:val="center"/>
              <w:rPr>
                <w:rFonts w:ascii="楷体" w:eastAsia="楷体" w:hAnsi="楷体" w:cs="Times New Roman"/>
                <w:color w:val="000000"/>
              </w:rPr>
            </w:pPr>
            <w:proofErr w:type="gramStart"/>
            <w:r w:rsidRPr="00D62097">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0B8AF65" w14:textId="650506B0"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0.24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335129CB"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3.92</w:t>
            </w:r>
          </w:p>
        </w:tc>
      </w:tr>
      <w:tr w:rsidR="00D62097"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E4DEBCA"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纳斯达克指数</w:t>
            </w:r>
          </w:p>
        </w:tc>
        <w:tc>
          <w:tcPr>
            <w:tcW w:w="1875" w:type="dxa"/>
            <w:noWrap/>
          </w:tcPr>
          <w:p w14:paraId="6E1624BD" w14:textId="35B2F1A4"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-0.73</w:t>
            </w:r>
          </w:p>
        </w:tc>
        <w:tc>
          <w:tcPr>
            <w:tcW w:w="2293" w:type="dxa"/>
            <w:noWrap/>
          </w:tcPr>
          <w:p w14:paraId="628C5028" w14:textId="6DE85BB8"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14.17</w:t>
            </w:r>
          </w:p>
        </w:tc>
      </w:tr>
      <w:tr w:rsidR="00D62097"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86142CA"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301BF87B" w14:textId="0D5CD4D1"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-1.11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586BF858"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14.75</w:t>
            </w:r>
          </w:p>
        </w:tc>
      </w:tr>
      <w:tr w:rsidR="00D62097"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7AB6A28"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LME铝</w:t>
            </w:r>
          </w:p>
        </w:tc>
        <w:tc>
          <w:tcPr>
            <w:tcW w:w="1875" w:type="dxa"/>
            <w:noWrap/>
          </w:tcPr>
          <w:p w14:paraId="3F2524D6" w14:textId="149F8E6A"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-1.73</w:t>
            </w:r>
          </w:p>
        </w:tc>
        <w:tc>
          <w:tcPr>
            <w:tcW w:w="2293" w:type="dxa"/>
            <w:noWrap/>
          </w:tcPr>
          <w:p w14:paraId="0F02F0AC" w14:textId="689E5AD9"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29.07</w:t>
            </w:r>
          </w:p>
        </w:tc>
      </w:tr>
      <w:tr w:rsidR="00D62097"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20AFC127"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0C654950" w14:textId="2032A33F"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-1.81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1117433D"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9.71</w:t>
            </w:r>
          </w:p>
        </w:tc>
      </w:tr>
      <w:tr w:rsidR="00D62097"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7429AA9"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万得全A</w:t>
            </w:r>
          </w:p>
        </w:tc>
        <w:tc>
          <w:tcPr>
            <w:tcW w:w="1875" w:type="dxa"/>
            <w:noWrap/>
          </w:tcPr>
          <w:p w14:paraId="5DA062AB" w14:textId="639A00C4"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-2.85</w:t>
            </w:r>
          </w:p>
        </w:tc>
        <w:tc>
          <w:tcPr>
            <w:tcW w:w="2293" w:type="dxa"/>
            <w:noWrap/>
          </w:tcPr>
          <w:p w14:paraId="6CF61D40" w14:textId="7A862BD3"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2.91</w:t>
            </w:r>
          </w:p>
        </w:tc>
      </w:tr>
      <w:tr w:rsidR="00D62097"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26548F2F"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B52684A" w14:textId="19535F0C"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-3.45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7A09F1F9"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-1.57</w:t>
            </w:r>
          </w:p>
        </w:tc>
      </w:tr>
      <w:tr w:rsidR="00D62097"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AEE6EDB"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LME铜</w:t>
            </w:r>
          </w:p>
        </w:tc>
        <w:tc>
          <w:tcPr>
            <w:tcW w:w="1875" w:type="dxa"/>
            <w:noWrap/>
          </w:tcPr>
          <w:p w14:paraId="07AD02DE" w14:textId="525142DA"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-5.42</w:t>
            </w:r>
          </w:p>
        </w:tc>
        <w:tc>
          <w:tcPr>
            <w:tcW w:w="2293" w:type="dxa"/>
            <w:noWrap/>
          </w:tcPr>
          <w:p w14:paraId="1353B161" w14:textId="41A2B548"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16.55</w:t>
            </w:r>
          </w:p>
        </w:tc>
      </w:tr>
      <w:tr w:rsidR="00D62097"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18863D55"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495D9432" w14:textId="1DD676A6"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-5.84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F204097"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-8.75</w:t>
            </w:r>
          </w:p>
        </w:tc>
      </w:tr>
      <w:tr w:rsidR="00D62097"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B59F257"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螺纹指数</w:t>
            </w:r>
          </w:p>
        </w:tc>
        <w:tc>
          <w:tcPr>
            <w:tcW w:w="1875" w:type="dxa"/>
            <w:noWrap/>
          </w:tcPr>
          <w:p w14:paraId="0528E8CE" w14:textId="7C074E7F"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-6.48</w:t>
            </w:r>
          </w:p>
        </w:tc>
        <w:tc>
          <w:tcPr>
            <w:tcW w:w="2293" w:type="dxa"/>
            <w:noWrap/>
          </w:tcPr>
          <w:p w14:paraId="0D77D093" w14:textId="18570A02"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16.84</w:t>
            </w:r>
          </w:p>
        </w:tc>
      </w:tr>
      <w:tr w:rsidR="00D62097"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2BACEA7B" w:rsidR="00D62097" w:rsidRPr="00D60997" w:rsidRDefault="00D62097" w:rsidP="00D62097">
            <w:pPr>
              <w:jc w:val="center"/>
              <w:rPr>
                <w:rFonts w:ascii="楷体" w:eastAsia="楷体" w:hAnsi="楷体" w:cs="Times New Roman"/>
                <w:color w:val="000000"/>
              </w:rPr>
            </w:pPr>
            <w:r w:rsidRPr="00D62097">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3F4244CE" w14:textId="1FD9D4B6" w:rsidR="00D62097" w:rsidRPr="00D60997"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62097">
              <w:rPr>
                <w:rFonts w:ascii="楷体" w:eastAsia="楷体" w:hAnsi="楷体" w:cs="Times New Roman" w:hint="eastAsia"/>
                <w:color w:val="000000"/>
              </w:rPr>
              <w:t>-9.04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728CA3A7" w:rsidR="00D62097" w:rsidRPr="00075E3A" w:rsidRDefault="00D62097" w:rsidP="00D6209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28.30</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6E08405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5C41D5">
        <w:rPr>
          <w:rFonts w:ascii="Times New Roman" w:eastAsia="楷体" w:hAnsi="Times New Roman" w:cs="Times New Roman" w:hint="eastAsia"/>
          <w:b/>
        </w:rPr>
        <w:t>恒生</w:t>
      </w:r>
      <w:r w:rsidR="00B35477">
        <w:rPr>
          <w:rFonts w:ascii="Times New Roman" w:eastAsia="楷体" w:hAnsi="Times New Roman" w:cs="Times New Roman" w:hint="eastAsia"/>
          <w:b/>
        </w:rPr>
        <w:t>指数</w:t>
      </w:r>
      <w:r w:rsidR="005C41D5">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5D409D64" w:rsidR="007E1695" w:rsidRPr="00006470" w:rsidRDefault="00D62097">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8AC3CBF" wp14:editId="24FB7191">
            <wp:extent cx="5688330" cy="2700655"/>
            <wp:effectExtent l="0" t="0" r="762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90E4CE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DF4D84">
        <w:rPr>
          <w:rFonts w:ascii="Times New Roman" w:eastAsia="楷体" w:hAnsi="Times New Roman" w:cs="Times New Roman" w:hint="eastAsia"/>
          <w:b/>
        </w:rPr>
        <w:t>下降</w:t>
      </w:r>
    </w:p>
    <w:p w14:paraId="3AD41BC7" w14:textId="4B622578" w:rsidR="007E1695" w:rsidRPr="00006470" w:rsidRDefault="00D62097">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1064807" wp14:editId="51231ED1">
            <wp:extent cx="6273165" cy="27559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5DF1BC3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D62097">
        <w:rPr>
          <w:rFonts w:ascii="Times New Roman" w:eastAsia="楷体" w:hAnsi="Times New Roman" w:cs="Times New Roman" w:hint="eastAsia"/>
          <w:b/>
        </w:rPr>
        <w:t>流出</w:t>
      </w:r>
      <w:r w:rsidR="00D62097">
        <w:rPr>
          <w:rFonts w:ascii="Times New Roman" w:eastAsia="楷体" w:hAnsi="Times New Roman" w:cs="Times New Roman" w:hint="eastAsia"/>
          <w:b/>
        </w:rPr>
        <w:t>104.91</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10E7C0A2" w:rsidR="007E1695" w:rsidRPr="00006470" w:rsidRDefault="00D62097">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4EB19C2" wp14:editId="1631D5E7">
            <wp:extent cx="5913755" cy="2987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556935E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52476C">
        <w:rPr>
          <w:rFonts w:ascii="Times New Roman" w:eastAsia="楷体" w:hAnsi="Times New Roman" w:cs="Times New Roman" w:hint="eastAsia"/>
          <w:b/>
          <w:color w:val="000000" w:themeColor="text1"/>
        </w:rPr>
        <w:t>18456.82</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52476C">
        <w:rPr>
          <w:rFonts w:ascii="Times New Roman" w:eastAsia="楷体" w:hAnsi="Times New Roman" w:cs="Times New Roman" w:hint="eastAsia"/>
          <w:b/>
        </w:rPr>
        <w:t>减少</w:t>
      </w:r>
    </w:p>
    <w:p w14:paraId="3ABC9C3D" w14:textId="6F15C096" w:rsidR="007E1695" w:rsidRPr="00006470" w:rsidRDefault="0052476C"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37228B88" wp14:editId="499187DB">
            <wp:extent cx="5895340" cy="293243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27EC5DA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AD7359">
        <w:rPr>
          <w:rFonts w:ascii="Times New Roman" w:eastAsia="楷体" w:hAnsi="Times New Roman" w:cs="Times New Roman" w:hint="eastAsia"/>
          <w:b/>
        </w:rPr>
        <w:t>1</w:t>
      </w:r>
      <w:r w:rsidR="0052476C">
        <w:rPr>
          <w:rFonts w:ascii="Times New Roman" w:eastAsia="楷体" w:hAnsi="Times New Roman" w:cs="Times New Roman" w:hint="eastAsia"/>
          <w:b/>
        </w:rPr>
        <w:t>037.48</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AD7359">
        <w:rPr>
          <w:rFonts w:ascii="Times New Roman" w:eastAsia="楷体" w:hAnsi="Times New Roman" w:cs="Times New Roman" w:hint="eastAsia"/>
          <w:b/>
        </w:rPr>
        <w:t>减少</w:t>
      </w:r>
    </w:p>
    <w:p w14:paraId="45E40DB6" w14:textId="4182E216" w:rsidR="007E1695" w:rsidRPr="00006470" w:rsidRDefault="0052476C"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1C9D451" wp14:editId="3A7BFC17">
            <wp:extent cx="6309995" cy="26822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568648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8</w:t>
      </w:r>
      <w:r w:rsidRPr="00006470">
        <w:rPr>
          <w:rFonts w:ascii="Times New Roman" w:eastAsia="楷体" w:hAnsi="Times New Roman" w:cs="Times New Roman"/>
          <w:b/>
        </w:rPr>
        <w:t>月最新募资合计</w:t>
      </w:r>
      <w:r w:rsidR="0052476C">
        <w:rPr>
          <w:rFonts w:ascii="Times New Roman" w:eastAsia="楷体" w:hAnsi="Times New Roman" w:cs="Times New Roman" w:hint="eastAsia"/>
          <w:b/>
        </w:rPr>
        <w:t>1586.63</w:t>
      </w:r>
      <w:r w:rsidRPr="00006470">
        <w:rPr>
          <w:rFonts w:ascii="Times New Roman" w:eastAsia="楷体" w:hAnsi="Times New Roman" w:cs="Times New Roman"/>
          <w:b/>
        </w:rPr>
        <w:t>亿元</w:t>
      </w:r>
    </w:p>
    <w:p w14:paraId="09F800D5" w14:textId="2E2CD276" w:rsidR="007E1695" w:rsidRPr="00006470" w:rsidRDefault="0052476C">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9F265CE" wp14:editId="7686D881">
            <wp:extent cx="6383020" cy="3347085"/>
            <wp:effectExtent l="0" t="0" r="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679D45F7"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52476C">
        <w:rPr>
          <w:rFonts w:ascii="Times New Roman" w:eastAsia="楷体" w:hAnsi="Times New Roman" w:cs="Times New Roman" w:hint="eastAsia"/>
          <w:b/>
        </w:rPr>
        <w:t>361.25</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52476C">
        <w:rPr>
          <w:rFonts w:ascii="Times New Roman" w:eastAsia="楷体" w:hAnsi="Times New Roman" w:cs="Times New Roman" w:hint="eastAsia"/>
          <w:b/>
        </w:rPr>
        <w:t>减少</w:t>
      </w:r>
    </w:p>
    <w:p w14:paraId="110691E2" w14:textId="498EAC0C" w:rsidR="00051381" w:rsidRPr="00006470" w:rsidRDefault="0052476C"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E60D6E3" wp14:editId="5CF8A2E9">
            <wp:extent cx="5993130" cy="3347085"/>
            <wp:effectExtent l="0" t="0" r="7620" b="571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B8CA4A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AD7359">
        <w:rPr>
          <w:rFonts w:ascii="Times New Roman" w:eastAsia="楷体" w:hAnsi="Times New Roman" w:cs="Times New Roman" w:hint="eastAsia"/>
          <w:b/>
        </w:rPr>
        <w:t>1.00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5023AC49"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6DCA871D" wp14:editId="6A18AFF8">
            <wp:extent cx="5761355" cy="2585085"/>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4E95BAE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AD7359">
        <w:rPr>
          <w:rFonts w:ascii="Times New Roman" w:eastAsia="楷体" w:hAnsi="Times New Roman" w:cs="Times New Roman" w:hint="eastAsia"/>
          <w:b/>
        </w:rPr>
        <w:t>9.00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7F8B5B87"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38F9701" wp14:editId="781CAFA6">
            <wp:extent cx="5761355" cy="25908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740553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AD7359">
        <w:rPr>
          <w:rFonts w:ascii="Times New Roman" w:eastAsia="楷体" w:hAnsi="Times New Roman" w:cs="Times New Roman" w:hint="eastAsia"/>
          <w:b/>
        </w:rPr>
        <w:t>50.40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44B627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月社会融资规模</w:t>
      </w:r>
      <w:r w:rsidR="00AD7359">
        <w:rPr>
          <w:rFonts w:ascii="Times New Roman" w:eastAsia="楷体" w:hAnsi="Times New Roman" w:cs="Times New Roman" w:hint="eastAsia"/>
          <w:b/>
        </w:rPr>
        <w:t>1.06</w:t>
      </w:r>
      <w:proofErr w:type="gramStart"/>
      <w:r w:rsidRPr="00006470">
        <w:rPr>
          <w:rFonts w:ascii="Times New Roman" w:eastAsia="楷体" w:hAnsi="Times New Roman" w:cs="Times New Roman"/>
          <w:b/>
        </w:rPr>
        <w:t>万亿</w:t>
      </w:r>
      <w:proofErr w:type="gramEnd"/>
    </w:p>
    <w:p w14:paraId="6F8BF5F3" w14:textId="7C6130D2" w:rsidR="007E1695" w:rsidRPr="00006470" w:rsidRDefault="00AD7359">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3EC7BEF" wp14:editId="2E5E8D58">
            <wp:extent cx="5767070" cy="2578735"/>
            <wp:effectExtent l="0" t="0" r="508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0134925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2476C">
        <w:rPr>
          <w:rFonts w:ascii="Times New Roman" w:eastAsia="楷体" w:hAnsi="Times New Roman" w:cs="Times New Roman" w:hint="eastAsia"/>
          <w:b/>
        </w:rPr>
        <w:t>7</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52476C">
        <w:rPr>
          <w:rFonts w:ascii="Times New Roman" w:eastAsia="楷体" w:hAnsi="Times New Roman" w:cs="Times New Roman" w:hint="eastAsia"/>
          <w:b/>
        </w:rPr>
        <w:t>14.40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3B3C2DBD" w:rsidR="007E1695" w:rsidRPr="00006470" w:rsidRDefault="0052476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2CD396C" wp14:editId="318AF740">
            <wp:extent cx="5834380" cy="25908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2913865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2476C">
        <w:rPr>
          <w:rFonts w:ascii="Times New Roman" w:eastAsia="楷体" w:hAnsi="Times New Roman" w:cs="Times New Roman" w:hint="eastAsia"/>
          <w:b/>
        </w:rPr>
        <w:t>7</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52476C">
        <w:rPr>
          <w:rFonts w:ascii="Times New Roman" w:eastAsia="楷体" w:hAnsi="Times New Roman" w:cs="Times New Roman" w:hint="eastAsia"/>
          <w:b/>
        </w:rPr>
        <w:t>10.30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67F4D9CC" w:rsidR="00971387" w:rsidRPr="00006470" w:rsidRDefault="0052476C"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3E79FF4" wp14:editId="305C8205">
            <wp:extent cx="5834380"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55BC5E2"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2476C">
        <w:rPr>
          <w:rFonts w:ascii="Times New Roman" w:eastAsia="楷体" w:hAnsi="Times New Roman" w:cs="Times New Roman" w:hint="eastAsia"/>
          <w:b/>
        </w:rPr>
        <w:t>7</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52476C">
        <w:rPr>
          <w:rFonts w:ascii="Times New Roman" w:eastAsia="楷体" w:hAnsi="Times New Roman" w:cs="Times New Roman" w:hint="eastAsia"/>
          <w:b/>
        </w:rPr>
        <w:t>8.50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4089F82C" w:rsidR="00AD4FF0" w:rsidRPr="00006470" w:rsidRDefault="0052476C"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8E25165" wp14:editId="5D87DF2F">
            <wp:extent cx="5876925" cy="2682240"/>
            <wp:effectExtent l="0" t="0" r="9525"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E1313C0" w14:textId="77777777" w:rsidR="005C41D5" w:rsidRDefault="005C41D5" w:rsidP="005C41D5">
      <w:r w:rsidRPr="008A3EFA">
        <w:rPr>
          <w:rFonts w:ascii="微软雅黑" w:eastAsia="微软雅黑" w:hAnsi="微软雅黑" w:hint="eastAsia"/>
          <w:color w:val="808080"/>
          <w:sz w:val="13"/>
          <w:szCs w:val="13"/>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8A3EFA">
        <w:rPr>
          <w:rFonts w:ascii="微软雅黑" w:eastAsia="微软雅黑" w:hAnsi="微软雅黑" w:hint="eastAsia"/>
          <w:color w:val="808080"/>
          <w:sz w:val="13"/>
          <w:szCs w:val="13"/>
          <w:shd w:val="clear" w:color="auto" w:fill="FFFFFF"/>
        </w:rPr>
        <w:t>作出</w:t>
      </w:r>
      <w:proofErr w:type="gramEnd"/>
      <w:r w:rsidRPr="008A3EFA">
        <w:rPr>
          <w:rFonts w:ascii="微软雅黑" w:eastAsia="微软雅黑" w:hAnsi="微软雅黑" w:hint="eastAsia"/>
          <w:color w:val="808080"/>
          <w:sz w:val="13"/>
          <w:szCs w:val="13"/>
          <w:shd w:val="clear" w:color="auto" w:fill="FFFFFF"/>
        </w:rPr>
        <w:t>调整。2、本报告中的资料、观点和预测等仅供参考，在任何时候均不构成对任何人的个人推荐。市场有风险，投资需谨慎。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bookmarkStart w:id="4" w:name="_GoBack"/>
      <w:bookmarkEnd w:id="4"/>
    </w:p>
    <w:sectPr w:rsidR="007E1695" w:rsidRPr="00006470">
      <w:headerReference w:type="default" r:id="rId25"/>
      <w:footerReference w:type="default" r:id="rId26"/>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5D6D9C" w14:textId="77777777" w:rsidR="006114BB" w:rsidRDefault="006114BB">
      <w:pPr>
        <w:spacing w:line="240" w:lineRule="auto"/>
      </w:pPr>
      <w:r>
        <w:separator/>
      </w:r>
    </w:p>
  </w:endnote>
  <w:endnote w:type="continuationSeparator" w:id="0">
    <w:p w14:paraId="749F9271" w14:textId="77777777" w:rsidR="006114BB" w:rsidRDefault="006114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2154C5">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154C5">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16AF58" w14:textId="77777777" w:rsidR="006114BB" w:rsidRDefault="006114BB">
      <w:pPr>
        <w:spacing w:line="240" w:lineRule="auto"/>
      </w:pPr>
      <w:r>
        <w:separator/>
      </w:r>
    </w:p>
  </w:footnote>
  <w:footnote w:type="continuationSeparator" w:id="0">
    <w:p w14:paraId="6D85DA14" w14:textId="77777777" w:rsidR="006114BB" w:rsidRDefault="006114B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54C5"/>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8A8"/>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41D5"/>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4BB"/>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2DFA"/>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3ACD"/>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3D8C"/>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894AAA-AD31-4D5B-A9D9-2319420A0A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514</Words>
  <Characters>2931</Characters>
  <Application>Microsoft Office Word</Application>
  <DocSecurity>0</DocSecurity>
  <Lines>24</Lines>
  <Paragraphs>6</Paragraphs>
  <ScaleCrop>false</ScaleCrop>
  <Company>china</Company>
  <LinksUpToDate>false</LinksUpToDate>
  <CharactersWithSpaces>3439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cp:lastPrinted>2018-05-20T14:50:00Z</cp:lastPrinted>
  <dcterms:created xsi:type="dcterms:W3CDTF">2021-08-23T03:04:00Z</dcterms:created>
  <dcterms:modified xsi:type="dcterms:W3CDTF">2021-08-23T03:04:00Z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