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Pr="004C3E2B" w:rsidRDefault="001357FD" w:rsidP="009A2BA0">
      <w:pPr>
        <w:spacing w:beforeLines="100" w:before="312"/>
        <w:jc w:val="center"/>
        <w:rPr>
          <w:rFonts w:ascii="楷体" w:eastAsia="楷体" w:hAnsi="楷体"/>
          <w:b/>
          <w:sz w:val="44"/>
          <w:szCs w:val="44"/>
        </w:rPr>
      </w:pPr>
      <w:r w:rsidRPr="004C3E2B">
        <w:rPr>
          <w:rFonts w:ascii="楷体" w:eastAsia="楷体" w:hAnsi="楷体" w:hint="eastAsia"/>
          <w:b/>
          <w:sz w:val="44"/>
          <w:szCs w:val="44"/>
        </w:rPr>
        <w:t>富</w:t>
      </w:r>
      <w:proofErr w:type="gramStart"/>
      <w:r w:rsidRPr="004C3E2B">
        <w:rPr>
          <w:rFonts w:ascii="楷体" w:eastAsia="楷体" w:hAnsi="楷体" w:hint="eastAsia"/>
          <w:b/>
          <w:sz w:val="44"/>
          <w:szCs w:val="44"/>
        </w:rPr>
        <w:t>荣基金</w:t>
      </w:r>
      <w:proofErr w:type="gramEnd"/>
      <w:r w:rsidR="00960960" w:rsidRPr="004C3E2B">
        <w:rPr>
          <w:rFonts w:ascii="楷体" w:eastAsia="楷体" w:hAnsi="楷体" w:hint="eastAsia"/>
          <w:b/>
          <w:sz w:val="44"/>
          <w:szCs w:val="44"/>
        </w:rPr>
        <w:t>固定收益</w:t>
      </w:r>
      <w:r w:rsidR="00F24889" w:rsidRPr="004C3E2B">
        <w:rPr>
          <w:rFonts w:ascii="楷体" w:eastAsia="楷体" w:hAnsi="楷体" w:hint="eastAsia"/>
          <w:b/>
          <w:sz w:val="44"/>
          <w:szCs w:val="44"/>
        </w:rPr>
        <w:t>周报</w:t>
      </w:r>
    </w:p>
    <w:p w14:paraId="08CBB8BB" w14:textId="27756140" w:rsidR="00832986" w:rsidRPr="00C67176" w:rsidRDefault="00832986" w:rsidP="00E543BE">
      <w:pPr>
        <w:widowControl/>
        <w:jc w:val="center"/>
        <w:rPr>
          <w:rFonts w:ascii="楷体" w:eastAsia="楷体" w:hAnsi="楷体"/>
          <w:sz w:val="28"/>
          <w:szCs w:val="28"/>
        </w:rPr>
      </w:pPr>
      <w:r w:rsidRPr="00C67176">
        <w:rPr>
          <w:rFonts w:ascii="楷体" w:eastAsia="楷体" w:hAnsi="楷体" w:hint="eastAsia"/>
          <w:sz w:val="28"/>
          <w:szCs w:val="28"/>
        </w:rPr>
        <w:t>——</w:t>
      </w:r>
      <w:r w:rsidR="004A1B57" w:rsidRPr="004A1B57">
        <w:rPr>
          <w:rFonts w:ascii="楷体" w:eastAsia="楷体" w:hAnsi="楷体" w:hint="eastAsia"/>
          <w:sz w:val="28"/>
          <w:szCs w:val="28"/>
        </w:rPr>
        <w:t>鲍威尔</w:t>
      </w:r>
      <w:r w:rsidR="004A1B57">
        <w:rPr>
          <w:rFonts w:ascii="楷体" w:eastAsia="楷体" w:hAnsi="楷体" w:hint="eastAsia"/>
          <w:sz w:val="28"/>
          <w:szCs w:val="28"/>
        </w:rPr>
        <w:t>讲话</w:t>
      </w:r>
      <w:r w:rsidR="00C67176" w:rsidRPr="00C67176">
        <w:rPr>
          <w:rFonts w:ascii="楷体" w:eastAsia="楷体" w:hAnsi="楷体" w:hint="eastAsia"/>
          <w:sz w:val="28"/>
          <w:szCs w:val="28"/>
        </w:rPr>
        <w:t>偏</w:t>
      </w:r>
      <w:r w:rsidR="004A1B57">
        <w:rPr>
          <w:rFonts w:ascii="楷体" w:eastAsia="楷体" w:hAnsi="楷体" w:hint="eastAsia"/>
          <w:sz w:val="28"/>
          <w:szCs w:val="28"/>
        </w:rPr>
        <w:t>鸽</w:t>
      </w:r>
      <w:r w:rsidR="00CD02EA" w:rsidRPr="00C67176">
        <w:rPr>
          <w:rFonts w:ascii="楷体" w:eastAsia="楷体" w:hAnsi="楷体" w:hint="eastAsia"/>
          <w:sz w:val="28"/>
          <w:szCs w:val="28"/>
        </w:rPr>
        <w:t>，</w:t>
      </w:r>
      <w:r w:rsidR="00CE1B84" w:rsidRPr="00C67176">
        <w:rPr>
          <w:rFonts w:ascii="楷体" w:eastAsia="楷体" w:hAnsi="楷体" w:hint="eastAsia"/>
          <w:sz w:val="28"/>
          <w:szCs w:val="28"/>
        </w:rPr>
        <w:t>债市</w:t>
      </w:r>
      <w:r w:rsidR="004A1B57">
        <w:rPr>
          <w:rFonts w:ascii="楷体" w:eastAsia="楷体" w:hAnsi="楷体" w:hint="eastAsia"/>
          <w:sz w:val="28"/>
          <w:szCs w:val="28"/>
        </w:rPr>
        <w:t>多空交织</w:t>
      </w:r>
      <w:r w:rsidR="00BC1DA3" w:rsidRPr="00C67176">
        <w:rPr>
          <w:rFonts w:ascii="楷体" w:eastAsia="楷体" w:hAnsi="楷体"/>
          <w:sz w:val="28"/>
          <w:szCs w:val="28"/>
        </w:rPr>
        <w:t xml:space="preserve"> </w:t>
      </w:r>
    </w:p>
    <w:p w14:paraId="782ED204" w14:textId="0A0F3009" w:rsidR="003E4A57" w:rsidRDefault="005E5CB1" w:rsidP="009A2BA0">
      <w:pPr>
        <w:pStyle w:val="Header1"/>
        <w:spacing w:before="240"/>
        <w:rPr>
          <w:rFonts w:ascii="华文楷体" w:hAnsi="华文楷体"/>
          <w:b w:val="0"/>
          <w:color w:val="auto"/>
          <w:sz w:val="24"/>
          <w:szCs w:val="24"/>
        </w:rPr>
      </w:pPr>
      <w:r w:rsidRPr="003B6164">
        <w:rPr>
          <w:rFonts w:hint="eastAsia"/>
          <w:color w:val="C45911" w:themeColor="accent2" w:themeShade="BF"/>
        </w:rPr>
        <w:t>一、</w:t>
      </w:r>
      <w:r w:rsidR="00B76849">
        <w:rPr>
          <w:rFonts w:hint="eastAsia"/>
          <w:color w:val="C45911" w:themeColor="accent2" w:themeShade="BF"/>
        </w:rPr>
        <w:t>本周专题</w:t>
      </w:r>
    </w:p>
    <w:p w14:paraId="4C41AF73" w14:textId="77777777" w:rsidR="00B76849" w:rsidRPr="00B76849" w:rsidRDefault="00B76849" w:rsidP="00B76849">
      <w:pPr>
        <w:pStyle w:val="Header1"/>
        <w:spacing w:before="240"/>
        <w:ind w:firstLineChars="200" w:firstLine="480"/>
        <w:rPr>
          <w:rFonts w:ascii="华文楷体" w:hAnsi="华文楷体"/>
          <w:b w:val="0"/>
          <w:color w:val="auto"/>
          <w:sz w:val="24"/>
          <w:szCs w:val="24"/>
        </w:rPr>
      </w:pPr>
      <w:r w:rsidRPr="00B76849">
        <w:rPr>
          <w:rFonts w:ascii="华文楷体" w:hAnsi="华文楷体" w:hint="eastAsia"/>
          <w:b w:val="0"/>
          <w:color w:val="auto"/>
          <w:sz w:val="24"/>
          <w:szCs w:val="24"/>
        </w:rPr>
        <w:t>重点关注杰克逊年会上美联储主席鲍威尔的讲话。</w:t>
      </w:r>
    </w:p>
    <w:p w14:paraId="0EF4998F" w14:textId="77777777" w:rsidR="00B76849" w:rsidRPr="00B76849" w:rsidRDefault="00B76849" w:rsidP="00B76849">
      <w:pPr>
        <w:pStyle w:val="Header1"/>
        <w:spacing w:before="240"/>
        <w:ind w:firstLineChars="200" w:firstLine="480"/>
        <w:rPr>
          <w:rFonts w:ascii="华文楷体" w:hAnsi="华文楷体"/>
          <w:b w:val="0"/>
          <w:color w:val="auto"/>
          <w:sz w:val="24"/>
          <w:szCs w:val="24"/>
        </w:rPr>
      </w:pPr>
      <w:r w:rsidRPr="00B76849">
        <w:rPr>
          <w:rFonts w:ascii="华文楷体" w:hAnsi="华文楷体" w:hint="eastAsia"/>
          <w:b w:val="0"/>
          <w:color w:val="auto"/>
          <w:sz w:val="24"/>
          <w:szCs w:val="24"/>
        </w:rPr>
        <w:t>（1）鲍威尔讲话表示“如果经济像预期那样发展，今年开始降低资产购买速度可能是合适的”。对于就业，鲍威尔认为劳动参与率仍然不足，但就业恢复已取得明显进展。对于通胀，鲍威尔承认当前通胀水平较高，但仍认为高通胀可能是暂时性的。对于疫情，鲍威尔认为Delta变种存在短期风险，会持续关注其发展及影响。此外，鲍威尔表示，Taper完成的时点与加息开始的时点没有直接关系，在实现最大就业和平均通胀目标2%之前，政策利率仍将保持不变。</w:t>
      </w:r>
    </w:p>
    <w:p w14:paraId="58B3C110" w14:textId="628BA60A" w:rsidR="00B76849" w:rsidRPr="00B76849" w:rsidRDefault="00B76849" w:rsidP="00B76849">
      <w:pPr>
        <w:pStyle w:val="Header1"/>
        <w:spacing w:before="240"/>
        <w:ind w:firstLineChars="200" w:firstLine="480"/>
        <w:rPr>
          <w:rFonts w:ascii="华文楷体" w:hAnsi="华文楷体"/>
          <w:b w:val="0"/>
          <w:color w:val="auto"/>
          <w:sz w:val="24"/>
          <w:szCs w:val="24"/>
        </w:rPr>
      </w:pPr>
      <w:r w:rsidRPr="00B76849">
        <w:rPr>
          <w:rFonts w:ascii="华文楷体" w:hAnsi="华文楷体" w:hint="eastAsia"/>
          <w:b w:val="0"/>
          <w:color w:val="auto"/>
          <w:sz w:val="24"/>
          <w:szCs w:val="24"/>
        </w:rPr>
        <w:t>（2）市场预期方面，纽约联储在7月</w:t>
      </w:r>
      <w:r w:rsidR="00CB24EB">
        <w:rPr>
          <w:rFonts w:ascii="华文楷体" w:hAnsi="华文楷体" w:hint="eastAsia"/>
          <w:b w:val="0"/>
          <w:color w:val="auto"/>
          <w:sz w:val="24"/>
          <w:szCs w:val="24"/>
        </w:rPr>
        <w:t>的</w:t>
      </w:r>
      <w:r w:rsidRPr="00B76849">
        <w:rPr>
          <w:rFonts w:ascii="华文楷体" w:hAnsi="华文楷体" w:hint="eastAsia"/>
          <w:b w:val="0"/>
          <w:color w:val="auto"/>
          <w:sz w:val="24"/>
          <w:szCs w:val="24"/>
        </w:rPr>
        <w:t>调查</w:t>
      </w:r>
      <w:r w:rsidR="00CB24EB">
        <w:rPr>
          <w:rFonts w:ascii="华文楷体" w:hAnsi="华文楷体" w:hint="eastAsia"/>
          <w:b w:val="0"/>
          <w:color w:val="auto"/>
          <w:sz w:val="24"/>
          <w:szCs w:val="24"/>
        </w:rPr>
        <w:t>显示，目前</w:t>
      </w:r>
      <w:r w:rsidRPr="00B76849">
        <w:rPr>
          <w:rFonts w:ascii="华文楷体" w:hAnsi="华文楷体" w:hint="eastAsia"/>
          <w:b w:val="0"/>
          <w:color w:val="auto"/>
          <w:sz w:val="24"/>
          <w:szCs w:val="24"/>
        </w:rPr>
        <w:t>市场中位数预期仍然是从明年1月开始实施Taper。考虑到7月底以来，美国就业数据明显改善且美联储官员多次释放鹰派信号，最新的市场预期可能会略有提前。年内还剩3次FOMC会议，分别在9/23、11/4、12/16，因此，美联储实际上面临两种方案：一是11月宣布Taper，从12月开始实施；二是12月宣布Taper，从明年1月开始实施。具体选择则取决于未来2-3个月美国的就业数据和疫情表现。</w:t>
      </w:r>
    </w:p>
    <w:p w14:paraId="41A034E6" w14:textId="226DB496" w:rsidR="003E4A57" w:rsidRPr="00B76849" w:rsidRDefault="00B76849" w:rsidP="00B76849">
      <w:pPr>
        <w:pStyle w:val="Header1"/>
        <w:spacing w:before="240"/>
        <w:ind w:firstLineChars="200" w:firstLine="480"/>
        <w:rPr>
          <w:rFonts w:ascii="华文楷体" w:hAnsi="华文楷体"/>
          <w:b w:val="0"/>
          <w:color w:val="auto"/>
          <w:sz w:val="24"/>
          <w:szCs w:val="24"/>
        </w:rPr>
      </w:pPr>
      <w:r w:rsidRPr="00B76849">
        <w:rPr>
          <w:rFonts w:ascii="华文楷体" w:hAnsi="华文楷体" w:hint="eastAsia"/>
          <w:b w:val="0"/>
          <w:color w:val="auto"/>
          <w:sz w:val="24"/>
          <w:szCs w:val="24"/>
        </w:rPr>
        <w:t>（3）大类资产表现方面，美联储主席讲话后，美元指数和10Y美债收益率快速跳水，黄金大幅反弹，美国三大股指全线上涨，</w:t>
      </w:r>
      <w:proofErr w:type="gramStart"/>
      <w:r w:rsidRPr="00B76849">
        <w:rPr>
          <w:rFonts w:ascii="华文楷体" w:hAnsi="华文楷体" w:hint="eastAsia"/>
          <w:b w:val="0"/>
          <w:color w:val="auto"/>
          <w:sz w:val="24"/>
          <w:szCs w:val="24"/>
        </w:rPr>
        <w:t>标普</w:t>
      </w:r>
      <w:proofErr w:type="gramEnd"/>
      <w:r w:rsidRPr="00B76849">
        <w:rPr>
          <w:rFonts w:ascii="华文楷体" w:hAnsi="华文楷体" w:hint="eastAsia"/>
          <w:b w:val="0"/>
          <w:color w:val="auto"/>
          <w:sz w:val="24"/>
          <w:szCs w:val="24"/>
        </w:rPr>
        <w:t>500指数和</w:t>
      </w:r>
      <w:proofErr w:type="gramStart"/>
      <w:r w:rsidRPr="00B76849">
        <w:rPr>
          <w:rFonts w:ascii="华文楷体" w:hAnsi="华文楷体" w:hint="eastAsia"/>
          <w:b w:val="0"/>
          <w:color w:val="auto"/>
          <w:sz w:val="24"/>
          <w:szCs w:val="24"/>
        </w:rPr>
        <w:t>纳指创</w:t>
      </w:r>
      <w:proofErr w:type="gramEnd"/>
      <w:r w:rsidRPr="00B76849">
        <w:rPr>
          <w:rFonts w:ascii="华文楷体" w:hAnsi="华文楷体" w:hint="eastAsia"/>
          <w:b w:val="0"/>
          <w:color w:val="auto"/>
          <w:sz w:val="24"/>
          <w:szCs w:val="24"/>
        </w:rPr>
        <w:t>历史新高。本次讲话整体仍被市场解读为“鸽派”信号。展望后市，鲍威尔的表态有望缓解短期市场因为近期一些委员鹰派表态带来的焦虑，进而支撑市场特别是成长股的表现。同时，在市场充分预期的背景下，即使美联储在接下来的几次会议上宣布Taper，也像是靴子落地，对</w:t>
      </w:r>
      <w:proofErr w:type="gramStart"/>
      <w:r w:rsidRPr="00B76849">
        <w:rPr>
          <w:rFonts w:ascii="华文楷体" w:hAnsi="华文楷体" w:hint="eastAsia"/>
          <w:b w:val="0"/>
          <w:color w:val="auto"/>
          <w:sz w:val="24"/>
          <w:szCs w:val="24"/>
        </w:rPr>
        <w:t>长端美债利</w:t>
      </w:r>
      <w:proofErr w:type="gramEnd"/>
      <w:r w:rsidRPr="00B76849">
        <w:rPr>
          <w:rFonts w:ascii="华文楷体" w:hAnsi="华文楷体" w:hint="eastAsia"/>
          <w:b w:val="0"/>
          <w:color w:val="auto"/>
          <w:sz w:val="24"/>
          <w:szCs w:val="24"/>
        </w:rPr>
        <w:t>率的影响难以比肩2013年的缩减恐慌。</w:t>
      </w:r>
    </w:p>
    <w:p w14:paraId="7EEDEF05" w14:textId="07D2C6E3" w:rsidR="00E0626C" w:rsidRPr="003E4A57" w:rsidRDefault="003E4A57" w:rsidP="003E4A57">
      <w:pPr>
        <w:pStyle w:val="Header1"/>
        <w:spacing w:before="240"/>
        <w:ind w:firstLineChars="200" w:firstLine="480"/>
        <w:rPr>
          <w:rFonts w:ascii="华文楷体" w:hAnsi="华文楷体"/>
          <w:b w:val="0"/>
          <w:color w:val="auto"/>
          <w:sz w:val="24"/>
          <w:szCs w:val="24"/>
        </w:rPr>
      </w:pPr>
      <w:r w:rsidRPr="003E4A57">
        <w:rPr>
          <w:rFonts w:ascii="华文楷体" w:hAnsi="华文楷体"/>
          <w:b w:val="0"/>
          <w:color w:val="auto"/>
          <w:sz w:val="24"/>
          <w:szCs w:val="24"/>
        </w:rPr>
        <w:cr/>
      </w:r>
      <w:r w:rsidR="005E5CB1" w:rsidRPr="007353FF">
        <w:rPr>
          <w:rFonts w:hint="eastAsia"/>
          <w:color w:val="C45911" w:themeColor="accent2" w:themeShade="BF"/>
        </w:rPr>
        <w:t>二</w:t>
      </w:r>
      <w:r w:rsidR="00E0626C" w:rsidRPr="007353FF">
        <w:rPr>
          <w:rFonts w:hint="eastAsia"/>
          <w:color w:val="C45911" w:themeColor="accent2" w:themeShade="BF"/>
        </w:rPr>
        <w:t>、上周回顾</w:t>
      </w:r>
    </w:p>
    <w:p w14:paraId="704BC20A" w14:textId="651144BD" w:rsidR="00E0626C" w:rsidRPr="007A1586" w:rsidRDefault="00E0626C" w:rsidP="009A2BA0">
      <w:pPr>
        <w:pStyle w:val="Header2"/>
        <w:rPr>
          <w:sz w:val="28"/>
          <w:szCs w:val="21"/>
        </w:rPr>
      </w:pPr>
      <w:r w:rsidRPr="00500BB1">
        <w:rPr>
          <w:rFonts w:hint="eastAsia"/>
          <w:sz w:val="28"/>
          <w:szCs w:val="21"/>
          <w:lang w:eastAsia="zh-CN"/>
        </w:rPr>
        <w:t>1</w:t>
      </w:r>
      <w:r w:rsidRPr="00500BB1">
        <w:rPr>
          <w:rFonts w:hint="eastAsia"/>
          <w:sz w:val="28"/>
          <w:szCs w:val="21"/>
          <w:lang w:eastAsia="zh-CN"/>
        </w:rPr>
        <w:t>、</w:t>
      </w:r>
      <w:r w:rsidRPr="00CD2B4D">
        <w:rPr>
          <w:rFonts w:hint="eastAsia"/>
          <w:sz w:val="28"/>
          <w:szCs w:val="21"/>
        </w:rPr>
        <w:t>利率债</w:t>
      </w:r>
    </w:p>
    <w:p w14:paraId="33F356F9" w14:textId="7264C898" w:rsidR="00A917BC" w:rsidRPr="00500BB1" w:rsidRDefault="00B76849" w:rsidP="007A1586">
      <w:pPr>
        <w:pStyle w:val="Header1"/>
        <w:spacing w:before="240"/>
        <w:ind w:firstLine="480"/>
        <w:rPr>
          <w:rFonts w:ascii="华文楷体" w:hAnsi="华文楷体"/>
          <w:sz w:val="24"/>
          <w:szCs w:val="24"/>
          <w:highlight w:val="yellow"/>
        </w:rPr>
      </w:pPr>
      <w:r w:rsidRPr="00B76849">
        <w:rPr>
          <w:rFonts w:ascii="华文楷体" w:hAnsi="华文楷体" w:hint="eastAsia"/>
          <w:b w:val="0"/>
          <w:color w:val="auto"/>
          <w:sz w:val="24"/>
          <w:szCs w:val="24"/>
        </w:rPr>
        <w:t>央行通过OMO和国库现金</w:t>
      </w:r>
      <w:proofErr w:type="gramStart"/>
      <w:r w:rsidRPr="00B76849">
        <w:rPr>
          <w:rFonts w:ascii="华文楷体" w:hAnsi="华文楷体" w:hint="eastAsia"/>
          <w:b w:val="0"/>
          <w:color w:val="auto"/>
          <w:sz w:val="24"/>
          <w:szCs w:val="24"/>
        </w:rPr>
        <w:t>定存净投放</w:t>
      </w:r>
      <w:proofErr w:type="gramEnd"/>
      <w:r w:rsidRPr="00B76849">
        <w:rPr>
          <w:rFonts w:ascii="华文楷体" w:hAnsi="华文楷体" w:hint="eastAsia"/>
          <w:b w:val="0"/>
          <w:color w:val="auto"/>
          <w:sz w:val="24"/>
          <w:szCs w:val="24"/>
        </w:rPr>
        <w:t>共1900亿，跨月流动性平稳。消息面受央行信贷座谈会、银行理财摊</w:t>
      </w:r>
      <w:proofErr w:type="gramStart"/>
      <w:r w:rsidRPr="00B76849">
        <w:rPr>
          <w:rFonts w:ascii="华文楷体" w:hAnsi="华文楷体" w:hint="eastAsia"/>
          <w:b w:val="0"/>
          <w:color w:val="auto"/>
          <w:sz w:val="24"/>
          <w:szCs w:val="24"/>
        </w:rPr>
        <w:t>余成本</w:t>
      </w:r>
      <w:proofErr w:type="gramEnd"/>
      <w:r w:rsidRPr="00B76849">
        <w:rPr>
          <w:rFonts w:ascii="华文楷体" w:hAnsi="华文楷体" w:hint="eastAsia"/>
          <w:b w:val="0"/>
          <w:color w:val="auto"/>
          <w:sz w:val="24"/>
          <w:szCs w:val="24"/>
        </w:rPr>
        <w:t>法产品整改、乡村振兴电话会</w:t>
      </w:r>
      <w:proofErr w:type="gramStart"/>
      <w:r w:rsidRPr="00B76849">
        <w:rPr>
          <w:rFonts w:ascii="华文楷体" w:hAnsi="华文楷体" w:hint="eastAsia"/>
          <w:b w:val="0"/>
          <w:color w:val="auto"/>
          <w:sz w:val="24"/>
          <w:szCs w:val="24"/>
        </w:rPr>
        <w:t>再提降准影响</w:t>
      </w:r>
      <w:proofErr w:type="gramEnd"/>
      <w:r w:rsidRPr="00B76849">
        <w:rPr>
          <w:rFonts w:ascii="华文楷体" w:hAnsi="华文楷体" w:hint="eastAsia"/>
          <w:b w:val="0"/>
          <w:color w:val="auto"/>
          <w:sz w:val="24"/>
          <w:szCs w:val="24"/>
        </w:rPr>
        <w:t>，债市多空情绪交织。</w:t>
      </w:r>
      <w:r w:rsidR="003E4A57" w:rsidRPr="003E4A57">
        <w:rPr>
          <w:rFonts w:ascii="华文楷体" w:hAnsi="华文楷体" w:hint="eastAsia"/>
          <w:b w:val="0"/>
          <w:color w:val="auto"/>
          <w:sz w:val="24"/>
          <w:szCs w:val="24"/>
        </w:rPr>
        <w:t>全周1Y、5Y、10Y国债中债估值分别变动+</w:t>
      </w:r>
      <w:r>
        <w:rPr>
          <w:rFonts w:ascii="华文楷体" w:hAnsi="华文楷体"/>
          <w:b w:val="0"/>
          <w:color w:val="auto"/>
          <w:sz w:val="24"/>
          <w:szCs w:val="24"/>
        </w:rPr>
        <w:t>5.5</w:t>
      </w:r>
      <w:r w:rsidR="003E4A57" w:rsidRPr="003E4A57">
        <w:rPr>
          <w:rFonts w:ascii="华文楷体" w:hAnsi="华文楷体" w:hint="eastAsia"/>
          <w:b w:val="0"/>
          <w:color w:val="auto"/>
          <w:sz w:val="24"/>
          <w:szCs w:val="24"/>
        </w:rPr>
        <w:t>BP、</w:t>
      </w:r>
      <w:r>
        <w:rPr>
          <w:rFonts w:ascii="华文楷体" w:hAnsi="华文楷体" w:hint="eastAsia"/>
          <w:b w:val="0"/>
          <w:color w:val="auto"/>
          <w:sz w:val="24"/>
          <w:szCs w:val="24"/>
        </w:rPr>
        <w:t>+</w:t>
      </w:r>
      <w:r>
        <w:rPr>
          <w:rFonts w:ascii="华文楷体" w:hAnsi="华文楷体"/>
          <w:b w:val="0"/>
          <w:color w:val="auto"/>
          <w:sz w:val="24"/>
          <w:szCs w:val="24"/>
        </w:rPr>
        <w:t>0.7</w:t>
      </w:r>
      <w:r w:rsidR="003E4A57" w:rsidRPr="003E4A57">
        <w:rPr>
          <w:rFonts w:ascii="华文楷体" w:hAnsi="华文楷体" w:hint="eastAsia"/>
          <w:b w:val="0"/>
          <w:color w:val="auto"/>
          <w:sz w:val="24"/>
          <w:szCs w:val="24"/>
        </w:rPr>
        <w:t>BP和</w:t>
      </w:r>
      <w:r>
        <w:rPr>
          <w:rFonts w:ascii="华文楷体" w:hAnsi="华文楷体" w:hint="eastAsia"/>
          <w:b w:val="0"/>
          <w:color w:val="auto"/>
          <w:sz w:val="24"/>
          <w:szCs w:val="24"/>
        </w:rPr>
        <w:t>+</w:t>
      </w:r>
      <w:r>
        <w:rPr>
          <w:rFonts w:ascii="华文楷体" w:hAnsi="华文楷体"/>
          <w:b w:val="0"/>
          <w:color w:val="auto"/>
          <w:sz w:val="24"/>
          <w:szCs w:val="24"/>
        </w:rPr>
        <w:t>1.8</w:t>
      </w:r>
      <w:r w:rsidR="003E4A57" w:rsidRPr="003E4A57">
        <w:rPr>
          <w:rFonts w:ascii="华文楷体" w:hAnsi="华文楷体" w:hint="eastAsia"/>
          <w:b w:val="0"/>
          <w:color w:val="auto"/>
          <w:sz w:val="24"/>
          <w:szCs w:val="24"/>
        </w:rPr>
        <w:t>BP，10-1Y国债利差下行</w:t>
      </w:r>
      <w:r>
        <w:rPr>
          <w:rFonts w:ascii="华文楷体" w:hAnsi="华文楷体"/>
          <w:b w:val="0"/>
          <w:color w:val="auto"/>
          <w:sz w:val="24"/>
          <w:szCs w:val="24"/>
        </w:rPr>
        <w:t>4.3</w:t>
      </w:r>
      <w:r w:rsidR="003E4A57" w:rsidRPr="003E4A57">
        <w:rPr>
          <w:rFonts w:ascii="华文楷体" w:hAnsi="华文楷体" w:hint="eastAsia"/>
          <w:b w:val="0"/>
          <w:color w:val="auto"/>
          <w:sz w:val="24"/>
          <w:szCs w:val="24"/>
        </w:rPr>
        <w:t>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B41E24" w14:paraId="26C17AB1" w14:textId="77777777" w:rsidTr="00202D86">
        <w:trPr>
          <w:jc w:val="center"/>
        </w:trPr>
        <w:tc>
          <w:tcPr>
            <w:tcW w:w="4939" w:type="dxa"/>
            <w:vAlign w:val="center"/>
          </w:tcPr>
          <w:p w14:paraId="6C73AA55" w14:textId="11937E54" w:rsidR="00E0626C" w:rsidRPr="00B41E24" w:rsidRDefault="00E0626C" w:rsidP="00BA168E">
            <w:pPr>
              <w:pStyle w:val="ChartHeading"/>
              <w:jc w:val="both"/>
            </w:pPr>
            <w:r w:rsidRPr="00B41E24">
              <w:rPr>
                <w:rFonts w:hint="eastAsia"/>
              </w:rPr>
              <w:lastRenderedPageBreak/>
              <w:t>图表</w:t>
            </w:r>
            <w:r w:rsidRPr="00B41E24">
              <w:t xml:space="preserve">. </w:t>
            </w:r>
            <w:r w:rsidRPr="00B41E24">
              <w:rPr>
                <w:rFonts w:hint="eastAsia"/>
              </w:rPr>
              <w:t>国债收益率曲线和变化</w:t>
            </w:r>
          </w:p>
        </w:tc>
        <w:tc>
          <w:tcPr>
            <w:tcW w:w="4938" w:type="dxa"/>
            <w:vAlign w:val="center"/>
          </w:tcPr>
          <w:p w14:paraId="2C5A7EDC" w14:textId="7D7F9BC1" w:rsidR="00E0626C" w:rsidRPr="00B41E24" w:rsidRDefault="00E0626C" w:rsidP="009A2BA0">
            <w:pPr>
              <w:pStyle w:val="ChartHeading"/>
              <w:jc w:val="both"/>
            </w:pPr>
            <w:r w:rsidRPr="00B41E24">
              <w:rPr>
                <w:rFonts w:hint="eastAsia"/>
              </w:rPr>
              <w:t>图表</w:t>
            </w:r>
            <w:r w:rsidRPr="00B41E24">
              <w:t xml:space="preserve">. </w:t>
            </w:r>
            <w:proofErr w:type="gramStart"/>
            <w:r w:rsidRPr="00B41E24">
              <w:rPr>
                <w:rFonts w:hint="eastAsia"/>
              </w:rPr>
              <w:t>国开债收益率曲线</w:t>
            </w:r>
            <w:proofErr w:type="gramEnd"/>
            <w:r w:rsidRPr="00B41E24">
              <w:rPr>
                <w:rFonts w:hint="eastAsia"/>
              </w:rPr>
              <w:t>和变化</w:t>
            </w:r>
          </w:p>
        </w:tc>
      </w:tr>
      <w:tr w:rsidR="00E0626C" w:rsidRPr="00B41E24" w14:paraId="1094FBBD" w14:textId="77777777" w:rsidTr="00B76849">
        <w:tblPrEx>
          <w:tblCellMar>
            <w:left w:w="108" w:type="dxa"/>
            <w:right w:w="108" w:type="dxa"/>
          </w:tblCellMar>
        </w:tblPrEx>
        <w:trPr>
          <w:trHeight w:val="2854"/>
          <w:jc w:val="center"/>
        </w:trPr>
        <w:tc>
          <w:tcPr>
            <w:tcW w:w="4939" w:type="dxa"/>
            <w:vAlign w:val="center"/>
          </w:tcPr>
          <w:p w14:paraId="678C97B0" w14:textId="6AEFFDF9" w:rsidR="00E0626C" w:rsidRPr="00B41E24" w:rsidRDefault="00B76849" w:rsidP="002104B2">
            <w:pPr>
              <w:rPr>
                <w:noProof/>
              </w:rPr>
            </w:pPr>
            <w:r>
              <w:rPr>
                <w:noProof/>
              </w:rPr>
              <w:drawing>
                <wp:inline distT="0" distB="0" distL="0" distR="0" wp14:anchorId="13EF2462" wp14:editId="58537EDE">
                  <wp:extent cx="2999105" cy="1770380"/>
                  <wp:effectExtent l="0" t="0" r="0" b="1270"/>
                  <wp:docPr id="3" name="图表 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17A42E68" w14:textId="573385AF" w:rsidR="00E0626C" w:rsidRPr="00B41E24" w:rsidRDefault="00A6413C" w:rsidP="009A2BA0">
            <w:pPr>
              <w:jc w:val="center"/>
              <w:rPr>
                <w:noProof/>
                <w:szCs w:val="18"/>
              </w:rPr>
            </w:pPr>
            <w:bookmarkStart w:id="0" w:name="_GoBack"/>
            <w:r>
              <w:rPr>
                <w:noProof/>
              </w:rPr>
              <w:drawing>
                <wp:inline distT="0" distB="0" distL="0" distR="0" wp14:anchorId="6E9C7DE3" wp14:editId="04965C36">
                  <wp:extent cx="2998470" cy="1805940"/>
                  <wp:effectExtent l="0" t="0" r="0" b="3810"/>
                  <wp:docPr id="2" name="图表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xmlns:arto="http://schemas.microsoft.com/office/word/2006/arto"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bookmarkEnd w:id="0"/>
          </w:p>
        </w:tc>
      </w:tr>
      <w:tr w:rsidR="00E0626C" w:rsidRPr="00500BB1" w14:paraId="70E50E5B" w14:textId="77777777" w:rsidTr="00202D86">
        <w:trPr>
          <w:trHeight w:val="64"/>
          <w:jc w:val="center"/>
        </w:trPr>
        <w:tc>
          <w:tcPr>
            <w:tcW w:w="4939" w:type="dxa"/>
            <w:vAlign w:val="center"/>
          </w:tcPr>
          <w:p w14:paraId="3E8A3EBA"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c>
          <w:tcPr>
            <w:tcW w:w="4938" w:type="dxa"/>
            <w:vAlign w:val="center"/>
          </w:tcPr>
          <w:p w14:paraId="589540D5"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r>
    </w:tbl>
    <w:p w14:paraId="1E64B73D" w14:textId="1FD77AFD" w:rsidR="00E0626C" w:rsidRDefault="00E0626C" w:rsidP="009A2BA0">
      <w:pPr>
        <w:pStyle w:val="Body-text"/>
        <w:spacing w:after="0"/>
        <w:rPr>
          <w:highlight w:val="yellow"/>
          <w:lang w:eastAsia="zh-CN"/>
        </w:rPr>
      </w:pPr>
    </w:p>
    <w:p w14:paraId="2895F502" w14:textId="1BE510F1" w:rsidR="003E4A57" w:rsidRDefault="003E4A57" w:rsidP="009A2BA0">
      <w:pPr>
        <w:pStyle w:val="Body-text"/>
        <w:spacing w:after="0"/>
        <w:rPr>
          <w:highlight w:val="yellow"/>
          <w:lang w:eastAsia="zh-CN"/>
        </w:rPr>
      </w:pPr>
    </w:p>
    <w:p w14:paraId="3DC79E68" w14:textId="77777777" w:rsidR="003E4A57" w:rsidRPr="00500BB1" w:rsidRDefault="003E4A57" w:rsidP="009A2BA0">
      <w:pPr>
        <w:pStyle w:val="Body-text"/>
        <w:spacing w:after="0"/>
        <w:rPr>
          <w:highlight w:val="yellow"/>
          <w:lang w:eastAsia="zh-CN"/>
        </w:rPr>
      </w:pPr>
    </w:p>
    <w:p w14:paraId="18D67482" w14:textId="1CC7DD47" w:rsidR="00E0626C" w:rsidRPr="00CD2B4D" w:rsidRDefault="007A1586" w:rsidP="009A2BA0">
      <w:pPr>
        <w:pStyle w:val="Header2"/>
        <w:rPr>
          <w:rFonts w:eastAsia="PMingLiU"/>
          <w:sz w:val="28"/>
          <w:szCs w:val="21"/>
        </w:rPr>
      </w:pPr>
      <w:r>
        <w:rPr>
          <w:sz w:val="28"/>
          <w:szCs w:val="21"/>
          <w:lang w:eastAsia="zh-CN"/>
        </w:rPr>
        <w:t>2</w:t>
      </w:r>
      <w:r w:rsidR="00E0626C" w:rsidRPr="00CD2B4D">
        <w:rPr>
          <w:rFonts w:hint="eastAsia"/>
          <w:sz w:val="28"/>
          <w:szCs w:val="21"/>
          <w:lang w:eastAsia="zh-CN"/>
        </w:rPr>
        <w:t>、</w:t>
      </w:r>
      <w:r w:rsidR="00E0626C" w:rsidRPr="00CD2B4D">
        <w:rPr>
          <w:rFonts w:hint="eastAsia"/>
          <w:sz w:val="28"/>
          <w:szCs w:val="21"/>
        </w:rPr>
        <w:t>信用债</w:t>
      </w:r>
    </w:p>
    <w:p w14:paraId="65D1F2BE" w14:textId="21E14625" w:rsidR="00CD1AE8" w:rsidRPr="003E4A57" w:rsidRDefault="003E4A57" w:rsidP="00B76849">
      <w:pPr>
        <w:pStyle w:val="Body-text"/>
        <w:spacing w:after="240"/>
        <w:ind w:firstLineChars="200" w:firstLine="480"/>
        <w:rPr>
          <w:rFonts w:ascii="华文楷体" w:hAnsi="华文楷体"/>
          <w:sz w:val="24"/>
          <w:szCs w:val="24"/>
          <w:highlight w:val="yellow"/>
          <w:lang w:eastAsia="zh-CN"/>
        </w:rPr>
      </w:pPr>
      <w:r w:rsidRPr="003E4A57">
        <w:rPr>
          <w:rFonts w:ascii="华文楷体" w:hAnsi="华文楷体" w:hint="eastAsia"/>
          <w:sz w:val="24"/>
          <w:szCs w:val="24"/>
          <w:lang w:eastAsia="zh-CN"/>
        </w:rPr>
        <w:t>信用债</w:t>
      </w:r>
      <w:r w:rsidR="00B76849">
        <w:rPr>
          <w:rFonts w:ascii="华文楷体" w:hAnsi="华文楷体" w:hint="eastAsia"/>
          <w:sz w:val="24"/>
          <w:szCs w:val="24"/>
          <w:lang w:eastAsia="zh-CN"/>
        </w:rPr>
        <w:t>多数出现调整。</w:t>
      </w:r>
      <w:r w:rsidR="00B76849" w:rsidRPr="00B76849">
        <w:rPr>
          <w:rFonts w:ascii="华文楷体" w:hAnsi="华文楷体" w:hint="eastAsia"/>
          <w:sz w:val="24"/>
          <w:szCs w:val="24"/>
          <w:lang w:eastAsia="zh-CN"/>
        </w:rPr>
        <w:t>1Y期限</w:t>
      </w:r>
      <w:proofErr w:type="gramStart"/>
      <w:r w:rsidR="00B76849" w:rsidRPr="00B76849">
        <w:rPr>
          <w:rFonts w:ascii="华文楷体" w:hAnsi="华文楷体" w:hint="eastAsia"/>
          <w:sz w:val="24"/>
          <w:szCs w:val="24"/>
          <w:lang w:eastAsia="zh-CN"/>
        </w:rPr>
        <w:t>短融变化</w:t>
      </w:r>
      <w:proofErr w:type="gramEnd"/>
      <w:r w:rsidR="00B76849" w:rsidRPr="00B76849">
        <w:rPr>
          <w:rFonts w:ascii="华文楷体" w:hAnsi="华文楷体" w:hint="eastAsia"/>
          <w:sz w:val="24"/>
          <w:szCs w:val="24"/>
          <w:lang w:eastAsia="zh-CN"/>
        </w:rPr>
        <w:t>0~2BP，3年AAA企业</w:t>
      </w:r>
      <w:proofErr w:type="gramStart"/>
      <w:r w:rsidR="00B76849" w:rsidRPr="00B76849">
        <w:rPr>
          <w:rFonts w:ascii="华文楷体" w:hAnsi="华文楷体" w:hint="eastAsia"/>
          <w:sz w:val="24"/>
          <w:szCs w:val="24"/>
          <w:lang w:eastAsia="zh-CN"/>
        </w:rPr>
        <w:t>债变化</w:t>
      </w:r>
      <w:proofErr w:type="gramEnd"/>
      <w:r w:rsidR="00B76849" w:rsidRPr="00B76849">
        <w:rPr>
          <w:rFonts w:ascii="华文楷体" w:hAnsi="华文楷体" w:hint="eastAsia"/>
          <w:sz w:val="24"/>
          <w:szCs w:val="24"/>
          <w:lang w:eastAsia="zh-CN"/>
        </w:rPr>
        <w:t>1~5BP，5Y企业</w:t>
      </w:r>
      <w:proofErr w:type="gramStart"/>
      <w:r w:rsidR="00B76849" w:rsidRPr="00B76849">
        <w:rPr>
          <w:rFonts w:ascii="华文楷体" w:hAnsi="华文楷体" w:hint="eastAsia"/>
          <w:sz w:val="24"/>
          <w:szCs w:val="24"/>
          <w:lang w:eastAsia="zh-CN"/>
        </w:rPr>
        <w:t>债变化</w:t>
      </w:r>
      <w:proofErr w:type="gramEnd"/>
      <w:r w:rsidR="00B76849" w:rsidRPr="00B76849">
        <w:rPr>
          <w:rFonts w:ascii="华文楷体" w:hAnsi="华文楷体" w:hint="eastAsia"/>
          <w:sz w:val="24"/>
          <w:szCs w:val="24"/>
          <w:lang w:eastAsia="zh-CN"/>
        </w:rPr>
        <w:t xml:space="preserve">2~3BP左右， </w:t>
      </w:r>
      <w:proofErr w:type="gramStart"/>
      <w:r w:rsidR="00B76849" w:rsidRPr="00B76849">
        <w:rPr>
          <w:rFonts w:ascii="华文楷体" w:hAnsi="华文楷体" w:hint="eastAsia"/>
          <w:sz w:val="24"/>
          <w:szCs w:val="24"/>
          <w:lang w:eastAsia="zh-CN"/>
        </w:rPr>
        <w:t>城投债</w:t>
      </w:r>
      <w:proofErr w:type="gramEnd"/>
      <w:r w:rsidR="00B76849" w:rsidRPr="00B76849">
        <w:rPr>
          <w:rFonts w:ascii="华文楷体" w:hAnsi="华文楷体" w:hint="eastAsia"/>
          <w:sz w:val="24"/>
          <w:szCs w:val="24"/>
          <w:lang w:eastAsia="zh-CN"/>
        </w:rPr>
        <w:t>3Y期限品种变化0~2BP，5Y品种变化1~4BP，7Y品种变化-3~-1BP左右。具体来看收益率分位数，1Y品种收益率分位数在9%~13%以内</w:t>
      </w:r>
      <w:r w:rsidR="00CB24EB">
        <w:rPr>
          <w:rFonts w:ascii="华文楷体" w:hAnsi="华文楷体" w:hint="eastAsia"/>
          <w:sz w:val="24"/>
          <w:szCs w:val="24"/>
          <w:lang w:eastAsia="zh-CN"/>
        </w:rPr>
        <w:t>，</w:t>
      </w:r>
      <w:r w:rsidR="00B76849" w:rsidRPr="00B76849">
        <w:rPr>
          <w:rFonts w:ascii="华文楷体" w:hAnsi="华文楷体" w:hint="eastAsia"/>
          <w:sz w:val="24"/>
          <w:szCs w:val="24"/>
          <w:lang w:eastAsia="zh-CN"/>
        </w:rPr>
        <w:t>3Y品种收益率分位数在5%~12%区间</w:t>
      </w:r>
      <w:r w:rsidR="00CB24EB">
        <w:rPr>
          <w:rFonts w:ascii="华文楷体" w:hAnsi="华文楷体" w:hint="eastAsia"/>
          <w:sz w:val="24"/>
          <w:szCs w:val="24"/>
          <w:lang w:eastAsia="zh-CN"/>
        </w:rPr>
        <w:t>，</w:t>
      </w:r>
      <w:r w:rsidR="00B76849" w:rsidRPr="00B76849">
        <w:rPr>
          <w:rFonts w:ascii="华文楷体" w:hAnsi="华文楷体" w:hint="eastAsia"/>
          <w:sz w:val="24"/>
          <w:szCs w:val="24"/>
          <w:lang w:eastAsia="zh-CN"/>
        </w:rPr>
        <w:t>5Y及7Y等中长期</w:t>
      </w:r>
      <w:proofErr w:type="gramStart"/>
      <w:r w:rsidR="00B76849" w:rsidRPr="00B76849">
        <w:rPr>
          <w:rFonts w:ascii="华文楷体" w:hAnsi="华文楷体" w:hint="eastAsia"/>
          <w:sz w:val="24"/>
          <w:szCs w:val="24"/>
          <w:lang w:eastAsia="zh-CN"/>
        </w:rPr>
        <w:t>限品种</w:t>
      </w:r>
      <w:proofErr w:type="gramEnd"/>
      <w:r w:rsidR="00B76849" w:rsidRPr="00B76849">
        <w:rPr>
          <w:rFonts w:ascii="华文楷体" w:hAnsi="华文楷体" w:hint="eastAsia"/>
          <w:sz w:val="24"/>
          <w:szCs w:val="24"/>
          <w:lang w:eastAsia="zh-CN"/>
        </w:rPr>
        <w:t>处于4%~9%分位数。</w:t>
      </w:r>
    </w:p>
    <w:tbl>
      <w:tblPr>
        <w:tblW w:w="9713" w:type="dxa"/>
        <w:jc w:val="center"/>
        <w:tblCellMar>
          <w:left w:w="0" w:type="dxa"/>
          <w:right w:w="0" w:type="dxa"/>
        </w:tblCellMar>
        <w:tblLook w:val="01E0" w:firstRow="1" w:lastRow="1" w:firstColumn="1" w:lastColumn="1" w:noHBand="0" w:noVBand="0"/>
      </w:tblPr>
      <w:tblGrid>
        <w:gridCol w:w="9864"/>
      </w:tblGrid>
      <w:tr w:rsidR="00E0626C" w:rsidRPr="00B41E24" w14:paraId="5602CC82" w14:textId="77777777" w:rsidTr="00220902">
        <w:trPr>
          <w:trHeight w:val="360"/>
          <w:jc w:val="center"/>
        </w:trPr>
        <w:tc>
          <w:tcPr>
            <w:tcW w:w="9713" w:type="dxa"/>
            <w:vAlign w:val="center"/>
          </w:tcPr>
          <w:p w14:paraId="1C0DBC70" w14:textId="4A8BBE5E" w:rsidR="00E0626C" w:rsidRPr="00B41E24" w:rsidRDefault="00E0626C" w:rsidP="009A2BA0">
            <w:pPr>
              <w:pStyle w:val="ChartHeading"/>
              <w:jc w:val="both"/>
            </w:pPr>
            <w:r w:rsidRPr="00B41E24">
              <w:rPr>
                <w:rFonts w:hint="eastAsia"/>
              </w:rPr>
              <w:t>图表</w:t>
            </w:r>
            <w:r w:rsidRPr="00B41E24">
              <w:t xml:space="preserve">. </w:t>
            </w:r>
            <w:r w:rsidR="00F966B6" w:rsidRPr="00B41E24">
              <w:rPr>
                <w:rFonts w:hint="eastAsia"/>
              </w:rPr>
              <w:t>信用债收益率、利差变化情况</w:t>
            </w:r>
          </w:p>
        </w:tc>
      </w:tr>
      <w:tr w:rsidR="00E0626C" w:rsidRPr="00B41E24" w14:paraId="1114B583" w14:textId="77777777" w:rsidTr="007A1586">
        <w:tblPrEx>
          <w:tblCellMar>
            <w:left w:w="108" w:type="dxa"/>
            <w:right w:w="108" w:type="dxa"/>
          </w:tblCellMar>
        </w:tblPrEx>
        <w:trPr>
          <w:trHeight w:val="74"/>
          <w:jc w:val="center"/>
        </w:trPr>
        <w:tc>
          <w:tcPr>
            <w:tcW w:w="9713" w:type="dxa"/>
            <w:vAlign w:val="center"/>
          </w:tcPr>
          <w:tbl>
            <w:tblPr>
              <w:tblW w:w="9638" w:type="dxa"/>
              <w:tblLook w:val="04A0" w:firstRow="1" w:lastRow="0" w:firstColumn="1" w:lastColumn="0" w:noHBand="0" w:noVBand="1"/>
            </w:tblPr>
            <w:tblGrid>
              <w:gridCol w:w="1309"/>
              <w:gridCol w:w="740"/>
              <w:gridCol w:w="920"/>
              <w:gridCol w:w="920"/>
              <w:gridCol w:w="920"/>
              <w:gridCol w:w="1149"/>
              <w:gridCol w:w="920"/>
              <w:gridCol w:w="920"/>
              <w:gridCol w:w="920"/>
              <w:gridCol w:w="920"/>
            </w:tblGrid>
            <w:tr w:rsidR="00B76849" w:rsidRPr="003F4793" w14:paraId="15070232" w14:textId="77777777" w:rsidTr="00E10EDA">
              <w:trPr>
                <w:trHeight w:val="310"/>
              </w:trPr>
              <w:tc>
                <w:tcPr>
                  <w:tcW w:w="1309" w:type="dxa"/>
                  <w:tcBorders>
                    <w:top w:val="nil"/>
                    <w:left w:val="nil"/>
                    <w:bottom w:val="single" w:sz="12" w:space="0" w:color="FFFFFF"/>
                    <w:right w:val="single" w:sz="8" w:space="0" w:color="FFFFFF"/>
                  </w:tcBorders>
                  <w:shd w:val="clear" w:color="000000" w:fill="F79646"/>
                  <w:noWrap/>
                  <w:vAlign w:val="center"/>
                  <w:hideMark/>
                </w:tcPr>
                <w:p w14:paraId="413AFE14" w14:textId="62E1C241"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收益率(%)</w:t>
                  </w:r>
                </w:p>
              </w:tc>
              <w:tc>
                <w:tcPr>
                  <w:tcW w:w="740" w:type="dxa"/>
                  <w:tcBorders>
                    <w:top w:val="nil"/>
                    <w:left w:val="nil"/>
                    <w:bottom w:val="single" w:sz="12" w:space="0" w:color="FFFFFF"/>
                    <w:right w:val="single" w:sz="8" w:space="0" w:color="FFFFFF"/>
                  </w:tcBorders>
                  <w:shd w:val="clear" w:color="000000" w:fill="F79646"/>
                  <w:noWrap/>
                  <w:vAlign w:val="center"/>
                  <w:hideMark/>
                </w:tcPr>
                <w:p w14:paraId="0F3218AA" w14:textId="5B5AB3C0"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FE8EB9B" w14:textId="6505D758"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75A35579" w14:textId="5D5BB2F2"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612FDB1" w14:textId="1461A128"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719B3728" w14:textId="6E856655"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6A9FDAC9" w14:textId="1E0215B4"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1994889" w14:textId="2079ACDE"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0805862" w14:textId="74CB24C9"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6CB6C50" w14:textId="68CBEAB2"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r>
            <w:tr w:rsidR="00B76849" w:rsidRPr="003F4793" w14:paraId="759A3C98" w14:textId="77777777" w:rsidTr="00E10EDA">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48EBF66E" w14:textId="414DA240"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1F59B1A1" w14:textId="3A4F514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2.69 </w:t>
                  </w:r>
                </w:p>
              </w:tc>
              <w:tc>
                <w:tcPr>
                  <w:tcW w:w="920" w:type="dxa"/>
                  <w:tcBorders>
                    <w:top w:val="nil"/>
                    <w:left w:val="nil"/>
                    <w:bottom w:val="single" w:sz="8" w:space="0" w:color="FFFFFF"/>
                    <w:right w:val="single" w:sz="8" w:space="0" w:color="FFFFFF"/>
                  </w:tcBorders>
                  <w:shd w:val="clear" w:color="000000" w:fill="FCD5B4"/>
                  <w:noWrap/>
                  <w:vAlign w:val="center"/>
                  <w:hideMark/>
                </w:tcPr>
                <w:p w14:paraId="4F0034E5" w14:textId="11B134C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2.79 </w:t>
                  </w:r>
                </w:p>
              </w:tc>
              <w:tc>
                <w:tcPr>
                  <w:tcW w:w="920" w:type="dxa"/>
                  <w:tcBorders>
                    <w:top w:val="nil"/>
                    <w:left w:val="nil"/>
                    <w:bottom w:val="single" w:sz="8" w:space="0" w:color="FFFFFF"/>
                    <w:right w:val="single" w:sz="8" w:space="0" w:color="FFFFFF"/>
                  </w:tcBorders>
                  <w:shd w:val="clear" w:color="000000" w:fill="FCD5B4"/>
                  <w:noWrap/>
                  <w:vAlign w:val="center"/>
                  <w:hideMark/>
                </w:tcPr>
                <w:p w14:paraId="55FA1300" w14:textId="23159D9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2.98 </w:t>
                  </w:r>
                </w:p>
              </w:tc>
              <w:tc>
                <w:tcPr>
                  <w:tcW w:w="920" w:type="dxa"/>
                  <w:tcBorders>
                    <w:top w:val="nil"/>
                    <w:left w:val="nil"/>
                    <w:bottom w:val="single" w:sz="8" w:space="0" w:color="FFFFFF"/>
                    <w:right w:val="single" w:sz="8" w:space="0" w:color="FFFFFF"/>
                  </w:tcBorders>
                  <w:shd w:val="clear" w:color="000000" w:fill="FCD5B4"/>
                  <w:noWrap/>
                  <w:vAlign w:val="center"/>
                  <w:hideMark/>
                </w:tcPr>
                <w:p w14:paraId="75B7D0B9" w14:textId="5DF421C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5.32 </w:t>
                  </w:r>
                </w:p>
              </w:tc>
              <w:tc>
                <w:tcPr>
                  <w:tcW w:w="1149" w:type="dxa"/>
                  <w:tcBorders>
                    <w:top w:val="nil"/>
                    <w:left w:val="nil"/>
                    <w:bottom w:val="single" w:sz="8" w:space="0" w:color="FFFFFF"/>
                    <w:right w:val="single" w:sz="8" w:space="0" w:color="FFFFFF"/>
                  </w:tcBorders>
                  <w:shd w:val="clear" w:color="000000" w:fill="FCD5B4"/>
                  <w:noWrap/>
                  <w:vAlign w:val="center"/>
                  <w:hideMark/>
                </w:tcPr>
                <w:p w14:paraId="27CF2E5D" w14:textId="48A1CA9C"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523261A7" w14:textId="099E81C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0.37 </w:t>
                  </w:r>
                </w:p>
              </w:tc>
              <w:tc>
                <w:tcPr>
                  <w:tcW w:w="920" w:type="dxa"/>
                  <w:tcBorders>
                    <w:top w:val="nil"/>
                    <w:left w:val="nil"/>
                    <w:bottom w:val="single" w:sz="8" w:space="0" w:color="FFFFFF"/>
                    <w:right w:val="single" w:sz="8" w:space="0" w:color="FFFFFF"/>
                  </w:tcBorders>
                  <w:shd w:val="clear" w:color="000000" w:fill="FCD5B4"/>
                  <w:noWrap/>
                  <w:vAlign w:val="center"/>
                  <w:hideMark/>
                </w:tcPr>
                <w:p w14:paraId="71D92286" w14:textId="1DE5276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0.46 </w:t>
                  </w:r>
                </w:p>
              </w:tc>
              <w:tc>
                <w:tcPr>
                  <w:tcW w:w="920" w:type="dxa"/>
                  <w:tcBorders>
                    <w:top w:val="nil"/>
                    <w:left w:val="nil"/>
                    <w:bottom w:val="single" w:sz="8" w:space="0" w:color="FFFFFF"/>
                    <w:right w:val="single" w:sz="8" w:space="0" w:color="FFFFFF"/>
                  </w:tcBorders>
                  <w:shd w:val="clear" w:color="000000" w:fill="FCD5B4"/>
                  <w:noWrap/>
                  <w:vAlign w:val="center"/>
                  <w:hideMark/>
                </w:tcPr>
                <w:p w14:paraId="320E6D3C" w14:textId="4A913022"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0.65 </w:t>
                  </w:r>
                </w:p>
              </w:tc>
              <w:tc>
                <w:tcPr>
                  <w:tcW w:w="920" w:type="dxa"/>
                  <w:tcBorders>
                    <w:top w:val="nil"/>
                    <w:left w:val="nil"/>
                    <w:bottom w:val="single" w:sz="8" w:space="0" w:color="FFFFFF"/>
                    <w:right w:val="single" w:sz="8" w:space="0" w:color="FFFFFF"/>
                  </w:tcBorders>
                  <w:shd w:val="clear" w:color="000000" w:fill="FCD5B4"/>
                  <w:noWrap/>
                  <w:vAlign w:val="center"/>
                  <w:hideMark/>
                </w:tcPr>
                <w:p w14:paraId="6E8168B1" w14:textId="251698F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2.99 </w:t>
                  </w:r>
                </w:p>
              </w:tc>
            </w:tr>
            <w:tr w:rsidR="00B76849" w:rsidRPr="003F4793" w14:paraId="3A66D0A6"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9137B72" w14:textId="747C6CE5"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3B73915E" w14:textId="660735B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3.09 </w:t>
                  </w:r>
                </w:p>
              </w:tc>
              <w:tc>
                <w:tcPr>
                  <w:tcW w:w="920" w:type="dxa"/>
                  <w:tcBorders>
                    <w:top w:val="nil"/>
                    <w:left w:val="nil"/>
                    <w:bottom w:val="single" w:sz="8" w:space="0" w:color="FFFFFF"/>
                    <w:right w:val="single" w:sz="8" w:space="0" w:color="FFFFFF"/>
                  </w:tcBorders>
                  <w:shd w:val="clear" w:color="000000" w:fill="FDE9D9"/>
                  <w:noWrap/>
                  <w:vAlign w:val="center"/>
                  <w:hideMark/>
                </w:tcPr>
                <w:p w14:paraId="5B9C8B87" w14:textId="6C2A437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3.26 </w:t>
                  </w:r>
                </w:p>
              </w:tc>
              <w:tc>
                <w:tcPr>
                  <w:tcW w:w="920" w:type="dxa"/>
                  <w:tcBorders>
                    <w:top w:val="nil"/>
                    <w:left w:val="nil"/>
                    <w:bottom w:val="single" w:sz="8" w:space="0" w:color="FFFFFF"/>
                    <w:right w:val="single" w:sz="8" w:space="0" w:color="FFFFFF"/>
                  </w:tcBorders>
                  <w:shd w:val="clear" w:color="000000" w:fill="FDE9D9"/>
                  <w:noWrap/>
                  <w:vAlign w:val="center"/>
                  <w:hideMark/>
                </w:tcPr>
                <w:p w14:paraId="1FA1A5B8" w14:textId="408D24DE"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3.78 </w:t>
                  </w:r>
                </w:p>
              </w:tc>
              <w:tc>
                <w:tcPr>
                  <w:tcW w:w="920" w:type="dxa"/>
                  <w:tcBorders>
                    <w:top w:val="nil"/>
                    <w:left w:val="nil"/>
                    <w:bottom w:val="single" w:sz="8" w:space="0" w:color="FFFFFF"/>
                    <w:right w:val="single" w:sz="8" w:space="0" w:color="FFFFFF"/>
                  </w:tcBorders>
                  <w:shd w:val="clear" w:color="000000" w:fill="FDE9D9"/>
                  <w:noWrap/>
                  <w:vAlign w:val="center"/>
                  <w:hideMark/>
                </w:tcPr>
                <w:p w14:paraId="175F37FF" w14:textId="0EF976C5"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6.11 </w:t>
                  </w:r>
                </w:p>
              </w:tc>
              <w:tc>
                <w:tcPr>
                  <w:tcW w:w="1149" w:type="dxa"/>
                  <w:tcBorders>
                    <w:top w:val="nil"/>
                    <w:left w:val="nil"/>
                    <w:bottom w:val="single" w:sz="8" w:space="0" w:color="FFFFFF"/>
                    <w:right w:val="single" w:sz="8" w:space="0" w:color="FFFFFF"/>
                  </w:tcBorders>
                  <w:shd w:val="clear" w:color="000000" w:fill="FDE9D9"/>
                  <w:noWrap/>
                  <w:vAlign w:val="center"/>
                  <w:hideMark/>
                </w:tcPr>
                <w:p w14:paraId="3AF3F54C" w14:textId="379A355E"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C163F46" w14:textId="7F037314"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0.53 </w:t>
                  </w:r>
                </w:p>
              </w:tc>
              <w:tc>
                <w:tcPr>
                  <w:tcW w:w="920" w:type="dxa"/>
                  <w:tcBorders>
                    <w:top w:val="nil"/>
                    <w:left w:val="nil"/>
                    <w:bottom w:val="single" w:sz="8" w:space="0" w:color="FFFFFF"/>
                    <w:right w:val="single" w:sz="8" w:space="0" w:color="FFFFFF"/>
                  </w:tcBorders>
                  <w:shd w:val="clear" w:color="000000" w:fill="FDE9D9"/>
                  <w:noWrap/>
                  <w:vAlign w:val="center"/>
                  <w:hideMark/>
                </w:tcPr>
                <w:p w14:paraId="3C863207" w14:textId="63A6ACD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0.70 </w:t>
                  </w:r>
                </w:p>
              </w:tc>
              <w:tc>
                <w:tcPr>
                  <w:tcW w:w="920" w:type="dxa"/>
                  <w:tcBorders>
                    <w:top w:val="nil"/>
                    <w:left w:val="nil"/>
                    <w:bottom w:val="single" w:sz="8" w:space="0" w:color="FFFFFF"/>
                    <w:right w:val="single" w:sz="8" w:space="0" w:color="FFFFFF"/>
                  </w:tcBorders>
                  <w:shd w:val="clear" w:color="000000" w:fill="FDE9D9"/>
                  <w:noWrap/>
                  <w:vAlign w:val="center"/>
                  <w:hideMark/>
                </w:tcPr>
                <w:p w14:paraId="033A08F8" w14:textId="61BA5C8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1.22 </w:t>
                  </w:r>
                </w:p>
              </w:tc>
              <w:tc>
                <w:tcPr>
                  <w:tcW w:w="920" w:type="dxa"/>
                  <w:tcBorders>
                    <w:top w:val="nil"/>
                    <w:left w:val="nil"/>
                    <w:bottom w:val="single" w:sz="8" w:space="0" w:color="FFFFFF"/>
                    <w:right w:val="single" w:sz="8" w:space="0" w:color="FFFFFF"/>
                  </w:tcBorders>
                  <w:shd w:val="clear" w:color="000000" w:fill="FDE9D9"/>
                  <w:noWrap/>
                  <w:vAlign w:val="center"/>
                  <w:hideMark/>
                </w:tcPr>
                <w:p w14:paraId="6476BE13" w14:textId="6D7BEEF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3.55 </w:t>
                  </w:r>
                </w:p>
              </w:tc>
            </w:tr>
            <w:tr w:rsidR="00B76849" w:rsidRPr="003F4793" w14:paraId="1D6AAB92"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55F3072" w14:textId="0D39E4F2"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7FD24B78" w14:textId="7C6BAC1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3.41 </w:t>
                  </w:r>
                </w:p>
              </w:tc>
              <w:tc>
                <w:tcPr>
                  <w:tcW w:w="920" w:type="dxa"/>
                  <w:tcBorders>
                    <w:top w:val="nil"/>
                    <w:left w:val="nil"/>
                    <w:bottom w:val="single" w:sz="8" w:space="0" w:color="FFFFFF"/>
                    <w:right w:val="single" w:sz="8" w:space="0" w:color="FFFFFF"/>
                  </w:tcBorders>
                  <w:shd w:val="clear" w:color="000000" w:fill="FCD5B4"/>
                  <w:noWrap/>
                  <w:vAlign w:val="center"/>
                  <w:hideMark/>
                </w:tcPr>
                <w:p w14:paraId="41A6346D" w14:textId="64E99182"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3.64 </w:t>
                  </w:r>
                </w:p>
              </w:tc>
              <w:tc>
                <w:tcPr>
                  <w:tcW w:w="920" w:type="dxa"/>
                  <w:tcBorders>
                    <w:top w:val="nil"/>
                    <w:left w:val="nil"/>
                    <w:bottom w:val="single" w:sz="8" w:space="0" w:color="FFFFFF"/>
                    <w:right w:val="single" w:sz="8" w:space="0" w:color="FFFFFF"/>
                  </w:tcBorders>
                  <w:shd w:val="clear" w:color="000000" w:fill="FCD5B4"/>
                  <w:noWrap/>
                  <w:vAlign w:val="center"/>
                  <w:hideMark/>
                </w:tcPr>
                <w:p w14:paraId="203620ED" w14:textId="22653818"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4.27 </w:t>
                  </w:r>
                </w:p>
              </w:tc>
              <w:tc>
                <w:tcPr>
                  <w:tcW w:w="920" w:type="dxa"/>
                  <w:tcBorders>
                    <w:top w:val="nil"/>
                    <w:left w:val="nil"/>
                    <w:bottom w:val="single" w:sz="8" w:space="0" w:color="FFFFFF"/>
                    <w:right w:val="single" w:sz="8" w:space="0" w:color="FFFFFF"/>
                  </w:tcBorders>
                  <w:shd w:val="clear" w:color="000000" w:fill="FCD5B4"/>
                  <w:noWrap/>
                  <w:vAlign w:val="center"/>
                  <w:hideMark/>
                </w:tcPr>
                <w:p w14:paraId="5799EA14" w14:textId="5F46E1C4"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6.60 </w:t>
                  </w:r>
                </w:p>
              </w:tc>
              <w:tc>
                <w:tcPr>
                  <w:tcW w:w="1149" w:type="dxa"/>
                  <w:tcBorders>
                    <w:top w:val="nil"/>
                    <w:left w:val="nil"/>
                    <w:bottom w:val="single" w:sz="8" w:space="0" w:color="FFFFFF"/>
                    <w:right w:val="single" w:sz="8" w:space="0" w:color="FFFFFF"/>
                  </w:tcBorders>
                  <w:shd w:val="clear" w:color="000000" w:fill="FCD5B4"/>
                  <w:noWrap/>
                  <w:vAlign w:val="center"/>
                  <w:hideMark/>
                </w:tcPr>
                <w:p w14:paraId="46B5F421" w14:textId="412B83D2"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4D638149" w14:textId="1729DDC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0.70 </w:t>
                  </w:r>
                </w:p>
              </w:tc>
              <w:tc>
                <w:tcPr>
                  <w:tcW w:w="920" w:type="dxa"/>
                  <w:tcBorders>
                    <w:top w:val="nil"/>
                    <w:left w:val="nil"/>
                    <w:bottom w:val="single" w:sz="8" w:space="0" w:color="FFFFFF"/>
                    <w:right w:val="single" w:sz="8" w:space="0" w:color="FFFFFF"/>
                  </w:tcBorders>
                  <w:shd w:val="clear" w:color="000000" w:fill="FCD5B4"/>
                  <w:noWrap/>
                  <w:vAlign w:val="center"/>
                  <w:hideMark/>
                </w:tcPr>
                <w:p w14:paraId="7D63AB8D" w14:textId="66ACE246"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0.93 </w:t>
                  </w:r>
                </w:p>
              </w:tc>
              <w:tc>
                <w:tcPr>
                  <w:tcW w:w="920" w:type="dxa"/>
                  <w:tcBorders>
                    <w:top w:val="nil"/>
                    <w:left w:val="nil"/>
                    <w:bottom w:val="single" w:sz="8" w:space="0" w:color="FFFFFF"/>
                    <w:right w:val="single" w:sz="8" w:space="0" w:color="FFFFFF"/>
                  </w:tcBorders>
                  <w:shd w:val="clear" w:color="000000" w:fill="FCD5B4"/>
                  <w:noWrap/>
                  <w:vAlign w:val="center"/>
                  <w:hideMark/>
                </w:tcPr>
                <w:p w14:paraId="73B93ED9" w14:textId="4D5FF8B2"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1.56 </w:t>
                  </w:r>
                </w:p>
              </w:tc>
              <w:tc>
                <w:tcPr>
                  <w:tcW w:w="920" w:type="dxa"/>
                  <w:tcBorders>
                    <w:top w:val="nil"/>
                    <w:left w:val="nil"/>
                    <w:bottom w:val="single" w:sz="8" w:space="0" w:color="FFFFFF"/>
                    <w:right w:val="single" w:sz="8" w:space="0" w:color="FFFFFF"/>
                  </w:tcBorders>
                  <w:shd w:val="clear" w:color="000000" w:fill="FCD5B4"/>
                  <w:noWrap/>
                  <w:vAlign w:val="center"/>
                  <w:hideMark/>
                </w:tcPr>
                <w:p w14:paraId="24AD0A23" w14:textId="7A7539A6"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3.89 </w:t>
                  </w:r>
                </w:p>
              </w:tc>
            </w:tr>
            <w:tr w:rsidR="00B76849" w:rsidRPr="003F4793" w14:paraId="3DB9FAE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2044C520" w14:textId="5101D9CC"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094B223D" w14:textId="4CE2E088"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3.08 </w:t>
                  </w:r>
                </w:p>
              </w:tc>
              <w:tc>
                <w:tcPr>
                  <w:tcW w:w="920" w:type="dxa"/>
                  <w:tcBorders>
                    <w:top w:val="nil"/>
                    <w:left w:val="nil"/>
                    <w:bottom w:val="single" w:sz="8" w:space="0" w:color="FFFFFF"/>
                    <w:right w:val="single" w:sz="8" w:space="0" w:color="FFFFFF"/>
                  </w:tcBorders>
                  <w:shd w:val="clear" w:color="000000" w:fill="FDE9D9"/>
                  <w:noWrap/>
                  <w:vAlign w:val="center"/>
                  <w:hideMark/>
                </w:tcPr>
                <w:p w14:paraId="226D27D3" w14:textId="63A8C355"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3.23 </w:t>
                  </w:r>
                </w:p>
              </w:tc>
              <w:tc>
                <w:tcPr>
                  <w:tcW w:w="920" w:type="dxa"/>
                  <w:tcBorders>
                    <w:top w:val="nil"/>
                    <w:left w:val="nil"/>
                    <w:bottom w:val="single" w:sz="8" w:space="0" w:color="FFFFFF"/>
                    <w:right w:val="single" w:sz="8" w:space="0" w:color="FFFFFF"/>
                  </w:tcBorders>
                  <w:shd w:val="clear" w:color="000000" w:fill="FDE9D9"/>
                  <w:noWrap/>
                  <w:vAlign w:val="center"/>
                  <w:hideMark/>
                </w:tcPr>
                <w:p w14:paraId="509D7CD4" w14:textId="152CF22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3.82 </w:t>
                  </w:r>
                </w:p>
              </w:tc>
              <w:tc>
                <w:tcPr>
                  <w:tcW w:w="920" w:type="dxa"/>
                  <w:tcBorders>
                    <w:top w:val="nil"/>
                    <w:left w:val="nil"/>
                    <w:bottom w:val="single" w:sz="8" w:space="0" w:color="FFFFFF"/>
                    <w:right w:val="single" w:sz="8" w:space="0" w:color="FFFFFF"/>
                  </w:tcBorders>
                  <w:shd w:val="clear" w:color="000000" w:fill="FDE9D9"/>
                  <w:noWrap/>
                  <w:vAlign w:val="center"/>
                  <w:hideMark/>
                </w:tcPr>
                <w:p w14:paraId="44CAAD2D" w14:textId="7A8CB20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6.15 </w:t>
                  </w:r>
                </w:p>
              </w:tc>
              <w:tc>
                <w:tcPr>
                  <w:tcW w:w="1149" w:type="dxa"/>
                  <w:tcBorders>
                    <w:top w:val="nil"/>
                    <w:left w:val="nil"/>
                    <w:bottom w:val="single" w:sz="8" w:space="0" w:color="FFFFFF"/>
                    <w:right w:val="single" w:sz="8" w:space="0" w:color="FFFFFF"/>
                  </w:tcBorders>
                  <w:shd w:val="clear" w:color="000000" w:fill="FDE9D9"/>
                  <w:noWrap/>
                  <w:vAlign w:val="center"/>
                  <w:hideMark/>
                </w:tcPr>
                <w:p w14:paraId="2E628139" w14:textId="73DDA830"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14043470" w14:textId="64E0E7B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0.52 </w:t>
                  </w:r>
                </w:p>
              </w:tc>
              <w:tc>
                <w:tcPr>
                  <w:tcW w:w="920" w:type="dxa"/>
                  <w:tcBorders>
                    <w:top w:val="nil"/>
                    <w:left w:val="nil"/>
                    <w:bottom w:val="single" w:sz="8" w:space="0" w:color="FFFFFF"/>
                    <w:right w:val="single" w:sz="8" w:space="0" w:color="FFFFFF"/>
                  </w:tcBorders>
                  <w:shd w:val="clear" w:color="000000" w:fill="FDE9D9"/>
                  <w:noWrap/>
                  <w:vAlign w:val="center"/>
                  <w:hideMark/>
                </w:tcPr>
                <w:p w14:paraId="005C602B" w14:textId="7739AF0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0.67 </w:t>
                  </w:r>
                </w:p>
              </w:tc>
              <w:tc>
                <w:tcPr>
                  <w:tcW w:w="920" w:type="dxa"/>
                  <w:tcBorders>
                    <w:top w:val="nil"/>
                    <w:left w:val="nil"/>
                    <w:bottom w:val="single" w:sz="8" w:space="0" w:color="FFFFFF"/>
                    <w:right w:val="single" w:sz="8" w:space="0" w:color="FFFFFF"/>
                  </w:tcBorders>
                  <w:shd w:val="clear" w:color="000000" w:fill="FDE9D9"/>
                  <w:noWrap/>
                  <w:vAlign w:val="center"/>
                  <w:hideMark/>
                </w:tcPr>
                <w:p w14:paraId="72E1FCED" w14:textId="6287A8D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1.26 </w:t>
                  </w:r>
                </w:p>
              </w:tc>
              <w:tc>
                <w:tcPr>
                  <w:tcW w:w="920" w:type="dxa"/>
                  <w:tcBorders>
                    <w:top w:val="nil"/>
                    <w:left w:val="nil"/>
                    <w:bottom w:val="single" w:sz="8" w:space="0" w:color="FFFFFF"/>
                    <w:right w:val="single" w:sz="8" w:space="0" w:color="FFFFFF"/>
                  </w:tcBorders>
                  <w:shd w:val="clear" w:color="000000" w:fill="FDE9D9"/>
                  <w:noWrap/>
                  <w:vAlign w:val="center"/>
                  <w:hideMark/>
                </w:tcPr>
                <w:p w14:paraId="62B10FDA" w14:textId="67FF8B62"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3.59 </w:t>
                  </w:r>
                </w:p>
              </w:tc>
            </w:tr>
            <w:tr w:rsidR="00B76849" w:rsidRPr="003F4793" w14:paraId="6E6959B5"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22DA7E07" w14:textId="16AB242F"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3321A8C9" w14:textId="61C5B946"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3.38 </w:t>
                  </w:r>
                </w:p>
              </w:tc>
              <w:tc>
                <w:tcPr>
                  <w:tcW w:w="920" w:type="dxa"/>
                  <w:tcBorders>
                    <w:top w:val="nil"/>
                    <w:left w:val="nil"/>
                    <w:bottom w:val="single" w:sz="8" w:space="0" w:color="FFFFFF"/>
                    <w:right w:val="single" w:sz="8" w:space="0" w:color="FFFFFF"/>
                  </w:tcBorders>
                  <w:shd w:val="clear" w:color="000000" w:fill="FCD5B4"/>
                  <w:noWrap/>
                  <w:vAlign w:val="center"/>
                  <w:hideMark/>
                </w:tcPr>
                <w:p w14:paraId="2D55037C" w14:textId="2E324608"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3.60 </w:t>
                  </w:r>
                </w:p>
              </w:tc>
              <w:tc>
                <w:tcPr>
                  <w:tcW w:w="920" w:type="dxa"/>
                  <w:tcBorders>
                    <w:top w:val="nil"/>
                    <w:left w:val="nil"/>
                    <w:bottom w:val="single" w:sz="8" w:space="0" w:color="FFFFFF"/>
                    <w:right w:val="single" w:sz="8" w:space="0" w:color="FFFFFF"/>
                  </w:tcBorders>
                  <w:shd w:val="clear" w:color="000000" w:fill="FCD5B4"/>
                  <w:noWrap/>
                  <w:vAlign w:val="center"/>
                  <w:hideMark/>
                </w:tcPr>
                <w:p w14:paraId="31736512" w14:textId="228EBEE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4.27 </w:t>
                  </w:r>
                </w:p>
              </w:tc>
              <w:tc>
                <w:tcPr>
                  <w:tcW w:w="920" w:type="dxa"/>
                  <w:tcBorders>
                    <w:top w:val="nil"/>
                    <w:left w:val="nil"/>
                    <w:bottom w:val="single" w:sz="8" w:space="0" w:color="FFFFFF"/>
                    <w:right w:val="single" w:sz="8" w:space="0" w:color="FFFFFF"/>
                  </w:tcBorders>
                  <w:shd w:val="clear" w:color="000000" w:fill="FCD5B4"/>
                  <w:noWrap/>
                  <w:vAlign w:val="center"/>
                  <w:hideMark/>
                </w:tcPr>
                <w:p w14:paraId="32F91FC8" w14:textId="6794DFD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6.60 </w:t>
                  </w:r>
                </w:p>
              </w:tc>
              <w:tc>
                <w:tcPr>
                  <w:tcW w:w="1149" w:type="dxa"/>
                  <w:tcBorders>
                    <w:top w:val="nil"/>
                    <w:left w:val="nil"/>
                    <w:bottom w:val="single" w:sz="8" w:space="0" w:color="FFFFFF"/>
                    <w:right w:val="single" w:sz="8" w:space="0" w:color="FFFFFF"/>
                  </w:tcBorders>
                  <w:shd w:val="clear" w:color="000000" w:fill="FCD5B4"/>
                  <w:noWrap/>
                  <w:vAlign w:val="center"/>
                  <w:hideMark/>
                </w:tcPr>
                <w:p w14:paraId="1A4516FF" w14:textId="2A1D38D6"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678FF838" w14:textId="0F29CD9E"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0.67 </w:t>
                  </w:r>
                </w:p>
              </w:tc>
              <w:tc>
                <w:tcPr>
                  <w:tcW w:w="920" w:type="dxa"/>
                  <w:tcBorders>
                    <w:top w:val="nil"/>
                    <w:left w:val="nil"/>
                    <w:bottom w:val="single" w:sz="8" w:space="0" w:color="FFFFFF"/>
                    <w:right w:val="single" w:sz="8" w:space="0" w:color="FFFFFF"/>
                  </w:tcBorders>
                  <w:shd w:val="clear" w:color="000000" w:fill="FCD5B4"/>
                  <w:noWrap/>
                  <w:vAlign w:val="center"/>
                  <w:hideMark/>
                </w:tcPr>
                <w:p w14:paraId="19327668" w14:textId="148B3B2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0.89 </w:t>
                  </w:r>
                </w:p>
              </w:tc>
              <w:tc>
                <w:tcPr>
                  <w:tcW w:w="920" w:type="dxa"/>
                  <w:tcBorders>
                    <w:top w:val="nil"/>
                    <w:left w:val="nil"/>
                    <w:bottom w:val="single" w:sz="8" w:space="0" w:color="FFFFFF"/>
                    <w:right w:val="single" w:sz="8" w:space="0" w:color="FFFFFF"/>
                  </w:tcBorders>
                  <w:shd w:val="clear" w:color="000000" w:fill="FCD5B4"/>
                  <w:noWrap/>
                  <w:vAlign w:val="center"/>
                  <w:hideMark/>
                </w:tcPr>
                <w:p w14:paraId="3FF52323" w14:textId="25A5F81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1.56 </w:t>
                  </w:r>
                </w:p>
              </w:tc>
              <w:tc>
                <w:tcPr>
                  <w:tcW w:w="920" w:type="dxa"/>
                  <w:tcBorders>
                    <w:top w:val="nil"/>
                    <w:left w:val="nil"/>
                    <w:bottom w:val="single" w:sz="8" w:space="0" w:color="FFFFFF"/>
                    <w:right w:val="single" w:sz="8" w:space="0" w:color="FFFFFF"/>
                  </w:tcBorders>
                  <w:shd w:val="clear" w:color="000000" w:fill="FCD5B4"/>
                  <w:noWrap/>
                  <w:vAlign w:val="center"/>
                  <w:hideMark/>
                </w:tcPr>
                <w:p w14:paraId="3A51C7C3" w14:textId="167CE3A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3.89 </w:t>
                  </w:r>
                </w:p>
              </w:tc>
            </w:tr>
            <w:tr w:rsidR="00B76849" w:rsidRPr="003F4793" w14:paraId="10282E85"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5AA354BC" w14:textId="27A0B65F"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46F6A45C" w14:textId="01C02C0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3.62 </w:t>
                  </w:r>
                </w:p>
              </w:tc>
              <w:tc>
                <w:tcPr>
                  <w:tcW w:w="920" w:type="dxa"/>
                  <w:tcBorders>
                    <w:top w:val="nil"/>
                    <w:left w:val="nil"/>
                    <w:bottom w:val="single" w:sz="8" w:space="0" w:color="FFFFFF"/>
                    <w:right w:val="single" w:sz="8" w:space="0" w:color="FFFFFF"/>
                  </w:tcBorders>
                  <w:shd w:val="clear" w:color="000000" w:fill="FDE9D9"/>
                  <w:noWrap/>
                  <w:vAlign w:val="center"/>
                  <w:hideMark/>
                </w:tcPr>
                <w:p w14:paraId="7F0C451E" w14:textId="2FD3D6EE"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3.84 </w:t>
                  </w:r>
                </w:p>
              </w:tc>
              <w:tc>
                <w:tcPr>
                  <w:tcW w:w="920" w:type="dxa"/>
                  <w:tcBorders>
                    <w:top w:val="nil"/>
                    <w:left w:val="nil"/>
                    <w:bottom w:val="single" w:sz="8" w:space="0" w:color="FFFFFF"/>
                    <w:right w:val="single" w:sz="8" w:space="0" w:color="FFFFFF"/>
                  </w:tcBorders>
                  <w:shd w:val="clear" w:color="000000" w:fill="FDE9D9"/>
                  <w:noWrap/>
                  <w:vAlign w:val="center"/>
                  <w:hideMark/>
                </w:tcPr>
                <w:p w14:paraId="14C49F17" w14:textId="46E16C5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4.51 </w:t>
                  </w:r>
                </w:p>
              </w:tc>
              <w:tc>
                <w:tcPr>
                  <w:tcW w:w="920" w:type="dxa"/>
                  <w:tcBorders>
                    <w:top w:val="nil"/>
                    <w:left w:val="nil"/>
                    <w:bottom w:val="single" w:sz="8" w:space="0" w:color="FFFFFF"/>
                    <w:right w:val="single" w:sz="8" w:space="0" w:color="FFFFFF"/>
                  </w:tcBorders>
                  <w:shd w:val="clear" w:color="000000" w:fill="FDE9D9"/>
                  <w:noWrap/>
                  <w:vAlign w:val="center"/>
                  <w:hideMark/>
                </w:tcPr>
                <w:p w14:paraId="5617ED53" w14:textId="00E90935"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6.84 </w:t>
                  </w:r>
                </w:p>
              </w:tc>
              <w:tc>
                <w:tcPr>
                  <w:tcW w:w="1149" w:type="dxa"/>
                  <w:tcBorders>
                    <w:top w:val="nil"/>
                    <w:left w:val="nil"/>
                    <w:bottom w:val="single" w:sz="8" w:space="0" w:color="FFFFFF"/>
                    <w:right w:val="single" w:sz="8" w:space="0" w:color="FFFFFF"/>
                  </w:tcBorders>
                  <w:shd w:val="clear" w:color="000000" w:fill="FDE9D9"/>
                  <w:noWrap/>
                  <w:vAlign w:val="center"/>
                  <w:hideMark/>
                </w:tcPr>
                <w:p w14:paraId="6EF87D4A" w14:textId="7DA8A511"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4DEB6E8D" w14:textId="0341256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0.74 </w:t>
                  </w:r>
                </w:p>
              </w:tc>
              <w:tc>
                <w:tcPr>
                  <w:tcW w:w="920" w:type="dxa"/>
                  <w:tcBorders>
                    <w:top w:val="nil"/>
                    <w:left w:val="nil"/>
                    <w:bottom w:val="single" w:sz="8" w:space="0" w:color="FFFFFF"/>
                    <w:right w:val="single" w:sz="8" w:space="0" w:color="FFFFFF"/>
                  </w:tcBorders>
                  <w:shd w:val="clear" w:color="000000" w:fill="FDE9D9"/>
                  <w:noWrap/>
                  <w:vAlign w:val="center"/>
                  <w:hideMark/>
                </w:tcPr>
                <w:p w14:paraId="5BFCFC00" w14:textId="7DFCF20F"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0.96 </w:t>
                  </w:r>
                </w:p>
              </w:tc>
              <w:tc>
                <w:tcPr>
                  <w:tcW w:w="920" w:type="dxa"/>
                  <w:tcBorders>
                    <w:top w:val="nil"/>
                    <w:left w:val="nil"/>
                    <w:bottom w:val="single" w:sz="8" w:space="0" w:color="FFFFFF"/>
                    <w:right w:val="single" w:sz="8" w:space="0" w:color="FFFFFF"/>
                  </w:tcBorders>
                  <w:shd w:val="clear" w:color="000000" w:fill="FDE9D9"/>
                  <w:noWrap/>
                  <w:vAlign w:val="center"/>
                  <w:hideMark/>
                </w:tcPr>
                <w:p w14:paraId="135C719B" w14:textId="68F7D85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1.63 </w:t>
                  </w:r>
                </w:p>
              </w:tc>
              <w:tc>
                <w:tcPr>
                  <w:tcW w:w="920" w:type="dxa"/>
                  <w:tcBorders>
                    <w:top w:val="nil"/>
                    <w:left w:val="nil"/>
                    <w:bottom w:val="single" w:sz="8" w:space="0" w:color="FFFFFF"/>
                    <w:right w:val="single" w:sz="8" w:space="0" w:color="FFFFFF"/>
                  </w:tcBorders>
                  <w:shd w:val="clear" w:color="000000" w:fill="FDE9D9"/>
                  <w:noWrap/>
                  <w:vAlign w:val="center"/>
                  <w:hideMark/>
                </w:tcPr>
                <w:p w14:paraId="5C7F0679" w14:textId="3300A37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3.96 </w:t>
                  </w:r>
                </w:p>
              </w:tc>
            </w:tr>
            <w:tr w:rsidR="00B76849" w:rsidRPr="003F4793" w14:paraId="4B34B1BF"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708D60A2" w14:textId="0AE4F3A5"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7AC10927" w14:textId="6A57A428"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3.09 </w:t>
                  </w:r>
                </w:p>
              </w:tc>
              <w:tc>
                <w:tcPr>
                  <w:tcW w:w="920" w:type="dxa"/>
                  <w:tcBorders>
                    <w:top w:val="nil"/>
                    <w:left w:val="nil"/>
                    <w:bottom w:val="single" w:sz="8" w:space="0" w:color="FFFFFF"/>
                    <w:right w:val="single" w:sz="8" w:space="0" w:color="FFFFFF"/>
                  </w:tcBorders>
                  <w:shd w:val="clear" w:color="000000" w:fill="FCD5B4"/>
                  <w:noWrap/>
                  <w:vAlign w:val="center"/>
                  <w:hideMark/>
                </w:tcPr>
                <w:p w14:paraId="5A89295C" w14:textId="5214430E"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3.22 </w:t>
                  </w:r>
                </w:p>
              </w:tc>
              <w:tc>
                <w:tcPr>
                  <w:tcW w:w="920" w:type="dxa"/>
                  <w:tcBorders>
                    <w:top w:val="nil"/>
                    <w:left w:val="nil"/>
                    <w:bottom w:val="single" w:sz="8" w:space="0" w:color="FFFFFF"/>
                    <w:right w:val="single" w:sz="8" w:space="0" w:color="FFFFFF"/>
                  </w:tcBorders>
                  <w:shd w:val="clear" w:color="000000" w:fill="FCD5B4"/>
                  <w:noWrap/>
                  <w:vAlign w:val="center"/>
                  <w:hideMark/>
                </w:tcPr>
                <w:p w14:paraId="5B048291" w14:textId="0B5FE0F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3.36 </w:t>
                  </w:r>
                </w:p>
              </w:tc>
              <w:tc>
                <w:tcPr>
                  <w:tcW w:w="920" w:type="dxa"/>
                  <w:tcBorders>
                    <w:top w:val="nil"/>
                    <w:left w:val="nil"/>
                    <w:bottom w:val="single" w:sz="8" w:space="0" w:color="FFFFFF"/>
                    <w:right w:val="single" w:sz="8" w:space="0" w:color="FFFFFF"/>
                  </w:tcBorders>
                  <w:shd w:val="clear" w:color="000000" w:fill="FCD5B4"/>
                  <w:noWrap/>
                  <w:vAlign w:val="center"/>
                  <w:hideMark/>
                </w:tcPr>
                <w:p w14:paraId="5711CDD7" w14:textId="4BCE8B3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5.94 </w:t>
                  </w:r>
                </w:p>
              </w:tc>
              <w:tc>
                <w:tcPr>
                  <w:tcW w:w="1149" w:type="dxa"/>
                  <w:tcBorders>
                    <w:top w:val="nil"/>
                    <w:left w:val="nil"/>
                    <w:bottom w:val="single" w:sz="8" w:space="0" w:color="FFFFFF"/>
                    <w:right w:val="single" w:sz="8" w:space="0" w:color="FFFFFF"/>
                  </w:tcBorders>
                  <w:shd w:val="clear" w:color="000000" w:fill="FCD5B4"/>
                  <w:noWrap/>
                  <w:vAlign w:val="center"/>
                  <w:hideMark/>
                </w:tcPr>
                <w:p w14:paraId="611290CA" w14:textId="6B8B460D"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20496D80" w14:textId="215C1AD5"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0.52 </w:t>
                  </w:r>
                </w:p>
              </w:tc>
              <w:tc>
                <w:tcPr>
                  <w:tcW w:w="920" w:type="dxa"/>
                  <w:tcBorders>
                    <w:top w:val="nil"/>
                    <w:left w:val="nil"/>
                    <w:bottom w:val="single" w:sz="8" w:space="0" w:color="FFFFFF"/>
                    <w:right w:val="single" w:sz="8" w:space="0" w:color="FFFFFF"/>
                  </w:tcBorders>
                  <w:shd w:val="clear" w:color="000000" w:fill="FCD5B4"/>
                  <w:noWrap/>
                  <w:vAlign w:val="center"/>
                  <w:hideMark/>
                </w:tcPr>
                <w:p w14:paraId="3BFA925B" w14:textId="357B182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0.65 </w:t>
                  </w:r>
                </w:p>
              </w:tc>
              <w:tc>
                <w:tcPr>
                  <w:tcW w:w="920" w:type="dxa"/>
                  <w:tcBorders>
                    <w:top w:val="nil"/>
                    <w:left w:val="nil"/>
                    <w:bottom w:val="single" w:sz="8" w:space="0" w:color="FFFFFF"/>
                    <w:right w:val="single" w:sz="8" w:space="0" w:color="FFFFFF"/>
                  </w:tcBorders>
                  <w:shd w:val="clear" w:color="000000" w:fill="FCD5B4"/>
                  <w:noWrap/>
                  <w:vAlign w:val="center"/>
                  <w:hideMark/>
                </w:tcPr>
                <w:p w14:paraId="16CD7225" w14:textId="5A8AD48A"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0.80 </w:t>
                  </w:r>
                </w:p>
              </w:tc>
              <w:tc>
                <w:tcPr>
                  <w:tcW w:w="920" w:type="dxa"/>
                  <w:tcBorders>
                    <w:top w:val="nil"/>
                    <w:left w:val="nil"/>
                    <w:bottom w:val="single" w:sz="8" w:space="0" w:color="FFFFFF"/>
                    <w:right w:val="single" w:sz="8" w:space="0" w:color="FFFFFF"/>
                  </w:tcBorders>
                  <w:shd w:val="clear" w:color="000000" w:fill="FCD5B4"/>
                  <w:noWrap/>
                  <w:vAlign w:val="center"/>
                  <w:hideMark/>
                </w:tcPr>
                <w:p w14:paraId="62A0BB0C" w14:textId="35D9D3FF"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3.38 </w:t>
                  </w:r>
                </w:p>
              </w:tc>
            </w:tr>
            <w:tr w:rsidR="00B76849" w:rsidRPr="003F4793" w14:paraId="410B429A"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F93C5ED" w14:textId="13F6D63B"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231CF143" w14:textId="3AB7A86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3.42 </w:t>
                  </w:r>
                </w:p>
              </w:tc>
              <w:tc>
                <w:tcPr>
                  <w:tcW w:w="920" w:type="dxa"/>
                  <w:tcBorders>
                    <w:top w:val="nil"/>
                    <w:left w:val="nil"/>
                    <w:bottom w:val="single" w:sz="8" w:space="0" w:color="FFFFFF"/>
                    <w:right w:val="single" w:sz="8" w:space="0" w:color="FFFFFF"/>
                  </w:tcBorders>
                  <w:shd w:val="clear" w:color="000000" w:fill="FDE9D9"/>
                  <w:noWrap/>
                  <w:vAlign w:val="center"/>
                  <w:hideMark/>
                </w:tcPr>
                <w:p w14:paraId="28605ADA" w14:textId="05F10C05"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3.58 </w:t>
                  </w:r>
                </w:p>
              </w:tc>
              <w:tc>
                <w:tcPr>
                  <w:tcW w:w="920" w:type="dxa"/>
                  <w:tcBorders>
                    <w:top w:val="nil"/>
                    <w:left w:val="nil"/>
                    <w:bottom w:val="single" w:sz="8" w:space="0" w:color="FFFFFF"/>
                    <w:right w:val="single" w:sz="8" w:space="0" w:color="FFFFFF"/>
                  </w:tcBorders>
                  <w:shd w:val="clear" w:color="000000" w:fill="FDE9D9"/>
                  <w:noWrap/>
                  <w:vAlign w:val="center"/>
                  <w:hideMark/>
                </w:tcPr>
                <w:p w14:paraId="138A29ED" w14:textId="04E2E2A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3.95 </w:t>
                  </w:r>
                </w:p>
              </w:tc>
              <w:tc>
                <w:tcPr>
                  <w:tcW w:w="920" w:type="dxa"/>
                  <w:tcBorders>
                    <w:top w:val="nil"/>
                    <w:left w:val="nil"/>
                    <w:bottom w:val="single" w:sz="8" w:space="0" w:color="FFFFFF"/>
                    <w:right w:val="single" w:sz="8" w:space="0" w:color="FFFFFF"/>
                  </w:tcBorders>
                  <w:shd w:val="clear" w:color="000000" w:fill="FDE9D9"/>
                  <w:noWrap/>
                  <w:vAlign w:val="center"/>
                  <w:hideMark/>
                </w:tcPr>
                <w:p w14:paraId="36771C93" w14:textId="5E16B122"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6.84 </w:t>
                  </w:r>
                </w:p>
              </w:tc>
              <w:tc>
                <w:tcPr>
                  <w:tcW w:w="1149" w:type="dxa"/>
                  <w:tcBorders>
                    <w:top w:val="nil"/>
                    <w:left w:val="nil"/>
                    <w:bottom w:val="single" w:sz="8" w:space="0" w:color="FFFFFF"/>
                    <w:right w:val="single" w:sz="8" w:space="0" w:color="FFFFFF"/>
                  </w:tcBorders>
                  <w:shd w:val="clear" w:color="000000" w:fill="FDE9D9"/>
                  <w:noWrap/>
                  <w:vAlign w:val="center"/>
                  <w:hideMark/>
                </w:tcPr>
                <w:p w14:paraId="12900514" w14:textId="4C6A30CC"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A1F834B" w14:textId="20A8CAF4"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0.71 </w:t>
                  </w:r>
                </w:p>
              </w:tc>
              <w:tc>
                <w:tcPr>
                  <w:tcW w:w="920" w:type="dxa"/>
                  <w:tcBorders>
                    <w:top w:val="nil"/>
                    <w:left w:val="nil"/>
                    <w:bottom w:val="single" w:sz="8" w:space="0" w:color="FFFFFF"/>
                    <w:right w:val="single" w:sz="8" w:space="0" w:color="FFFFFF"/>
                  </w:tcBorders>
                  <w:shd w:val="clear" w:color="000000" w:fill="FDE9D9"/>
                  <w:noWrap/>
                  <w:vAlign w:val="center"/>
                  <w:hideMark/>
                </w:tcPr>
                <w:p w14:paraId="65FCA278" w14:textId="43A65F5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0.87 </w:t>
                  </w:r>
                </w:p>
              </w:tc>
              <w:tc>
                <w:tcPr>
                  <w:tcW w:w="920" w:type="dxa"/>
                  <w:tcBorders>
                    <w:top w:val="nil"/>
                    <w:left w:val="nil"/>
                    <w:bottom w:val="single" w:sz="8" w:space="0" w:color="FFFFFF"/>
                    <w:right w:val="single" w:sz="8" w:space="0" w:color="FFFFFF"/>
                  </w:tcBorders>
                  <w:shd w:val="clear" w:color="000000" w:fill="FDE9D9"/>
                  <w:noWrap/>
                  <w:vAlign w:val="center"/>
                  <w:hideMark/>
                </w:tcPr>
                <w:p w14:paraId="27F1C7B6" w14:textId="275E08F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1.24 </w:t>
                  </w:r>
                </w:p>
              </w:tc>
              <w:tc>
                <w:tcPr>
                  <w:tcW w:w="920" w:type="dxa"/>
                  <w:tcBorders>
                    <w:top w:val="nil"/>
                    <w:left w:val="nil"/>
                    <w:bottom w:val="single" w:sz="8" w:space="0" w:color="FFFFFF"/>
                    <w:right w:val="single" w:sz="8" w:space="0" w:color="FFFFFF"/>
                  </w:tcBorders>
                  <w:shd w:val="clear" w:color="000000" w:fill="FDE9D9"/>
                  <w:noWrap/>
                  <w:vAlign w:val="center"/>
                  <w:hideMark/>
                </w:tcPr>
                <w:p w14:paraId="01875D19" w14:textId="3698355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4.13 </w:t>
                  </w:r>
                </w:p>
              </w:tc>
            </w:tr>
            <w:tr w:rsidR="00B76849" w:rsidRPr="003F4793" w14:paraId="3E035994" w14:textId="77777777" w:rsidTr="00E10EDA">
              <w:trPr>
                <w:trHeight w:val="310"/>
              </w:trPr>
              <w:tc>
                <w:tcPr>
                  <w:tcW w:w="1309" w:type="dxa"/>
                  <w:tcBorders>
                    <w:top w:val="nil"/>
                    <w:left w:val="nil"/>
                    <w:bottom w:val="nil"/>
                    <w:right w:val="nil"/>
                  </w:tcBorders>
                  <w:shd w:val="clear" w:color="000000" w:fill="FCD5B4"/>
                  <w:noWrap/>
                  <w:vAlign w:val="center"/>
                  <w:hideMark/>
                </w:tcPr>
                <w:p w14:paraId="6806E277" w14:textId="12390255"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6B2AD056" w14:textId="1D3A767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3.62 </w:t>
                  </w:r>
                </w:p>
              </w:tc>
              <w:tc>
                <w:tcPr>
                  <w:tcW w:w="920" w:type="dxa"/>
                  <w:tcBorders>
                    <w:top w:val="nil"/>
                    <w:left w:val="nil"/>
                    <w:bottom w:val="single" w:sz="8" w:space="0" w:color="FFFFFF"/>
                    <w:right w:val="single" w:sz="8" w:space="0" w:color="FFFFFF"/>
                  </w:tcBorders>
                  <w:shd w:val="clear" w:color="000000" w:fill="FCD5B4"/>
                  <w:noWrap/>
                  <w:vAlign w:val="center"/>
                  <w:hideMark/>
                </w:tcPr>
                <w:p w14:paraId="64875CAA" w14:textId="3365C7C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3.83 </w:t>
                  </w:r>
                </w:p>
              </w:tc>
              <w:tc>
                <w:tcPr>
                  <w:tcW w:w="920" w:type="dxa"/>
                  <w:tcBorders>
                    <w:top w:val="nil"/>
                    <w:left w:val="nil"/>
                    <w:bottom w:val="single" w:sz="8" w:space="0" w:color="FFFFFF"/>
                    <w:right w:val="single" w:sz="8" w:space="0" w:color="FFFFFF"/>
                  </w:tcBorders>
                  <w:shd w:val="clear" w:color="000000" w:fill="FCD5B4"/>
                  <w:noWrap/>
                  <w:vAlign w:val="center"/>
                  <w:hideMark/>
                </w:tcPr>
                <w:p w14:paraId="37FAD57A" w14:textId="4F43851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4.33 </w:t>
                  </w:r>
                </w:p>
              </w:tc>
              <w:tc>
                <w:tcPr>
                  <w:tcW w:w="920" w:type="dxa"/>
                  <w:tcBorders>
                    <w:top w:val="nil"/>
                    <w:left w:val="nil"/>
                    <w:bottom w:val="single" w:sz="8" w:space="0" w:color="FFFFFF"/>
                    <w:right w:val="single" w:sz="8" w:space="0" w:color="FFFFFF"/>
                  </w:tcBorders>
                  <w:shd w:val="clear" w:color="000000" w:fill="FCD5B4"/>
                  <w:noWrap/>
                  <w:vAlign w:val="center"/>
                  <w:hideMark/>
                </w:tcPr>
                <w:p w14:paraId="2CDC7C7E" w14:textId="04DC15B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7.24 </w:t>
                  </w:r>
                </w:p>
              </w:tc>
              <w:tc>
                <w:tcPr>
                  <w:tcW w:w="1149" w:type="dxa"/>
                  <w:tcBorders>
                    <w:top w:val="nil"/>
                    <w:left w:val="nil"/>
                    <w:bottom w:val="nil"/>
                    <w:right w:val="nil"/>
                  </w:tcBorders>
                  <w:shd w:val="clear" w:color="000000" w:fill="FCD5B4"/>
                  <w:noWrap/>
                  <w:vAlign w:val="center"/>
                  <w:hideMark/>
                </w:tcPr>
                <w:p w14:paraId="21A0B914" w14:textId="6D6E63CD"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2DE8FCCC" w14:textId="3A80C69E"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0.74 </w:t>
                  </w:r>
                </w:p>
              </w:tc>
              <w:tc>
                <w:tcPr>
                  <w:tcW w:w="920" w:type="dxa"/>
                  <w:tcBorders>
                    <w:top w:val="nil"/>
                    <w:left w:val="nil"/>
                    <w:bottom w:val="single" w:sz="8" w:space="0" w:color="FFFFFF"/>
                    <w:right w:val="single" w:sz="8" w:space="0" w:color="FFFFFF"/>
                  </w:tcBorders>
                  <w:shd w:val="clear" w:color="000000" w:fill="FCD5B4"/>
                  <w:noWrap/>
                  <w:vAlign w:val="center"/>
                  <w:hideMark/>
                </w:tcPr>
                <w:p w14:paraId="5E36F15A" w14:textId="1FE7C8B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0.95 </w:t>
                  </w:r>
                </w:p>
              </w:tc>
              <w:tc>
                <w:tcPr>
                  <w:tcW w:w="920" w:type="dxa"/>
                  <w:tcBorders>
                    <w:top w:val="nil"/>
                    <w:left w:val="nil"/>
                    <w:bottom w:val="single" w:sz="8" w:space="0" w:color="FFFFFF"/>
                    <w:right w:val="single" w:sz="8" w:space="0" w:color="FFFFFF"/>
                  </w:tcBorders>
                  <w:shd w:val="clear" w:color="000000" w:fill="FCD5B4"/>
                  <w:noWrap/>
                  <w:vAlign w:val="center"/>
                  <w:hideMark/>
                </w:tcPr>
                <w:p w14:paraId="7CD60254" w14:textId="751F33C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1.45 </w:t>
                  </w:r>
                </w:p>
              </w:tc>
              <w:tc>
                <w:tcPr>
                  <w:tcW w:w="920" w:type="dxa"/>
                  <w:tcBorders>
                    <w:top w:val="nil"/>
                    <w:left w:val="nil"/>
                    <w:bottom w:val="single" w:sz="8" w:space="0" w:color="FFFFFF"/>
                    <w:right w:val="single" w:sz="8" w:space="0" w:color="FFFFFF"/>
                  </w:tcBorders>
                  <w:shd w:val="clear" w:color="000000" w:fill="FCD5B4"/>
                  <w:noWrap/>
                  <w:vAlign w:val="center"/>
                  <w:hideMark/>
                </w:tcPr>
                <w:p w14:paraId="39243B4A" w14:textId="463E178F"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4.36 </w:t>
                  </w:r>
                </w:p>
              </w:tc>
            </w:tr>
            <w:tr w:rsidR="00B76849" w:rsidRPr="003F4793" w14:paraId="7406B1F6" w14:textId="77777777" w:rsidTr="00E10EDA">
              <w:trPr>
                <w:trHeight w:val="160"/>
              </w:trPr>
              <w:tc>
                <w:tcPr>
                  <w:tcW w:w="1309" w:type="dxa"/>
                  <w:tcBorders>
                    <w:top w:val="nil"/>
                    <w:left w:val="nil"/>
                    <w:bottom w:val="nil"/>
                    <w:right w:val="nil"/>
                  </w:tcBorders>
                  <w:shd w:val="clear" w:color="auto" w:fill="auto"/>
                  <w:noWrap/>
                  <w:vAlign w:val="center"/>
                  <w:hideMark/>
                </w:tcPr>
                <w:p w14:paraId="2190587C" w14:textId="77777777" w:rsidR="00B76849" w:rsidRPr="003F4793" w:rsidRDefault="00B76849" w:rsidP="00B76849">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vAlign w:val="center"/>
                  <w:hideMark/>
                </w:tcPr>
                <w:p w14:paraId="399F5F18"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320FF196"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28B3E77A"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18C400F3" w14:textId="77777777" w:rsidR="00B76849" w:rsidRPr="003F4793" w:rsidRDefault="00B76849" w:rsidP="00B76849">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vAlign w:val="center"/>
                  <w:hideMark/>
                </w:tcPr>
                <w:p w14:paraId="326524A6"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6D3BBAE2"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277D745A"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12E56B1A"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064A8616" w14:textId="77777777" w:rsidR="00B76849" w:rsidRPr="003F4793" w:rsidRDefault="00B76849" w:rsidP="00B76849">
                  <w:pPr>
                    <w:widowControl/>
                    <w:jc w:val="center"/>
                    <w:rPr>
                      <w:rFonts w:ascii="KaiTi" w:eastAsia="KaiTi" w:hAnsi="KaiTi"/>
                      <w:kern w:val="0"/>
                      <w:sz w:val="20"/>
                      <w:szCs w:val="20"/>
                    </w:rPr>
                  </w:pPr>
                </w:p>
              </w:tc>
            </w:tr>
            <w:tr w:rsidR="00B76849" w:rsidRPr="003F4793" w14:paraId="67AF4F87" w14:textId="77777777" w:rsidTr="00E10EDA">
              <w:trPr>
                <w:trHeight w:val="74"/>
              </w:trPr>
              <w:tc>
                <w:tcPr>
                  <w:tcW w:w="1309" w:type="dxa"/>
                  <w:tcBorders>
                    <w:top w:val="nil"/>
                    <w:left w:val="nil"/>
                    <w:bottom w:val="single" w:sz="12" w:space="0" w:color="FFFFFF"/>
                    <w:right w:val="single" w:sz="8" w:space="0" w:color="FFFFFF"/>
                  </w:tcBorders>
                  <w:shd w:val="clear" w:color="000000" w:fill="F79646"/>
                  <w:noWrap/>
                  <w:vAlign w:val="center"/>
                  <w:hideMark/>
                </w:tcPr>
                <w:p w14:paraId="3FE61E82" w14:textId="3190EBD4" w:rsidR="00B76849" w:rsidRPr="003F4793" w:rsidRDefault="00B76849" w:rsidP="00B76849">
                  <w:pPr>
                    <w:widowControl/>
                    <w:jc w:val="center"/>
                    <w:rPr>
                      <w:rFonts w:ascii="KaiTi" w:eastAsia="KaiTi" w:hAnsi="KaiTi" w:cs="宋体"/>
                      <w:b/>
                      <w:bCs/>
                      <w:color w:val="FFFFFF"/>
                      <w:kern w:val="0"/>
                      <w:sz w:val="20"/>
                      <w:szCs w:val="20"/>
                    </w:rPr>
                  </w:pPr>
                  <w:proofErr w:type="gramStart"/>
                  <w:r>
                    <w:rPr>
                      <w:rFonts w:ascii="楷体" w:eastAsia="楷体" w:hAnsi="楷体" w:hint="eastAsia"/>
                      <w:b/>
                      <w:bCs/>
                      <w:color w:val="FFFFFF"/>
                      <w:sz w:val="20"/>
                      <w:szCs w:val="20"/>
                    </w:rPr>
                    <w:t>周变化</w:t>
                  </w:r>
                  <w:proofErr w:type="gramEnd"/>
                  <w:r>
                    <w:rPr>
                      <w:rFonts w:ascii="楷体" w:eastAsia="楷体" w:hAnsi="楷体" w:hint="eastAsia"/>
                      <w:b/>
                      <w:bCs/>
                      <w:color w:val="FFFFFF"/>
                      <w:sz w:val="20"/>
                      <w:szCs w:val="20"/>
                    </w:rPr>
                    <w:t>(BP)</w:t>
                  </w:r>
                </w:p>
              </w:tc>
              <w:tc>
                <w:tcPr>
                  <w:tcW w:w="740" w:type="dxa"/>
                  <w:tcBorders>
                    <w:top w:val="nil"/>
                    <w:left w:val="nil"/>
                    <w:bottom w:val="single" w:sz="12" w:space="0" w:color="FFFFFF"/>
                    <w:right w:val="single" w:sz="8" w:space="0" w:color="FFFFFF"/>
                  </w:tcBorders>
                  <w:shd w:val="clear" w:color="000000" w:fill="F79646"/>
                  <w:noWrap/>
                  <w:vAlign w:val="center"/>
                  <w:hideMark/>
                </w:tcPr>
                <w:p w14:paraId="7A2D29AE" w14:textId="52A95F92"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1A4EADA" w14:textId="752CE860"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ED283BD" w14:textId="44AF0B0B"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D14BBA3" w14:textId="74C83EAD"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6F6F04C0" w14:textId="08C9E69D"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11161DDB" w14:textId="674D3A5B"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88427D0" w14:textId="4906AF94"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0F81475" w14:textId="004B9EA2"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8358154" w14:textId="62EEC79D"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r>
            <w:tr w:rsidR="00B76849" w:rsidRPr="003F4793" w14:paraId="691FA2FB" w14:textId="77777777" w:rsidTr="00E10EDA">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4B8AC9FB" w14:textId="4FBC6302"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26737727" w14:textId="70C4876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2.1 </w:t>
                  </w:r>
                </w:p>
              </w:tc>
              <w:tc>
                <w:tcPr>
                  <w:tcW w:w="920" w:type="dxa"/>
                  <w:tcBorders>
                    <w:top w:val="nil"/>
                    <w:left w:val="nil"/>
                    <w:bottom w:val="single" w:sz="8" w:space="0" w:color="FFFFFF"/>
                    <w:right w:val="single" w:sz="8" w:space="0" w:color="FFFFFF"/>
                  </w:tcBorders>
                  <w:shd w:val="clear" w:color="000000" w:fill="FCD5B4"/>
                  <w:noWrap/>
                  <w:vAlign w:val="center"/>
                  <w:hideMark/>
                </w:tcPr>
                <w:p w14:paraId="36AEEC42" w14:textId="61E6ED6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2.1 </w:t>
                  </w:r>
                </w:p>
              </w:tc>
              <w:tc>
                <w:tcPr>
                  <w:tcW w:w="920" w:type="dxa"/>
                  <w:tcBorders>
                    <w:top w:val="nil"/>
                    <w:left w:val="nil"/>
                    <w:bottom w:val="single" w:sz="8" w:space="0" w:color="FFFFFF"/>
                    <w:right w:val="single" w:sz="8" w:space="0" w:color="FFFFFF"/>
                  </w:tcBorders>
                  <w:shd w:val="clear" w:color="000000" w:fill="FCD5B4"/>
                  <w:noWrap/>
                  <w:vAlign w:val="center"/>
                  <w:hideMark/>
                </w:tcPr>
                <w:p w14:paraId="6FAA78B0" w14:textId="5AA9740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0.1 </w:t>
                  </w:r>
                </w:p>
              </w:tc>
              <w:tc>
                <w:tcPr>
                  <w:tcW w:w="920" w:type="dxa"/>
                  <w:tcBorders>
                    <w:top w:val="nil"/>
                    <w:left w:val="nil"/>
                    <w:bottom w:val="single" w:sz="8" w:space="0" w:color="FFFFFF"/>
                    <w:right w:val="single" w:sz="8" w:space="0" w:color="FFFFFF"/>
                  </w:tcBorders>
                  <w:shd w:val="clear" w:color="000000" w:fill="FCD5B4"/>
                  <w:noWrap/>
                  <w:vAlign w:val="center"/>
                  <w:hideMark/>
                </w:tcPr>
                <w:p w14:paraId="79E4FA89" w14:textId="57AE043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2.1 </w:t>
                  </w:r>
                </w:p>
              </w:tc>
              <w:tc>
                <w:tcPr>
                  <w:tcW w:w="1149" w:type="dxa"/>
                  <w:tcBorders>
                    <w:top w:val="nil"/>
                    <w:left w:val="nil"/>
                    <w:bottom w:val="single" w:sz="8" w:space="0" w:color="FFFFFF"/>
                    <w:right w:val="single" w:sz="8" w:space="0" w:color="FFFFFF"/>
                  </w:tcBorders>
                  <w:shd w:val="clear" w:color="000000" w:fill="FCD5B4"/>
                  <w:noWrap/>
                  <w:vAlign w:val="center"/>
                  <w:hideMark/>
                </w:tcPr>
                <w:p w14:paraId="606C4AAF" w14:textId="7DC4302D"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357A1196" w14:textId="43B1435A" w:rsidR="00B76849" w:rsidRPr="003F4793" w:rsidRDefault="00B76849" w:rsidP="00B76849">
                  <w:pPr>
                    <w:widowControl/>
                    <w:jc w:val="center"/>
                    <w:rPr>
                      <w:rFonts w:ascii="KaiTi" w:eastAsia="KaiTi" w:hAnsi="KaiTi" w:cs="Calibri"/>
                      <w:color w:val="000000"/>
                      <w:kern w:val="0"/>
                      <w:szCs w:val="21"/>
                    </w:rPr>
                  </w:pPr>
                  <w:r>
                    <w:rPr>
                      <w:rFonts w:eastAsia="等线" w:cs="Calibri"/>
                      <w:color w:val="FF0000"/>
                      <w:szCs w:val="21"/>
                    </w:rPr>
                    <w:t xml:space="preserve">-3.4 </w:t>
                  </w:r>
                </w:p>
              </w:tc>
              <w:tc>
                <w:tcPr>
                  <w:tcW w:w="920" w:type="dxa"/>
                  <w:tcBorders>
                    <w:top w:val="nil"/>
                    <w:left w:val="nil"/>
                    <w:bottom w:val="single" w:sz="8" w:space="0" w:color="FFFFFF"/>
                    <w:right w:val="single" w:sz="8" w:space="0" w:color="FFFFFF"/>
                  </w:tcBorders>
                  <w:shd w:val="clear" w:color="000000" w:fill="FCD5B4"/>
                  <w:noWrap/>
                  <w:vAlign w:val="center"/>
                  <w:hideMark/>
                </w:tcPr>
                <w:p w14:paraId="2701848E" w14:textId="5E96CCE1" w:rsidR="00B76849" w:rsidRPr="003F4793" w:rsidRDefault="00B76849" w:rsidP="00B76849">
                  <w:pPr>
                    <w:widowControl/>
                    <w:jc w:val="center"/>
                    <w:rPr>
                      <w:rFonts w:ascii="KaiTi" w:eastAsia="KaiTi" w:hAnsi="KaiTi" w:cs="Calibri"/>
                      <w:color w:val="000000"/>
                      <w:kern w:val="0"/>
                      <w:szCs w:val="21"/>
                    </w:rPr>
                  </w:pPr>
                  <w:r>
                    <w:rPr>
                      <w:rFonts w:eastAsia="等线" w:cs="Calibri"/>
                      <w:color w:val="FF0000"/>
                      <w:szCs w:val="21"/>
                    </w:rPr>
                    <w:t xml:space="preserve">-3.4 </w:t>
                  </w:r>
                </w:p>
              </w:tc>
              <w:tc>
                <w:tcPr>
                  <w:tcW w:w="920" w:type="dxa"/>
                  <w:tcBorders>
                    <w:top w:val="nil"/>
                    <w:left w:val="nil"/>
                    <w:bottom w:val="single" w:sz="8" w:space="0" w:color="FFFFFF"/>
                    <w:right w:val="single" w:sz="8" w:space="0" w:color="FFFFFF"/>
                  </w:tcBorders>
                  <w:shd w:val="clear" w:color="000000" w:fill="FCD5B4"/>
                  <w:noWrap/>
                  <w:vAlign w:val="center"/>
                  <w:hideMark/>
                </w:tcPr>
                <w:p w14:paraId="004705FE" w14:textId="33B53700" w:rsidR="00B76849" w:rsidRPr="003F4793" w:rsidRDefault="00B76849" w:rsidP="00B76849">
                  <w:pPr>
                    <w:widowControl/>
                    <w:jc w:val="center"/>
                    <w:rPr>
                      <w:rFonts w:ascii="KaiTi" w:eastAsia="KaiTi" w:hAnsi="KaiTi" w:cs="Calibri"/>
                      <w:color w:val="000000"/>
                      <w:kern w:val="0"/>
                      <w:szCs w:val="21"/>
                    </w:rPr>
                  </w:pPr>
                  <w:r>
                    <w:rPr>
                      <w:rFonts w:eastAsia="等线" w:cs="Calibri"/>
                      <w:color w:val="FF0000"/>
                      <w:szCs w:val="21"/>
                    </w:rPr>
                    <w:t xml:space="preserve">-5.4 </w:t>
                  </w:r>
                </w:p>
              </w:tc>
              <w:tc>
                <w:tcPr>
                  <w:tcW w:w="920" w:type="dxa"/>
                  <w:tcBorders>
                    <w:top w:val="nil"/>
                    <w:left w:val="nil"/>
                    <w:bottom w:val="single" w:sz="8" w:space="0" w:color="FFFFFF"/>
                    <w:right w:val="single" w:sz="8" w:space="0" w:color="FFFFFF"/>
                  </w:tcBorders>
                  <w:shd w:val="clear" w:color="000000" w:fill="FCD5B4"/>
                  <w:noWrap/>
                  <w:vAlign w:val="center"/>
                  <w:hideMark/>
                </w:tcPr>
                <w:p w14:paraId="3FBDA2E9" w14:textId="3FC6723F" w:rsidR="00B76849" w:rsidRPr="003F4793" w:rsidRDefault="00B76849" w:rsidP="00B76849">
                  <w:pPr>
                    <w:widowControl/>
                    <w:jc w:val="center"/>
                    <w:rPr>
                      <w:rFonts w:ascii="KaiTi" w:eastAsia="KaiTi" w:hAnsi="KaiTi" w:cs="Calibri"/>
                      <w:color w:val="000000"/>
                      <w:kern w:val="0"/>
                      <w:szCs w:val="21"/>
                    </w:rPr>
                  </w:pPr>
                  <w:r>
                    <w:rPr>
                      <w:rFonts w:eastAsia="等线" w:cs="Calibri"/>
                      <w:color w:val="FF0000"/>
                      <w:szCs w:val="21"/>
                    </w:rPr>
                    <w:t xml:space="preserve">-3.4 </w:t>
                  </w:r>
                </w:p>
              </w:tc>
            </w:tr>
            <w:tr w:rsidR="00B76849" w:rsidRPr="003F4793" w14:paraId="497D492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7DBC5358" w14:textId="65D5029E"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3CD640D8" w14:textId="1B1A306F"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2.2 </w:t>
                  </w:r>
                </w:p>
              </w:tc>
              <w:tc>
                <w:tcPr>
                  <w:tcW w:w="920" w:type="dxa"/>
                  <w:tcBorders>
                    <w:top w:val="nil"/>
                    <w:left w:val="nil"/>
                    <w:bottom w:val="single" w:sz="8" w:space="0" w:color="FFFFFF"/>
                    <w:right w:val="single" w:sz="8" w:space="0" w:color="FFFFFF"/>
                  </w:tcBorders>
                  <w:shd w:val="clear" w:color="000000" w:fill="FDE9D9"/>
                  <w:noWrap/>
                  <w:vAlign w:val="center"/>
                  <w:hideMark/>
                </w:tcPr>
                <w:p w14:paraId="02826B46" w14:textId="3ED27FBA"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5.2 </w:t>
                  </w:r>
                </w:p>
              </w:tc>
              <w:tc>
                <w:tcPr>
                  <w:tcW w:w="920" w:type="dxa"/>
                  <w:tcBorders>
                    <w:top w:val="nil"/>
                    <w:left w:val="nil"/>
                    <w:bottom w:val="single" w:sz="8" w:space="0" w:color="FFFFFF"/>
                    <w:right w:val="single" w:sz="8" w:space="0" w:color="FFFFFF"/>
                  </w:tcBorders>
                  <w:shd w:val="clear" w:color="000000" w:fill="FDE9D9"/>
                  <w:noWrap/>
                  <w:vAlign w:val="center"/>
                  <w:hideMark/>
                </w:tcPr>
                <w:p w14:paraId="605A16DF" w14:textId="01A2AB98"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4.2 </w:t>
                  </w:r>
                </w:p>
              </w:tc>
              <w:tc>
                <w:tcPr>
                  <w:tcW w:w="920" w:type="dxa"/>
                  <w:tcBorders>
                    <w:top w:val="nil"/>
                    <w:left w:val="nil"/>
                    <w:bottom w:val="single" w:sz="8" w:space="0" w:color="FFFFFF"/>
                    <w:right w:val="single" w:sz="8" w:space="0" w:color="FFFFFF"/>
                  </w:tcBorders>
                  <w:shd w:val="clear" w:color="000000" w:fill="FDE9D9"/>
                  <w:noWrap/>
                  <w:vAlign w:val="center"/>
                  <w:hideMark/>
                </w:tcPr>
                <w:p w14:paraId="7B2C5CED" w14:textId="321B07F5"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4.2 </w:t>
                  </w:r>
                </w:p>
              </w:tc>
              <w:tc>
                <w:tcPr>
                  <w:tcW w:w="1149" w:type="dxa"/>
                  <w:tcBorders>
                    <w:top w:val="nil"/>
                    <w:left w:val="nil"/>
                    <w:bottom w:val="single" w:sz="8" w:space="0" w:color="FFFFFF"/>
                    <w:right w:val="single" w:sz="8" w:space="0" w:color="FFFFFF"/>
                  </w:tcBorders>
                  <w:shd w:val="clear" w:color="000000" w:fill="FDE9D9"/>
                  <w:noWrap/>
                  <w:vAlign w:val="center"/>
                  <w:hideMark/>
                </w:tcPr>
                <w:p w14:paraId="6FF5E0DD" w14:textId="5AFDAA22"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46C0665C" w14:textId="28E0E596"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3.0 </w:t>
                  </w:r>
                </w:p>
              </w:tc>
              <w:tc>
                <w:tcPr>
                  <w:tcW w:w="920" w:type="dxa"/>
                  <w:tcBorders>
                    <w:top w:val="nil"/>
                    <w:left w:val="nil"/>
                    <w:bottom w:val="single" w:sz="8" w:space="0" w:color="FFFFFF"/>
                    <w:right w:val="single" w:sz="8" w:space="0" w:color="FFFFFF"/>
                  </w:tcBorders>
                  <w:shd w:val="clear" w:color="000000" w:fill="FDE9D9"/>
                  <w:noWrap/>
                  <w:vAlign w:val="center"/>
                  <w:hideMark/>
                </w:tcPr>
                <w:p w14:paraId="5E23BCCC" w14:textId="2ECD24E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6.0 </w:t>
                  </w:r>
                </w:p>
              </w:tc>
              <w:tc>
                <w:tcPr>
                  <w:tcW w:w="920" w:type="dxa"/>
                  <w:tcBorders>
                    <w:top w:val="nil"/>
                    <w:left w:val="nil"/>
                    <w:bottom w:val="single" w:sz="8" w:space="0" w:color="FFFFFF"/>
                    <w:right w:val="single" w:sz="8" w:space="0" w:color="FFFFFF"/>
                  </w:tcBorders>
                  <w:shd w:val="clear" w:color="000000" w:fill="FDE9D9"/>
                  <w:noWrap/>
                  <w:vAlign w:val="center"/>
                  <w:hideMark/>
                </w:tcPr>
                <w:p w14:paraId="1C0ED519" w14:textId="3866B3A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5.0 </w:t>
                  </w:r>
                </w:p>
              </w:tc>
              <w:tc>
                <w:tcPr>
                  <w:tcW w:w="920" w:type="dxa"/>
                  <w:tcBorders>
                    <w:top w:val="nil"/>
                    <w:left w:val="nil"/>
                    <w:bottom w:val="single" w:sz="8" w:space="0" w:color="FFFFFF"/>
                    <w:right w:val="single" w:sz="8" w:space="0" w:color="FFFFFF"/>
                  </w:tcBorders>
                  <w:shd w:val="clear" w:color="000000" w:fill="FDE9D9"/>
                  <w:noWrap/>
                  <w:vAlign w:val="center"/>
                  <w:hideMark/>
                </w:tcPr>
                <w:p w14:paraId="0011E4A5" w14:textId="4B5A48B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5.0 </w:t>
                  </w:r>
                </w:p>
              </w:tc>
            </w:tr>
            <w:tr w:rsidR="00B76849" w:rsidRPr="003F4793" w14:paraId="0CE9EDD9"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666B8A39" w14:textId="1952219B"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46A29143" w14:textId="6F5311C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6.7 </w:t>
                  </w:r>
                </w:p>
              </w:tc>
              <w:tc>
                <w:tcPr>
                  <w:tcW w:w="920" w:type="dxa"/>
                  <w:tcBorders>
                    <w:top w:val="nil"/>
                    <w:left w:val="nil"/>
                    <w:bottom w:val="single" w:sz="8" w:space="0" w:color="FFFFFF"/>
                    <w:right w:val="single" w:sz="8" w:space="0" w:color="FFFFFF"/>
                  </w:tcBorders>
                  <w:shd w:val="clear" w:color="000000" w:fill="FCD5B4"/>
                  <w:noWrap/>
                  <w:vAlign w:val="center"/>
                  <w:hideMark/>
                </w:tcPr>
                <w:p w14:paraId="65AB8809" w14:textId="46BDEAE4"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6.7 </w:t>
                  </w:r>
                </w:p>
              </w:tc>
              <w:tc>
                <w:tcPr>
                  <w:tcW w:w="920" w:type="dxa"/>
                  <w:tcBorders>
                    <w:top w:val="nil"/>
                    <w:left w:val="nil"/>
                    <w:bottom w:val="single" w:sz="8" w:space="0" w:color="FFFFFF"/>
                    <w:right w:val="single" w:sz="8" w:space="0" w:color="FFFFFF"/>
                  </w:tcBorders>
                  <w:shd w:val="clear" w:color="000000" w:fill="FCD5B4"/>
                  <w:noWrap/>
                  <w:vAlign w:val="center"/>
                  <w:hideMark/>
                </w:tcPr>
                <w:p w14:paraId="008EB32A" w14:textId="4D107B86"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6.7 </w:t>
                  </w:r>
                </w:p>
              </w:tc>
              <w:tc>
                <w:tcPr>
                  <w:tcW w:w="920" w:type="dxa"/>
                  <w:tcBorders>
                    <w:top w:val="nil"/>
                    <w:left w:val="nil"/>
                    <w:bottom w:val="single" w:sz="8" w:space="0" w:color="FFFFFF"/>
                    <w:right w:val="single" w:sz="8" w:space="0" w:color="FFFFFF"/>
                  </w:tcBorders>
                  <w:shd w:val="clear" w:color="000000" w:fill="FCD5B4"/>
                  <w:noWrap/>
                  <w:vAlign w:val="center"/>
                  <w:hideMark/>
                </w:tcPr>
                <w:p w14:paraId="7D7C0954" w14:textId="4DBA2B8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6.7 </w:t>
                  </w:r>
                </w:p>
              </w:tc>
              <w:tc>
                <w:tcPr>
                  <w:tcW w:w="1149" w:type="dxa"/>
                  <w:tcBorders>
                    <w:top w:val="nil"/>
                    <w:left w:val="nil"/>
                    <w:bottom w:val="single" w:sz="8" w:space="0" w:color="FFFFFF"/>
                    <w:right w:val="single" w:sz="8" w:space="0" w:color="FFFFFF"/>
                  </w:tcBorders>
                  <w:shd w:val="clear" w:color="000000" w:fill="FCD5B4"/>
                  <w:noWrap/>
                  <w:vAlign w:val="center"/>
                  <w:hideMark/>
                </w:tcPr>
                <w:p w14:paraId="1A7EC8C4" w14:textId="47B1A56E"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0CE8BFC7" w14:textId="5A080BC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6.0 </w:t>
                  </w:r>
                </w:p>
              </w:tc>
              <w:tc>
                <w:tcPr>
                  <w:tcW w:w="920" w:type="dxa"/>
                  <w:tcBorders>
                    <w:top w:val="nil"/>
                    <w:left w:val="nil"/>
                    <w:bottom w:val="single" w:sz="8" w:space="0" w:color="FFFFFF"/>
                    <w:right w:val="single" w:sz="8" w:space="0" w:color="FFFFFF"/>
                  </w:tcBorders>
                  <w:shd w:val="clear" w:color="000000" w:fill="FCD5B4"/>
                  <w:noWrap/>
                  <w:vAlign w:val="center"/>
                  <w:hideMark/>
                </w:tcPr>
                <w:p w14:paraId="5811EE16" w14:textId="48DA26C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6.0 </w:t>
                  </w:r>
                </w:p>
              </w:tc>
              <w:tc>
                <w:tcPr>
                  <w:tcW w:w="920" w:type="dxa"/>
                  <w:tcBorders>
                    <w:top w:val="nil"/>
                    <w:left w:val="nil"/>
                    <w:bottom w:val="single" w:sz="8" w:space="0" w:color="FFFFFF"/>
                    <w:right w:val="single" w:sz="8" w:space="0" w:color="FFFFFF"/>
                  </w:tcBorders>
                  <w:shd w:val="clear" w:color="000000" w:fill="FCD5B4"/>
                  <w:noWrap/>
                  <w:vAlign w:val="center"/>
                  <w:hideMark/>
                </w:tcPr>
                <w:p w14:paraId="42E7B60E" w14:textId="738E6A0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6.0 </w:t>
                  </w:r>
                </w:p>
              </w:tc>
              <w:tc>
                <w:tcPr>
                  <w:tcW w:w="920" w:type="dxa"/>
                  <w:tcBorders>
                    <w:top w:val="nil"/>
                    <w:left w:val="nil"/>
                    <w:bottom w:val="single" w:sz="8" w:space="0" w:color="FFFFFF"/>
                    <w:right w:val="single" w:sz="8" w:space="0" w:color="FFFFFF"/>
                  </w:tcBorders>
                  <w:shd w:val="clear" w:color="000000" w:fill="FCD5B4"/>
                  <w:noWrap/>
                  <w:vAlign w:val="center"/>
                  <w:hideMark/>
                </w:tcPr>
                <w:p w14:paraId="4E401EC9" w14:textId="60686F4A"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6.0 </w:t>
                  </w:r>
                </w:p>
              </w:tc>
            </w:tr>
            <w:tr w:rsidR="00B76849" w:rsidRPr="003F4793" w14:paraId="4B96FC1F"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055655BC" w14:textId="1E6136E3"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5C23ADBD" w14:textId="5872B77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5.2 </w:t>
                  </w:r>
                </w:p>
              </w:tc>
              <w:tc>
                <w:tcPr>
                  <w:tcW w:w="920" w:type="dxa"/>
                  <w:tcBorders>
                    <w:top w:val="nil"/>
                    <w:left w:val="nil"/>
                    <w:bottom w:val="single" w:sz="8" w:space="0" w:color="FFFFFF"/>
                    <w:right w:val="single" w:sz="8" w:space="0" w:color="FFFFFF"/>
                  </w:tcBorders>
                  <w:shd w:val="clear" w:color="000000" w:fill="FDE9D9"/>
                  <w:noWrap/>
                  <w:vAlign w:val="center"/>
                  <w:hideMark/>
                </w:tcPr>
                <w:p w14:paraId="5FCD1E73" w14:textId="1762BA5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1.2 </w:t>
                  </w:r>
                </w:p>
              </w:tc>
              <w:tc>
                <w:tcPr>
                  <w:tcW w:w="920" w:type="dxa"/>
                  <w:tcBorders>
                    <w:top w:val="nil"/>
                    <w:left w:val="nil"/>
                    <w:bottom w:val="single" w:sz="8" w:space="0" w:color="FFFFFF"/>
                    <w:right w:val="single" w:sz="8" w:space="0" w:color="FFFFFF"/>
                  </w:tcBorders>
                  <w:shd w:val="clear" w:color="000000" w:fill="FDE9D9"/>
                  <w:noWrap/>
                  <w:vAlign w:val="center"/>
                  <w:hideMark/>
                </w:tcPr>
                <w:p w14:paraId="5B16061B" w14:textId="363A3D0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5.2 </w:t>
                  </w:r>
                </w:p>
              </w:tc>
              <w:tc>
                <w:tcPr>
                  <w:tcW w:w="920" w:type="dxa"/>
                  <w:tcBorders>
                    <w:top w:val="nil"/>
                    <w:left w:val="nil"/>
                    <w:bottom w:val="single" w:sz="8" w:space="0" w:color="FFFFFF"/>
                    <w:right w:val="single" w:sz="8" w:space="0" w:color="FFFFFF"/>
                  </w:tcBorders>
                  <w:shd w:val="clear" w:color="000000" w:fill="FDE9D9"/>
                  <w:noWrap/>
                  <w:vAlign w:val="center"/>
                  <w:hideMark/>
                </w:tcPr>
                <w:p w14:paraId="76F51BF6" w14:textId="2F9D226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5.2 </w:t>
                  </w:r>
                </w:p>
              </w:tc>
              <w:tc>
                <w:tcPr>
                  <w:tcW w:w="1149" w:type="dxa"/>
                  <w:tcBorders>
                    <w:top w:val="nil"/>
                    <w:left w:val="nil"/>
                    <w:bottom w:val="single" w:sz="8" w:space="0" w:color="FFFFFF"/>
                    <w:right w:val="single" w:sz="8" w:space="0" w:color="FFFFFF"/>
                  </w:tcBorders>
                  <w:shd w:val="clear" w:color="000000" w:fill="FDE9D9"/>
                  <w:noWrap/>
                  <w:vAlign w:val="center"/>
                  <w:hideMark/>
                </w:tcPr>
                <w:p w14:paraId="343EAA9F" w14:textId="004FE7EF"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63247225" w14:textId="414A94A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6.0 </w:t>
                  </w:r>
                </w:p>
              </w:tc>
              <w:tc>
                <w:tcPr>
                  <w:tcW w:w="920" w:type="dxa"/>
                  <w:tcBorders>
                    <w:top w:val="nil"/>
                    <w:left w:val="nil"/>
                    <w:bottom w:val="single" w:sz="8" w:space="0" w:color="FFFFFF"/>
                    <w:right w:val="single" w:sz="8" w:space="0" w:color="FFFFFF"/>
                  </w:tcBorders>
                  <w:shd w:val="clear" w:color="000000" w:fill="FDE9D9"/>
                  <w:noWrap/>
                  <w:vAlign w:val="center"/>
                  <w:hideMark/>
                </w:tcPr>
                <w:p w14:paraId="083BF439" w14:textId="6CA2A3B5"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2.0 </w:t>
                  </w:r>
                </w:p>
              </w:tc>
              <w:tc>
                <w:tcPr>
                  <w:tcW w:w="920" w:type="dxa"/>
                  <w:tcBorders>
                    <w:top w:val="nil"/>
                    <w:left w:val="nil"/>
                    <w:bottom w:val="single" w:sz="8" w:space="0" w:color="FFFFFF"/>
                    <w:right w:val="single" w:sz="8" w:space="0" w:color="FFFFFF"/>
                  </w:tcBorders>
                  <w:shd w:val="clear" w:color="000000" w:fill="FDE9D9"/>
                  <w:noWrap/>
                  <w:vAlign w:val="center"/>
                  <w:hideMark/>
                </w:tcPr>
                <w:p w14:paraId="7F14EF11" w14:textId="68CC624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6.0 </w:t>
                  </w:r>
                </w:p>
              </w:tc>
              <w:tc>
                <w:tcPr>
                  <w:tcW w:w="920" w:type="dxa"/>
                  <w:tcBorders>
                    <w:top w:val="nil"/>
                    <w:left w:val="nil"/>
                    <w:bottom w:val="single" w:sz="8" w:space="0" w:color="FFFFFF"/>
                    <w:right w:val="single" w:sz="8" w:space="0" w:color="FFFFFF"/>
                  </w:tcBorders>
                  <w:shd w:val="clear" w:color="000000" w:fill="FDE9D9"/>
                  <w:noWrap/>
                  <w:vAlign w:val="center"/>
                  <w:hideMark/>
                </w:tcPr>
                <w:p w14:paraId="61246080" w14:textId="5A34214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6.0 </w:t>
                  </w:r>
                </w:p>
              </w:tc>
            </w:tr>
            <w:tr w:rsidR="00B76849" w:rsidRPr="003F4793" w14:paraId="445C2E7B"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7A530122" w14:textId="490E3649"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5D5F6751" w14:textId="1DB60F2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2.6 </w:t>
                  </w:r>
                </w:p>
              </w:tc>
              <w:tc>
                <w:tcPr>
                  <w:tcW w:w="920" w:type="dxa"/>
                  <w:tcBorders>
                    <w:top w:val="nil"/>
                    <w:left w:val="nil"/>
                    <w:bottom w:val="single" w:sz="8" w:space="0" w:color="FFFFFF"/>
                    <w:right w:val="single" w:sz="8" w:space="0" w:color="FFFFFF"/>
                  </w:tcBorders>
                  <w:shd w:val="clear" w:color="000000" w:fill="FCD5B4"/>
                  <w:noWrap/>
                  <w:vAlign w:val="center"/>
                  <w:hideMark/>
                </w:tcPr>
                <w:p w14:paraId="300B72E8" w14:textId="772B028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1.6 </w:t>
                  </w:r>
                </w:p>
              </w:tc>
              <w:tc>
                <w:tcPr>
                  <w:tcW w:w="920" w:type="dxa"/>
                  <w:tcBorders>
                    <w:top w:val="nil"/>
                    <w:left w:val="nil"/>
                    <w:bottom w:val="single" w:sz="8" w:space="0" w:color="FFFFFF"/>
                    <w:right w:val="single" w:sz="8" w:space="0" w:color="FFFFFF"/>
                  </w:tcBorders>
                  <w:shd w:val="clear" w:color="000000" w:fill="FCD5B4"/>
                  <w:noWrap/>
                  <w:vAlign w:val="center"/>
                  <w:hideMark/>
                </w:tcPr>
                <w:p w14:paraId="4243F803" w14:textId="40A5B3D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2.6 </w:t>
                  </w:r>
                </w:p>
              </w:tc>
              <w:tc>
                <w:tcPr>
                  <w:tcW w:w="920" w:type="dxa"/>
                  <w:tcBorders>
                    <w:top w:val="nil"/>
                    <w:left w:val="nil"/>
                    <w:bottom w:val="single" w:sz="8" w:space="0" w:color="FFFFFF"/>
                    <w:right w:val="single" w:sz="8" w:space="0" w:color="FFFFFF"/>
                  </w:tcBorders>
                  <w:shd w:val="clear" w:color="000000" w:fill="FCD5B4"/>
                  <w:noWrap/>
                  <w:vAlign w:val="center"/>
                  <w:hideMark/>
                </w:tcPr>
                <w:p w14:paraId="448E5ABD" w14:textId="36B7093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2.6 </w:t>
                  </w:r>
                </w:p>
              </w:tc>
              <w:tc>
                <w:tcPr>
                  <w:tcW w:w="1149" w:type="dxa"/>
                  <w:tcBorders>
                    <w:top w:val="nil"/>
                    <w:left w:val="nil"/>
                    <w:bottom w:val="single" w:sz="8" w:space="0" w:color="FFFFFF"/>
                    <w:right w:val="single" w:sz="8" w:space="0" w:color="FFFFFF"/>
                  </w:tcBorders>
                  <w:shd w:val="clear" w:color="000000" w:fill="FCD5B4"/>
                  <w:noWrap/>
                  <w:vAlign w:val="center"/>
                  <w:hideMark/>
                </w:tcPr>
                <w:p w14:paraId="243BE1B9" w14:textId="481ABBA9"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84F409D" w14:textId="005A9F3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1.9 </w:t>
                  </w:r>
                </w:p>
              </w:tc>
              <w:tc>
                <w:tcPr>
                  <w:tcW w:w="920" w:type="dxa"/>
                  <w:tcBorders>
                    <w:top w:val="nil"/>
                    <w:left w:val="nil"/>
                    <w:bottom w:val="single" w:sz="8" w:space="0" w:color="FFFFFF"/>
                    <w:right w:val="single" w:sz="8" w:space="0" w:color="FFFFFF"/>
                  </w:tcBorders>
                  <w:shd w:val="clear" w:color="000000" w:fill="FCD5B4"/>
                  <w:noWrap/>
                  <w:vAlign w:val="center"/>
                  <w:hideMark/>
                </w:tcPr>
                <w:p w14:paraId="036E88AD" w14:textId="692192E4"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0.9 </w:t>
                  </w:r>
                </w:p>
              </w:tc>
              <w:tc>
                <w:tcPr>
                  <w:tcW w:w="920" w:type="dxa"/>
                  <w:tcBorders>
                    <w:top w:val="nil"/>
                    <w:left w:val="nil"/>
                    <w:bottom w:val="single" w:sz="8" w:space="0" w:color="FFFFFF"/>
                    <w:right w:val="single" w:sz="8" w:space="0" w:color="FFFFFF"/>
                  </w:tcBorders>
                  <w:shd w:val="clear" w:color="000000" w:fill="FCD5B4"/>
                  <w:noWrap/>
                  <w:vAlign w:val="center"/>
                  <w:hideMark/>
                </w:tcPr>
                <w:p w14:paraId="427E0CD2" w14:textId="3BD27B6F"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1.9 </w:t>
                  </w:r>
                </w:p>
              </w:tc>
              <w:tc>
                <w:tcPr>
                  <w:tcW w:w="920" w:type="dxa"/>
                  <w:tcBorders>
                    <w:top w:val="nil"/>
                    <w:left w:val="nil"/>
                    <w:bottom w:val="single" w:sz="8" w:space="0" w:color="FFFFFF"/>
                    <w:right w:val="single" w:sz="8" w:space="0" w:color="FFFFFF"/>
                  </w:tcBorders>
                  <w:shd w:val="clear" w:color="000000" w:fill="FCD5B4"/>
                  <w:noWrap/>
                  <w:vAlign w:val="center"/>
                  <w:hideMark/>
                </w:tcPr>
                <w:p w14:paraId="78BEA210" w14:textId="7814927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1.9 </w:t>
                  </w:r>
                </w:p>
              </w:tc>
            </w:tr>
            <w:tr w:rsidR="00B76849" w:rsidRPr="003F4793" w14:paraId="3191787A"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F700977" w14:textId="0C75C260"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2827D979" w14:textId="7196AAD6"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5.5 </w:t>
                  </w:r>
                </w:p>
              </w:tc>
              <w:tc>
                <w:tcPr>
                  <w:tcW w:w="920" w:type="dxa"/>
                  <w:tcBorders>
                    <w:top w:val="nil"/>
                    <w:left w:val="nil"/>
                    <w:bottom w:val="single" w:sz="8" w:space="0" w:color="FFFFFF"/>
                    <w:right w:val="single" w:sz="8" w:space="0" w:color="FFFFFF"/>
                  </w:tcBorders>
                  <w:shd w:val="clear" w:color="000000" w:fill="FDE9D9"/>
                  <w:noWrap/>
                  <w:vAlign w:val="center"/>
                  <w:hideMark/>
                </w:tcPr>
                <w:p w14:paraId="1BCEB620" w14:textId="6A8DABF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4.4 </w:t>
                  </w:r>
                </w:p>
              </w:tc>
              <w:tc>
                <w:tcPr>
                  <w:tcW w:w="920" w:type="dxa"/>
                  <w:tcBorders>
                    <w:top w:val="nil"/>
                    <w:left w:val="nil"/>
                    <w:bottom w:val="single" w:sz="8" w:space="0" w:color="FFFFFF"/>
                    <w:right w:val="single" w:sz="8" w:space="0" w:color="FFFFFF"/>
                  </w:tcBorders>
                  <w:shd w:val="clear" w:color="000000" w:fill="FDE9D9"/>
                  <w:noWrap/>
                  <w:vAlign w:val="center"/>
                  <w:hideMark/>
                </w:tcPr>
                <w:p w14:paraId="642DA1D2" w14:textId="4877273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5.5 </w:t>
                  </w:r>
                </w:p>
              </w:tc>
              <w:tc>
                <w:tcPr>
                  <w:tcW w:w="920" w:type="dxa"/>
                  <w:tcBorders>
                    <w:top w:val="nil"/>
                    <w:left w:val="nil"/>
                    <w:bottom w:val="single" w:sz="8" w:space="0" w:color="FFFFFF"/>
                    <w:right w:val="single" w:sz="8" w:space="0" w:color="FFFFFF"/>
                  </w:tcBorders>
                  <w:shd w:val="clear" w:color="000000" w:fill="FDE9D9"/>
                  <w:noWrap/>
                  <w:vAlign w:val="center"/>
                  <w:hideMark/>
                </w:tcPr>
                <w:p w14:paraId="45A5D7F8" w14:textId="700CCA2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5.5 </w:t>
                  </w:r>
                </w:p>
              </w:tc>
              <w:tc>
                <w:tcPr>
                  <w:tcW w:w="1149" w:type="dxa"/>
                  <w:tcBorders>
                    <w:top w:val="nil"/>
                    <w:left w:val="nil"/>
                    <w:bottom w:val="single" w:sz="8" w:space="0" w:color="FFFFFF"/>
                    <w:right w:val="single" w:sz="8" w:space="0" w:color="FFFFFF"/>
                  </w:tcBorders>
                  <w:shd w:val="clear" w:color="000000" w:fill="FDE9D9"/>
                  <w:noWrap/>
                  <w:vAlign w:val="center"/>
                  <w:hideMark/>
                </w:tcPr>
                <w:p w14:paraId="065B2767" w14:textId="7D13DC8E"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720359E1" w14:textId="0E38493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3.2 </w:t>
                  </w:r>
                </w:p>
              </w:tc>
              <w:tc>
                <w:tcPr>
                  <w:tcW w:w="920" w:type="dxa"/>
                  <w:tcBorders>
                    <w:top w:val="nil"/>
                    <w:left w:val="nil"/>
                    <w:bottom w:val="single" w:sz="8" w:space="0" w:color="FFFFFF"/>
                    <w:right w:val="single" w:sz="8" w:space="0" w:color="FFFFFF"/>
                  </w:tcBorders>
                  <w:shd w:val="clear" w:color="000000" w:fill="FDE9D9"/>
                  <w:noWrap/>
                  <w:vAlign w:val="center"/>
                  <w:hideMark/>
                </w:tcPr>
                <w:p w14:paraId="059C072D" w14:textId="286020F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2.2 </w:t>
                  </w:r>
                </w:p>
              </w:tc>
              <w:tc>
                <w:tcPr>
                  <w:tcW w:w="920" w:type="dxa"/>
                  <w:tcBorders>
                    <w:top w:val="nil"/>
                    <w:left w:val="nil"/>
                    <w:bottom w:val="single" w:sz="8" w:space="0" w:color="FFFFFF"/>
                    <w:right w:val="single" w:sz="8" w:space="0" w:color="FFFFFF"/>
                  </w:tcBorders>
                  <w:shd w:val="clear" w:color="000000" w:fill="FDE9D9"/>
                  <w:noWrap/>
                  <w:vAlign w:val="center"/>
                  <w:hideMark/>
                </w:tcPr>
                <w:p w14:paraId="4DCBF554" w14:textId="6A6706E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3.2 </w:t>
                  </w:r>
                </w:p>
              </w:tc>
              <w:tc>
                <w:tcPr>
                  <w:tcW w:w="920" w:type="dxa"/>
                  <w:tcBorders>
                    <w:top w:val="nil"/>
                    <w:left w:val="nil"/>
                    <w:bottom w:val="single" w:sz="8" w:space="0" w:color="FFFFFF"/>
                    <w:right w:val="single" w:sz="8" w:space="0" w:color="FFFFFF"/>
                  </w:tcBorders>
                  <w:shd w:val="clear" w:color="000000" w:fill="FDE9D9"/>
                  <w:noWrap/>
                  <w:vAlign w:val="center"/>
                  <w:hideMark/>
                </w:tcPr>
                <w:p w14:paraId="248F8942" w14:textId="20601BB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3.2 </w:t>
                  </w:r>
                </w:p>
              </w:tc>
            </w:tr>
            <w:tr w:rsidR="00B76849" w:rsidRPr="003F4793" w14:paraId="30D8B86F"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34C7AF72" w14:textId="0A71226C"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6BA27B0F" w14:textId="5467EC1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0.3 </w:t>
                  </w:r>
                </w:p>
              </w:tc>
              <w:tc>
                <w:tcPr>
                  <w:tcW w:w="920" w:type="dxa"/>
                  <w:tcBorders>
                    <w:top w:val="nil"/>
                    <w:left w:val="nil"/>
                    <w:bottom w:val="single" w:sz="8" w:space="0" w:color="FFFFFF"/>
                    <w:right w:val="single" w:sz="8" w:space="0" w:color="FFFFFF"/>
                  </w:tcBorders>
                  <w:shd w:val="clear" w:color="000000" w:fill="FCD5B4"/>
                  <w:noWrap/>
                  <w:vAlign w:val="center"/>
                  <w:hideMark/>
                </w:tcPr>
                <w:p w14:paraId="5357D5B3" w14:textId="4AD48E2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2.3 </w:t>
                  </w:r>
                </w:p>
              </w:tc>
              <w:tc>
                <w:tcPr>
                  <w:tcW w:w="920" w:type="dxa"/>
                  <w:tcBorders>
                    <w:top w:val="nil"/>
                    <w:left w:val="nil"/>
                    <w:bottom w:val="single" w:sz="8" w:space="0" w:color="FFFFFF"/>
                    <w:right w:val="single" w:sz="8" w:space="0" w:color="FFFFFF"/>
                  </w:tcBorders>
                  <w:shd w:val="clear" w:color="000000" w:fill="FCD5B4"/>
                  <w:noWrap/>
                  <w:vAlign w:val="center"/>
                  <w:hideMark/>
                </w:tcPr>
                <w:p w14:paraId="6BAE198E" w14:textId="7C67177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2.3 </w:t>
                  </w:r>
                </w:p>
              </w:tc>
              <w:tc>
                <w:tcPr>
                  <w:tcW w:w="920" w:type="dxa"/>
                  <w:tcBorders>
                    <w:top w:val="nil"/>
                    <w:left w:val="nil"/>
                    <w:bottom w:val="single" w:sz="8" w:space="0" w:color="FFFFFF"/>
                    <w:right w:val="single" w:sz="8" w:space="0" w:color="FFFFFF"/>
                  </w:tcBorders>
                  <w:shd w:val="clear" w:color="000000" w:fill="FCD5B4"/>
                  <w:noWrap/>
                  <w:vAlign w:val="center"/>
                  <w:hideMark/>
                </w:tcPr>
                <w:p w14:paraId="11173B26" w14:textId="12301756"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1.3 </w:t>
                  </w:r>
                </w:p>
              </w:tc>
              <w:tc>
                <w:tcPr>
                  <w:tcW w:w="1149" w:type="dxa"/>
                  <w:tcBorders>
                    <w:top w:val="nil"/>
                    <w:left w:val="nil"/>
                    <w:bottom w:val="single" w:sz="8" w:space="0" w:color="FFFFFF"/>
                    <w:right w:val="single" w:sz="8" w:space="0" w:color="FFFFFF"/>
                  </w:tcBorders>
                  <w:shd w:val="clear" w:color="000000" w:fill="FCD5B4"/>
                  <w:noWrap/>
                  <w:vAlign w:val="center"/>
                  <w:hideMark/>
                </w:tcPr>
                <w:p w14:paraId="4344DD46" w14:textId="31275502"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3E9904F" w14:textId="6E8C3EB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1.1 </w:t>
                  </w:r>
                </w:p>
              </w:tc>
              <w:tc>
                <w:tcPr>
                  <w:tcW w:w="920" w:type="dxa"/>
                  <w:tcBorders>
                    <w:top w:val="nil"/>
                    <w:left w:val="nil"/>
                    <w:bottom w:val="single" w:sz="8" w:space="0" w:color="FFFFFF"/>
                    <w:right w:val="single" w:sz="8" w:space="0" w:color="FFFFFF"/>
                  </w:tcBorders>
                  <w:shd w:val="clear" w:color="000000" w:fill="FCD5B4"/>
                  <w:noWrap/>
                  <w:vAlign w:val="center"/>
                  <w:hideMark/>
                </w:tcPr>
                <w:p w14:paraId="72520448" w14:textId="1164CDE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3.1 </w:t>
                  </w:r>
                </w:p>
              </w:tc>
              <w:tc>
                <w:tcPr>
                  <w:tcW w:w="920" w:type="dxa"/>
                  <w:tcBorders>
                    <w:top w:val="nil"/>
                    <w:left w:val="nil"/>
                    <w:bottom w:val="single" w:sz="8" w:space="0" w:color="FFFFFF"/>
                    <w:right w:val="single" w:sz="8" w:space="0" w:color="FFFFFF"/>
                  </w:tcBorders>
                  <w:shd w:val="clear" w:color="000000" w:fill="FCD5B4"/>
                  <w:noWrap/>
                  <w:vAlign w:val="center"/>
                  <w:hideMark/>
                </w:tcPr>
                <w:p w14:paraId="4F7B3956" w14:textId="648B8C9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3.1 </w:t>
                  </w:r>
                </w:p>
              </w:tc>
              <w:tc>
                <w:tcPr>
                  <w:tcW w:w="920" w:type="dxa"/>
                  <w:tcBorders>
                    <w:top w:val="nil"/>
                    <w:left w:val="nil"/>
                    <w:bottom w:val="single" w:sz="8" w:space="0" w:color="FFFFFF"/>
                    <w:right w:val="single" w:sz="8" w:space="0" w:color="FFFFFF"/>
                  </w:tcBorders>
                  <w:shd w:val="clear" w:color="000000" w:fill="FCD5B4"/>
                  <w:noWrap/>
                  <w:vAlign w:val="center"/>
                  <w:hideMark/>
                </w:tcPr>
                <w:p w14:paraId="455389C2" w14:textId="12620AB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2.1 </w:t>
                  </w:r>
                </w:p>
              </w:tc>
            </w:tr>
            <w:tr w:rsidR="00B76849" w:rsidRPr="003F4793" w14:paraId="6A7B0CBC"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052855D1" w14:textId="0B4B9762"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7770DE15" w14:textId="5978433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4.5 </w:t>
                  </w:r>
                </w:p>
              </w:tc>
              <w:tc>
                <w:tcPr>
                  <w:tcW w:w="920" w:type="dxa"/>
                  <w:tcBorders>
                    <w:top w:val="nil"/>
                    <w:left w:val="nil"/>
                    <w:bottom w:val="single" w:sz="8" w:space="0" w:color="FFFFFF"/>
                    <w:right w:val="single" w:sz="8" w:space="0" w:color="FFFFFF"/>
                  </w:tcBorders>
                  <w:shd w:val="clear" w:color="000000" w:fill="FDE9D9"/>
                  <w:noWrap/>
                  <w:vAlign w:val="center"/>
                  <w:hideMark/>
                </w:tcPr>
                <w:p w14:paraId="4004BD72" w14:textId="25C22E9A"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3.5 </w:t>
                  </w:r>
                </w:p>
              </w:tc>
              <w:tc>
                <w:tcPr>
                  <w:tcW w:w="920" w:type="dxa"/>
                  <w:tcBorders>
                    <w:top w:val="nil"/>
                    <w:left w:val="nil"/>
                    <w:bottom w:val="single" w:sz="8" w:space="0" w:color="FFFFFF"/>
                    <w:right w:val="single" w:sz="8" w:space="0" w:color="FFFFFF"/>
                  </w:tcBorders>
                  <w:shd w:val="clear" w:color="000000" w:fill="FDE9D9"/>
                  <w:noWrap/>
                  <w:vAlign w:val="center"/>
                  <w:hideMark/>
                </w:tcPr>
                <w:p w14:paraId="10E494F6" w14:textId="1B82595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2.5 </w:t>
                  </w:r>
                </w:p>
              </w:tc>
              <w:tc>
                <w:tcPr>
                  <w:tcW w:w="920" w:type="dxa"/>
                  <w:tcBorders>
                    <w:top w:val="nil"/>
                    <w:left w:val="nil"/>
                    <w:bottom w:val="single" w:sz="8" w:space="0" w:color="FFFFFF"/>
                    <w:right w:val="single" w:sz="8" w:space="0" w:color="FFFFFF"/>
                  </w:tcBorders>
                  <w:shd w:val="clear" w:color="000000" w:fill="FDE9D9"/>
                  <w:noWrap/>
                  <w:vAlign w:val="center"/>
                  <w:hideMark/>
                </w:tcPr>
                <w:p w14:paraId="2C334CFA" w14:textId="19E228A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1.5 </w:t>
                  </w:r>
                </w:p>
              </w:tc>
              <w:tc>
                <w:tcPr>
                  <w:tcW w:w="1149" w:type="dxa"/>
                  <w:tcBorders>
                    <w:top w:val="nil"/>
                    <w:left w:val="nil"/>
                    <w:bottom w:val="single" w:sz="8" w:space="0" w:color="FFFFFF"/>
                    <w:right w:val="single" w:sz="8" w:space="0" w:color="FFFFFF"/>
                  </w:tcBorders>
                  <w:shd w:val="clear" w:color="000000" w:fill="FDE9D9"/>
                  <w:noWrap/>
                  <w:vAlign w:val="center"/>
                  <w:hideMark/>
                </w:tcPr>
                <w:p w14:paraId="471CE1B8" w14:textId="49CED603"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A0C33F3" w14:textId="3C2F416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3.8 </w:t>
                  </w:r>
                </w:p>
              </w:tc>
              <w:tc>
                <w:tcPr>
                  <w:tcW w:w="920" w:type="dxa"/>
                  <w:tcBorders>
                    <w:top w:val="nil"/>
                    <w:left w:val="nil"/>
                    <w:bottom w:val="single" w:sz="8" w:space="0" w:color="FFFFFF"/>
                    <w:right w:val="single" w:sz="8" w:space="0" w:color="FFFFFF"/>
                  </w:tcBorders>
                  <w:shd w:val="clear" w:color="000000" w:fill="FDE9D9"/>
                  <w:noWrap/>
                  <w:vAlign w:val="center"/>
                  <w:hideMark/>
                </w:tcPr>
                <w:p w14:paraId="0131BE88" w14:textId="67D7EF4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2.8 </w:t>
                  </w:r>
                </w:p>
              </w:tc>
              <w:tc>
                <w:tcPr>
                  <w:tcW w:w="920" w:type="dxa"/>
                  <w:tcBorders>
                    <w:top w:val="nil"/>
                    <w:left w:val="nil"/>
                    <w:bottom w:val="single" w:sz="8" w:space="0" w:color="FFFFFF"/>
                    <w:right w:val="single" w:sz="8" w:space="0" w:color="FFFFFF"/>
                  </w:tcBorders>
                  <w:shd w:val="clear" w:color="000000" w:fill="FDE9D9"/>
                  <w:noWrap/>
                  <w:vAlign w:val="center"/>
                  <w:hideMark/>
                </w:tcPr>
                <w:p w14:paraId="6C67254B" w14:textId="1EB5A05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1.8 </w:t>
                  </w:r>
                </w:p>
              </w:tc>
              <w:tc>
                <w:tcPr>
                  <w:tcW w:w="920" w:type="dxa"/>
                  <w:tcBorders>
                    <w:top w:val="nil"/>
                    <w:left w:val="nil"/>
                    <w:bottom w:val="single" w:sz="8" w:space="0" w:color="FFFFFF"/>
                    <w:right w:val="single" w:sz="8" w:space="0" w:color="FFFFFF"/>
                  </w:tcBorders>
                  <w:shd w:val="clear" w:color="000000" w:fill="FDE9D9"/>
                  <w:noWrap/>
                  <w:vAlign w:val="center"/>
                  <w:hideMark/>
                </w:tcPr>
                <w:p w14:paraId="4C0EAFCC" w14:textId="359A1A44"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 xml:space="preserve">0.8 </w:t>
                  </w:r>
                </w:p>
              </w:tc>
            </w:tr>
            <w:tr w:rsidR="00B76849" w:rsidRPr="003F4793" w14:paraId="3B417DAA" w14:textId="77777777" w:rsidTr="00E10EDA">
              <w:trPr>
                <w:trHeight w:val="310"/>
              </w:trPr>
              <w:tc>
                <w:tcPr>
                  <w:tcW w:w="1309" w:type="dxa"/>
                  <w:tcBorders>
                    <w:top w:val="nil"/>
                    <w:left w:val="nil"/>
                    <w:bottom w:val="nil"/>
                    <w:right w:val="nil"/>
                  </w:tcBorders>
                  <w:shd w:val="clear" w:color="000000" w:fill="FCD5B4"/>
                  <w:noWrap/>
                  <w:vAlign w:val="center"/>
                  <w:hideMark/>
                </w:tcPr>
                <w:p w14:paraId="0DA46A28" w14:textId="1C63D23E"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77893C8C" w14:textId="63CB4FC5" w:rsidR="00B76849" w:rsidRPr="003F4793" w:rsidRDefault="00B76849" w:rsidP="00B76849">
                  <w:pPr>
                    <w:widowControl/>
                    <w:jc w:val="center"/>
                    <w:rPr>
                      <w:rFonts w:ascii="KaiTi" w:eastAsia="KaiTi" w:hAnsi="KaiTi" w:cs="Calibri"/>
                      <w:color w:val="000000"/>
                      <w:kern w:val="0"/>
                      <w:szCs w:val="21"/>
                    </w:rPr>
                  </w:pPr>
                  <w:r>
                    <w:rPr>
                      <w:rFonts w:eastAsia="等线" w:cs="Calibri"/>
                      <w:color w:val="FF0000"/>
                      <w:szCs w:val="21"/>
                    </w:rPr>
                    <w:t xml:space="preserve">-0.5 </w:t>
                  </w:r>
                </w:p>
              </w:tc>
              <w:tc>
                <w:tcPr>
                  <w:tcW w:w="920" w:type="dxa"/>
                  <w:tcBorders>
                    <w:top w:val="nil"/>
                    <w:left w:val="nil"/>
                    <w:bottom w:val="single" w:sz="8" w:space="0" w:color="FFFFFF"/>
                    <w:right w:val="single" w:sz="8" w:space="0" w:color="FFFFFF"/>
                  </w:tcBorders>
                  <w:shd w:val="clear" w:color="000000" w:fill="FCD5B4"/>
                  <w:noWrap/>
                  <w:vAlign w:val="center"/>
                  <w:hideMark/>
                </w:tcPr>
                <w:p w14:paraId="66E4B3A7" w14:textId="299D254C" w:rsidR="00B76849" w:rsidRPr="003F4793" w:rsidRDefault="00B76849" w:rsidP="00B76849">
                  <w:pPr>
                    <w:widowControl/>
                    <w:jc w:val="center"/>
                    <w:rPr>
                      <w:rFonts w:ascii="KaiTi" w:eastAsia="KaiTi" w:hAnsi="KaiTi" w:cs="Calibri"/>
                      <w:color w:val="000000"/>
                      <w:kern w:val="0"/>
                      <w:szCs w:val="21"/>
                    </w:rPr>
                  </w:pPr>
                  <w:r>
                    <w:rPr>
                      <w:rFonts w:eastAsia="等线" w:cs="Calibri"/>
                      <w:color w:val="FF0000"/>
                      <w:szCs w:val="21"/>
                    </w:rPr>
                    <w:t xml:space="preserve">-1.5 </w:t>
                  </w:r>
                </w:p>
              </w:tc>
              <w:tc>
                <w:tcPr>
                  <w:tcW w:w="920" w:type="dxa"/>
                  <w:tcBorders>
                    <w:top w:val="nil"/>
                    <w:left w:val="nil"/>
                    <w:bottom w:val="single" w:sz="8" w:space="0" w:color="FFFFFF"/>
                    <w:right w:val="single" w:sz="8" w:space="0" w:color="FFFFFF"/>
                  </w:tcBorders>
                  <w:shd w:val="clear" w:color="000000" w:fill="FCD5B4"/>
                  <w:noWrap/>
                  <w:vAlign w:val="center"/>
                  <w:hideMark/>
                </w:tcPr>
                <w:p w14:paraId="6ECD03FA" w14:textId="570C4AB1" w:rsidR="00B76849" w:rsidRPr="003F4793" w:rsidRDefault="00B76849" w:rsidP="00B76849">
                  <w:pPr>
                    <w:widowControl/>
                    <w:jc w:val="center"/>
                    <w:rPr>
                      <w:rFonts w:ascii="KaiTi" w:eastAsia="KaiTi" w:hAnsi="KaiTi" w:cs="Calibri"/>
                      <w:color w:val="000000"/>
                      <w:kern w:val="0"/>
                      <w:szCs w:val="21"/>
                    </w:rPr>
                  </w:pPr>
                  <w:r>
                    <w:rPr>
                      <w:rFonts w:eastAsia="等线" w:cs="Calibri"/>
                      <w:color w:val="FF0000"/>
                      <w:szCs w:val="21"/>
                    </w:rPr>
                    <w:t xml:space="preserve">-1.5 </w:t>
                  </w:r>
                </w:p>
              </w:tc>
              <w:tc>
                <w:tcPr>
                  <w:tcW w:w="920" w:type="dxa"/>
                  <w:tcBorders>
                    <w:top w:val="nil"/>
                    <w:left w:val="nil"/>
                    <w:bottom w:val="single" w:sz="8" w:space="0" w:color="FFFFFF"/>
                    <w:right w:val="single" w:sz="8" w:space="0" w:color="FFFFFF"/>
                  </w:tcBorders>
                  <w:shd w:val="clear" w:color="000000" w:fill="FCD5B4"/>
                  <w:noWrap/>
                  <w:vAlign w:val="center"/>
                  <w:hideMark/>
                </w:tcPr>
                <w:p w14:paraId="4A1E86C1" w14:textId="71EDF07D" w:rsidR="00B76849" w:rsidRPr="003F4793" w:rsidRDefault="00B76849" w:rsidP="00B76849">
                  <w:pPr>
                    <w:widowControl/>
                    <w:jc w:val="center"/>
                    <w:rPr>
                      <w:rFonts w:ascii="KaiTi" w:eastAsia="KaiTi" w:hAnsi="KaiTi" w:cs="Calibri"/>
                      <w:color w:val="000000"/>
                      <w:kern w:val="0"/>
                      <w:szCs w:val="21"/>
                    </w:rPr>
                  </w:pPr>
                  <w:r>
                    <w:rPr>
                      <w:rFonts w:eastAsia="等线" w:cs="Calibri"/>
                      <w:color w:val="FF0000"/>
                      <w:szCs w:val="21"/>
                    </w:rPr>
                    <w:t xml:space="preserve">-2.5 </w:t>
                  </w:r>
                </w:p>
              </w:tc>
              <w:tc>
                <w:tcPr>
                  <w:tcW w:w="1149" w:type="dxa"/>
                  <w:tcBorders>
                    <w:top w:val="nil"/>
                    <w:left w:val="nil"/>
                    <w:bottom w:val="nil"/>
                    <w:right w:val="nil"/>
                  </w:tcBorders>
                  <w:shd w:val="clear" w:color="000000" w:fill="FCD5B4"/>
                  <w:noWrap/>
                  <w:vAlign w:val="center"/>
                  <w:hideMark/>
                </w:tcPr>
                <w:p w14:paraId="10247A8D" w14:textId="582146C8"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627E1DEE" w14:textId="55489009" w:rsidR="00B76849" w:rsidRPr="003F4793" w:rsidRDefault="00B76849" w:rsidP="00B76849">
                  <w:pPr>
                    <w:widowControl/>
                    <w:jc w:val="center"/>
                    <w:rPr>
                      <w:rFonts w:ascii="KaiTi" w:eastAsia="KaiTi" w:hAnsi="KaiTi" w:cs="Calibri"/>
                      <w:color w:val="000000"/>
                      <w:kern w:val="0"/>
                      <w:szCs w:val="21"/>
                    </w:rPr>
                  </w:pPr>
                  <w:r>
                    <w:rPr>
                      <w:rFonts w:eastAsia="等线" w:cs="Calibri"/>
                      <w:color w:val="FF0000"/>
                      <w:szCs w:val="21"/>
                    </w:rPr>
                    <w:t xml:space="preserve">-2.8 </w:t>
                  </w:r>
                </w:p>
              </w:tc>
              <w:tc>
                <w:tcPr>
                  <w:tcW w:w="920" w:type="dxa"/>
                  <w:tcBorders>
                    <w:top w:val="nil"/>
                    <w:left w:val="nil"/>
                    <w:bottom w:val="single" w:sz="8" w:space="0" w:color="FFFFFF"/>
                    <w:right w:val="single" w:sz="8" w:space="0" w:color="FFFFFF"/>
                  </w:tcBorders>
                  <w:shd w:val="clear" w:color="000000" w:fill="FCD5B4"/>
                  <w:noWrap/>
                  <w:vAlign w:val="center"/>
                  <w:hideMark/>
                </w:tcPr>
                <w:p w14:paraId="1B4F21D5" w14:textId="04C0E794" w:rsidR="00B76849" w:rsidRPr="003F4793" w:rsidRDefault="00B76849" w:rsidP="00B76849">
                  <w:pPr>
                    <w:widowControl/>
                    <w:jc w:val="center"/>
                    <w:rPr>
                      <w:rFonts w:ascii="KaiTi" w:eastAsia="KaiTi" w:hAnsi="KaiTi" w:cs="Calibri"/>
                      <w:color w:val="000000"/>
                      <w:kern w:val="0"/>
                      <w:szCs w:val="21"/>
                    </w:rPr>
                  </w:pPr>
                  <w:r>
                    <w:rPr>
                      <w:rFonts w:eastAsia="等线" w:cs="Calibri"/>
                      <w:color w:val="FF0000"/>
                      <w:szCs w:val="21"/>
                    </w:rPr>
                    <w:t xml:space="preserve">-3.8 </w:t>
                  </w:r>
                </w:p>
              </w:tc>
              <w:tc>
                <w:tcPr>
                  <w:tcW w:w="920" w:type="dxa"/>
                  <w:tcBorders>
                    <w:top w:val="nil"/>
                    <w:left w:val="nil"/>
                    <w:bottom w:val="single" w:sz="8" w:space="0" w:color="FFFFFF"/>
                    <w:right w:val="single" w:sz="8" w:space="0" w:color="FFFFFF"/>
                  </w:tcBorders>
                  <w:shd w:val="clear" w:color="000000" w:fill="FCD5B4"/>
                  <w:noWrap/>
                  <w:vAlign w:val="center"/>
                  <w:hideMark/>
                </w:tcPr>
                <w:p w14:paraId="45D1B136" w14:textId="230E595C" w:rsidR="00B76849" w:rsidRPr="003F4793" w:rsidRDefault="00B76849" w:rsidP="00B76849">
                  <w:pPr>
                    <w:widowControl/>
                    <w:jc w:val="center"/>
                    <w:rPr>
                      <w:rFonts w:ascii="KaiTi" w:eastAsia="KaiTi" w:hAnsi="KaiTi" w:cs="Calibri"/>
                      <w:color w:val="000000"/>
                      <w:kern w:val="0"/>
                      <w:szCs w:val="21"/>
                    </w:rPr>
                  </w:pPr>
                  <w:r>
                    <w:rPr>
                      <w:rFonts w:eastAsia="等线" w:cs="Calibri"/>
                      <w:color w:val="FF0000"/>
                      <w:szCs w:val="21"/>
                    </w:rPr>
                    <w:t xml:space="preserve">-3.8 </w:t>
                  </w:r>
                </w:p>
              </w:tc>
              <w:tc>
                <w:tcPr>
                  <w:tcW w:w="920" w:type="dxa"/>
                  <w:tcBorders>
                    <w:top w:val="nil"/>
                    <w:left w:val="nil"/>
                    <w:bottom w:val="single" w:sz="8" w:space="0" w:color="FFFFFF"/>
                    <w:right w:val="single" w:sz="8" w:space="0" w:color="FFFFFF"/>
                  </w:tcBorders>
                  <w:shd w:val="clear" w:color="000000" w:fill="FCD5B4"/>
                  <w:noWrap/>
                  <w:vAlign w:val="center"/>
                  <w:hideMark/>
                </w:tcPr>
                <w:p w14:paraId="18882D60" w14:textId="6CAFB6DB" w:rsidR="00B76849" w:rsidRPr="003F4793" w:rsidRDefault="00B76849" w:rsidP="00B76849">
                  <w:pPr>
                    <w:widowControl/>
                    <w:jc w:val="center"/>
                    <w:rPr>
                      <w:rFonts w:ascii="KaiTi" w:eastAsia="KaiTi" w:hAnsi="KaiTi" w:cs="Calibri"/>
                      <w:color w:val="000000"/>
                      <w:kern w:val="0"/>
                      <w:szCs w:val="21"/>
                    </w:rPr>
                  </w:pPr>
                  <w:r>
                    <w:rPr>
                      <w:rFonts w:eastAsia="等线" w:cs="Calibri"/>
                      <w:color w:val="FF0000"/>
                      <w:szCs w:val="21"/>
                    </w:rPr>
                    <w:t xml:space="preserve">-4.8 </w:t>
                  </w:r>
                </w:p>
              </w:tc>
            </w:tr>
            <w:tr w:rsidR="00B76849" w:rsidRPr="003F4793" w14:paraId="42AE38BD" w14:textId="77777777" w:rsidTr="00E10EDA">
              <w:trPr>
                <w:trHeight w:val="160"/>
              </w:trPr>
              <w:tc>
                <w:tcPr>
                  <w:tcW w:w="1309" w:type="dxa"/>
                  <w:tcBorders>
                    <w:top w:val="nil"/>
                    <w:left w:val="nil"/>
                    <w:bottom w:val="nil"/>
                    <w:right w:val="nil"/>
                  </w:tcBorders>
                  <w:shd w:val="clear" w:color="auto" w:fill="auto"/>
                  <w:noWrap/>
                  <w:vAlign w:val="center"/>
                  <w:hideMark/>
                </w:tcPr>
                <w:p w14:paraId="5A7EA8AA" w14:textId="77777777" w:rsidR="00B76849" w:rsidRPr="003F4793" w:rsidRDefault="00B76849" w:rsidP="00B76849">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vAlign w:val="center"/>
                  <w:hideMark/>
                </w:tcPr>
                <w:p w14:paraId="48196DA8"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12908F17"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4ECE1CA7"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542E0E74" w14:textId="77777777" w:rsidR="00B76849" w:rsidRPr="003F4793" w:rsidRDefault="00B76849" w:rsidP="00B76849">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vAlign w:val="center"/>
                  <w:hideMark/>
                </w:tcPr>
                <w:p w14:paraId="05ED658A"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7F5D1A19"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31BF2F6A"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0E8AB294" w14:textId="77777777" w:rsidR="00B76849" w:rsidRPr="003F4793" w:rsidRDefault="00B76849" w:rsidP="00B76849">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vAlign w:val="center"/>
                  <w:hideMark/>
                </w:tcPr>
                <w:p w14:paraId="79F18CA9" w14:textId="77777777" w:rsidR="00B76849" w:rsidRPr="003F4793" w:rsidRDefault="00B76849" w:rsidP="00B76849">
                  <w:pPr>
                    <w:widowControl/>
                    <w:jc w:val="center"/>
                    <w:rPr>
                      <w:rFonts w:ascii="KaiTi" w:eastAsia="KaiTi" w:hAnsi="KaiTi"/>
                      <w:kern w:val="0"/>
                      <w:sz w:val="20"/>
                      <w:szCs w:val="20"/>
                    </w:rPr>
                  </w:pPr>
                </w:p>
              </w:tc>
            </w:tr>
            <w:tr w:rsidR="00B76849" w:rsidRPr="003F4793" w14:paraId="2463192E" w14:textId="77777777" w:rsidTr="00E10EDA">
              <w:trPr>
                <w:trHeight w:val="310"/>
              </w:trPr>
              <w:tc>
                <w:tcPr>
                  <w:tcW w:w="1309" w:type="dxa"/>
                  <w:tcBorders>
                    <w:top w:val="nil"/>
                    <w:left w:val="nil"/>
                    <w:bottom w:val="single" w:sz="12" w:space="0" w:color="FFFFFF"/>
                    <w:right w:val="single" w:sz="8" w:space="0" w:color="FFFFFF"/>
                  </w:tcBorders>
                  <w:shd w:val="clear" w:color="000000" w:fill="F79646"/>
                  <w:noWrap/>
                  <w:vAlign w:val="center"/>
                  <w:hideMark/>
                </w:tcPr>
                <w:p w14:paraId="30C3828D" w14:textId="1D6E8886"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收益率分位</w:t>
                  </w:r>
                </w:p>
              </w:tc>
              <w:tc>
                <w:tcPr>
                  <w:tcW w:w="740" w:type="dxa"/>
                  <w:tcBorders>
                    <w:top w:val="nil"/>
                    <w:left w:val="nil"/>
                    <w:bottom w:val="single" w:sz="12" w:space="0" w:color="FFFFFF"/>
                    <w:right w:val="single" w:sz="8" w:space="0" w:color="FFFFFF"/>
                  </w:tcBorders>
                  <w:shd w:val="clear" w:color="000000" w:fill="F79646"/>
                  <w:noWrap/>
                  <w:vAlign w:val="center"/>
                  <w:hideMark/>
                </w:tcPr>
                <w:p w14:paraId="57743789" w14:textId="06A7A8FC"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0835438" w14:textId="536732F6"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942ACD3" w14:textId="59BF8316"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DED1B9B" w14:textId="6DCDE6DA"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4C48D3F0" w14:textId="10BBA75C"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20F774BB" w14:textId="2B587763"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5045FBE8" w14:textId="31B5904F"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7DDC22F" w14:textId="2108F4F2"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16F42D2" w14:textId="58875F54" w:rsidR="00B76849" w:rsidRPr="003F4793" w:rsidRDefault="00B76849" w:rsidP="00B76849">
                  <w:pPr>
                    <w:widowControl/>
                    <w:jc w:val="center"/>
                    <w:rPr>
                      <w:rFonts w:ascii="KaiTi" w:eastAsia="KaiTi" w:hAnsi="KaiTi" w:cs="宋体"/>
                      <w:b/>
                      <w:bCs/>
                      <w:color w:val="FFFFFF"/>
                      <w:kern w:val="0"/>
                      <w:sz w:val="20"/>
                      <w:szCs w:val="20"/>
                    </w:rPr>
                  </w:pPr>
                  <w:r>
                    <w:rPr>
                      <w:rFonts w:ascii="楷体" w:eastAsia="楷体" w:hAnsi="楷体" w:hint="eastAsia"/>
                      <w:b/>
                      <w:bCs/>
                      <w:color w:val="FFFFFF"/>
                      <w:sz w:val="20"/>
                      <w:szCs w:val="20"/>
                    </w:rPr>
                    <w:t>AA-</w:t>
                  </w:r>
                </w:p>
              </w:tc>
            </w:tr>
            <w:tr w:rsidR="00B76849" w:rsidRPr="003F4793" w14:paraId="6BCEED0C" w14:textId="77777777" w:rsidTr="00E10EDA">
              <w:trPr>
                <w:trHeight w:val="321"/>
              </w:trPr>
              <w:tc>
                <w:tcPr>
                  <w:tcW w:w="1309" w:type="dxa"/>
                  <w:tcBorders>
                    <w:top w:val="nil"/>
                    <w:left w:val="nil"/>
                    <w:bottom w:val="single" w:sz="8" w:space="0" w:color="FFFFFF"/>
                    <w:right w:val="single" w:sz="8" w:space="0" w:color="FFFFFF"/>
                  </w:tcBorders>
                  <w:shd w:val="clear" w:color="000000" w:fill="FCD5B4"/>
                  <w:noWrap/>
                  <w:vAlign w:val="center"/>
                  <w:hideMark/>
                </w:tcPr>
                <w:p w14:paraId="08C9B79B" w14:textId="0DF1C0E8"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lastRenderedPageBreak/>
                    <w:t>CP</w:t>
                  </w:r>
                </w:p>
              </w:tc>
              <w:tc>
                <w:tcPr>
                  <w:tcW w:w="740" w:type="dxa"/>
                  <w:tcBorders>
                    <w:top w:val="nil"/>
                    <w:left w:val="nil"/>
                    <w:bottom w:val="single" w:sz="8" w:space="0" w:color="FFFFFF"/>
                    <w:right w:val="single" w:sz="8" w:space="0" w:color="FFFFFF"/>
                  </w:tcBorders>
                  <w:shd w:val="clear" w:color="000000" w:fill="FCD5B4"/>
                  <w:noWrap/>
                  <w:vAlign w:val="center"/>
                  <w:hideMark/>
                </w:tcPr>
                <w:p w14:paraId="3D9575A3" w14:textId="36458C45"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13%</w:t>
                  </w:r>
                </w:p>
              </w:tc>
              <w:tc>
                <w:tcPr>
                  <w:tcW w:w="920" w:type="dxa"/>
                  <w:tcBorders>
                    <w:top w:val="nil"/>
                    <w:left w:val="nil"/>
                    <w:bottom w:val="single" w:sz="8" w:space="0" w:color="FFFFFF"/>
                    <w:right w:val="single" w:sz="8" w:space="0" w:color="FFFFFF"/>
                  </w:tcBorders>
                  <w:shd w:val="clear" w:color="000000" w:fill="FCD5B4"/>
                  <w:noWrap/>
                  <w:vAlign w:val="center"/>
                  <w:hideMark/>
                </w:tcPr>
                <w:p w14:paraId="29CEB283" w14:textId="48B39FFE"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79A327E6" w14:textId="5F0A33F2"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033E9A5E" w14:textId="7BC43D1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44%</w:t>
                  </w:r>
                </w:p>
              </w:tc>
              <w:tc>
                <w:tcPr>
                  <w:tcW w:w="1149" w:type="dxa"/>
                  <w:tcBorders>
                    <w:top w:val="nil"/>
                    <w:left w:val="nil"/>
                    <w:bottom w:val="single" w:sz="8" w:space="0" w:color="FFFFFF"/>
                    <w:right w:val="single" w:sz="8" w:space="0" w:color="FFFFFF"/>
                  </w:tcBorders>
                  <w:shd w:val="clear" w:color="000000" w:fill="FCD5B4"/>
                  <w:noWrap/>
                  <w:vAlign w:val="center"/>
                  <w:hideMark/>
                </w:tcPr>
                <w:p w14:paraId="13B4CCB6" w14:textId="70FF5BE2"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1A1E1D51" w14:textId="147B729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CD5B4"/>
                  <w:noWrap/>
                  <w:vAlign w:val="center"/>
                  <w:hideMark/>
                </w:tcPr>
                <w:p w14:paraId="10576394" w14:textId="12852B4E"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CD5B4"/>
                  <w:noWrap/>
                  <w:vAlign w:val="center"/>
                  <w:hideMark/>
                </w:tcPr>
                <w:p w14:paraId="0393CC42" w14:textId="05DBEB2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CD5B4"/>
                  <w:noWrap/>
                  <w:vAlign w:val="center"/>
                  <w:hideMark/>
                </w:tcPr>
                <w:p w14:paraId="580FA8E3" w14:textId="67BD9ECE"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56%</w:t>
                  </w:r>
                </w:p>
              </w:tc>
            </w:tr>
            <w:tr w:rsidR="00B76849" w:rsidRPr="003F4793" w14:paraId="3DF945E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7C68C45D" w14:textId="4CC56EAA"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740" w:type="dxa"/>
                  <w:tcBorders>
                    <w:top w:val="nil"/>
                    <w:left w:val="nil"/>
                    <w:bottom w:val="single" w:sz="8" w:space="0" w:color="FFFFFF"/>
                    <w:right w:val="single" w:sz="8" w:space="0" w:color="FFFFFF"/>
                  </w:tcBorders>
                  <w:shd w:val="clear" w:color="000000" w:fill="FDE9D9"/>
                  <w:noWrap/>
                  <w:vAlign w:val="center"/>
                  <w:hideMark/>
                </w:tcPr>
                <w:p w14:paraId="5A423046" w14:textId="42A9CF1E"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DE9D9"/>
                  <w:noWrap/>
                  <w:vAlign w:val="center"/>
                  <w:hideMark/>
                </w:tcPr>
                <w:p w14:paraId="3842DD73" w14:textId="29BDE28F"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78364D74" w14:textId="1D537F8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DE9D9"/>
                  <w:noWrap/>
                  <w:vAlign w:val="center"/>
                  <w:hideMark/>
                </w:tcPr>
                <w:p w14:paraId="564662AF" w14:textId="2F3C702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52%</w:t>
                  </w:r>
                </w:p>
              </w:tc>
              <w:tc>
                <w:tcPr>
                  <w:tcW w:w="1149" w:type="dxa"/>
                  <w:tcBorders>
                    <w:top w:val="nil"/>
                    <w:left w:val="nil"/>
                    <w:bottom w:val="single" w:sz="8" w:space="0" w:color="FFFFFF"/>
                    <w:right w:val="single" w:sz="8" w:space="0" w:color="FFFFFF"/>
                  </w:tcBorders>
                  <w:shd w:val="clear" w:color="000000" w:fill="FDE9D9"/>
                  <w:noWrap/>
                  <w:vAlign w:val="center"/>
                  <w:hideMark/>
                </w:tcPr>
                <w:p w14:paraId="6544C40A" w14:textId="03A8A4DC"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1A21A620" w14:textId="7C3C189F"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DE9D9"/>
                  <w:noWrap/>
                  <w:vAlign w:val="center"/>
                  <w:hideMark/>
                </w:tcPr>
                <w:p w14:paraId="17EEE215" w14:textId="41B9BE3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w:t>
                  </w:r>
                </w:p>
              </w:tc>
              <w:tc>
                <w:tcPr>
                  <w:tcW w:w="920" w:type="dxa"/>
                  <w:tcBorders>
                    <w:top w:val="nil"/>
                    <w:left w:val="nil"/>
                    <w:bottom w:val="single" w:sz="8" w:space="0" w:color="FFFFFF"/>
                    <w:right w:val="single" w:sz="8" w:space="0" w:color="FFFFFF"/>
                  </w:tcBorders>
                  <w:shd w:val="clear" w:color="000000" w:fill="FDE9D9"/>
                  <w:noWrap/>
                  <w:vAlign w:val="center"/>
                  <w:hideMark/>
                </w:tcPr>
                <w:p w14:paraId="42640BE8" w14:textId="2C573C3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15%</w:t>
                  </w:r>
                </w:p>
              </w:tc>
              <w:tc>
                <w:tcPr>
                  <w:tcW w:w="920" w:type="dxa"/>
                  <w:tcBorders>
                    <w:top w:val="nil"/>
                    <w:left w:val="nil"/>
                    <w:bottom w:val="single" w:sz="8" w:space="0" w:color="FFFFFF"/>
                    <w:right w:val="single" w:sz="8" w:space="0" w:color="FFFFFF"/>
                  </w:tcBorders>
                  <w:shd w:val="clear" w:color="000000" w:fill="FDE9D9"/>
                  <w:noWrap/>
                  <w:vAlign w:val="center"/>
                  <w:hideMark/>
                </w:tcPr>
                <w:p w14:paraId="132999AD" w14:textId="6BB3B7F2"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76%</w:t>
                  </w:r>
                </w:p>
              </w:tc>
            </w:tr>
            <w:tr w:rsidR="00B76849" w:rsidRPr="003F4793" w14:paraId="311BF477"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EFAC63F" w14:textId="1386D0C0"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740" w:type="dxa"/>
                  <w:tcBorders>
                    <w:top w:val="nil"/>
                    <w:left w:val="nil"/>
                    <w:bottom w:val="single" w:sz="8" w:space="0" w:color="FFFFFF"/>
                    <w:right w:val="single" w:sz="8" w:space="0" w:color="FFFFFF"/>
                  </w:tcBorders>
                  <w:shd w:val="clear" w:color="000000" w:fill="FCD5B4"/>
                  <w:noWrap/>
                  <w:vAlign w:val="center"/>
                  <w:hideMark/>
                </w:tcPr>
                <w:p w14:paraId="15941BE2" w14:textId="2CD66FA2"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6DFE5B08" w14:textId="4D109D5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51F72902" w14:textId="58002668"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11ED092C" w14:textId="3C4CA0D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49%</w:t>
                  </w:r>
                </w:p>
              </w:tc>
              <w:tc>
                <w:tcPr>
                  <w:tcW w:w="1149" w:type="dxa"/>
                  <w:tcBorders>
                    <w:top w:val="nil"/>
                    <w:left w:val="nil"/>
                    <w:bottom w:val="single" w:sz="8" w:space="0" w:color="FFFFFF"/>
                    <w:right w:val="single" w:sz="8" w:space="0" w:color="FFFFFF"/>
                  </w:tcBorders>
                  <w:shd w:val="clear" w:color="000000" w:fill="FCD5B4"/>
                  <w:noWrap/>
                  <w:vAlign w:val="center"/>
                  <w:hideMark/>
                </w:tcPr>
                <w:p w14:paraId="4D858F7C" w14:textId="0AB28D00"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17DE7239" w14:textId="3C8F366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4BD0B6F1" w14:textId="17D0194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21072B45" w14:textId="3BF1016F"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15%</w:t>
                  </w:r>
                </w:p>
              </w:tc>
              <w:tc>
                <w:tcPr>
                  <w:tcW w:w="920" w:type="dxa"/>
                  <w:tcBorders>
                    <w:top w:val="nil"/>
                    <w:left w:val="nil"/>
                    <w:bottom w:val="single" w:sz="8" w:space="0" w:color="FFFFFF"/>
                    <w:right w:val="single" w:sz="8" w:space="0" w:color="FFFFFF"/>
                  </w:tcBorders>
                  <w:shd w:val="clear" w:color="000000" w:fill="FCD5B4"/>
                  <w:noWrap/>
                  <w:vAlign w:val="center"/>
                  <w:hideMark/>
                </w:tcPr>
                <w:p w14:paraId="2B13C93D" w14:textId="11D7758E"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75%</w:t>
                  </w:r>
                </w:p>
              </w:tc>
            </w:tr>
            <w:tr w:rsidR="00B76849" w:rsidRPr="003F4793" w14:paraId="61191F62"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87E41C4" w14:textId="602F83BE"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740" w:type="dxa"/>
                  <w:tcBorders>
                    <w:top w:val="nil"/>
                    <w:left w:val="nil"/>
                    <w:bottom w:val="single" w:sz="8" w:space="0" w:color="FFFFFF"/>
                    <w:right w:val="single" w:sz="8" w:space="0" w:color="FFFFFF"/>
                  </w:tcBorders>
                  <w:shd w:val="clear" w:color="000000" w:fill="FDE9D9"/>
                  <w:noWrap/>
                  <w:vAlign w:val="center"/>
                  <w:hideMark/>
                </w:tcPr>
                <w:p w14:paraId="3EADA916" w14:textId="728C878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DE9D9"/>
                  <w:noWrap/>
                  <w:vAlign w:val="center"/>
                  <w:hideMark/>
                </w:tcPr>
                <w:p w14:paraId="273C8344" w14:textId="2A5F0A15"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DE9D9"/>
                  <w:noWrap/>
                  <w:vAlign w:val="center"/>
                  <w:hideMark/>
                </w:tcPr>
                <w:p w14:paraId="57848C1D" w14:textId="30935AC4"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12%</w:t>
                  </w:r>
                </w:p>
              </w:tc>
              <w:tc>
                <w:tcPr>
                  <w:tcW w:w="920" w:type="dxa"/>
                  <w:tcBorders>
                    <w:top w:val="nil"/>
                    <w:left w:val="nil"/>
                    <w:bottom w:val="single" w:sz="8" w:space="0" w:color="FFFFFF"/>
                    <w:right w:val="single" w:sz="8" w:space="0" w:color="FFFFFF"/>
                  </w:tcBorders>
                  <w:shd w:val="clear" w:color="000000" w:fill="FDE9D9"/>
                  <w:noWrap/>
                  <w:vAlign w:val="center"/>
                  <w:hideMark/>
                </w:tcPr>
                <w:p w14:paraId="13000828" w14:textId="4CCEA6E8"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51%</w:t>
                  </w:r>
                </w:p>
              </w:tc>
              <w:tc>
                <w:tcPr>
                  <w:tcW w:w="1149" w:type="dxa"/>
                  <w:tcBorders>
                    <w:top w:val="nil"/>
                    <w:left w:val="nil"/>
                    <w:bottom w:val="single" w:sz="8" w:space="0" w:color="FFFFFF"/>
                    <w:right w:val="single" w:sz="8" w:space="0" w:color="FFFFFF"/>
                  </w:tcBorders>
                  <w:shd w:val="clear" w:color="000000" w:fill="FDE9D9"/>
                  <w:noWrap/>
                  <w:vAlign w:val="center"/>
                  <w:hideMark/>
                </w:tcPr>
                <w:p w14:paraId="0345B549" w14:textId="45F38F2F"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24486153" w14:textId="52552616"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DE9D9"/>
                  <w:noWrap/>
                  <w:vAlign w:val="center"/>
                  <w:hideMark/>
                </w:tcPr>
                <w:p w14:paraId="07CA82A7" w14:textId="3145E5FE"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DE9D9"/>
                  <w:noWrap/>
                  <w:vAlign w:val="center"/>
                  <w:hideMark/>
                </w:tcPr>
                <w:p w14:paraId="7F02EE72" w14:textId="2DF0B3B8"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16%</w:t>
                  </w:r>
                </w:p>
              </w:tc>
              <w:tc>
                <w:tcPr>
                  <w:tcW w:w="920" w:type="dxa"/>
                  <w:tcBorders>
                    <w:top w:val="nil"/>
                    <w:left w:val="nil"/>
                    <w:bottom w:val="single" w:sz="8" w:space="0" w:color="FFFFFF"/>
                    <w:right w:val="single" w:sz="8" w:space="0" w:color="FFFFFF"/>
                  </w:tcBorders>
                  <w:shd w:val="clear" w:color="000000" w:fill="FDE9D9"/>
                  <w:noWrap/>
                  <w:vAlign w:val="center"/>
                  <w:hideMark/>
                </w:tcPr>
                <w:p w14:paraId="2E828AF2" w14:textId="4C10319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76%</w:t>
                  </w:r>
                </w:p>
              </w:tc>
            </w:tr>
            <w:tr w:rsidR="00B76849" w:rsidRPr="003F4793" w14:paraId="60838313"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1BD5D8A8" w14:textId="0521C709"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740" w:type="dxa"/>
                  <w:tcBorders>
                    <w:top w:val="nil"/>
                    <w:left w:val="nil"/>
                    <w:bottom w:val="single" w:sz="8" w:space="0" w:color="FFFFFF"/>
                    <w:right w:val="single" w:sz="8" w:space="0" w:color="FFFFFF"/>
                  </w:tcBorders>
                  <w:shd w:val="clear" w:color="000000" w:fill="FCD5B4"/>
                  <w:noWrap/>
                  <w:vAlign w:val="center"/>
                  <w:hideMark/>
                </w:tcPr>
                <w:p w14:paraId="75E567A4" w14:textId="767BE08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7CC5EAC5" w14:textId="1A04EC5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4FCC92DC" w14:textId="55A87198"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762ACF2C" w14:textId="2F268982"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46%</w:t>
                  </w:r>
                </w:p>
              </w:tc>
              <w:tc>
                <w:tcPr>
                  <w:tcW w:w="1149" w:type="dxa"/>
                  <w:tcBorders>
                    <w:top w:val="nil"/>
                    <w:left w:val="nil"/>
                    <w:bottom w:val="single" w:sz="8" w:space="0" w:color="FFFFFF"/>
                    <w:right w:val="single" w:sz="8" w:space="0" w:color="FFFFFF"/>
                  </w:tcBorders>
                  <w:shd w:val="clear" w:color="000000" w:fill="FCD5B4"/>
                  <w:noWrap/>
                  <w:vAlign w:val="center"/>
                  <w:hideMark/>
                </w:tcPr>
                <w:p w14:paraId="635AAF3D" w14:textId="6E4F1853"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9019280" w14:textId="2090D66A"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3C5DFC16" w14:textId="5EF25EF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w:t>
                  </w:r>
                </w:p>
              </w:tc>
              <w:tc>
                <w:tcPr>
                  <w:tcW w:w="920" w:type="dxa"/>
                  <w:tcBorders>
                    <w:top w:val="nil"/>
                    <w:left w:val="nil"/>
                    <w:bottom w:val="single" w:sz="8" w:space="0" w:color="FFFFFF"/>
                    <w:right w:val="single" w:sz="8" w:space="0" w:color="FFFFFF"/>
                  </w:tcBorders>
                  <w:shd w:val="clear" w:color="000000" w:fill="FCD5B4"/>
                  <w:noWrap/>
                  <w:vAlign w:val="center"/>
                  <w:hideMark/>
                </w:tcPr>
                <w:p w14:paraId="7C9CABAF" w14:textId="27548D5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17%</w:t>
                  </w:r>
                </w:p>
              </w:tc>
              <w:tc>
                <w:tcPr>
                  <w:tcW w:w="920" w:type="dxa"/>
                  <w:tcBorders>
                    <w:top w:val="nil"/>
                    <w:left w:val="nil"/>
                    <w:bottom w:val="single" w:sz="8" w:space="0" w:color="FFFFFF"/>
                    <w:right w:val="single" w:sz="8" w:space="0" w:color="FFFFFF"/>
                  </w:tcBorders>
                  <w:shd w:val="clear" w:color="000000" w:fill="FCD5B4"/>
                  <w:noWrap/>
                  <w:vAlign w:val="center"/>
                  <w:hideMark/>
                </w:tcPr>
                <w:p w14:paraId="217354A8" w14:textId="568BD628"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75%</w:t>
                  </w:r>
                </w:p>
              </w:tc>
            </w:tr>
            <w:tr w:rsidR="00B76849" w:rsidRPr="003F4793" w14:paraId="2C298517"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30486C22" w14:textId="190E7DB4"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740" w:type="dxa"/>
                  <w:tcBorders>
                    <w:top w:val="nil"/>
                    <w:left w:val="nil"/>
                    <w:bottom w:val="single" w:sz="8" w:space="0" w:color="FFFFFF"/>
                    <w:right w:val="single" w:sz="8" w:space="0" w:color="FFFFFF"/>
                  </w:tcBorders>
                  <w:shd w:val="clear" w:color="000000" w:fill="FDE9D9"/>
                  <w:noWrap/>
                  <w:vAlign w:val="center"/>
                  <w:hideMark/>
                </w:tcPr>
                <w:p w14:paraId="65693455" w14:textId="7D897A2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DE9D9"/>
                  <w:noWrap/>
                  <w:vAlign w:val="center"/>
                  <w:hideMark/>
                </w:tcPr>
                <w:p w14:paraId="100994DF" w14:textId="608B348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DE9D9"/>
                  <w:noWrap/>
                  <w:vAlign w:val="center"/>
                  <w:hideMark/>
                </w:tcPr>
                <w:p w14:paraId="5AA0E961" w14:textId="5F64E57A"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DE9D9"/>
                  <w:noWrap/>
                  <w:vAlign w:val="center"/>
                  <w:hideMark/>
                </w:tcPr>
                <w:p w14:paraId="6A261B2F" w14:textId="536675A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39%</w:t>
                  </w:r>
                </w:p>
              </w:tc>
              <w:tc>
                <w:tcPr>
                  <w:tcW w:w="1149" w:type="dxa"/>
                  <w:tcBorders>
                    <w:top w:val="nil"/>
                    <w:left w:val="nil"/>
                    <w:bottom w:val="single" w:sz="8" w:space="0" w:color="FFFFFF"/>
                    <w:right w:val="single" w:sz="8" w:space="0" w:color="FFFFFF"/>
                  </w:tcBorders>
                  <w:shd w:val="clear" w:color="000000" w:fill="FDE9D9"/>
                  <w:noWrap/>
                  <w:vAlign w:val="center"/>
                  <w:hideMark/>
                </w:tcPr>
                <w:p w14:paraId="52EDB7F5" w14:textId="26F4FFC6" w:rsidR="00B76849" w:rsidRPr="003F4793" w:rsidRDefault="00B76849" w:rsidP="00B76849">
                  <w:pPr>
                    <w:widowControl/>
                    <w:jc w:val="center"/>
                    <w:rPr>
                      <w:rFonts w:ascii="KaiTi" w:eastAsia="KaiTi" w:hAnsi="KaiTi" w:cs="宋体"/>
                      <w:color w:val="000000"/>
                      <w:kern w:val="0"/>
                      <w:sz w:val="20"/>
                      <w:szCs w:val="20"/>
                    </w:rPr>
                  </w:pPr>
                  <w:r>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04B722B3" w14:textId="7B6AFF4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00BAE7B3" w14:textId="73F0DB3A"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DE9D9"/>
                  <w:noWrap/>
                  <w:vAlign w:val="center"/>
                  <w:hideMark/>
                </w:tcPr>
                <w:p w14:paraId="1D577A1F" w14:textId="65CAD4A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DE9D9"/>
                  <w:noWrap/>
                  <w:vAlign w:val="center"/>
                  <w:hideMark/>
                </w:tcPr>
                <w:p w14:paraId="3FF4C4AA" w14:textId="47F35605"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71%</w:t>
                  </w:r>
                </w:p>
              </w:tc>
            </w:tr>
            <w:tr w:rsidR="00B76849" w:rsidRPr="003F4793" w14:paraId="21DC06D6" w14:textId="77777777" w:rsidTr="00E10EDA">
              <w:trPr>
                <w:trHeight w:val="310"/>
              </w:trPr>
              <w:tc>
                <w:tcPr>
                  <w:tcW w:w="1309" w:type="dxa"/>
                  <w:tcBorders>
                    <w:top w:val="nil"/>
                    <w:left w:val="nil"/>
                    <w:bottom w:val="single" w:sz="8" w:space="0" w:color="FFFFFF"/>
                    <w:right w:val="single" w:sz="8" w:space="0" w:color="FFFFFF"/>
                  </w:tcBorders>
                  <w:shd w:val="clear" w:color="000000" w:fill="FCD5B4"/>
                  <w:noWrap/>
                  <w:vAlign w:val="center"/>
                  <w:hideMark/>
                </w:tcPr>
                <w:p w14:paraId="4FE37E8C" w14:textId="42C654CA"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740" w:type="dxa"/>
                  <w:tcBorders>
                    <w:top w:val="nil"/>
                    <w:left w:val="nil"/>
                    <w:bottom w:val="single" w:sz="8" w:space="0" w:color="FFFFFF"/>
                    <w:right w:val="single" w:sz="8" w:space="0" w:color="FFFFFF"/>
                  </w:tcBorders>
                  <w:shd w:val="clear" w:color="000000" w:fill="FCD5B4"/>
                  <w:noWrap/>
                  <w:vAlign w:val="center"/>
                  <w:hideMark/>
                </w:tcPr>
                <w:p w14:paraId="657AADBA" w14:textId="658B9996"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2E67B5DA" w14:textId="27CBE9FC"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5BB83AA5" w14:textId="1B656144"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45AEAC99" w14:textId="1746BBC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47%</w:t>
                  </w:r>
                </w:p>
              </w:tc>
              <w:tc>
                <w:tcPr>
                  <w:tcW w:w="1149" w:type="dxa"/>
                  <w:tcBorders>
                    <w:top w:val="nil"/>
                    <w:left w:val="nil"/>
                    <w:bottom w:val="single" w:sz="8" w:space="0" w:color="FFFFFF"/>
                    <w:right w:val="single" w:sz="8" w:space="0" w:color="FFFFFF"/>
                  </w:tcBorders>
                  <w:shd w:val="clear" w:color="000000" w:fill="FCD5B4"/>
                  <w:noWrap/>
                  <w:vAlign w:val="center"/>
                  <w:hideMark/>
                </w:tcPr>
                <w:p w14:paraId="59204F8F" w14:textId="4BC788B0"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79902F5" w14:textId="12DDD65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w:t>
                  </w:r>
                </w:p>
              </w:tc>
              <w:tc>
                <w:tcPr>
                  <w:tcW w:w="920" w:type="dxa"/>
                  <w:tcBorders>
                    <w:top w:val="nil"/>
                    <w:left w:val="nil"/>
                    <w:bottom w:val="single" w:sz="8" w:space="0" w:color="FFFFFF"/>
                    <w:right w:val="single" w:sz="8" w:space="0" w:color="FFFFFF"/>
                  </w:tcBorders>
                  <w:shd w:val="clear" w:color="000000" w:fill="FCD5B4"/>
                  <w:noWrap/>
                  <w:vAlign w:val="center"/>
                  <w:hideMark/>
                </w:tcPr>
                <w:p w14:paraId="54133AF5" w14:textId="2A298D1E"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1%</w:t>
                  </w:r>
                </w:p>
              </w:tc>
              <w:tc>
                <w:tcPr>
                  <w:tcW w:w="920" w:type="dxa"/>
                  <w:tcBorders>
                    <w:top w:val="nil"/>
                    <w:left w:val="nil"/>
                    <w:bottom w:val="single" w:sz="8" w:space="0" w:color="FFFFFF"/>
                    <w:right w:val="single" w:sz="8" w:space="0" w:color="FFFFFF"/>
                  </w:tcBorders>
                  <w:shd w:val="clear" w:color="000000" w:fill="FCD5B4"/>
                  <w:noWrap/>
                  <w:vAlign w:val="center"/>
                  <w:hideMark/>
                </w:tcPr>
                <w:p w14:paraId="00C9AD90" w14:textId="791A4C8F"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2%</w:t>
                  </w:r>
                </w:p>
              </w:tc>
              <w:tc>
                <w:tcPr>
                  <w:tcW w:w="920" w:type="dxa"/>
                  <w:tcBorders>
                    <w:top w:val="nil"/>
                    <w:left w:val="nil"/>
                    <w:bottom w:val="single" w:sz="8" w:space="0" w:color="FFFFFF"/>
                    <w:right w:val="single" w:sz="8" w:space="0" w:color="FFFFFF"/>
                  </w:tcBorders>
                  <w:shd w:val="clear" w:color="000000" w:fill="FCD5B4"/>
                  <w:noWrap/>
                  <w:vAlign w:val="center"/>
                  <w:hideMark/>
                </w:tcPr>
                <w:p w14:paraId="541417A5" w14:textId="47BE3F80"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69%</w:t>
                  </w:r>
                </w:p>
              </w:tc>
            </w:tr>
            <w:tr w:rsidR="00B76849" w:rsidRPr="003F4793" w14:paraId="0EA4170B" w14:textId="77777777" w:rsidTr="00E10EDA">
              <w:trPr>
                <w:trHeight w:val="310"/>
              </w:trPr>
              <w:tc>
                <w:tcPr>
                  <w:tcW w:w="1309" w:type="dxa"/>
                  <w:tcBorders>
                    <w:top w:val="nil"/>
                    <w:left w:val="nil"/>
                    <w:bottom w:val="single" w:sz="8" w:space="0" w:color="FFFFFF"/>
                    <w:right w:val="single" w:sz="8" w:space="0" w:color="FFFFFF"/>
                  </w:tcBorders>
                  <w:shd w:val="clear" w:color="000000" w:fill="FDE9D9"/>
                  <w:noWrap/>
                  <w:vAlign w:val="center"/>
                  <w:hideMark/>
                </w:tcPr>
                <w:p w14:paraId="10FF0248" w14:textId="7FFD6F2E"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740" w:type="dxa"/>
                  <w:tcBorders>
                    <w:top w:val="nil"/>
                    <w:left w:val="nil"/>
                    <w:bottom w:val="single" w:sz="8" w:space="0" w:color="FFFFFF"/>
                    <w:right w:val="single" w:sz="8" w:space="0" w:color="FFFFFF"/>
                  </w:tcBorders>
                  <w:shd w:val="clear" w:color="000000" w:fill="FDE9D9"/>
                  <w:noWrap/>
                  <w:vAlign w:val="center"/>
                  <w:hideMark/>
                </w:tcPr>
                <w:p w14:paraId="22074306" w14:textId="4D0336D8"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0BA2FFDF" w14:textId="5147C5B9"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DE9D9"/>
                  <w:noWrap/>
                  <w:vAlign w:val="center"/>
                  <w:hideMark/>
                </w:tcPr>
                <w:p w14:paraId="073EB474" w14:textId="4A00B428"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DE9D9"/>
                  <w:noWrap/>
                  <w:vAlign w:val="center"/>
                  <w:hideMark/>
                </w:tcPr>
                <w:p w14:paraId="0B9D8097" w14:textId="2974AEAD"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60%</w:t>
                  </w:r>
                </w:p>
              </w:tc>
              <w:tc>
                <w:tcPr>
                  <w:tcW w:w="1149" w:type="dxa"/>
                  <w:tcBorders>
                    <w:top w:val="nil"/>
                    <w:left w:val="nil"/>
                    <w:bottom w:val="single" w:sz="8" w:space="0" w:color="FFFFFF"/>
                    <w:right w:val="single" w:sz="8" w:space="0" w:color="FFFFFF"/>
                  </w:tcBorders>
                  <w:shd w:val="clear" w:color="000000" w:fill="FDE9D9"/>
                  <w:noWrap/>
                  <w:vAlign w:val="center"/>
                  <w:hideMark/>
                </w:tcPr>
                <w:p w14:paraId="345AC80B" w14:textId="39698381"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19B927C3" w14:textId="7027BF7F"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DE9D9"/>
                  <w:noWrap/>
                  <w:vAlign w:val="center"/>
                  <w:hideMark/>
                </w:tcPr>
                <w:p w14:paraId="6F372E8A" w14:textId="1BD1E0A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DE9D9"/>
                  <w:noWrap/>
                  <w:vAlign w:val="center"/>
                  <w:hideMark/>
                </w:tcPr>
                <w:p w14:paraId="33016802" w14:textId="645BFA2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FC7CE"/>
                  <w:noWrap/>
                  <w:vAlign w:val="center"/>
                  <w:hideMark/>
                </w:tcPr>
                <w:p w14:paraId="57FFE293" w14:textId="0CBAB39D" w:rsidR="00B76849" w:rsidRPr="003F4793" w:rsidRDefault="00B76849" w:rsidP="00B76849">
                  <w:pPr>
                    <w:widowControl/>
                    <w:jc w:val="center"/>
                    <w:rPr>
                      <w:rFonts w:ascii="KaiTi" w:eastAsia="KaiTi" w:hAnsi="KaiTi" w:cs="Calibri"/>
                      <w:color w:val="9C0006"/>
                      <w:kern w:val="0"/>
                      <w:szCs w:val="21"/>
                    </w:rPr>
                  </w:pPr>
                  <w:r>
                    <w:rPr>
                      <w:rFonts w:eastAsia="等线" w:cs="Calibri"/>
                      <w:color w:val="9C0006"/>
                      <w:szCs w:val="21"/>
                    </w:rPr>
                    <w:t>83%</w:t>
                  </w:r>
                </w:p>
              </w:tc>
            </w:tr>
            <w:tr w:rsidR="00B76849" w:rsidRPr="003F4793" w14:paraId="72207D52" w14:textId="77777777" w:rsidTr="00E10EDA">
              <w:trPr>
                <w:trHeight w:val="310"/>
              </w:trPr>
              <w:tc>
                <w:tcPr>
                  <w:tcW w:w="1309" w:type="dxa"/>
                  <w:tcBorders>
                    <w:top w:val="nil"/>
                    <w:left w:val="nil"/>
                    <w:bottom w:val="nil"/>
                    <w:right w:val="nil"/>
                  </w:tcBorders>
                  <w:shd w:val="clear" w:color="000000" w:fill="FCD5B4"/>
                  <w:noWrap/>
                  <w:vAlign w:val="center"/>
                  <w:hideMark/>
                </w:tcPr>
                <w:p w14:paraId="4814BB37" w14:textId="3ABFA376"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740" w:type="dxa"/>
                  <w:tcBorders>
                    <w:top w:val="nil"/>
                    <w:left w:val="nil"/>
                    <w:bottom w:val="single" w:sz="8" w:space="0" w:color="FFFFFF"/>
                    <w:right w:val="single" w:sz="8" w:space="0" w:color="FFFFFF"/>
                  </w:tcBorders>
                  <w:shd w:val="clear" w:color="000000" w:fill="FCD5B4"/>
                  <w:noWrap/>
                  <w:vAlign w:val="center"/>
                  <w:hideMark/>
                </w:tcPr>
                <w:p w14:paraId="5E5F0BFD" w14:textId="3288BF1B"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7F5BCF09" w14:textId="126BFF3A"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00227C37" w14:textId="11601C73"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46040BD8" w14:textId="63F9D9A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59%</w:t>
                  </w:r>
                </w:p>
              </w:tc>
              <w:tc>
                <w:tcPr>
                  <w:tcW w:w="1149" w:type="dxa"/>
                  <w:tcBorders>
                    <w:top w:val="nil"/>
                    <w:left w:val="nil"/>
                    <w:bottom w:val="nil"/>
                    <w:right w:val="nil"/>
                  </w:tcBorders>
                  <w:shd w:val="clear" w:color="000000" w:fill="FCD5B4"/>
                  <w:noWrap/>
                  <w:vAlign w:val="center"/>
                  <w:hideMark/>
                </w:tcPr>
                <w:p w14:paraId="24472A59" w14:textId="50B6D32B" w:rsidR="00B76849" w:rsidRPr="003F4793" w:rsidRDefault="00B76849" w:rsidP="00B76849">
                  <w:pPr>
                    <w:widowControl/>
                    <w:jc w:val="center"/>
                    <w:rPr>
                      <w:rFonts w:ascii="KaiTi" w:eastAsia="KaiTi" w:hAnsi="KaiTi" w:cs="宋体"/>
                      <w:color w:val="000000"/>
                      <w:kern w:val="0"/>
                      <w:sz w:val="20"/>
                      <w:szCs w:val="20"/>
                    </w:rPr>
                  </w:pPr>
                  <w:proofErr w:type="gramStart"/>
                  <w:r>
                    <w:rPr>
                      <w:rFonts w:ascii="楷体" w:eastAsia="楷体" w:hAnsi="楷体" w:hint="eastAsia"/>
                      <w:color w:val="000000"/>
                      <w:sz w:val="20"/>
                      <w:szCs w:val="20"/>
                    </w:rPr>
                    <w:t>城投债</w:t>
                  </w:r>
                  <w:proofErr w:type="gramEnd"/>
                  <w:r>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59306821" w14:textId="16786BD1"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CD5B4"/>
                  <w:noWrap/>
                  <w:vAlign w:val="center"/>
                  <w:hideMark/>
                </w:tcPr>
                <w:p w14:paraId="3117A4FD" w14:textId="6770C667"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CD5B4"/>
                  <w:noWrap/>
                  <w:vAlign w:val="center"/>
                  <w:hideMark/>
                </w:tcPr>
                <w:p w14:paraId="73214012" w14:textId="5C2042CF" w:rsidR="00B76849" w:rsidRPr="003F4793" w:rsidRDefault="00B76849" w:rsidP="00B76849">
                  <w:pPr>
                    <w:widowControl/>
                    <w:jc w:val="center"/>
                    <w:rPr>
                      <w:rFonts w:ascii="KaiTi" w:eastAsia="KaiTi" w:hAnsi="KaiTi" w:cs="Calibri"/>
                      <w:color w:val="000000"/>
                      <w:kern w:val="0"/>
                      <w:szCs w:val="21"/>
                    </w:rPr>
                  </w:pPr>
                  <w:r>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FC7CE"/>
                  <w:noWrap/>
                  <w:vAlign w:val="center"/>
                  <w:hideMark/>
                </w:tcPr>
                <w:p w14:paraId="5DA3DB4A" w14:textId="64004574" w:rsidR="00B76849" w:rsidRPr="003F4793" w:rsidRDefault="00B76849" w:rsidP="00B76849">
                  <w:pPr>
                    <w:widowControl/>
                    <w:jc w:val="center"/>
                    <w:rPr>
                      <w:rFonts w:ascii="KaiTi" w:eastAsia="KaiTi" w:hAnsi="KaiTi" w:cs="Calibri"/>
                      <w:color w:val="9C0006"/>
                      <w:kern w:val="0"/>
                      <w:szCs w:val="21"/>
                    </w:rPr>
                  </w:pPr>
                  <w:r>
                    <w:rPr>
                      <w:rFonts w:eastAsia="等线" w:cs="Calibri"/>
                      <w:color w:val="9C0006"/>
                      <w:szCs w:val="21"/>
                    </w:rPr>
                    <w:t>81%</w:t>
                  </w:r>
                </w:p>
              </w:tc>
            </w:tr>
          </w:tbl>
          <w:p w14:paraId="446C7D6E" w14:textId="294F6511" w:rsidR="00E0626C" w:rsidRPr="003F4793" w:rsidRDefault="00E0626C" w:rsidP="0092340D">
            <w:pPr>
              <w:rPr>
                <w:rFonts w:ascii="KaiTi" w:eastAsia="KaiTi" w:hAnsi="KaiTi"/>
                <w:noProof/>
                <w:szCs w:val="18"/>
              </w:rPr>
            </w:pPr>
          </w:p>
        </w:tc>
      </w:tr>
      <w:tr w:rsidR="00E0626C" w:rsidRPr="00B41E24" w14:paraId="01D36A65" w14:textId="77777777" w:rsidTr="00220902">
        <w:trPr>
          <w:trHeight w:val="60"/>
          <w:jc w:val="center"/>
        </w:trPr>
        <w:tc>
          <w:tcPr>
            <w:tcW w:w="9713" w:type="dxa"/>
            <w:vAlign w:val="center"/>
          </w:tcPr>
          <w:p w14:paraId="6284202E" w14:textId="2B61B5A0" w:rsidR="00E0626C" w:rsidRPr="00B41E24" w:rsidRDefault="00E0626C" w:rsidP="009A2BA0">
            <w:pPr>
              <w:pStyle w:val="Source"/>
              <w:jc w:val="both"/>
              <w:rPr>
                <w:kern w:val="0"/>
              </w:rPr>
            </w:pPr>
            <w:r w:rsidRPr="00B41E24">
              <w:rPr>
                <w:rFonts w:hint="eastAsia"/>
                <w:kern w:val="0"/>
              </w:rPr>
              <w:lastRenderedPageBreak/>
              <w:t>资料来源：万得，富荣基金；利差基准为同期限国债</w:t>
            </w:r>
          </w:p>
        </w:tc>
      </w:tr>
    </w:tbl>
    <w:p w14:paraId="26A54476" w14:textId="77777777" w:rsidR="00E0626C" w:rsidRPr="00B41E24" w:rsidRDefault="00E0626C" w:rsidP="009A2BA0">
      <w:pPr>
        <w:pStyle w:val="Body-text"/>
        <w:spacing w:after="0"/>
        <w:rPr>
          <w:lang w:eastAsia="zh-CN"/>
        </w:rPr>
      </w:pPr>
    </w:p>
    <w:p w14:paraId="36CAED5C" w14:textId="77777777" w:rsidR="00CD1AE8" w:rsidRDefault="00CD1AE8" w:rsidP="009A2BA0">
      <w:pPr>
        <w:pStyle w:val="Header2"/>
        <w:rPr>
          <w:sz w:val="28"/>
          <w:szCs w:val="21"/>
          <w:lang w:eastAsia="zh-CN"/>
        </w:rPr>
      </w:pPr>
    </w:p>
    <w:p w14:paraId="2D403D4F" w14:textId="3112BC34" w:rsidR="00E0626C" w:rsidRPr="00CD2B4D" w:rsidRDefault="007A1586" w:rsidP="009A2BA0">
      <w:pPr>
        <w:pStyle w:val="Header2"/>
        <w:rPr>
          <w:rFonts w:eastAsia="PMingLiU"/>
          <w:sz w:val="28"/>
          <w:szCs w:val="21"/>
          <w:lang w:eastAsia="zh-CN"/>
        </w:rPr>
      </w:pPr>
      <w:r>
        <w:rPr>
          <w:sz w:val="28"/>
          <w:szCs w:val="21"/>
          <w:lang w:eastAsia="zh-CN"/>
        </w:rPr>
        <w:t>3</w:t>
      </w:r>
      <w:r w:rsidR="00E0626C" w:rsidRPr="00CD2B4D">
        <w:rPr>
          <w:rFonts w:hint="eastAsia"/>
          <w:sz w:val="28"/>
          <w:szCs w:val="21"/>
          <w:lang w:eastAsia="zh-CN"/>
        </w:rPr>
        <w:t>、</w:t>
      </w:r>
      <w:r w:rsidR="00E0626C" w:rsidRPr="00CD2B4D">
        <w:rPr>
          <w:rFonts w:hint="eastAsia"/>
          <w:sz w:val="28"/>
          <w:szCs w:val="21"/>
        </w:rPr>
        <w:t>可转债</w:t>
      </w:r>
    </w:p>
    <w:p w14:paraId="0457D77B" w14:textId="65E2C95C" w:rsidR="002D3316" w:rsidRPr="007A1586" w:rsidRDefault="00B76849" w:rsidP="002D3316">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8月来看，</w:t>
      </w:r>
      <w:r w:rsidRPr="00B76849">
        <w:rPr>
          <w:rFonts w:ascii="华文楷体" w:hAnsi="华文楷体" w:hint="eastAsia"/>
          <w:sz w:val="24"/>
          <w:szCs w:val="24"/>
          <w:lang w:eastAsia="zh-CN"/>
        </w:rPr>
        <w:t>权益主要指数持续分化，小盘股整体强于大盘</w:t>
      </w:r>
      <w:r w:rsidR="00CB24EB">
        <w:rPr>
          <w:rFonts w:ascii="华文楷体" w:hAnsi="华文楷体" w:hint="eastAsia"/>
          <w:sz w:val="24"/>
          <w:szCs w:val="24"/>
          <w:lang w:eastAsia="zh-CN"/>
        </w:rPr>
        <w:t>股</w:t>
      </w:r>
      <w:r w:rsidRPr="00B76849">
        <w:rPr>
          <w:rFonts w:ascii="华文楷体" w:hAnsi="华文楷体" w:hint="eastAsia"/>
          <w:sz w:val="24"/>
          <w:szCs w:val="24"/>
          <w:lang w:eastAsia="zh-CN"/>
        </w:rPr>
        <w:t>，上证综指8月上涨3.67%，上证50指数下跌0.31%，沪深300指数上涨0.33%，中证500指数大涨6.10%，</w:t>
      </w:r>
      <w:proofErr w:type="gramStart"/>
      <w:r w:rsidRPr="00B76849">
        <w:rPr>
          <w:rFonts w:ascii="华文楷体" w:hAnsi="华文楷体" w:hint="eastAsia"/>
          <w:sz w:val="24"/>
          <w:szCs w:val="24"/>
          <w:lang w:eastAsia="zh-CN"/>
        </w:rPr>
        <w:t>创业板受部分</w:t>
      </w:r>
      <w:proofErr w:type="gramEnd"/>
      <w:r w:rsidRPr="00B76849">
        <w:rPr>
          <w:rFonts w:ascii="华文楷体" w:hAnsi="华文楷体" w:hint="eastAsia"/>
          <w:sz w:val="24"/>
          <w:szCs w:val="24"/>
          <w:lang w:eastAsia="zh-CN"/>
        </w:rPr>
        <w:t>热门成长</w:t>
      </w:r>
      <w:r w:rsidR="00CB24EB">
        <w:rPr>
          <w:rFonts w:ascii="华文楷体" w:hAnsi="华文楷体" w:hint="eastAsia"/>
          <w:sz w:val="24"/>
          <w:szCs w:val="24"/>
          <w:lang w:eastAsia="zh-CN"/>
        </w:rPr>
        <w:t>股</w:t>
      </w:r>
      <w:r w:rsidRPr="00B76849">
        <w:rPr>
          <w:rFonts w:ascii="华文楷体" w:hAnsi="华文楷体" w:hint="eastAsia"/>
          <w:sz w:val="24"/>
          <w:szCs w:val="24"/>
          <w:lang w:eastAsia="zh-CN"/>
        </w:rPr>
        <w:t>拖累下跌5.32%，</w:t>
      </w:r>
      <w:proofErr w:type="gramStart"/>
      <w:r w:rsidRPr="00B76849">
        <w:rPr>
          <w:rFonts w:ascii="华文楷体" w:hAnsi="华文楷体" w:hint="eastAsia"/>
          <w:sz w:val="24"/>
          <w:szCs w:val="24"/>
          <w:lang w:eastAsia="zh-CN"/>
        </w:rPr>
        <w:t>中证转债</w:t>
      </w:r>
      <w:proofErr w:type="gramEnd"/>
      <w:r w:rsidRPr="00B76849">
        <w:rPr>
          <w:rFonts w:ascii="华文楷体" w:hAnsi="华文楷体" w:hint="eastAsia"/>
          <w:sz w:val="24"/>
          <w:szCs w:val="24"/>
          <w:lang w:eastAsia="zh-CN"/>
        </w:rPr>
        <w:t>表现优异，</w:t>
      </w:r>
      <w:r>
        <w:rPr>
          <w:rFonts w:ascii="华文楷体" w:hAnsi="华文楷体"/>
          <w:sz w:val="24"/>
          <w:szCs w:val="24"/>
          <w:lang w:eastAsia="zh-CN"/>
        </w:rPr>
        <w:t>8</w:t>
      </w:r>
      <w:r w:rsidRPr="00B76849">
        <w:rPr>
          <w:rFonts w:ascii="华文楷体" w:hAnsi="华文楷体" w:hint="eastAsia"/>
          <w:sz w:val="24"/>
          <w:szCs w:val="24"/>
          <w:lang w:eastAsia="zh-CN"/>
        </w:rPr>
        <w:t>月震荡上行3.12%，大幅</w:t>
      </w:r>
      <w:proofErr w:type="gramStart"/>
      <w:r w:rsidRPr="00B76849">
        <w:rPr>
          <w:rFonts w:ascii="华文楷体" w:hAnsi="华文楷体" w:hint="eastAsia"/>
          <w:sz w:val="24"/>
          <w:szCs w:val="24"/>
          <w:lang w:eastAsia="zh-CN"/>
        </w:rPr>
        <w:t>跑赢沪深</w:t>
      </w:r>
      <w:proofErr w:type="gramEnd"/>
      <w:r w:rsidRPr="00B76849">
        <w:rPr>
          <w:rFonts w:ascii="华文楷体" w:hAnsi="华文楷体" w:hint="eastAsia"/>
          <w:sz w:val="24"/>
          <w:szCs w:val="24"/>
          <w:lang w:eastAsia="zh-CN"/>
        </w:rPr>
        <w:t>300及上证50指数。</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9864B5" w14:paraId="7CDD9AAA" w14:textId="77777777" w:rsidTr="006F21C0">
        <w:trPr>
          <w:jc w:val="center"/>
        </w:trPr>
        <w:tc>
          <w:tcPr>
            <w:tcW w:w="4939" w:type="dxa"/>
            <w:vAlign w:val="center"/>
          </w:tcPr>
          <w:p w14:paraId="13C69F6A" w14:textId="03E04781" w:rsidR="00E0626C" w:rsidRPr="009864B5" w:rsidRDefault="00E0626C" w:rsidP="009A2BA0">
            <w:pPr>
              <w:pStyle w:val="ChartHeading"/>
              <w:jc w:val="both"/>
            </w:pPr>
            <w:r w:rsidRPr="009864B5">
              <w:rPr>
                <w:rFonts w:hint="eastAsia"/>
              </w:rPr>
              <w:t>图表</w:t>
            </w:r>
            <w:r w:rsidRPr="009864B5">
              <w:t xml:space="preserve">. </w:t>
            </w:r>
            <w:r w:rsidR="00005D9A" w:rsidRPr="009864B5">
              <w:rPr>
                <w:rFonts w:hint="eastAsia"/>
              </w:rPr>
              <w:t>A</w:t>
            </w:r>
            <w:r w:rsidR="00005D9A" w:rsidRPr="009864B5">
              <w:rPr>
                <w:rFonts w:hint="eastAsia"/>
              </w:rPr>
              <w:t>股</w:t>
            </w:r>
            <w:r w:rsidRPr="009864B5">
              <w:rPr>
                <w:rFonts w:hint="eastAsia"/>
              </w:rPr>
              <w:t>主要指数交易和估值情况</w:t>
            </w:r>
          </w:p>
        </w:tc>
        <w:tc>
          <w:tcPr>
            <w:tcW w:w="4938" w:type="dxa"/>
            <w:vAlign w:val="center"/>
          </w:tcPr>
          <w:p w14:paraId="45DE5131" w14:textId="48699973" w:rsidR="00E0626C" w:rsidRPr="009864B5" w:rsidRDefault="00E0626C" w:rsidP="009A2BA0">
            <w:pPr>
              <w:pStyle w:val="ChartHeading"/>
              <w:jc w:val="both"/>
            </w:pPr>
            <w:r w:rsidRPr="009864B5">
              <w:rPr>
                <w:rFonts w:hint="eastAsia"/>
              </w:rPr>
              <w:t>图表</w:t>
            </w:r>
            <w:r w:rsidRPr="009864B5">
              <w:t xml:space="preserve">. </w:t>
            </w:r>
            <w:r w:rsidR="00416C5F" w:rsidRPr="009864B5">
              <w:rPr>
                <w:rFonts w:hint="eastAsia"/>
              </w:rPr>
              <w:t>转</w:t>
            </w:r>
            <w:proofErr w:type="gramStart"/>
            <w:r w:rsidR="00416C5F" w:rsidRPr="009864B5">
              <w:rPr>
                <w:rFonts w:hint="eastAsia"/>
              </w:rPr>
              <w:t>债指数</w:t>
            </w:r>
            <w:proofErr w:type="gramEnd"/>
            <w:r w:rsidR="00416C5F" w:rsidRPr="009864B5">
              <w:rPr>
                <w:rFonts w:hint="eastAsia"/>
              </w:rPr>
              <w:t>与股指累计变化</w:t>
            </w:r>
          </w:p>
        </w:tc>
      </w:tr>
      <w:tr w:rsidR="00E0626C" w:rsidRPr="009864B5" w14:paraId="2CD3B9EE" w14:textId="77777777" w:rsidTr="00B76849">
        <w:tblPrEx>
          <w:tblCellMar>
            <w:left w:w="108" w:type="dxa"/>
            <w:right w:w="108" w:type="dxa"/>
          </w:tblCellMar>
        </w:tblPrEx>
        <w:trPr>
          <w:trHeight w:val="2921"/>
          <w:jc w:val="center"/>
        </w:trPr>
        <w:tc>
          <w:tcPr>
            <w:tcW w:w="4939" w:type="dxa"/>
            <w:vAlign w:val="center"/>
          </w:tcPr>
          <w:p w14:paraId="5C83721A" w14:textId="7AE1146F" w:rsidR="00E0626C" w:rsidRPr="009864B5" w:rsidRDefault="000D5A58" w:rsidP="00345C30">
            <w:pPr>
              <w:widowControl/>
              <w:jc w:val="left"/>
              <w:rPr>
                <w:rFonts w:ascii="宋体" w:hAnsi="宋体" w:cs="宋体"/>
                <w:kern w:val="0"/>
                <w:sz w:val="24"/>
                <w:szCs w:val="24"/>
              </w:rPr>
            </w:pPr>
            <w:r w:rsidRPr="009864B5">
              <w:rPr>
                <w:rFonts w:ascii="宋体" w:hAnsi="宋体" w:cs="宋体"/>
                <w:noProof/>
                <w:kern w:val="0"/>
                <w:sz w:val="24"/>
                <w:szCs w:val="24"/>
              </w:rPr>
              <w:drawing>
                <wp:inline distT="0" distB="0" distL="0" distR="0" wp14:anchorId="3B61FF58" wp14:editId="68688DB3">
                  <wp:extent cx="3050129" cy="17150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1"/>
                          <a:stretch>
                            <a:fillRect/>
                          </a:stretch>
                        </pic:blipFill>
                        <pic:spPr bwMode="auto">
                          <a:xfrm>
                            <a:off x="0" y="0"/>
                            <a:ext cx="3050129" cy="1715055"/>
                          </a:xfrm>
                          <a:prstGeom prst="rect">
                            <a:avLst/>
                          </a:prstGeom>
                          <a:noFill/>
                          <a:ln>
                            <a:noFill/>
                          </a:ln>
                        </pic:spPr>
                      </pic:pic>
                    </a:graphicData>
                  </a:graphic>
                </wp:inline>
              </w:drawing>
            </w:r>
          </w:p>
        </w:tc>
        <w:tc>
          <w:tcPr>
            <w:tcW w:w="4938" w:type="dxa"/>
            <w:vAlign w:val="center"/>
          </w:tcPr>
          <w:p w14:paraId="39BD4383" w14:textId="45DDD468" w:rsidR="00E0626C" w:rsidRPr="009864B5" w:rsidRDefault="00B76849" w:rsidP="009A2BA0">
            <w:pPr>
              <w:jc w:val="center"/>
              <w:rPr>
                <w:noProof/>
                <w:szCs w:val="18"/>
              </w:rPr>
            </w:pPr>
            <w:r>
              <w:rPr>
                <w:noProof/>
              </w:rPr>
              <w:drawing>
                <wp:inline distT="0" distB="0" distL="0" distR="0" wp14:anchorId="6A2A6CCD" wp14:editId="789CD833">
                  <wp:extent cx="2996814" cy="1863367"/>
                  <wp:effectExtent l="0" t="0" r="0" b="3810"/>
                  <wp:docPr id="6" name="图表 6">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9864B5" w14:paraId="14E5D572" w14:textId="77777777" w:rsidTr="006F21C0">
        <w:trPr>
          <w:trHeight w:val="64"/>
          <w:jc w:val="center"/>
        </w:trPr>
        <w:tc>
          <w:tcPr>
            <w:tcW w:w="4939" w:type="dxa"/>
            <w:vAlign w:val="center"/>
          </w:tcPr>
          <w:p w14:paraId="5190A1EC" w14:textId="77777777" w:rsidR="00E0626C" w:rsidRPr="009864B5" w:rsidRDefault="00E0626C" w:rsidP="009A2BA0">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c>
          <w:tcPr>
            <w:tcW w:w="4938" w:type="dxa"/>
            <w:vAlign w:val="center"/>
          </w:tcPr>
          <w:p w14:paraId="34A0B8FF" w14:textId="77777777" w:rsidR="00E0626C" w:rsidRPr="009864B5" w:rsidRDefault="00E0626C" w:rsidP="009A2BA0">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4E844C6C" w14:textId="3D204079" w:rsidR="00E0626C" w:rsidRDefault="00E0626C" w:rsidP="009A2BA0">
      <w:pPr>
        <w:pStyle w:val="Body-text"/>
        <w:spacing w:after="0"/>
        <w:rPr>
          <w:lang w:eastAsia="zh-CN"/>
        </w:rPr>
      </w:pPr>
    </w:p>
    <w:p w14:paraId="310684E7" w14:textId="49EDF410" w:rsidR="007A1586" w:rsidRPr="00CD2B4D" w:rsidRDefault="007A1586" w:rsidP="007A1586">
      <w:pPr>
        <w:pStyle w:val="Header2"/>
        <w:rPr>
          <w:rFonts w:eastAsia="PMingLiU"/>
          <w:sz w:val="28"/>
          <w:szCs w:val="21"/>
        </w:rPr>
      </w:pPr>
      <w:r>
        <w:rPr>
          <w:sz w:val="28"/>
          <w:szCs w:val="21"/>
          <w:lang w:eastAsia="zh-CN"/>
        </w:rPr>
        <w:t>4</w:t>
      </w:r>
      <w:r w:rsidRPr="00CD2B4D">
        <w:rPr>
          <w:rFonts w:hint="eastAsia"/>
          <w:sz w:val="28"/>
          <w:szCs w:val="21"/>
          <w:lang w:eastAsia="zh-CN"/>
        </w:rPr>
        <w:t>、</w:t>
      </w:r>
      <w:r w:rsidRPr="007A1586">
        <w:rPr>
          <w:rFonts w:hint="eastAsia"/>
          <w:sz w:val="28"/>
          <w:szCs w:val="21"/>
        </w:rPr>
        <w:t>其他资产</w:t>
      </w:r>
    </w:p>
    <w:p w14:paraId="195646D0" w14:textId="346B28E7" w:rsidR="007A1586" w:rsidRDefault="00B76849" w:rsidP="007A1586">
      <w:pPr>
        <w:pStyle w:val="Body-text"/>
        <w:spacing w:after="240"/>
        <w:ind w:firstLineChars="200" w:firstLine="480"/>
        <w:rPr>
          <w:rFonts w:ascii="华文楷体" w:hAnsi="华文楷体"/>
          <w:sz w:val="24"/>
          <w:szCs w:val="24"/>
          <w:lang w:eastAsia="zh-CN"/>
        </w:rPr>
      </w:pPr>
      <w:r w:rsidRPr="00B76849">
        <w:rPr>
          <w:rFonts w:ascii="华文楷体" w:hAnsi="华文楷体" w:hint="eastAsia"/>
          <w:sz w:val="24"/>
          <w:szCs w:val="24"/>
          <w:lang w:eastAsia="zh-CN"/>
        </w:rPr>
        <w:t>其他资产方面，8月在岸人民币对美元小幅贬值，伦敦金</w:t>
      </w:r>
      <w:proofErr w:type="gramStart"/>
      <w:r w:rsidRPr="00B76849">
        <w:rPr>
          <w:rFonts w:ascii="华文楷体" w:hAnsi="华文楷体" w:hint="eastAsia"/>
          <w:sz w:val="24"/>
          <w:szCs w:val="24"/>
          <w:lang w:eastAsia="zh-CN"/>
        </w:rPr>
        <w:t>现走出</w:t>
      </w:r>
      <w:proofErr w:type="gramEnd"/>
      <w:r w:rsidRPr="00B76849">
        <w:rPr>
          <w:rFonts w:ascii="华文楷体" w:hAnsi="华文楷体" w:hint="eastAsia"/>
          <w:sz w:val="24"/>
          <w:szCs w:val="24"/>
          <w:lang w:eastAsia="zh-CN"/>
        </w:rPr>
        <w:t>深V行情微涨0.13%，</w:t>
      </w:r>
      <w:proofErr w:type="gramStart"/>
      <w:r w:rsidRPr="00B76849">
        <w:rPr>
          <w:rFonts w:ascii="华文楷体" w:hAnsi="华文楷体" w:hint="eastAsia"/>
          <w:sz w:val="24"/>
          <w:szCs w:val="24"/>
          <w:lang w:eastAsia="zh-CN"/>
        </w:rPr>
        <w:t>标普</w:t>
      </w:r>
      <w:proofErr w:type="gramEnd"/>
      <w:r w:rsidRPr="00B76849">
        <w:rPr>
          <w:rFonts w:ascii="华文楷体" w:hAnsi="华文楷体" w:hint="eastAsia"/>
          <w:sz w:val="24"/>
          <w:szCs w:val="24"/>
          <w:lang w:eastAsia="zh-CN"/>
        </w:rPr>
        <w:t>500指数上涨2.60%，</w:t>
      </w:r>
      <w:proofErr w:type="gramStart"/>
      <w:r w:rsidRPr="00B76849">
        <w:rPr>
          <w:rFonts w:ascii="华文楷体" w:hAnsi="华文楷体" w:hint="eastAsia"/>
          <w:sz w:val="24"/>
          <w:szCs w:val="24"/>
          <w:lang w:eastAsia="zh-CN"/>
        </w:rPr>
        <w:t>布油价格</w:t>
      </w:r>
      <w:proofErr w:type="gramEnd"/>
      <w:r w:rsidRPr="00B76849">
        <w:rPr>
          <w:rFonts w:ascii="华文楷体" w:hAnsi="华文楷体" w:hint="eastAsia"/>
          <w:sz w:val="24"/>
          <w:szCs w:val="24"/>
          <w:lang w:eastAsia="zh-CN"/>
        </w:rPr>
        <w:t>大跌4.96%至71.67美元每桶，LME铜震荡下行3.17%，10年美债上行8.7bp收于1.313%。</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FC1FA4" w:rsidRPr="009864B5" w14:paraId="32605E27" w14:textId="77777777" w:rsidTr="00A6753F">
        <w:trPr>
          <w:trHeight w:val="202"/>
          <w:jc w:val="center"/>
        </w:trPr>
        <w:tc>
          <w:tcPr>
            <w:tcW w:w="4939" w:type="dxa"/>
            <w:vAlign w:val="center"/>
          </w:tcPr>
          <w:p w14:paraId="157B53B4" w14:textId="19E426CF" w:rsidR="00FC1FA4" w:rsidRPr="009864B5" w:rsidRDefault="00FC1FA4" w:rsidP="00692D2B">
            <w:pPr>
              <w:pStyle w:val="ChartHeading"/>
              <w:jc w:val="both"/>
            </w:pPr>
            <w:r w:rsidRPr="009864B5">
              <w:rPr>
                <w:rFonts w:hint="eastAsia"/>
              </w:rPr>
              <w:lastRenderedPageBreak/>
              <w:t>图表</w:t>
            </w:r>
            <w:r w:rsidRPr="009864B5">
              <w:t xml:space="preserve">. </w:t>
            </w:r>
            <w:r>
              <w:rPr>
                <w:rFonts w:hint="eastAsia"/>
              </w:rPr>
              <w:t>人民币汇率</w:t>
            </w:r>
            <w:r w:rsidRPr="009864B5">
              <w:t xml:space="preserve"> </w:t>
            </w:r>
          </w:p>
        </w:tc>
        <w:tc>
          <w:tcPr>
            <w:tcW w:w="4938" w:type="dxa"/>
            <w:vAlign w:val="center"/>
          </w:tcPr>
          <w:p w14:paraId="3746CE2D" w14:textId="6B83B863" w:rsidR="00FC1FA4" w:rsidRPr="009864B5" w:rsidRDefault="00FC1FA4" w:rsidP="00692D2B">
            <w:pPr>
              <w:pStyle w:val="ChartHeading"/>
              <w:jc w:val="both"/>
            </w:pPr>
            <w:r w:rsidRPr="009864B5">
              <w:rPr>
                <w:rFonts w:hint="eastAsia"/>
              </w:rPr>
              <w:t>图表</w:t>
            </w:r>
            <w:r w:rsidRPr="009864B5">
              <w:t xml:space="preserve">. </w:t>
            </w:r>
            <w:r>
              <w:rPr>
                <w:rFonts w:hint="eastAsia"/>
              </w:rPr>
              <w:t>铜价</w:t>
            </w:r>
            <w:r>
              <w:rPr>
                <w:rFonts w:hint="eastAsia"/>
              </w:rPr>
              <w:t xml:space="preserve"> &amp;</w:t>
            </w:r>
            <w:r>
              <w:t xml:space="preserve"> </w:t>
            </w:r>
            <w:r>
              <w:rPr>
                <w:rFonts w:hint="eastAsia"/>
              </w:rPr>
              <w:t>油价</w:t>
            </w:r>
          </w:p>
        </w:tc>
      </w:tr>
      <w:tr w:rsidR="00FC1FA4" w:rsidRPr="009864B5" w14:paraId="77E9D724" w14:textId="77777777" w:rsidTr="00B76849">
        <w:tblPrEx>
          <w:tblCellMar>
            <w:left w:w="108" w:type="dxa"/>
            <w:right w:w="108" w:type="dxa"/>
          </w:tblCellMar>
        </w:tblPrEx>
        <w:trPr>
          <w:trHeight w:val="2921"/>
          <w:jc w:val="center"/>
        </w:trPr>
        <w:tc>
          <w:tcPr>
            <w:tcW w:w="4939" w:type="dxa"/>
            <w:vAlign w:val="center"/>
          </w:tcPr>
          <w:p w14:paraId="3608D4C9" w14:textId="1FAB2E2F" w:rsidR="00FC1FA4" w:rsidRPr="009864B5" w:rsidRDefault="00B76849" w:rsidP="00692D2B">
            <w:pPr>
              <w:widowControl/>
              <w:jc w:val="left"/>
              <w:rPr>
                <w:rFonts w:ascii="宋体" w:hAnsi="宋体" w:cs="宋体"/>
                <w:kern w:val="0"/>
                <w:sz w:val="24"/>
                <w:szCs w:val="24"/>
              </w:rPr>
            </w:pPr>
            <w:r>
              <w:rPr>
                <w:noProof/>
              </w:rPr>
              <w:drawing>
                <wp:inline distT="0" distB="0" distL="0" distR="0" wp14:anchorId="051789FC" wp14:editId="731531E8">
                  <wp:extent cx="2999105" cy="1747520"/>
                  <wp:effectExtent l="0" t="0" r="0" b="5080"/>
                  <wp:docPr id="10" name="图表 10">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0BD7FBF7" w14:textId="7E38EA20" w:rsidR="00FC1FA4" w:rsidRPr="009864B5" w:rsidRDefault="00B76849" w:rsidP="00692D2B">
            <w:pPr>
              <w:jc w:val="center"/>
              <w:rPr>
                <w:noProof/>
                <w:szCs w:val="18"/>
              </w:rPr>
            </w:pPr>
            <w:r>
              <w:rPr>
                <w:noProof/>
              </w:rPr>
              <w:drawing>
                <wp:inline distT="0" distB="0" distL="0" distR="0" wp14:anchorId="687AD6E4" wp14:editId="4B92E00A">
                  <wp:extent cx="2998470" cy="1742440"/>
                  <wp:effectExtent l="0" t="0" r="11430" b="0"/>
                  <wp:docPr id="11" name="图表 1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FC1FA4" w:rsidRPr="009864B5" w14:paraId="0C5F09C1" w14:textId="77777777" w:rsidTr="00692D2B">
        <w:trPr>
          <w:trHeight w:val="64"/>
          <w:jc w:val="center"/>
        </w:trPr>
        <w:tc>
          <w:tcPr>
            <w:tcW w:w="4939" w:type="dxa"/>
            <w:vAlign w:val="center"/>
          </w:tcPr>
          <w:p w14:paraId="60EF8AEB" w14:textId="77777777" w:rsidR="00FC1FA4" w:rsidRPr="009864B5" w:rsidRDefault="00FC1FA4" w:rsidP="00692D2B">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c>
          <w:tcPr>
            <w:tcW w:w="4938" w:type="dxa"/>
            <w:vAlign w:val="center"/>
          </w:tcPr>
          <w:p w14:paraId="60B14989" w14:textId="77777777" w:rsidR="00FC1FA4" w:rsidRPr="009864B5" w:rsidRDefault="00FC1FA4" w:rsidP="00692D2B">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01B19A5B" w14:textId="7BA451BD" w:rsidR="00FC1FA4" w:rsidRDefault="00FC1FA4" w:rsidP="003E4A57">
      <w:pPr>
        <w:pStyle w:val="Body-text"/>
        <w:spacing w:after="240"/>
        <w:rPr>
          <w:rFonts w:ascii="华文楷体" w:hAnsi="华文楷体"/>
          <w:sz w:val="24"/>
          <w:szCs w:val="24"/>
          <w:lang w:eastAsia="zh-CN"/>
        </w:rPr>
      </w:pPr>
    </w:p>
    <w:p w14:paraId="70131D19" w14:textId="1C98DF93" w:rsidR="002D3316" w:rsidRPr="00C87D79" w:rsidRDefault="002D3316" w:rsidP="002D3316">
      <w:pPr>
        <w:pStyle w:val="Header2"/>
        <w:rPr>
          <w:sz w:val="28"/>
          <w:szCs w:val="21"/>
          <w:lang w:eastAsia="zh-CN"/>
        </w:rPr>
      </w:pPr>
      <w:r w:rsidRPr="00C87D79">
        <w:rPr>
          <w:sz w:val="28"/>
          <w:szCs w:val="21"/>
          <w:lang w:eastAsia="zh-CN"/>
        </w:rPr>
        <w:t>5</w:t>
      </w:r>
      <w:r w:rsidRPr="00C87D79">
        <w:rPr>
          <w:rFonts w:hint="eastAsia"/>
          <w:sz w:val="28"/>
          <w:szCs w:val="21"/>
          <w:lang w:eastAsia="zh-CN"/>
        </w:rPr>
        <w:t>、高频数据</w:t>
      </w:r>
    </w:p>
    <w:p w14:paraId="2664183A" w14:textId="664C2F11" w:rsidR="00C87D79" w:rsidRPr="00C87D79" w:rsidRDefault="002D331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上游</w:t>
      </w:r>
      <w:r w:rsidR="002A7C89" w:rsidRPr="00C87D79">
        <w:rPr>
          <w:rFonts w:ascii="华文楷体" w:hAnsi="华文楷体" w:hint="eastAsia"/>
          <w:sz w:val="24"/>
          <w:szCs w:val="24"/>
          <w:lang w:eastAsia="zh-CN"/>
        </w:rPr>
        <w:t>原油</w:t>
      </w:r>
      <w:r w:rsidR="00C87D79" w:rsidRPr="00C87D79">
        <w:rPr>
          <w:rFonts w:ascii="华文楷体" w:hAnsi="华文楷体" w:hint="eastAsia"/>
          <w:sz w:val="24"/>
          <w:szCs w:val="24"/>
          <w:lang w:eastAsia="zh-CN"/>
        </w:rPr>
        <w:t>、</w:t>
      </w:r>
      <w:r w:rsidR="006F3FA1" w:rsidRPr="00C87D79">
        <w:rPr>
          <w:rFonts w:ascii="华文楷体" w:hAnsi="华文楷体" w:hint="eastAsia"/>
          <w:sz w:val="24"/>
          <w:szCs w:val="24"/>
          <w:lang w:eastAsia="zh-CN"/>
        </w:rPr>
        <w:t>焦煤、动力煤</w:t>
      </w:r>
      <w:r w:rsidR="00C87D79" w:rsidRPr="00C87D79">
        <w:rPr>
          <w:rFonts w:ascii="华文楷体" w:hAnsi="华文楷体" w:hint="eastAsia"/>
          <w:sz w:val="24"/>
          <w:szCs w:val="24"/>
          <w:lang w:eastAsia="zh-CN"/>
        </w:rPr>
        <w:t>价格大涨</w:t>
      </w:r>
      <w:r w:rsidR="006F3FA1" w:rsidRPr="00C87D79">
        <w:rPr>
          <w:rFonts w:ascii="华文楷体" w:hAnsi="华文楷体" w:hint="eastAsia"/>
          <w:sz w:val="24"/>
          <w:szCs w:val="24"/>
          <w:lang w:eastAsia="zh-CN"/>
        </w:rPr>
        <w:t>，</w:t>
      </w:r>
      <w:r w:rsidR="002A7C89" w:rsidRPr="00C87D79">
        <w:rPr>
          <w:rFonts w:ascii="华文楷体" w:hAnsi="华文楷体" w:hint="eastAsia"/>
          <w:sz w:val="24"/>
          <w:szCs w:val="24"/>
          <w:lang w:eastAsia="zh-CN"/>
        </w:rPr>
        <w:t>水泥</w:t>
      </w:r>
      <w:r w:rsidR="006F3FA1" w:rsidRPr="00C87D79">
        <w:rPr>
          <w:rFonts w:ascii="华文楷体" w:hAnsi="华文楷体" w:hint="eastAsia"/>
          <w:sz w:val="24"/>
          <w:szCs w:val="24"/>
          <w:lang w:eastAsia="zh-CN"/>
        </w:rPr>
        <w:t>价格连续</w:t>
      </w:r>
      <w:r w:rsidR="00C87D79" w:rsidRPr="00C87D79">
        <w:rPr>
          <w:rFonts w:ascii="华文楷体" w:hAnsi="华文楷体" w:hint="eastAsia"/>
          <w:sz w:val="24"/>
          <w:szCs w:val="24"/>
          <w:lang w:eastAsia="zh-CN"/>
        </w:rPr>
        <w:t>四</w:t>
      </w:r>
      <w:r w:rsidR="006F3FA1" w:rsidRPr="00C87D79">
        <w:rPr>
          <w:rFonts w:ascii="华文楷体" w:hAnsi="华文楷体" w:hint="eastAsia"/>
          <w:sz w:val="24"/>
          <w:szCs w:val="24"/>
          <w:lang w:eastAsia="zh-CN"/>
        </w:rPr>
        <w:t>周</w:t>
      </w:r>
      <w:r w:rsidR="002A7C89" w:rsidRPr="00C87D79">
        <w:rPr>
          <w:rFonts w:ascii="华文楷体" w:hAnsi="华文楷体" w:hint="eastAsia"/>
          <w:sz w:val="24"/>
          <w:szCs w:val="24"/>
          <w:lang w:eastAsia="zh-CN"/>
        </w:rPr>
        <w:t>回暖</w:t>
      </w:r>
      <w:r w:rsidR="00C87D79" w:rsidRPr="00C87D79">
        <w:rPr>
          <w:rFonts w:ascii="华文楷体" w:hAnsi="华文楷体" w:hint="eastAsia"/>
          <w:sz w:val="24"/>
          <w:szCs w:val="24"/>
          <w:lang w:eastAsia="zh-CN"/>
        </w:rPr>
        <w:t>，玻璃价格连续两周走弱</w:t>
      </w:r>
      <w:r w:rsidR="00BC1DA3" w:rsidRPr="00C87D79">
        <w:rPr>
          <w:rFonts w:ascii="华文楷体" w:hAnsi="华文楷体" w:hint="eastAsia"/>
          <w:sz w:val="24"/>
          <w:szCs w:val="24"/>
          <w:lang w:eastAsia="zh-CN"/>
        </w:rPr>
        <w:t>。</w:t>
      </w:r>
    </w:p>
    <w:p w14:paraId="72F4E8C0" w14:textId="2D901849" w:rsidR="00C87D79" w:rsidRPr="00C87D79" w:rsidRDefault="001948F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食品价格方面</w:t>
      </w:r>
      <w:r w:rsidR="00BC1DA3" w:rsidRPr="00C87D79">
        <w:rPr>
          <w:rFonts w:ascii="华文楷体" w:hAnsi="华文楷体" w:hint="eastAsia"/>
          <w:sz w:val="24"/>
          <w:szCs w:val="24"/>
          <w:lang w:eastAsia="zh-CN"/>
        </w:rPr>
        <w:t>，</w:t>
      </w:r>
      <w:r w:rsidR="00C87D79" w:rsidRPr="00C87D79">
        <w:rPr>
          <w:rFonts w:ascii="华文楷体" w:hAnsi="华文楷体" w:hint="eastAsia"/>
          <w:sz w:val="24"/>
          <w:szCs w:val="24"/>
          <w:lang w:eastAsia="zh-CN"/>
        </w:rPr>
        <w:t>农产品和菜篮子批发价格200指数连续三周下行，</w:t>
      </w:r>
      <w:r w:rsidRPr="00C87D79">
        <w:rPr>
          <w:rFonts w:ascii="华文楷体" w:hAnsi="华文楷体" w:hint="eastAsia"/>
          <w:sz w:val="24"/>
          <w:szCs w:val="24"/>
          <w:lang w:eastAsia="zh-CN"/>
        </w:rPr>
        <w:t>猪肉价格</w:t>
      </w:r>
      <w:r w:rsidR="00C87D79" w:rsidRPr="00C87D79">
        <w:rPr>
          <w:rFonts w:ascii="华文楷体" w:hAnsi="华文楷体" w:hint="eastAsia"/>
          <w:sz w:val="24"/>
          <w:szCs w:val="24"/>
          <w:lang w:eastAsia="zh-CN"/>
        </w:rPr>
        <w:t>仍在阴跌</w:t>
      </w:r>
      <w:r w:rsidRPr="00C87D79">
        <w:rPr>
          <w:rFonts w:ascii="华文楷体" w:hAnsi="华文楷体" w:hint="eastAsia"/>
          <w:sz w:val="24"/>
          <w:szCs w:val="24"/>
          <w:lang w:eastAsia="zh-CN"/>
        </w:rPr>
        <w:t>，蔬菜、</w:t>
      </w:r>
      <w:r w:rsidR="00C87D79" w:rsidRPr="00C87D79">
        <w:rPr>
          <w:rFonts w:ascii="华文楷体" w:hAnsi="华文楷体" w:hint="eastAsia"/>
          <w:sz w:val="24"/>
          <w:szCs w:val="24"/>
          <w:lang w:eastAsia="zh-CN"/>
        </w:rPr>
        <w:t>水果批发价</w:t>
      </w:r>
      <w:r w:rsidRPr="00C87D79">
        <w:rPr>
          <w:rFonts w:ascii="华文楷体" w:hAnsi="华文楷体" w:hint="eastAsia"/>
          <w:sz w:val="24"/>
          <w:szCs w:val="24"/>
          <w:lang w:eastAsia="zh-CN"/>
        </w:rPr>
        <w:t>连续</w:t>
      </w:r>
      <w:r w:rsidR="00C87D79" w:rsidRPr="00C87D79">
        <w:rPr>
          <w:rFonts w:ascii="华文楷体" w:hAnsi="华文楷体" w:hint="eastAsia"/>
          <w:sz w:val="24"/>
          <w:szCs w:val="24"/>
          <w:lang w:eastAsia="zh-CN"/>
        </w:rPr>
        <w:t>三</w:t>
      </w:r>
      <w:r w:rsidRPr="00C87D79">
        <w:rPr>
          <w:rFonts w:ascii="华文楷体" w:hAnsi="华文楷体" w:hint="eastAsia"/>
          <w:sz w:val="24"/>
          <w:szCs w:val="24"/>
          <w:lang w:eastAsia="zh-CN"/>
        </w:rPr>
        <w:t>周转跌，其余食品分项价格多有下降。</w:t>
      </w:r>
    </w:p>
    <w:p w14:paraId="10D6A074" w14:textId="1CF84625" w:rsidR="00C87D79" w:rsidRPr="00C87D79" w:rsidRDefault="001948F6"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工业品价格方面，</w:t>
      </w:r>
      <w:r w:rsidR="00C87D79" w:rsidRPr="00C87D79">
        <w:rPr>
          <w:rFonts w:ascii="华文楷体" w:hAnsi="华文楷体" w:hint="eastAsia"/>
          <w:sz w:val="24"/>
          <w:szCs w:val="24"/>
          <w:lang w:eastAsia="zh-CN"/>
        </w:rPr>
        <w:t>美联储主席鲍威尔的讲话偏鸽</w:t>
      </w:r>
      <w:r w:rsidR="007C4C14" w:rsidRPr="00C87D79">
        <w:rPr>
          <w:rFonts w:ascii="华文楷体" w:hAnsi="华文楷体" w:hint="eastAsia"/>
          <w:sz w:val="24"/>
          <w:szCs w:val="24"/>
          <w:lang w:eastAsia="zh-CN"/>
        </w:rPr>
        <w:t>，</w:t>
      </w:r>
      <w:r w:rsidR="00C87D79" w:rsidRPr="00C87D79">
        <w:rPr>
          <w:rFonts w:ascii="华文楷体" w:hAnsi="华文楷体" w:hint="eastAsia"/>
          <w:sz w:val="24"/>
          <w:szCs w:val="24"/>
          <w:lang w:eastAsia="zh-CN"/>
        </w:rPr>
        <w:t>且部分产品受供给</w:t>
      </w:r>
      <w:proofErr w:type="gramStart"/>
      <w:r w:rsidR="00C87D79" w:rsidRPr="00C87D79">
        <w:rPr>
          <w:rFonts w:ascii="华文楷体" w:hAnsi="华文楷体" w:hint="eastAsia"/>
          <w:sz w:val="24"/>
          <w:szCs w:val="24"/>
          <w:lang w:eastAsia="zh-CN"/>
        </w:rPr>
        <w:t>端基本</w:t>
      </w:r>
      <w:proofErr w:type="gramEnd"/>
      <w:r w:rsidR="00C87D79" w:rsidRPr="00C87D79">
        <w:rPr>
          <w:rFonts w:ascii="华文楷体" w:hAnsi="华文楷体" w:hint="eastAsia"/>
          <w:sz w:val="24"/>
          <w:szCs w:val="24"/>
          <w:lang w:eastAsia="zh-CN"/>
        </w:rPr>
        <w:t>面影响，</w:t>
      </w:r>
      <w:r w:rsidR="007C4C14" w:rsidRPr="00C87D79">
        <w:rPr>
          <w:rFonts w:ascii="华文楷体" w:hAnsi="华文楷体" w:hint="eastAsia"/>
          <w:sz w:val="24"/>
          <w:szCs w:val="24"/>
          <w:lang w:eastAsia="zh-CN"/>
        </w:rPr>
        <w:t>有色金属</w:t>
      </w:r>
      <w:r w:rsidR="00CB24EB">
        <w:rPr>
          <w:rFonts w:ascii="华文楷体" w:hAnsi="华文楷体" w:hint="eastAsia"/>
          <w:sz w:val="24"/>
          <w:szCs w:val="24"/>
          <w:lang w:eastAsia="zh-CN"/>
        </w:rPr>
        <w:t>上</w:t>
      </w:r>
      <w:r w:rsidR="007C4C14" w:rsidRPr="00C87D79">
        <w:rPr>
          <w:rFonts w:ascii="华文楷体" w:hAnsi="华文楷体" w:hint="eastAsia"/>
          <w:sz w:val="24"/>
          <w:szCs w:val="24"/>
          <w:lang w:eastAsia="zh-CN"/>
        </w:rPr>
        <w:t>周整体</w:t>
      </w:r>
      <w:r w:rsidR="00C87D79" w:rsidRPr="00C87D79">
        <w:rPr>
          <w:rFonts w:ascii="华文楷体" w:hAnsi="华文楷体" w:hint="eastAsia"/>
          <w:sz w:val="24"/>
          <w:szCs w:val="24"/>
          <w:lang w:eastAsia="zh-CN"/>
        </w:rPr>
        <w:t>出现较大幅度上涨</w:t>
      </w:r>
      <w:r w:rsidR="007C4C14" w:rsidRPr="00C87D79">
        <w:rPr>
          <w:rFonts w:ascii="华文楷体" w:hAnsi="华文楷体" w:hint="eastAsia"/>
          <w:sz w:val="24"/>
          <w:szCs w:val="24"/>
          <w:lang w:eastAsia="zh-CN"/>
        </w:rPr>
        <w:t>。</w:t>
      </w:r>
    </w:p>
    <w:p w14:paraId="24A84318" w14:textId="64BB57D5" w:rsidR="003F3A2E" w:rsidRDefault="003F3A2E" w:rsidP="006F3FA1">
      <w:pPr>
        <w:pStyle w:val="Body-text"/>
        <w:spacing w:after="240"/>
        <w:ind w:firstLineChars="200" w:firstLine="480"/>
        <w:rPr>
          <w:rFonts w:ascii="华文楷体" w:hAnsi="华文楷体"/>
          <w:sz w:val="24"/>
          <w:szCs w:val="24"/>
          <w:lang w:eastAsia="zh-CN"/>
        </w:rPr>
      </w:pPr>
      <w:r w:rsidRPr="00C87D79">
        <w:rPr>
          <w:rFonts w:ascii="华文楷体" w:hAnsi="华文楷体" w:hint="eastAsia"/>
          <w:sz w:val="24"/>
          <w:szCs w:val="24"/>
          <w:lang w:eastAsia="zh-CN"/>
        </w:rPr>
        <w:t>地产方面，</w:t>
      </w:r>
      <w:r w:rsidR="00BC1DA3" w:rsidRPr="00C87D79">
        <w:rPr>
          <w:rFonts w:ascii="华文楷体" w:hAnsi="华文楷体" w:hint="eastAsia"/>
          <w:sz w:val="24"/>
          <w:szCs w:val="24"/>
          <w:lang w:eastAsia="zh-CN"/>
        </w:rPr>
        <w:t>下游</w:t>
      </w:r>
      <w:r w:rsidR="002D3316" w:rsidRPr="00C87D79">
        <w:rPr>
          <w:rFonts w:ascii="华文楷体" w:hAnsi="华文楷体" w:hint="eastAsia"/>
          <w:sz w:val="24"/>
          <w:szCs w:val="24"/>
          <w:lang w:eastAsia="zh-CN"/>
        </w:rPr>
        <w:t>商品房成交</w:t>
      </w:r>
      <w:proofErr w:type="gramStart"/>
      <w:r w:rsidR="00BC1DA3" w:rsidRPr="00C87D79">
        <w:rPr>
          <w:rFonts w:ascii="华文楷体" w:hAnsi="华文楷体" w:hint="eastAsia"/>
          <w:sz w:val="24"/>
          <w:szCs w:val="24"/>
          <w:lang w:eastAsia="zh-CN"/>
        </w:rPr>
        <w:t>面积</w:t>
      </w:r>
      <w:r w:rsidR="00C87D79" w:rsidRPr="00C87D79">
        <w:rPr>
          <w:rFonts w:ascii="华文楷体" w:hAnsi="华文楷体" w:hint="eastAsia"/>
          <w:sz w:val="24"/>
          <w:szCs w:val="24"/>
          <w:lang w:eastAsia="zh-CN"/>
        </w:rPr>
        <w:t>环</w:t>
      </w:r>
      <w:proofErr w:type="gramEnd"/>
      <w:r w:rsidR="00C87D79" w:rsidRPr="00C87D79">
        <w:rPr>
          <w:rFonts w:ascii="华文楷体" w:hAnsi="华文楷体" w:hint="eastAsia"/>
          <w:sz w:val="24"/>
          <w:szCs w:val="24"/>
          <w:lang w:eastAsia="zh-CN"/>
        </w:rPr>
        <w:t>比回暖，一线城市成交</w:t>
      </w:r>
      <w:proofErr w:type="gramStart"/>
      <w:r w:rsidR="00C87D79" w:rsidRPr="00C87D79">
        <w:rPr>
          <w:rFonts w:ascii="华文楷体" w:hAnsi="华文楷体" w:hint="eastAsia"/>
          <w:sz w:val="24"/>
          <w:szCs w:val="24"/>
          <w:lang w:eastAsia="zh-CN"/>
        </w:rPr>
        <w:t>面积环</w:t>
      </w:r>
      <w:proofErr w:type="gramEnd"/>
      <w:r w:rsidR="00C87D79" w:rsidRPr="00C87D79">
        <w:rPr>
          <w:rFonts w:ascii="华文楷体" w:hAnsi="华文楷体" w:hint="eastAsia"/>
          <w:sz w:val="24"/>
          <w:szCs w:val="24"/>
          <w:lang w:eastAsia="zh-CN"/>
        </w:rPr>
        <w:t>比连续五周上行</w:t>
      </w:r>
      <w:r w:rsidR="002D3316" w:rsidRPr="00C87D79">
        <w:rPr>
          <w:rFonts w:ascii="华文楷体" w:hAnsi="华文楷体" w:hint="eastAsia"/>
          <w:sz w:val="24"/>
          <w:szCs w:val="24"/>
          <w:lang w:eastAsia="zh-CN"/>
        </w:rPr>
        <w:t>，</w:t>
      </w:r>
      <w:r w:rsidR="007C4C14" w:rsidRPr="00C87D79">
        <w:rPr>
          <w:rFonts w:ascii="华文楷体" w:hAnsi="华文楷体" w:hint="eastAsia"/>
          <w:sz w:val="24"/>
          <w:szCs w:val="24"/>
          <w:lang w:eastAsia="zh-CN"/>
        </w:rPr>
        <w:t>二</w:t>
      </w:r>
      <w:r w:rsidR="00C87D79" w:rsidRPr="00C87D79">
        <w:rPr>
          <w:rFonts w:ascii="华文楷体" w:hAnsi="华文楷体" w:hint="eastAsia"/>
          <w:sz w:val="24"/>
          <w:szCs w:val="24"/>
          <w:lang w:eastAsia="zh-CN"/>
        </w:rPr>
        <w:t>线城市成交面积连续两周回正，但</w:t>
      </w:r>
      <w:r w:rsidR="007C4C14" w:rsidRPr="00C87D79">
        <w:rPr>
          <w:rFonts w:ascii="华文楷体" w:hAnsi="华文楷体" w:hint="eastAsia"/>
          <w:sz w:val="24"/>
          <w:szCs w:val="24"/>
          <w:lang w:eastAsia="zh-CN"/>
        </w:rPr>
        <w:t>三线城市</w:t>
      </w:r>
      <w:r w:rsidR="00C87D79" w:rsidRPr="00C87D79">
        <w:rPr>
          <w:rFonts w:ascii="华文楷体" w:hAnsi="华文楷体" w:hint="eastAsia"/>
          <w:sz w:val="24"/>
          <w:szCs w:val="24"/>
          <w:lang w:eastAsia="zh-CN"/>
        </w:rPr>
        <w:t>成交面积</w:t>
      </w:r>
      <w:r w:rsidR="007C4C14" w:rsidRPr="00C87D79">
        <w:rPr>
          <w:rFonts w:ascii="华文楷体" w:hAnsi="华文楷体" w:hint="eastAsia"/>
          <w:sz w:val="24"/>
          <w:szCs w:val="24"/>
          <w:lang w:eastAsia="zh-CN"/>
        </w:rPr>
        <w:t>仍在持续下降</w:t>
      </w:r>
      <w:r w:rsidR="002D3316" w:rsidRPr="00C87D79">
        <w:rPr>
          <w:rFonts w:ascii="华文楷体" w:hAnsi="华文楷体" w:hint="eastAsia"/>
          <w:sz w:val="24"/>
          <w:szCs w:val="24"/>
          <w:lang w:eastAsia="zh-CN"/>
        </w:rPr>
        <w:t>。</w:t>
      </w:r>
    </w:p>
    <w:tbl>
      <w:tblPr>
        <w:tblW w:w="9549" w:type="dxa"/>
        <w:jc w:val="center"/>
        <w:tblLayout w:type="fixed"/>
        <w:tblCellMar>
          <w:left w:w="0" w:type="dxa"/>
          <w:right w:w="0" w:type="dxa"/>
        </w:tblCellMar>
        <w:tblLook w:val="01E0" w:firstRow="1" w:lastRow="1" w:firstColumn="1" w:lastColumn="1" w:noHBand="0" w:noVBand="0"/>
      </w:tblPr>
      <w:tblGrid>
        <w:gridCol w:w="9549"/>
      </w:tblGrid>
      <w:tr w:rsidR="002D3316" w:rsidRPr="009864B5" w14:paraId="08B978D4" w14:textId="77777777" w:rsidTr="00164014">
        <w:trPr>
          <w:trHeight w:val="197"/>
          <w:jc w:val="center"/>
        </w:trPr>
        <w:tc>
          <w:tcPr>
            <w:tcW w:w="9549" w:type="dxa"/>
            <w:vAlign w:val="center"/>
          </w:tcPr>
          <w:p w14:paraId="5171759A" w14:textId="77777777" w:rsidR="002D3316" w:rsidRPr="009864B5" w:rsidRDefault="002D3316" w:rsidP="00164014">
            <w:pPr>
              <w:pStyle w:val="ChartHeading"/>
              <w:jc w:val="both"/>
            </w:pPr>
            <w:r w:rsidRPr="009864B5">
              <w:rPr>
                <w:rFonts w:hint="eastAsia"/>
              </w:rPr>
              <w:lastRenderedPageBreak/>
              <w:t>图表</w:t>
            </w:r>
            <w:r w:rsidRPr="009864B5">
              <w:t xml:space="preserve">. </w:t>
            </w:r>
            <w:proofErr w:type="gramStart"/>
            <w:r>
              <w:rPr>
                <w:rFonts w:hint="eastAsia"/>
              </w:rPr>
              <w:t>周度高频</w:t>
            </w:r>
            <w:proofErr w:type="gramEnd"/>
            <w:r>
              <w:rPr>
                <w:rFonts w:hint="eastAsia"/>
              </w:rPr>
              <w:t>数据跟踪</w:t>
            </w:r>
          </w:p>
        </w:tc>
      </w:tr>
      <w:tr w:rsidR="002D3316" w:rsidRPr="009864B5" w14:paraId="64095B0A" w14:textId="77777777" w:rsidTr="00164014">
        <w:tblPrEx>
          <w:tblCellMar>
            <w:left w:w="108" w:type="dxa"/>
            <w:right w:w="108" w:type="dxa"/>
          </w:tblCellMar>
        </w:tblPrEx>
        <w:trPr>
          <w:trHeight w:val="302"/>
          <w:jc w:val="center"/>
        </w:trPr>
        <w:tc>
          <w:tcPr>
            <w:tcW w:w="9549" w:type="dxa"/>
            <w:vAlign w:val="center"/>
          </w:tcPr>
          <w:p w14:paraId="4E5D155C" w14:textId="77777777" w:rsidR="002D3316" w:rsidRPr="009864B5" w:rsidRDefault="002D3316" w:rsidP="00164014">
            <w:pPr>
              <w:widowControl/>
              <w:jc w:val="left"/>
              <w:rPr>
                <w:rFonts w:ascii="宋体" w:hAnsi="宋体" w:cs="宋体"/>
                <w:kern w:val="0"/>
                <w:sz w:val="24"/>
                <w:szCs w:val="24"/>
              </w:rPr>
            </w:pPr>
            <w:r w:rsidRPr="007E1C03">
              <w:rPr>
                <w:noProof/>
              </w:rPr>
              <w:drawing>
                <wp:inline distT="0" distB="0" distL="0" distR="0" wp14:anchorId="5988268C" wp14:editId="798E8CF6">
                  <wp:extent cx="6023674" cy="69918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5"/>
                          <a:stretch>
                            <a:fillRect/>
                          </a:stretch>
                        </pic:blipFill>
                        <pic:spPr bwMode="auto">
                          <a:xfrm>
                            <a:off x="0" y="0"/>
                            <a:ext cx="6023674" cy="6991880"/>
                          </a:xfrm>
                          <a:prstGeom prst="rect">
                            <a:avLst/>
                          </a:prstGeom>
                          <a:noFill/>
                          <a:ln>
                            <a:noFill/>
                          </a:ln>
                        </pic:spPr>
                      </pic:pic>
                    </a:graphicData>
                  </a:graphic>
                </wp:inline>
              </w:drawing>
            </w:r>
          </w:p>
        </w:tc>
      </w:tr>
      <w:tr w:rsidR="002D3316" w:rsidRPr="009864B5" w14:paraId="691B5B3D" w14:textId="77777777" w:rsidTr="00164014">
        <w:trPr>
          <w:trHeight w:val="62"/>
          <w:jc w:val="center"/>
        </w:trPr>
        <w:tc>
          <w:tcPr>
            <w:tcW w:w="9549" w:type="dxa"/>
            <w:vAlign w:val="center"/>
          </w:tcPr>
          <w:p w14:paraId="55F668B2" w14:textId="77777777" w:rsidR="002D3316" w:rsidRPr="009864B5" w:rsidRDefault="002D3316" w:rsidP="00164014">
            <w:pPr>
              <w:pStyle w:val="Source"/>
              <w:jc w:val="both"/>
              <w:rPr>
                <w:kern w:val="0"/>
              </w:rPr>
            </w:pPr>
            <w:r w:rsidRPr="00B41E24">
              <w:rPr>
                <w:rFonts w:hint="eastAsia"/>
                <w:kern w:val="0"/>
              </w:rPr>
              <w:t>资料来源：万得，富荣基金；</w:t>
            </w:r>
            <w:r w:rsidRPr="009864B5">
              <w:rPr>
                <w:kern w:val="0"/>
              </w:rPr>
              <w:t xml:space="preserve"> </w:t>
            </w:r>
          </w:p>
        </w:tc>
      </w:tr>
    </w:tbl>
    <w:p w14:paraId="68F31B76" w14:textId="77777777" w:rsidR="002D3316" w:rsidRPr="002D3316" w:rsidRDefault="002D3316" w:rsidP="007A1586">
      <w:pPr>
        <w:pStyle w:val="Body-text"/>
        <w:spacing w:after="240"/>
        <w:ind w:firstLineChars="200" w:firstLine="480"/>
        <w:rPr>
          <w:rFonts w:ascii="华文楷体" w:hAnsi="华文楷体"/>
          <w:sz w:val="24"/>
          <w:szCs w:val="24"/>
          <w:lang w:eastAsia="zh-CN"/>
        </w:rPr>
      </w:pPr>
    </w:p>
    <w:p w14:paraId="721DD2C0" w14:textId="5F7DBCFA" w:rsidR="0082791D" w:rsidRPr="009864B5" w:rsidRDefault="0031666C" w:rsidP="009A2BA0">
      <w:pPr>
        <w:pStyle w:val="Header1"/>
        <w:spacing w:before="240"/>
        <w:rPr>
          <w:color w:val="C45911" w:themeColor="accent2" w:themeShade="BF"/>
        </w:rPr>
      </w:pPr>
      <w:r w:rsidRPr="009864B5">
        <w:rPr>
          <w:rFonts w:hint="eastAsia"/>
          <w:color w:val="C45911" w:themeColor="accent2" w:themeShade="BF"/>
        </w:rPr>
        <w:t>三</w:t>
      </w:r>
      <w:r w:rsidR="0082791D" w:rsidRPr="009864B5">
        <w:rPr>
          <w:rFonts w:hint="eastAsia"/>
          <w:color w:val="C45911" w:themeColor="accent2" w:themeShade="BF"/>
        </w:rPr>
        <w:t>、</w:t>
      </w:r>
      <w:r w:rsidR="00B76849">
        <w:rPr>
          <w:rFonts w:hint="eastAsia"/>
          <w:color w:val="C45911" w:themeColor="accent2" w:themeShade="BF"/>
        </w:rPr>
        <w:t>策略展望</w:t>
      </w:r>
    </w:p>
    <w:p w14:paraId="00BA1D15" w14:textId="7F5542D6" w:rsidR="00B76849" w:rsidRDefault="00B76849" w:rsidP="00B76849">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利率债：</w:t>
      </w:r>
      <w:r w:rsidRPr="003E4A57">
        <w:rPr>
          <w:rFonts w:ascii="华文楷体" w:hAnsi="华文楷体" w:hint="eastAsia"/>
          <w:b w:val="0"/>
          <w:color w:val="auto"/>
          <w:sz w:val="24"/>
          <w:szCs w:val="24"/>
        </w:rPr>
        <w:t>7月初国常会以来，货币政策宽松预期再起、疫情反复</w:t>
      </w:r>
      <w:r w:rsidR="00CB24EB">
        <w:rPr>
          <w:rFonts w:ascii="华文楷体" w:hAnsi="华文楷体" w:hint="eastAsia"/>
          <w:b w:val="0"/>
          <w:color w:val="auto"/>
          <w:sz w:val="24"/>
          <w:szCs w:val="24"/>
        </w:rPr>
        <w:t>，</w:t>
      </w:r>
      <w:r w:rsidRPr="003E4A57">
        <w:rPr>
          <w:rFonts w:ascii="华文楷体" w:hAnsi="华文楷体" w:hint="eastAsia"/>
          <w:b w:val="0"/>
          <w:color w:val="auto"/>
          <w:sz w:val="24"/>
          <w:szCs w:val="24"/>
        </w:rPr>
        <w:t>国内经济与</w:t>
      </w:r>
      <w:proofErr w:type="gramStart"/>
      <w:r w:rsidRPr="003E4A57">
        <w:rPr>
          <w:rFonts w:ascii="华文楷体" w:hAnsi="华文楷体" w:hint="eastAsia"/>
          <w:b w:val="0"/>
          <w:color w:val="auto"/>
          <w:sz w:val="24"/>
          <w:szCs w:val="24"/>
        </w:rPr>
        <w:t>社融数据</w:t>
      </w:r>
      <w:proofErr w:type="gramEnd"/>
      <w:r w:rsidRPr="003E4A57">
        <w:rPr>
          <w:rFonts w:ascii="华文楷体" w:hAnsi="华文楷体" w:hint="eastAsia"/>
          <w:b w:val="0"/>
          <w:color w:val="auto"/>
          <w:sz w:val="24"/>
          <w:szCs w:val="24"/>
        </w:rPr>
        <w:t>的走弱对债市构成利好，债市情绪高涨，十年期国债短时间内下行超过25bp。站在当前的节点看，利率债绝对位置处历史较低分位，市场对下半年经济的下行与货币的宽松已有所定价；同时，</w:t>
      </w:r>
      <w:r w:rsidRPr="003E4A57">
        <w:rPr>
          <w:rFonts w:ascii="华文楷体" w:hAnsi="华文楷体" w:hint="eastAsia"/>
          <w:b w:val="0"/>
          <w:color w:val="auto"/>
          <w:sz w:val="24"/>
          <w:szCs w:val="24"/>
        </w:rPr>
        <w:lastRenderedPageBreak/>
        <w:t>后续利率债供给的放量、宽信用以及美联储Taper的边际变化或对市场产生一定扰动。我们维持对利率谨慎乐观的判断，谨防多头走在预期前，</w:t>
      </w:r>
      <w:r w:rsidR="00E35054">
        <w:rPr>
          <w:rFonts w:ascii="华文楷体" w:hAnsi="华文楷体" w:hint="eastAsia"/>
          <w:b w:val="0"/>
          <w:color w:val="auto"/>
          <w:sz w:val="24"/>
          <w:szCs w:val="24"/>
        </w:rPr>
        <w:t>采用</w:t>
      </w:r>
      <w:r w:rsidRPr="003E4A57">
        <w:rPr>
          <w:rFonts w:ascii="华文楷体" w:hAnsi="华文楷体" w:hint="eastAsia"/>
          <w:b w:val="0"/>
          <w:color w:val="auto"/>
          <w:sz w:val="24"/>
          <w:szCs w:val="24"/>
        </w:rPr>
        <w:t>哑铃型配置以灵活应对可能打破均衡的超预期因素。</w:t>
      </w:r>
    </w:p>
    <w:p w14:paraId="7EFA5FEE" w14:textId="5884AEA0" w:rsidR="00B76849" w:rsidRDefault="00B76849" w:rsidP="00B76849">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信用债：</w:t>
      </w:r>
      <w:r w:rsidRPr="003E4A57">
        <w:rPr>
          <w:rFonts w:ascii="华文楷体" w:hAnsi="华文楷体" w:hint="eastAsia"/>
          <w:b w:val="0"/>
          <w:color w:val="auto"/>
          <w:sz w:val="24"/>
          <w:szCs w:val="24"/>
        </w:rPr>
        <w:t>信用债方面，K型分化的过程中，监管的控制力逐渐显现。一方面致力</w:t>
      </w:r>
      <w:r w:rsidR="00E35054">
        <w:rPr>
          <w:rFonts w:ascii="华文楷体" w:hAnsi="华文楷体" w:hint="eastAsia"/>
          <w:b w:val="0"/>
          <w:color w:val="auto"/>
          <w:sz w:val="24"/>
          <w:szCs w:val="24"/>
        </w:rPr>
        <w:t>于</w:t>
      </w:r>
      <w:r w:rsidRPr="003E4A57">
        <w:rPr>
          <w:rFonts w:ascii="华文楷体" w:hAnsi="华文楷体" w:hint="eastAsia"/>
          <w:b w:val="0"/>
          <w:color w:val="auto"/>
          <w:sz w:val="24"/>
          <w:szCs w:val="24"/>
        </w:rPr>
        <w:t>完善长效机制（《关于推动公司信用类债券市场改革开放高质量发展的指导意见》），另一方面也在避免短期</w:t>
      </w:r>
      <w:r w:rsidR="00E35054" w:rsidRPr="003E4A57">
        <w:rPr>
          <w:rFonts w:ascii="华文楷体" w:hAnsi="华文楷体" w:hint="eastAsia"/>
          <w:b w:val="0"/>
          <w:color w:val="auto"/>
          <w:sz w:val="24"/>
          <w:szCs w:val="24"/>
        </w:rPr>
        <w:t>系统性化</w:t>
      </w:r>
      <w:r w:rsidRPr="003E4A57">
        <w:rPr>
          <w:rFonts w:ascii="华文楷体" w:hAnsi="华文楷体" w:hint="eastAsia"/>
          <w:b w:val="0"/>
          <w:color w:val="auto"/>
          <w:sz w:val="24"/>
          <w:szCs w:val="24"/>
        </w:rPr>
        <w:t>金融风险，对</w:t>
      </w:r>
      <w:r w:rsidR="00D11F92">
        <w:rPr>
          <w:rFonts w:ascii="华文楷体" w:hAnsi="华文楷体" w:hint="eastAsia"/>
          <w:b w:val="0"/>
          <w:color w:val="auto"/>
          <w:sz w:val="24"/>
          <w:szCs w:val="24"/>
        </w:rPr>
        <w:t>某些</w:t>
      </w:r>
      <w:r w:rsidRPr="003E4A57">
        <w:rPr>
          <w:rFonts w:ascii="华文楷体" w:hAnsi="华文楷体" w:hint="eastAsia"/>
          <w:b w:val="0"/>
          <w:color w:val="auto"/>
          <w:sz w:val="24"/>
          <w:szCs w:val="24"/>
        </w:rPr>
        <w:t>典型企业采取了不同的措施和关注，对信贷不平衡地区启动了再贷款。信用策略上，</w:t>
      </w:r>
      <w:r w:rsidR="00E35054">
        <w:rPr>
          <w:rFonts w:ascii="华文楷体" w:hAnsi="华文楷体" w:hint="eastAsia"/>
          <w:b w:val="0"/>
          <w:color w:val="auto"/>
          <w:sz w:val="24"/>
          <w:szCs w:val="24"/>
        </w:rPr>
        <w:t>在</w:t>
      </w:r>
      <w:r w:rsidRPr="003E4A57">
        <w:rPr>
          <w:rFonts w:ascii="华文楷体" w:hAnsi="华文楷体" w:hint="eastAsia"/>
          <w:b w:val="0"/>
          <w:color w:val="auto"/>
          <w:sz w:val="24"/>
          <w:szCs w:val="24"/>
        </w:rPr>
        <w:t>继续防范尾部风险的基础上，关注具备持续经营能力的国企产业和强公益属性的</w:t>
      </w:r>
      <w:proofErr w:type="gramStart"/>
      <w:r w:rsidRPr="003E4A57">
        <w:rPr>
          <w:rFonts w:ascii="华文楷体" w:hAnsi="华文楷体" w:hint="eastAsia"/>
          <w:b w:val="0"/>
          <w:color w:val="auto"/>
          <w:sz w:val="24"/>
          <w:szCs w:val="24"/>
        </w:rPr>
        <w:t>城投债的</w:t>
      </w:r>
      <w:proofErr w:type="gramEnd"/>
      <w:r w:rsidRPr="003E4A57">
        <w:rPr>
          <w:rFonts w:ascii="华文楷体" w:hAnsi="华文楷体" w:hint="eastAsia"/>
          <w:b w:val="0"/>
          <w:color w:val="auto"/>
          <w:sz w:val="24"/>
          <w:szCs w:val="24"/>
        </w:rPr>
        <w:t>机会。</w:t>
      </w:r>
    </w:p>
    <w:p w14:paraId="663F1B3B" w14:textId="68660693" w:rsidR="00B76849" w:rsidRPr="003E4A57" w:rsidRDefault="00B76849" w:rsidP="00B76849">
      <w:pPr>
        <w:pStyle w:val="Header1"/>
        <w:spacing w:before="240"/>
        <w:ind w:firstLineChars="200" w:firstLine="480"/>
        <w:rPr>
          <w:rFonts w:ascii="华文楷体" w:hAnsi="华文楷体"/>
          <w:b w:val="0"/>
          <w:bCs/>
          <w:color w:val="auto"/>
          <w:sz w:val="24"/>
          <w:szCs w:val="24"/>
        </w:rPr>
      </w:pPr>
      <w:r w:rsidRPr="001045D2">
        <w:rPr>
          <w:rFonts w:ascii="华文楷体" w:hAnsi="华文楷体" w:hint="eastAsia"/>
          <w:bCs/>
          <w:sz w:val="24"/>
          <w:szCs w:val="24"/>
        </w:rPr>
        <w:t>可转债：</w:t>
      </w:r>
      <w:r w:rsidRPr="003E4A57">
        <w:rPr>
          <w:rFonts w:ascii="华文楷体" w:hAnsi="华文楷体" w:hint="eastAsia"/>
          <w:b w:val="0"/>
          <w:bCs/>
          <w:color w:val="auto"/>
          <w:sz w:val="24"/>
          <w:szCs w:val="24"/>
        </w:rPr>
        <w:t>流动性环境对权益市场仍较友好，但企业整体盈利压力逐步显现。</w:t>
      </w:r>
      <w:r w:rsidR="00E35054">
        <w:rPr>
          <w:rFonts w:ascii="华文楷体" w:hAnsi="华文楷体" w:hint="eastAsia"/>
          <w:b w:val="0"/>
          <w:bCs/>
          <w:color w:val="auto"/>
          <w:sz w:val="24"/>
          <w:szCs w:val="24"/>
        </w:rPr>
        <w:t>看好</w:t>
      </w:r>
      <w:r w:rsidRPr="003E4A57">
        <w:rPr>
          <w:rFonts w:ascii="华文楷体" w:hAnsi="华文楷体" w:hint="eastAsia"/>
          <w:b w:val="0"/>
          <w:bCs/>
          <w:color w:val="auto"/>
          <w:sz w:val="24"/>
          <w:szCs w:val="24"/>
        </w:rPr>
        <w:t>可转债中成长性较强、符合长期产业政策引导方向的新能源汽车、碳中和、</w:t>
      </w:r>
      <w:proofErr w:type="gramStart"/>
      <w:r w:rsidRPr="003E4A57">
        <w:rPr>
          <w:rFonts w:ascii="华文楷体" w:hAnsi="华文楷体" w:hint="eastAsia"/>
          <w:b w:val="0"/>
          <w:bCs/>
          <w:color w:val="auto"/>
          <w:sz w:val="24"/>
          <w:szCs w:val="24"/>
        </w:rPr>
        <w:t>硬科技</w:t>
      </w:r>
      <w:proofErr w:type="gramEnd"/>
      <w:r w:rsidRPr="003E4A57">
        <w:rPr>
          <w:rFonts w:ascii="华文楷体" w:hAnsi="华文楷体" w:hint="eastAsia"/>
          <w:b w:val="0"/>
          <w:bCs/>
          <w:color w:val="auto"/>
          <w:sz w:val="24"/>
          <w:szCs w:val="24"/>
        </w:rPr>
        <w:t>及专精特新。鉴于热门赛道的高估值和拥挤交易，整体</w:t>
      </w:r>
      <w:proofErr w:type="gramStart"/>
      <w:r w:rsidRPr="003E4A57">
        <w:rPr>
          <w:rFonts w:ascii="华文楷体" w:hAnsi="华文楷体" w:hint="eastAsia"/>
          <w:b w:val="0"/>
          <w:bCs/>
          <w:color w:val="auto"/>
          <w:sz w:val="24"/>
          <w:szCs w:val="24"/>
        </w:rPr>
        <w:t>仓位</w:t>
      </w:r>
      <w:proofErr w:type="gramEnd"/>
      <w:r w:rsidRPr="003E4A57">
        <w:rPr>
          <w:rFonts w:ascii="华文楷体" w:hAnsi="华文楷体" w:hint="eastAsia"/>
          <w:b w:val="0"/>
          <w:bCs/>
          <w:color w:val="auto"/>
          <w:sz w:val="24"/>
          <w:szCs w:val="24"/>
        </w:rPr>
        <w:t>仍需趋于谨慎，重点挖掘结构性机会。结构上继续推荐以下三条主线：一是稳定型与低价高性价比转债，防御</w:t>
      </w:r>
      <w:r w:rsidR="00E35054">
        <w:rPr>
          <w:rFonts w:ascii="华文楷体" w:hAnsi="华文楷体" w:hint="eastAsia"/>
          <w:b w:val="0"/>
          <w:bCs/>
          <w:color w:val="auto"/>
          <w:sz w:val="24"/>
          <w:szCs w:val="24"/>
        </w:rPr>
        <w:t>性</w:t>
      </w:r>
      <w:r w:rsidRPr="003E4A57">
        <w:rPr>
          <w:rFonts w:ascii="华文楷体" w:hAnsi="华文楷体" w:hint="eastAsia"/>
          <w:b w:val="0"/>
          <w:bCs/>
          <w:color w:val="auto"/>
          <w:sz w:val="24"/>
          <w:szCs w:val="24"/>
        </w:rPr>
        <w:t>较好，在市场整体估值高位下具备底仓配置价值；二是在中游制造板块中寻找细分景气度不错、行业格局好、PEG估值性价比较高的中小市值隐形冠军；三是景气度持续提升的</w:t>
      </w:r>
      <w:r>
        <w:rPr>
          <w:rFonts w:ascii="华文楷体" w:hAnsi="华文楷体" w:hint="eastAsia"/>
          <w:b w:val="0"/>
          <w:bCs/>
          <w:color w:val="auto"/>
          <w:sz w:val="24"/>
          <w:szCs w:val="24"/>
        </w:rPr>
        <w:t>半导体、光伏、锂</w:t>
      </w:r>
      <w:proofErr w:type="gramStart"/>
      <w:r>
        <w:rPr>
          <w:rFonts w:ascii="华文楷体" w:hAnsi="华文楷体" w:hint="eastAsia"/>
          <w:b w:val="0"/>
          <w:bCs/>
          <w:color w:val="auto"/>
          <w:sz w:val="24"/>
          <w:szCs w:val="24"/>
        </w:rPr>
        <w:t>电</w:t>
      </w:r>
      <w:r w:rsidRPr="003E4A57">
        <w:rPr>
          <w:rFonts w:ascii="华文楷体" w:hAnsi="华文楷体" w:hint="eastAsia"/>
          <w:b w:val="0"/>
          <w:bCs/>
          <w:color w:val="auto"/>
          <w:sz w:val="24"/>
          <w:szCs w:val="24"/>
        </w:rPr>
        <w:t>成长</w:t>
      </w:r>
      <w:proofErr w:type="gramEnd"/>
      <w:r w:rsidRPr="003E4A57">
        <w:rPr>
          <w:rFonts w:ascii="华文楷体" w:hAnsi="华文楷体" w:hint="eastAsia"/>
          <w:b w:val="0"/>
          <w:bCs/>
          <w:color w:val="auto"/>
          <w:sz w:val="24"/>
          <w:szCs w:val="24"/>
        </w:rPr>
        <w:t>板块转债，</w:t>
      </w:r>
      <w:r>
        <w:rPr>
          <w:rFonts w:ascii="华文楷体" w:hAnsi="华文楷体" w:hint="eastAsia"/>
          <w:b w:val="0"/>
          <w:bCs/>
          <w:color w:val="auto"/>
          <w:sz w:val="24"/>
          <w:szCs w:val="24"/>
        </w:rPr>
        <w:t>短期调整叠加盈利释放后</w:t>
      </w:r>
      <w:r w:rsidRPr="003E4A57">
        <w:rPr>
          <w:rFonts w:ascii="华文楷体" w:hAnsi="华文楷体" w:hint="eastAsia"/>
          <w:b w:val="0"/>
          <w:bCs/>
          <w:color w:val="auto"/>
          <w:sz w:val="24"/>
          <w:szCs w:val="24"/>
        </w:rPr>
        <w:t>，</w:t>
      </w:r>
      <w:r>
        <w:rPr>
          <w:rFonts w:ascii="华文楷体" w:hAnsi="华文楷体" w:hint="eastAsia"/>
          <w:b w:val="0"/>
          <w:bCs/>
          <w:color w:val="auto"/>
          <w:sz w:val="24"/>
          <w:szCs w:val="24"/>
        </w:rPr>
        <w:t>估值吸引力有所提升，</w:t>
      </w:r>
      <w:r w:rsidRPr="003E4A57">
        <w:rPr>
          <w:rFonts w:ascii="华文楷体" w:hAnsi="华文楷体" w:hint="eastAsia"/>
          <w:b w:val="0"/>
          <w:bCs/>
          <w:color w:val="auto"/>
          <w:sz w:val="24"/>
          <w:szCs w:val="24"/>
        </w:rPr>
        <w:t>仍</w:t>
      </w:r>
      <w:r>
        <w:rPr>
          <w:rFonts w:ascii="华文楷体" w:hAnsi="华文楷体" w:hint="eastAsia"/>
          <w:b w:val="0"/>
          <w:bCs/>
          <w:color w:val="auto"/>
          <w:sz w:val="24"/>
          <w:szCs w:val="24"/>
        </w:rPr>
        <w:t>具备中长期</w:t>
      </w:r>
      <w:r w:rsidRPr="003E4A57">
        <w:rPr>
          <w:rFonts w:ascii="华文楷体" w:hAnsi="华文楷体" w:hint="eastAsia"/>
          <w:b w:val="0"/>
          <w:bCs/>
          <w:color w:val="auto"/>
          <w:sz w:val="24"/>
          <w:szCs w:val="24"/>
        </w:rPr>
        <w:t>配置</w:t>
      </w:r>
      <w:r>
        <w:rPr>
          <w:rFonts w:ascii="华文楷体" w:hAnsi="华文楷体" w:hint="eastAsia"/>
          <w:b w:val="0"/>
          <w:bCs/>
          <w:color w:val="auto"/>
          <w:sz w:val="24"/>
          <w:szCs w:val="24"/>
        </w:rPr>
        <w:t>价值</w:t>
      </w:r>
      <w:r w:rsidRPr="003E4A57">
        <w:rPr>
          <w:rFonts w:ascii="华文楷体" w:hAnsi="华文楷体" w:hint="eastAsia"/>
          <w:b w:val="0"/>
          <w:bCs/>
          <w:color w:val="auto"/>
          <w:sz w:val="24"/>
          <w:szCs w:val="24"/>
        </w:rPr>
        <w:t>。</w:t>
      </w:r>
    </w:p>
    <w:p w14:paraId="5F84F6C0" w14:textId="2137AB43" w:rsidR="00213121" w:rsidRDefault="00B76849" w:rsidP="00B76849">
      <w:pPr>
        <w:pStyle w:val="Header1"/>
        <w:spacing w:before="240"/>
        <w:ind w:firstLineChars="200" w:firstLine="480"/>
        <w:rPr>
          <w:rFonts w:ascii="黑体" w:eastAsia="黑体"/>
          <w:sz w:val="24"/>
          <w:szCs w:val="24"/>
        </w:rPr>
      </w:pPr>
      <w:r w:rsidRPr="00B76849">
        <w:rPr>
          <w:rFonts w:ascii="华文楷体" w:hAnsi="华文楷体" w:hint="eastAsia"/>
          <w:bCs/>
          <w:sz w:val="24"/>
          <w:szCs w:val="24"/>
        </w:rPr>
        <w:t>下周关注：</w:t>
      </w:r>
      <w:r w:rsidRPr="00B76849">
        <w:rPr>
          <w:rFonts w:ascii="华文楷体" w:hAnsi="华文楷体" w:hint="eastAsia"/>
          <w:b w:val="0"/>
          <w:color w:val="auto"/>
          <w:sz w:val="24"/>
          <w:szCs w:val="24"/>
        </w:rPr>
        <w:t>国内外疫情、央行公开市场操作、国内8月制造业PMI（周二）、OPEC与非OPEC产油国部长级会议（周三）、美英德8月PMI（周三）、美国8月ADP就业（周三）、美国8月非农（周五）</w:t>
      </w:r>
      <w:r w:rsidR="00213121">
        <w:rPr>
          <w:rFonts w:ascii="黑体" w:eastAsia="黑体"/>
          <w:sz w:val="24"/>
          <w:szCs w:val="24"/>
        </w:rPr>
        <w:br w:type="page"/>
      </w:r>
    </w:p>
    <w:p w14:paraId="7BDB6B04" w14:textId="77777777" w:rsidR="00E35054" w:rsidRPr="004536E5" w:rsidRDefault="00E35054" w:rsidP="00E35054">
      <w:pPr>
        <w:rPr>
          <w:sz w:val="18"/>
          <w:szCs w:val="18"/>
        </w:rPr>
      </w:pPr>
      <w:r w:rsidRPr="004536E5">
        <w:rPr>
          <w:rFonts w:ascii="微软雅黑" w:eastAsia="微软雅黑" w:hAnsi="微软雅黑" w:hint="eastAsia"/>
          <w:color w:val="808080"/>
          <w:sz w:val="18"/>
          <w:szCs w:val="18"/>
          <w:shd w:val="clear" w:color="auto" w:fill="FFFFFF"/>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536E5">
        <w:rPr>
          <w:rFonts w:ascii="微软雅黑" w:eastAsia="微软雅黑" w:hAnsi="微软雅黑" w:hint="eastAsia"/>
          <w:color w:val="808080"/>
          <w:sz w:val="18"/>
          <w:szCs w:val="18"/>
          <w:shd w:val="clear" w:color="auto" w:fill="FFFFFF"/>
        </w:rPr>
        <w:t>作出</w:t>
      </w:r>
      <w:proofErr w:type="gramEnd"/>
      <w:r w:rsidRPr="004536E5">
        <w:rPr>
          <w:rFonts w:ascii="微软雅黑" w:eastAsia="微软雅黑" w:hAnsi="微软雅黑" w:hint="eastAsia"/>
          <w:color w:val="808080"/>
          <w:sz w:val="18"/>
          <w:szCs w:val="18"/>
          <w:shd w:val="clear" w:color="auto" w:fill="FFFFFF"/>
        </w:rPr>
        <w:t>调整。2、本报告中的资料、观点和预测等仅供参考，在任何时候均不构成对任何人的个人推荐。市场有风险，投资需谨慎。</w:t>
      </w:r>
    </w:p>
    <w:p w14:paraId="7537E1B9" w14:textId="77777777" w:rsidR="00E35054" w:rsidRPr="00B76849" w:rsidRDefault="00E35054" w:rsidP="00E35054">
      <w:pPr>
        <w:pStyle w:val="Header1"/>
        <w:spacing w:before="240"/>
        <w:ind w:firstLineChars="200" w:firstLine="480"/>
        <w:rPr>
          <w:rFonts w:ascii="华文楷体" w:hAnsi="华文楷体"/>
          <w:b w:val="0"/>
          <w:bCs/>
          <w:sz w:val="24"/>
          <w:szCs w:val="24"/>
        </w:rPr>
      </w:pP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6"/>
      <w:footerReference w:type="default" r:id="rId17"/>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FA814C" w14:textId="77777777" w:rsidR="00D34584" w:rsidRDefault="00D34584">
      <w:r>
        <w:separator/>
      </w:r>
    </w:p>
  </w:endnote>
  <w:endnote w:type="continuationSeparator" w:id="0">
    <w:p w14:paraId="647918DA" w14:textId="77777777" w:rsidR="00D34584" w:rsidRDefault="00D345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KaiTi">
    <w:altName w:val="Arial Unicode MS"/>
    <w:charset w:val="86"/>
    <w:family w:val="modern"/>
    <w:pitch w:val="fixed"/>
    <w:sig w:usb0="00000000"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46081" w:rsidRDefault="00F46081">
        <w:pPr>
          <w:pStyle w:val="a4"/>
          <w:jc w:val="right"/>
        </w:pPr>
        <w:r>
          <w:fldChar w:fldCharType="begin"/>
        </w:r>
        <w:r>
          <w:instrText>PAGE   \* MERGEFORMAT</w:instrText>
        </w:r>
        <w:r>
          <w:fldChar w:fldCharType="separate"/>
        </w:r>
        <w:r w:rsidR="00A6413C" w:rsidRPr="00A6413C">
          <w:rPr>
            <w:noProof/>
            <w:lang w:val="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149FB6" w14:textId="77777777" w:rsidR="00D34584" w:rsidRDefault="00D34584">
      <w:r>
        <w:separator/>
      </w:r>
    </w:p>
  </w:footnote>
  <w:footnote w:type="continuationSeparator" w:id="0">
    <w:p w14:paraId="3C57EC31" w14:textId="77777777" w:rsidR="00D34584" w:rsidRDefault="00D345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46081" w:rsidRDefault="00F4608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6CA"/>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6C46"/>
    <w:rsid w:val="00047219"/>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C5C"/>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88A"/>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49"/>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5A58"/>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5D2"/>
    <w:rsid w:val="001046A3"/>
    <w:rsid w:val="0010475E"/>
    <w:rsid w:val="00104DA0"/>
    <w:rsid w:val="00105570"/>
    <w:rsid w:val="00105EE6"/>
    <w:rsid w:val="00106571"/>
    <w:rsid w:val="00106EE1"/>
    <w:rsid w:val="001072C7"/>
    <w:rsid w:val="001072EB"/>
    <w:rsid w:val="001076D5"/>
    <w:rsid w:val="0010794B"/>
    <w:rsid w:val="00107E45"/>
    <w:rsid w:val="00107FB7"/>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1C1"/>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BD"/>
    <w:rsid w:val="001551C9"/>
    <w:rsid w:val="00155427"/>
    <w:rsid w:val="001556C9"/>
    <w:rsid w:val="00155C96"/>
    <w:rsid w:val="00155CBE"/>
    <w:rsid w:val="00155D06"/>
    <w:rsid w:val="00156190"/>
    <w:rsid w:val="0015634E"/>
    <w:rsid w:val="00156410"/>
    <w:rsid w:val="00156515"/>
    <w:rsid w:val="00156AF4"/>
    <w:rsid w:val="00156B73"/>
    <w:rsid w:val="0015798B"/>
    <w:rsid w:val="00157A31"/>
    <w:rsid w:val="00157AEE"/>
    <w:rsid w:val="00157B30"/>
    <w:rsid w:val="001602AE"/>
    <w:rsid w:val="00160370"/>
    <w:rsid w:val="0016096D"/>
    <w:rsid w:val="0016107A"/>
    <w:rsid w:val="001611C1"/>
    <w:rsid w:val="0016142C"/>
    <w:rsid w:val="0016155D"/>
    <w:rsid w:val="00161568"/>
    <w:rsid w:val="00161909"/>
    <w:rsid w:val="00161984"/>
    <w:rsid w:val="00161D5D"/>
    <w:rsid w:val="0016251D"/>
    <w:rsid w:val="00162910"/>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8F6"/>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988"/>
    <w:rsid w:val="001B3BAE"/>
    <w:rsid w:val="001B4228"/>
    <w:rsid w:val="001B42F8"/>
    <w:rsid w:val="001B45EC"/>
    <w:rsid w:val="001B4E4D"/>
    <w:rsid w:val="001B5009"/>
    <w:rsid w:val="001B536D"/>
    <w:rsid w:val="001B53FC"/>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D69"/>
    <w:rsid w:val="001C4E64"/>
    <w:rsid w:val="001C532E"/>
    <w:rsid w:val="001C53EB"/>
    <w:rsid w:val="001C574D"/>
    <w:rsid w:val="001C5AAA"/>
    <w:rsid w:val="001C64E1"/>
    <w:rsid w:val="001C682E"/>
    <w:rsid w:val="001D05EA"/>
    <w:rsid w:val="001D07B6"/>
    <w:rsid w:val="001D0B68"/>
    <w:rsid w:val="001D0BB7"/>
    <w:rsid w:val="001D0BFB"/>
    <w:rsid w:val="001D0EDD"/>
    <w:rsid w:val="001D1389"/>
    <w:rsid w:val="001D1897"/>
    <w:rsid w:val="001D19D7"/>
    <w:rsid w:val="001D1D32"/>
    <w:rsid w:val="001D2283"/>
    <w:rsid w:val="001D2D9C"/>
    <w:rsid w:val="001D2EC7"/>
    <w:rsid w:val="001D308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3FCD"/>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3F69"/>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12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9C"/>
    <w:rsid w:val="00264AAD"/>
    <w:rsid w:val="00264FC0"/>
    <w:rsid w:val="002652EA"/>
    <w:rsid w:val="00265A07"/>
    <w:rsid w:val="00265B99"/>
    <w:rsid w:val="002661B0"/>
    <w:rsid w:val="00266468"/>
    <w:rsid w:val="002672AC"/>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7E1"/>
    <w:rsid w:val="002A6C52"/>
    <w:rsid w:val="002A7075"/>
    <w:rsid w:val="002A72BA"/>
    <w:rsid w:val="002A73B5"/>
    <w:rsid w:val="002A7950"/>
    <w:rsid w:val="002A7AEC"/>
    <w:rsid w:val="002A7C89"/>
    <w:rsid w:val="002A7CB7"/>
    <w:rsid w:val="002B0590"/>
    <w:rsid w:val="002B05D6"/>
    <w:rsid w:val="002B0752"/>
    <w:rsid w:val="002B0F81"/>
    <w:rsid w:val="002B0FF4"/>
    <w:rsid w:val="002B1530"/>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316"/>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0C5D"/>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4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0C81"/>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6D05"/>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D67"/>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164"/>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A57"/>
    <w:rsid w:val="003E4BF7"/>
    <w:rsid w:val="003E578A"/>
    <w:rsid w:val="003E5F76"/>
    <w:rsid w:val="003E62BD"/>
    <w:rsid w:val="003E643A"/>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A2E"/>
    <w:rsid w:val="003F3BC1"/>
    <w:rsid w:val="003F3C16"/>
    <w:rsid w:val="003F4793"/>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79D"/>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8F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1F4"/>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AF1"/>
    <w:rsid w:val="00496C34"/>
    <w:rsid w:val="00496F68"/>
    <w:rsid w:val="004978BB"/>
    <w:rsid w:val="004A05CD"/>
    <w:rsid w:val="004A06BB"/>
    <w:rsid w:val="004A17BC"/>
    <w:rsid w:val="004A1808"/>
    <w:rsid w:val="004A18FC"/>
    <w:rsid w:val="004A1B57"/>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3E2B"/>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3B88"/>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CD1"/>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0BB1"/>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43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041"/>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55E"/>
    <w:rsid w:val="00545A48"/>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5FB"/>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6E17"/>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3F"/>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270"/>
    <w:rsid w:val="006923CC"/>
    <w:rsid w:val="00692C32"/>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9C3"/>
    <w:rsid w:val="00697FA3"/>
    <w:rsid w:val="006A0229"/>
    <w:rsid w:val="006A03B7"/>
    <w:rsid w:val="006A072A"/>
    <w:rsid w:val="006A09CB"/>
    <w:rsid w:val="006A0F00"/>
    <w:rsid w:val="006A0FCA"/>
    <w:rsid w:val="006A162B"/>
    <w:rsid w:val="006A181A"/>
    <w:rsid w:val="006A1BF8"/>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33F"/>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3F34"/>
    <w:rsid w:val="006E42F2"/>
    <w:rsid w:val="006E4391"/>
    <w:rsid w:val="006E4569"/>
    <w:rsid w:val="006E4898"/>
    <w:rsid w:val="006E4923"/>
    <w:rsid w:val="006E4B17"/>
    <w:rsid w:val="006E4B59"/>
    <w:rsid w:val="006E4C06"/>
    <w:rsid w:val="006E559F"/>
    <w:rsid w:val="006E5744"/>
    <w:rsid w:val="006E594F"/>
    <w:rsid w:val="006E5E0F"/>
    <w:rsid w:val="006E67E1"/>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3FA1"/>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61D"/>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3FF"/>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13F"/>
    <w:rsid w:val="0077072F"/>
    <w:rsid w:val="00771D0D"/>
    <w:rsid w:val="00771DF6"/>
    <w:rsid w:val="0077203E"/>
    <w:rsid w:val="007734CD"/>
    <w:rsid w:val="007734DC"/>
    <w:rsid w:val="00773827"/>
    <w:rsid w:val="00773A0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586"/>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4C14"/>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03"/>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8D5"/>
    <w:rsid w:val="00844BA3"/>
    <w:rsid w:val="0084526F"/>
    <w:rsid w:val="00845424"/>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5ED"/>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3C"/>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0F"/>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2D0"/>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7C5"/>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0F4"/>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264"/>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64B5"/>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DF0"/>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E5B"/>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13C"/>
    <w:rsid w:val="00A64272"/>
    <w:rsid w:val="00A646FD"/>
    <w:rsid w:val="00A6471B"/>
    <w:rsid w:val="00A64C91"/>
    <w:rsid w:val="00A64E5A"/>
    <w:rsid w:val="00A65353"/>
    <w:rsid w:val="00A657BD"/>
    <w:rsid w:val="00A65D60"/>
    <w:rsid w:val="00A65D9F"/>
    <w:rsid w:val="00A66A8C"/>
    <w:rsid w:val="00A66B80"/>
    <w:rsid w:val="00A6716D"/>
    <w:rsid w:val="00A6753F"/>
    <w:rsid w:val="00A67658"/>
    <w:rsid w:val="00A67B89"/>
    <w:rsid w:val="00A67CA2"/>
    <w:rsid w:val="00A67DAD"/>
    <w:rsid w:val="00A67DB8"/>
    <w:rsid w:val="00A70159"/>
    <w:rsid w:val="00A70938"/>
    <w:rsid w:val="00A70B31"/>
    <w:rsid w:val="00A70C29"/>
    <w:rsid w:val="00A7175D"/>
    <w:rsid w:val="00A719AF"/>
    <w:rsid w:val="00A719C1"/>
    <w:rsid w:val="00A7279A"/>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AC4"/>
    <w:rsid w:val="00AC4B5A"/>
    <w:rsid w:val="00AC4DF4"/>
    <w:rsid w:val="00AC593B"/>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77D"/>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500"/>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0970"/>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B6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E24"/>
    <w:rsid w:val="00B41F55"/>
    <w:rsid w:val="00B42493"/>
    <w:rsid w:val="00B42AEF"/>
    <w:rsid w:val="00B42C17"/>
    <w:rsid w:val="00B433BD"/>
    <w:rsid w:val="00B43C37"/>
    <w:rsid w:val="00B43EA8"/>
    <w:rsid w:val="00B45132"/>
    <w:rsid w:val="00B45F9F"/>
    <w:rsid w:val="00B46117"/>
    <w:rsid w:val="00B465B2"/>
    <w:rsid w:val="00B467FA"/>
    <w:rsid w:val="00B46A7F"/>
    <w:rsid w:val="00B46C2A"/>
    <w:rsid w:val="00B46D13"/>
    <w:rsid w:val="00B47A82"/>
    <w:rsid w:val="00B47D06"/>
    <w:rsid w:val="00B47EE2"/>
    <w:rsid w:val="00B50446"/>
    <w:rsid w:val="00B50694"/>
    <w:rsid w:val="00B50A7B"/>
    <w:rsid w:val="00B50EF0"/>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849"/>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DA3"/>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3E3C"/>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A16"/>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E25"/>
    <w:rsid w:val="00C47F0B"/>
    <w:rsid w:val="00C5004C"/>
    <w:rsid w:val="00C505BD"/>
    <w:rsid w:val="00C506C1"/>
    <w:rsid w:val="00C50D0B"/>
    <w:rsid w:val="00C50EDE"/>
    <w:rsid w:val="00C51164"/>
    <w:rsid w:val="00C51420"/>
    <w:rsid w:val="00C51545"/>
    <w:rsid w:val="00C51AC1"/>
    <w:rsid w:val="00C5244C"/>
    <w:rsid w:val="00C52677"/>
    <w:rsid w:val="00C52733"/>
    <w:rsid w:val="00C52A15"/>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176"/>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D79"/>
    <w:rsid w:val="00C87FED"/>
    <w:rsid w:val="00C900E3"/>
    <w:rsid w:val="00C90299"/>
    <w:rsid w:val="00C908E2"/>
    <w:rsid w:val="00C91136"/>
    <w:rsid w:val="00C9126E"/>
    <w:rsid w:val="00C914B9"/>
    <w:rsid w:val="00C91692"/>
    <w:rsid w:val="00C9186F"/>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4EB"/>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AE8"/>
    <w:rsid w:val="00CD1C9C"/>
    <w:rsid w:val="00CD1EEC"/>
    <w:rsid w:val="00CD2767"/>
    <w:rsid w:val="00CD2A54"/>
    <w:rsid w:val="00CD2B4D"/>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1B84"/>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92"/>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3E2"/>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584"/>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92F"/>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20"/>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6B0"/>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02E"/>
    <w:rsid w:val="00E30870"/>
    <w:rsid w:val="00E30F9B"/>
    <w:rsid w:val="00E3102D"/>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05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62F7"/>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3E3"/>
    <w:rsid w:val="00EA0518"/>
    <w:rsid w:val="00EA0664"/>
    <w:rsid w:val="00EA0FFA"/>
    <w:rsid w:val="00EA1459"/>
    <w:rsid w:val="00EA1966"/>
    <w:rsid w:val="00EA1B8C"/>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814"/>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07"/>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0CFD"/>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78"/>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081"/>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419"/>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A4"/>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100"/>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36147302">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8980075">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4754916">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03945560">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338405">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976796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15158441">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73503341">
      <w:bodyDiv w:val="1"/>
      <w:marLeft w:val="0"/>
      <w:marRight w:val="0"/>
      <w:marTop w:val="0"/>
      <w:marBottom w:val="0"/>
      <w:divBdr>
        <w:top w:val="none" w:sz="0" w:space="0" w:color="auto"/>
        <w:left w:val="none" w:sz="0" w:space="0" w:color="auto"/>
        <w:bottom w:val="none" w:sz="0" w:space="0" w:color="auto"/>
        <w:right w:val="none" w:sz="0" w:space="0" w:color="auto"/>
      </w:divBdr>
      <w:divsChild>
        <w:div w:id="1442723832">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194226191">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26144171">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74836636">
      <w:bodyDiv w:val="1"/>
      <w:marLeft w:val="0"/>
      <w:marRight w:val="0"/>
      <w:marTop w:val="0"/>
      <w:marBottom w:val="0"/>
      <w:divBdr>
        <w:top w:val="none" w:sz="0" w:space="0" w:color="auto"/>
        <w:left w:val="none" w:sz="0" w:space="0" w:color="auto"/>
        <w:bottom w:val="none" w:sz="0" w:space="0" w:color="auto"/>
        <w:right w:val="none" w:sz="0" w:space="0" w:color="auto"/>
      </w:divBdr>
    </w:div>
    <w:div w:id="1479615899">
      <w:bodyDiv w:val="1"/>
      <w:marLeft w:val="0"/>
      <w:marRight w:val="0"/>
      <w:marTop w:val="0"/>
      <w:marBottom w:val="0"/>
      <w:divBdr>
        <w:top w:val="none" w:sz="0" w:space="0" w:color="auto"/>
        <w:left w:val="none" w:sz="0" w:space="0" w:color="auto"/>
        <w:bottom w:val="none" w:sz="0" w:space="0" w:color="auto"/>
        <w:right w:val="none" w:sz="0" w:space="0" w:color="auto"/>
      </w:divBdr>
    </w:div>
    <w:div w:id="1487739694">
      <w:bodyDiv w:val="1"/>
      <w:marLeft w:val="0"/>
      <w:marRight w:val="0"/>
      <w:marTop w:val="0"/>
      <w:marBottom w:val="0"/>
      <w:divBdr>
        <w:top w:val="none" w:sz="0" w:space="0" w:color="auto"/>
        <w:left w:val="none" w:sz="0" w:space="0" w:color="auto"/>
        <w:bottom w:val="none" w:sz="0" w:space="0" w:color="auto"/>
        <w:right w:val="none" w:sz="0" w:space="0" w:color="auto"/>
      </w:divBdr>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04510062">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0721378">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1489434">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5774721">
      <w:bodyDiv w:val="1"/>
      <w:marLeft w:val="0"/>
      <w:marRight w:val="0"/>
      <w:marTop w:val="0"/>
      <w:marBottom w:val="0"/>
      <w:divBdr>
        <w:top w:val="none" w:sz="0" w:space="0" w:color="auto"/>
        <w:left w:val="none" w:sz="0" w:space="0" w:color="auto"/>
        <w:bottom w:val="none" w:sz="0" w:space="0" w:color="auto"/>
        <w:right w:val="none" w:sz="0" w:space="0" w:color="auto"/>
      </w:divBdr>
      <w:divsChild>
        <w:div w:id="1597012833">
          <w:marLeft w:val="0"/>
          <w:marRight w:val="0"/>
          <w:marTop w:val="0"/>
          <w:marBottom w:val="0"/>
          <w:divBdr>
            <w:top w:val="none" w:sz="0" w:space="0" w:color="auto"/>
            <w:left w:val="none" w:sz="0" w:space="0" w:color="auto"/>
            <w:bottom w:val="none" w:sz="0" w:space="0" w:color="auto"/>
            <w:right w:val="none" w:sz="0" w:space="0" w:color="auto"/>
          </w:divBdr>
        </w:div>
      </w:divsChild>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4167246">
      <w:bodyDiv w:val="1"/>
      <w:marLeft w:val="0"/>
      <w:marRight w:val="0"/>
      <w:marTop w:val="0"/>
      <w:marBottom w:val="0"/>
      <w:divBdr>
        <w:top w:val="none" w:sz="0" w:space="0" w:color="auto"/>
        <w:left w:val="none" w:sz="0" w:space="0" w:color="auto"/>
        <w:bottom w:val="none" w:sz="0" w:space="0" w:color="auto"/>
        <w:right w:val="none" w:sz="0" w:space="0" w:color="auto"/>
      </w:divBdr>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chart" Target="charts/chart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embeddings/oleObject1.bin"/><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利率!$J$3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利率!$K$3:$Q$3</c:f>
              <c:numCache>
                <c:formatCode>0.0_ ;[Red]\-0.0\ </c:formatCode>
                <c:ptCount val="7"/>
                <c:pt idx="0">
                  <c:v>5.34</c:v>
                </c:pt>
                <c:pt idx="1">
                  <c:v>14.08</c:v>
                </c:pt>
                <c:pt idx="2">
                  <c:v>5.53</c:v>
                </c:pt>
                <c:pt idx="3">
                  <c:v>-0.76</c:v>
                </c:pt>
                <c:pt idx="4">
                  <c:v>0.66</c:v>
                </c:pt>
                <c:pt idx="5">
                  <c:v>2.2400000000000002</c:v>
                </c:pt>
                <c:pt idx="6">
                  <c:v>1.78</c:v>
                </c:pt>
              </c:numCache>
            </c:numRef>
          </c:val>
          <c:extLst xmlns:c16r2="http://schemas.microsoft.com/office/drawing/2015/06/chart">
            <c:ext xmlns:c16="http://schemas.microsoft.com/office/drawing/2014/chart" uri="{C3380CC4-5D6E-409C-BE32-E72D297353CC}">
              <c16:uniqueId val="{00000000-0686-4C7A-87AE-D755F2D08F58}"/>
            </c:ext>
          </c:extLst>
        </c:ser>
        <c:dLbls>
          <c:showLegendKey val="0"/>
          <c:showVal val="0"/>
          <c:showCatName val="0"/>
          <c:showSerName val="0"/>
          <c:showPercent val="0"/>
          <c:showBubbleSize val="0"/>
        </c:dLbls>
        <c:gapWidth val="150"/>
        <c:axId val="212822272"/>
        <c:axId val="212836736"/>
      </c:barChart>
      <c:lineChart>
        <c:grouping val="standard"/>
        <c:varyColors val="0"/>
        <c:ser>
          <c:idx val="2"/>
          <c:order val="1"/>
          <c:tx>
            <c:strRef>
              <c:f>利率!$J$4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686-4C7A-87AE-D755F2D08F58}"/>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686-4C7A-87AE-D755F2D08F58}"/>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686-4C7A-87AE-D755F2D08F58}"/>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686-4C7A-87AE-D755F2D08F58}"/>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686-4C7A-87AE-D755F2D08F58}"/>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686-4C7A-87AE-D755F2D08F58}"/>
                </c:ext>
              </c:extLst>
            </c:dLbl>
            <c:dLbl>
              <c:idx val="6"/>
              <c:layout>
                <c:manualLayout>
                  <c:x val="-6.9598794750148615E-2"/>
                  <c:y val="-7.8481789254914572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0686-4C7A-87AE-D755F2D08F58}"/>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利率!$K$4:$Q$4</c:f>
              <c:numCache>
                <c:formatCode>###,###,###,###,##0.00</c:formatCode>
                <c:ptCount val="7"/>
                <c:pt idx="0">
                  <c:v>1.6897</c:v>
                </c:pt>
                <c:pt idx="1">
                  <c:v>2.0718999999999999</c:v>
                </c:pt>
                <c:pt idx="2">
                  <c:v>2.3235000000000001</c:v>
                </c:pt>
                <c:pt idx="3">
                  <c:v>2.5634999999999999</c:v>
                </c:pt>
                <c:pt idx="4">
                  <c:v>2.7132000000000001</c:v>
                </c:pt>
                <c:pt idx="5">
                  <c:v>2.8797000000000001</c:v>
                </c:pt>
                <c:pt idx="6">
                  <c:v>2.8698000000000001</c:v>
                </c:pt>
              </c:numCache>
            </c:numRef>
          </c:val>
          <c:smooth val="0"/>
          <c:extLst xmlns:c16r2="http://schemas.microsoft.com/office/drawing/2015/06/chart">
            <c:ext xmlns:c16="http://schemas.microsoft.com/office/drawing/2014/chart" uri="{C3380CC4-5D6E-409C-BE32-E72D297353CC}">
              <c16:uniqueId val="{00000008-0686-4C7A-87AE-D755F2D08F58}"/>
            </c:ext>
          </c:extLst>
        </c:ser>
        <c:ser>
          <c:idx val="1"/>
          <c:order val="2"/>
          <c:tx>
            <c:strRef>
              <c:f>利率!$J$5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利率!$K$2:$Q$2</c:f>
              <c:strCache>
                <c:ptCount val="7"/>
                <c:pt idx="0">
                  <c:v>1M</c:v>
                </c:pt>
                <c:pt idx="1">
                  <c:v>3M</c:v>
                </c:pt>
                <c:pt idx="2">
                  <c:v>1Y</c:v>
                </c:pt>
                <c:pt idx="3">
                  <c:v>3Y</c:v>
                </c:pt>
                <c:pt idx="4">
                  <c:v>5Y</c:v>
                </c:pt>
                <c:pt idx="5">
                  <c:v>7Y</c:v>
                </c:pt>
                <c:pt idx="6">
                  <c:v>10Y</c:v>
                </c:pt>
              </c:strCache>
            </c:strRef>
          </c:cat>
          <c:val>
            <c:numRef>
              <c:f>利率!$K$5:$Q$5</c:f>
              <c:numCache>
                <c:formatCode>###,###,###,###,##0.00</c:formatCode>
                <c:ptCount val="7"/>
                <c:pt idx="0">
                  <c:v>1.6363000000000001</c:v>
                </c:pt>
                <c:pt idx="1">
                  <c:v>1.9311</c:v>
                </c:pt>
                <c:pt idx="2">
                  <c:v>2.2682000000000002</c:v>
                </c:pt>
                <c:pt idx="3">
                  <c:v>2.5710999999999999</c:v>
                </c:pt>
                <c:pt idx="4">
                  <c:v>2.7065999999999999</c:v>
                </c:pt>
                <c:pt idx="5">
                  <c:v>2.8573</c:v>
                </c:pt>
                <c:pt idx="6">
                  <c:v>2.8519999999999999</c:v>
                </c:pt>
              </c:numCache>
            </c:numRef>
          </c:val>
          <c:smooth val="0"/>
          <c:extLst xmlns:c16r2="http://schemas.microsoft.com/office/drawing/2015/06/chart">
            <c:ext xmlns:c16="http://schemas.microsoft.com/office/drawing/2014/chart" uri="{C3380CC4-5D6E-409C-BE32-E72D297353CC}">
              <c16:uniqueId val="{00000009-0686-4C7A-87AE-D755F2D08F58}"/>
            </c:ext>
          </c:extLst>
        </c:ser>
        <c:dLbls>
          <c:showLegendKey val="0"/>
          <c:showVal val="0"/>
          <c:showCatName val="0"/>
          <c:showSerName val="0"/>
          <c:showPercent val="0"/>
          <c:showBubbleSize val="0"/>
        </c:dLbls>
        <c:marker val="1"/>
        <c:smooth val="0"/>
        <c:axId val="212839808"/>
        <c:axId val="212838272"/>
      </c:lineChart>
      <c:dateAx>
        <c:axId val="21282227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12836736"/>
        <c:crosses val="autoZero"/>
        <c:auto val="0"/>
        <c:lblOffset val="0"/>
        <c:baseTimeUnit val="days"/>
      </c:dateAx>
      <c:valAx>
        <c:axId val="21283673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12822272"/>
        <c:crosses val="autoZero"/>
        <c:crossBetween val="between"/>
      </c:valAx>
      <c:valAx>
        <c:axId val="212838272"/>
        <c:scaling>
          <c:orientation val="minMax"/>
        </c:scaling>
        <c:delete val="0"/>
        <c:axPos val="r"/>
        <c:numFmt formatCode="#,##0.0_);[Red]\(#,##0.0\)" sourceLinked="0"/>
        <c:majorTickMark val="out"/>
        <c:minorTickMark val="none"/>
        <c:tickLblPos val="nextTo"/>
        <c:spPr>
          <a:ln w="3175">
            <a:solidFill>
              <a:sysClr val="windowText" lastClr="000000"/>
            </a:solidFill>
          </a:ln>
        </c:spPr>
        <c:crossAx val="212839808"/>
        <c:crosses val="max"/>
        <c:crossBetween val="between"/>
      </c:valAx>
      <c:dateAx>
        <c:axId val="212839808"/>
        <c:scaling>
          <c:orientation val="minMax"/>
        </c:scaling>
        <c:delete val="1"/>
        <c:axPos val="b"/>
        <c:numFmt formatCode="General" sourceLinked="1"/>
        <c:majorTickMark val="out"/>
        <c:minorTickMark val="none"/>
        <c:tickLblPos val="nextTo"/>
        <c:crossAx val="212838272"/>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利率!$J$8</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利率!$K$8:$Q$8</c:f>
              <c:numCache>
                <c:formatCode>0.0_ ;[Red]\-0.0\ </c:formatCode>
                <c:ptCount val="7"/>
                <c:pt idx="0">
                  <c:v>5.34</c:v>
                </c:pt>
                <c:pt idx="1">
                  <c:v>14.51</c:v>
                </c:pt>
                <c:pt idx="2">
                  <c:v>1.01</c:v>
                </c:pt>
                <c:pt idx="3">
                  <c:v>1.1000000000000001</c:v>
                </c:pt>
                <c:pt idx="4">
                  <c:v>1.73</c:v>
                </c:pt>
                <c:pt idx="5">
                  <c:v>0.51</c:v>
                </c:pt>
                <c:pt idx="6">
                  <c:v>2.73</c:v>
                </c:pt>
              </c:numCache>
            </c:numRef>
          </c:val>
          <c:extLst xmlns:c16r2="http://schemas.microsoft.com/office/drawing/2015/06/chart">
            <c:ext xmlns:c16="http://schemas.microsoft.com/office/drawing/2014/chart" uri="{C3380CC4-5D6E-409C-BE32-E72D297353CC}">
              <c16:uniqueId val="{00000000-4A41-4862-A1F5-EF6B9D502663}"/>
            </c:ext>
          </c:extLst>
        </c:ser>
        <c:dLbls>
          <c:showLegendKey val="0"/>
          <c:showVal val="0"/>
          <c:showCatName val="0"/>
          <c:showSerName val="0"/>
          <c:showPercent val="0"/>
          <c:showBubbleSize val="0"/>
        </c:dLbls>
        <c:gapWidth val="150"/>
        <c:axId val="212864000"/>
        <c:axId val="212866176"/>
      </c:barChart>
      <c:lineChart>
        <c:grouping val="standard"/>
        <c:varyColors val="0"/>
        <c:ser>
          <c:idx val="2"/>
          <c:order val="1"/>
          <c:tx>
            <c:strRef>
              <c:f>利率!$J$9</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4A41-4862-A1F5-EF6B9D502663}"/>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A41-4862-A1F5-EF6B9D502663}"/>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4A41-4862-A1F5-EF6B9D502663}"/>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4A41-4862-A1F5-EF6B9D502663}"/>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4A41-4862-A1F5-EF6B9D502663}"/>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4A41-4862-A1F5-EF6B9D502663}"/>
                </c:ext>
              </c:extLst>
            </c:dLbl>
            <c:dLbl>
              <c:idx val="6"/>
              <c:layout>
                <c:manualLayout>
                  <c:x val="-6.9613476610968131E-2"/>
                  <c:y val="-7.6829097978928243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4A41-4862-A1F5-EF6B9D502663}"/>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利率!$K$9:$Q$9</c:f>
              <c:numCache>
                <c:formatCode>###,###,###,###,##0.00</c:formatCode>
                <c:ptCount val="7"/>
                <c:pt idx="0">
                  <c:v>1.6904999999999999</c:v>
                </c:pt>
                <c:pt idx="1">
                  <c:v>2.1086</c:v>
                </c:pt>
                <c:pt idx="2">
                  <c:v>2.3439000000000001</c:v>
                </c:pt>
                <c:pt idx="3">
                  <c:v>2.7509999999999999</c:v>
                </c:pt>
                <c:pt idx="4">
                  <c:v>3.0158</c:v>
                </c:pt>
                <c:pt idx="5">
                  <c:v>3.1732</c:v>
                </c:pt>
                <c:pt idx="6">
                  <c:v>3.2088000000000001</c:v>
                </c:pt>
              </c:numCache>
            </c:numRef>
          </c:val>
          <c:smooth val="0"/>
          <c:extLst xmlns:c16r2="http://schemas.microsoft.com/office/drawing/2015/06/chart">
            <c:ext xmlns:c16="http://schemas.microsoft.com/office/drawing/2014/chart" uri="{C3380CC4-5D6E-409C-BE32-E72D297353CC}">
              <c16:uniqueId val="{00000008-4A41-4862-A1F5-EF6B9D502663}"/>
            </c:ext>
          </c:extLst>
        </c:ser>
        <c:ser>
          <c:idx val="1"/>
          <c:order val="2"/>
          <c:tx>
            <c:strRef>
              <c:f>利率!$J$10</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利率!$K$7:$Q$7</c:f>
              <c:strCache>
                <c:ptCount val="7"/>
                <c:pt idx="0">
                  <c:v>1M</c:v>
                </c:pt>
                <c:pt idx="1">
                  <c:v>3M</c:v>
                </c:pt>
                <c:pt idx="2">
                  <c:v>1Y</c:v>
                </c:pt>
                <c:pt idx="3">
                  <c:v>3Y</c:v>
                </c:pt>
                <c:pt idx="4">
                  <c:v>5Y</c:v>
                </c:pt>
                <c:pt idx="5">
                  <c:v>7Y</c:v>
                </c:pt>
                <c:pt idx="6">
                  <c:v>10Y</c:v>
                </c:pt>
              </c:strCache>
            </c:strRef>
          </c:cat>
          <c:val>
            <c:numRef>
              <c:f>利率!$K$10:$Q$10</c:f>
              <c:numCache>
                <c:formatCode>###,###,###,###,##0.00</c:formatCode>
                <c:ptCount val="7"/>
                <c:pt idx="0">
                  <c:v>1.6371</c:v>
                </c:pt>
                <c:pt idx="1">
                  <c:v>1.9635</c:v>
                </c:pt>
                <c:pt idx="2">
                  <c:v>2.3338000000000001</c:v>
                </c:pt>
                <c:pt idx="3">
                  <c:v>2.74</c:v>
                </c:pt>
                <c:pt idx="4">
                  <c:v>2.9984999999999999</c:v>
                </c:pt>
                <c:pt idx="5">
                  <c:v>3.1680999999999999</c:v>
                </c:pt>
                <c:pt idx="6">
                  <c:v>3.1815000000000002</c:v>
                </c:pt>
              </c:numCache>
            </c:numRef>
          </c:val>
          <c:smooth val="0"/>
          <c:extLst xmlns:c16r2="http://schemas.microsoft.com/office/drawing/2015/06/chart">
            <c:ext xmlns:c16="http://schemas.microsoft.com/office/drawing/2014/chart" uri="{C3380CC4-5D6E-409C-BE32-E72D297353CC}">
              <c16:uniqueId val="{00000009-4A41-4862-A1F5-EF6B9D502663}"/>
            </c:ext>
          </c:extLst>
        </c:ser>
        <c:dLbls>
          <c:showLegendKey val="0"/>
          <c:showVal val="0"/>
          <c:showCatName val="0"/>
          <c:showSerName val="0"/>
          <c:showPercent val="0"/>
          <c:showBubbleSize val="0"/>
        </c:dLbls>
        <c:marker val="1"/>
        <c:smooth val="0"/>
        <c:axId val="212869504"/>
        <c:axId val="212867712"/>
      </c:lineChart>
      <c:dateAx>
        <c:axId val="21286400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12866176"/>
        <c:crosses val="autoZero"/>
        <c:auto val="0"/>
        <c:lblOffset val="0"/>
        <c:baseTimeUnit val="days"/>
      </c:dateAx>
      <c:valAx>
        <c:axId val="21286617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12864000"/>
        <c:crosses val="autoZero"/>
        <c:crossBetween val="between"/>
      </c:valAx>
      <c:valAx>
        <c:axId val="212867712"/>
        <c:scaling>
          <c:orientation val="minMax"/>
        </c:scaling>
        <c:delete val="0"/>
        <c:axPos val="r"/>
        <c:numFmt formatCode="#,##0.0_);[Red]\(#,##0.0\)" sourceLinked="0"/>
        <c:majorTickMark val="out"/>
        <c:minorTickMark val="none"/>
        <c:tickLblPos val="nextTo"/>
        <c:spPr>
          <a:ln w="3175">
            <a:solidFill>
              <a:sysClr val="windowText" lastClr="000000"/>
            </a:solidFill>
          </a:ln>
        </c:spPr>
        <c:crossAx val="212869504"/>
        <c:crosses val="max"/>
        <c:crossBetween val="between"/>
      </c:valAx>
      <c:dateAx>
        <c:axId val="212869504"/>
        <c:scaling>
          <c:orientation val="minMax"/>
        </c:scaling>
        <c:delete val="1"/>
        <c:axPos val="b"/>
        <c:numFmt formatCode="General" sourceLinked="1"/>
        <c:majorTickMark val="out"/>
        <c:minorTickMark val="none"/>
        <c:tickLblPos val="nextTo"/>
        <c:crossAx val="212867712"/>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44435</c:v>
                </c:pt>
                <c:pt idx="1">
                  <c:v>44428</c:v>
                </c:pt>
                <c:pt idx="2">
                  <c:v>44421</c:v>
                </c:pt>
                <c:pt idx="3">
                  <c:v>44414</c:v>
                </c:pt>
                <c:pt idx="4">
                  <c:v>44407</c:v>
                </c:pt>
                <c:pt idx="5">
                  <c:v>44400</c:v>
                </c:pt>
                <c:pt idx="6">
                  <c:v>44393</c:v>
                </c:pt>
                <c:pt idx="7">
                  <c:v>44386</c:v>
                </c:pt>
                <c:pt idx="8">
                  <c:v>44379</c:v>
                </c:pt>
                <c:pt idx="9">
                  <c:v>44372</c:v>
                </c:pt>
                <c:pt idx="10">
                  <c:v>44365</c:v>
                </c:pt>
                <c:pt idx="11">
                  <c:v>44358</c:v>
                </c:pt>
                <c:pt idx="12">
                  <c:v>44351</c:v>
                </c:pt>
                <c:pt idx="13">
                  <c:v>44344</c:v>
                </c:pt>
                <c:pt idx="14">
                  <c:v>44337</c:v>
                </c:pt>
                <c:pt idx="15">
                  <c:v>44330</c:v>
                </c:pt>
                <c:pt idx="16">
                  <c:v>44323</c:v>
                </c:pt>
                <c:pt idx="17">
                  <c:v>44316</c:v>
                </c:pt>
                <c:pt idx="18">
                  <c:v>44309</c:v>
                </c:pt>
                <c:pt idx="19">
                  <c:v>44302</c:v>
                </c:pt>
                <c:pt idx="20">
                  <c:v>44295</c:v>
                </c:pt>
                <c:pt idx="21">
                  <c:v>44288</c:v>
                </c:pt>
                <c:pt idx="22">
                  <c:v>44281</c:v>
                </c:pt>
                <c:pt idx="23">
                  <c:v>44274</c:v>
                </c:pt>
              </c:numCache>
            </c:numRef>
          </c:cat>
          <c:val>
            <c:numRef>
              <c:f>转债!$H$5:$H$28</c:f>
              <c:numCache>
                <c:formatCode>General</c:formatCode>
                <c:ptCount val="24"/>
                <c:pt idx="0">
                  <c:v>10.411603609922704</c:v>
                </c:pt>
                <c:pt idx="1">
                  <c:v>8.4354676235363293</c:v>
                </c:pt>
                <c:pt idx="2">
                  <c:v>9.6323056973792056</c:v>
                </c:pt>
                <c:pt idx="3">
                  <c:v>8.4245011546008932</c:v>
                </c:pt>
                <c:pt idx="4">
                  <c:v>7.0712551748025376</c:v>
                </c:pt>
                <c:pt idx="5">
                  <c:v>8.0259351561378303</c:v>
                </c:pt>
                <c:pt idx="6">
                  <c:v>6.5290392911752315</c:v>
                </c:pt>
                <c:pt idx="7">
                  <c:v>5.1069271438293207</c:v>
                </c:pt>
                <c:pt idx="8">
                  <c:v>3.1556557256233075</c:v>
                </c:pt>
                <c:pt idx="9">
                  <c:v>4.1584090150889486</c:v>
                </c:pt>
                <c:pt idx="10">
                  <c:v>2.1180486091450179</c:v>
                </c:pt>
                <c:pt idx="11">
                  <c:v>3.8249632121113208</c:v>
                </c:pt>
                <c:pt idx="12">
                  <c:v>3.9962735721399634</c:v>
                </c:pt>
                <c:pt idx="13">
                  <c:v>3.9149479757771388</c:v>
                </c:pt>
                <c:pt idx="14">
                  <c:v>2.2278490221248504</c:v>
                </c:pt>
                <c:pt idx="15">
                  <c:v>2.0004305153398905</c:v>
                </c:pt>
                <c:pt idx="16">
                  <c:v>1.1072876257784747</c:v>
                </c:pt>
                <c:pt idx="17">
                  <c:v>0.82191513093123891</c:v>
                </c:pt>
                <c:pt idx="18">
                  <c:v>0.82381526168737729</c:v>
                </c:pt>
                <c:pt idx="19">
                  <c:v>0.1018198638040646</c:v>
                </c:pt>
                <c:pt idx="20">
                  <c:v>0.38602513547254524</c:v>
                </c:pt>
                <c:pt idx="21">
                  <c:v>1.194367903860627E-2</c:v>
                </c:pt>
                <c:pt idx="22">
                  <c:v>-0.57069070024432511</c:v>
                </c:pt>
                <c:pt idx="23">
                  <c:v>0</c:v>
                </c:pt>
              </c:numCache>
            </c:numRef>
          </c:val>
          <c:smooth val="1"/>
          <c:extLst xmlns:c16r2="http://schemas.microsoft.com/office/drawing/2015/06/chart">
            <c:ext xmlns:c16="http://schemas.microsoft.com/office/drawing/2014/chart" uri="{C3380CC4-5D6E-409C-BE32-E72D297353CC}">
              <c16:uniqueId val="{00000000-D172-4178-887F-6D623B3EA68A}"/>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44435</c:v>
                </c:pt>
                <c:pt idx="1">
                  <c:v>44428</c:v>
                </c:pt>
                <c:pt idx="2">
                  <c:v>44421</c:v>
                </c:pt>
                <c:pt idx="3">
                  <c:v>44414</c:v>
                </c:pt>
                <c:pt idx="4">
                  <c:v>44407</c:v>
                </c:pt>
                <c:pt idx="5">
                  <c:v>44400</c:v>
                </c:pt>
                <c:pt idx="6">
                  <c:v>44393</c:v>
                </c:pt>
                <c:pt idx="7">
                  <c:v>44386</c:v>
                </c:pt>
                <c:pt idx="8">
                  <c:v>44379</c:v>
                </c:pt>
                <c:pt idx="9">
                  <c:v>44372</c:v>
                </c:pt>
                <c:pt idx="10">
                  <c:v>44365</c:v>
                </c:pt>
                <c:pt idx="11">
                  <c:v>44358</c:v>
                </c:pt>
                <c:pt idx="12">
                  <c:v>44351</c:v>
                </c:pt>
                <c:pt idx="13">
                  <c:v>44344</c:v>
                </c:pt>
                <c:pt idx="14">
                  <c:v>44337</c:v>
                </c:pt>
                <c:pt idx="15">
                  <c:v>44330</c:v>
                </c:pt>
                <c:pt idx="16">
                  <c:v>44323</c:v>
                </c:pt>
                <c:pt idx="17">
                  <c:v>44316</c:v>
                </c:pt>
                <c:pt idx="18">
                  <c:v>44309</c:v>
                </c:pt>
                <c:pt idx="19">
                  <c:v>44302</c:v>
                </c:pt>
                <c:pt idx="20">
                  <c:v>44295</c:v>
                </c:pt>
                <c:pt idx="21">
                  <c:v>44288</c:v>
                </c:pt>
                <c:pt idx="22">
                  <c:v>44281</c:v>
                </c:pt>
                <c:pt idx="23">
                  <c:v>44274</c:v>
                </c:pt>
              </c:numCache>
            </c:numRef>
          </c:cat>
          <c:val>
            <c:numRef>
              <c:f>转债!$I$5:$I$28</c:f>
              <c:numCache>
                <c:formatCode>General</c:formatCode>
                <c:ptCount val="24"/>
                <c:pt idx="0">
                  <c:v>1.9857609897458106</c:v>
                </c:pt>
                <c:pt idx="1">
                  <c:v>2.0990529473797315</c:v>
                </c:pt>
                <c:pt idx="2">
                  <c:v>1.9139526286289676</c:v>
                </c:pt>
                <c:pt idx="3">
                  <c:v>2.2176261842416833</c:v>
                </c:pt>
                <c:pt idx="4">
                  <c:v>2.0476882477908021</c:v>
                </c:pt>
                <c:pt idx="5">
                  <c:v>1.7578993456324854</c:v>
                </c:pt>
                <c:pt idx="6">
                  <c:v>1.4940909299992144</c:v>
                </c:pt>
                <c:pt idx="7">
                  <c:v>1.1635850686310789</c:v>
                </c:pt>
                <c:pt idx="8">
                  <c:v>0.74798246615297437</c:v>
                </c:pt>
                <c:pt idx="9">
                  <c:v>0.7190206123217413</c:v>
                </c:pt>
                <c:pt idx="10">
                  <c:v>0.51202853935150561</c:v>
                </c:pt>
                <c:pt idx="11">
                  <c:v>0.58979963508065669</c:v>
                </c:pt>
                <c:pt idx="12">
                  <c:v>0.80573580996936567</c:v>
                </c:pt>
                <c:pt idx="13">
                  <c:v>0.90335429376520171</c:v>
                </c:pt>
                <c:pt idx="14">
                  <c:v>0.96766664565512972</c:v>
                </c:pt>
                <c:pt idx="15">
                  <c:v>0.69815104117865179</c:v>
                </c:pt>
                <c:pt idx="16">
                  <c:v>0.60811374853275701</c:v>
                </c:pt>
                <c:pt idx="17">
                  <c:v>0.55061595048544465</c:v>
                </c:pt>
                <c:pt idx="18">
                  <c:v>0.59022554469581046</c:v>
                </c:pt>
                <c:pt idx="19">
                  <c:v>0.46245266014628417</c:v>
                </c:pt>
                <c:pt idx="20">
                  <c:v>0.16763802452899323</c:v>
                </c:pt>
                <c:pt idx="21">
                  <c:v>0.19566287720684805</c:v>
                </c:pt>
                <c:pt idx="22">
                  <c:v>0.16866020760539779</c:v>
                </c:pt>
                <c:pt idx="23">
                  <c:v>0</c:v>
                </c:pt>
              </c:numCache>
            </c:numRef>
          </c:val>
          <c:smooth val="1"/>
          <c:extLst xmlns:c16r2="http://schemas.microsoft.com/office/drawing/2015/06/chart">
            <c:ext xmlns:c16="http://schemas.microsoft.com/office/drawing/2014/chart" uri="{C3380CC4-5D6E-409C-BE32-E72D297353CC}">
              <c16:uniqueId val="{00000001-D172-4178-887F-6D623B3EA68A}"/>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44435</c:v>
                </c:pt>
                <c:pt idx="1">
                  <c:v>44428</c:v>
                </c:pt>
                <c:pt idx="2">
                  <c:v>44421</c:v>
                </c:pt>
                <c:pt idx="3">
                  <c:v>44414</c:v>
                </c:pt>
                <c:pt idx="4">
                  <c:v>44407</c:v>
                </c:pt>
                <c:pt idx="5">
                  <c:v>44400</c:v>
                </c:pt>
                <c:pt idx="6">
                  <c:v>44393</c:v>
                </c:pt>
                <c:pt idx="7">
                  <c:v>44386</c:v>
                </c:pt>
                <c:pt idx="8">
                  <c:v>44379</c:v>
                </c:pt>
                <c:pt idx="9">
                  <c:v>44372</c:v>
                </c:pt>
                <c:pt idx="10">
                  <c:v>44365</c:v>
                </c:pt>
                <c:pt idx="11">
                  <c:v>44358</c:v>
                </c:pt>
                <c:pt idx="12">
                  <c:v>44351</c:v>
                </c:pt>
                <c:pt idx="13">
                  <c:v>44344</c:v>
                </c:pt>
                <c:pt idx="14">
                  <c:v>44337</c:v>
                </c:pt>
                <c:pt idx="15">
                  <c:v>44330</c:v>
                </c:pt>
                <c:pt idx="16">
                  <c:v>44323</c:v>
                </c:pt>
                <c:pt idx="17">
                  <c:v>44316</c:v>
                </c:pt>
                <c:pt idx="18">
                  <c:v>44309</c:v>
                </c:pt>
                <c:pt idx="19">
                  <c:v>44302</c:v>
                </c:pt>
                <c:pt idx="20">
                  <c:v>44295</c:v>
                </c:pt>
                <c:pt idx="21">
                  <c:v>44288</c:v>
                </c:pt>
                <c:pt idx="22">
                  <c:v>44281</c:v>
                </c:pt>
                <c:pt idx="23">
                  <c:v>44274</c:v>
                </c:pt>
              </c:numCache>
            </c:numRef>
          </c:cat>
          <c:val>
            <c:numRef>
              <c:f>转债!$J$5:$J$28</c:f>
              <c:numCache>
                <c:formatCode>General</c:formatCode>
                <c:ptCount val="24"/>
                <c:pt idx="0">
                  <c:v>-3.5958485832900844</c:v>
                </c:pt>
                <c:pt idx="1">
                  <c:v>-4.7497222289182854</c:v>
                </c:pt>
                <c:pt idx="2">
                  <c:v>-1.2204252661131121</c:v>
                </c:pt>
                <c:pt idx="3">
                  <c:v>-1.7080976783584112</c:v>
                </c:pt>
                <c:pt idx="4">
                  <c:v>-3.912874995453941</c:v>
                </c:pt>
                <c:pt idx="5">
                  <c:v>1.6404236496055491</c:v>
                </c:pt>
                <c:pt idx="6">
                  <c:v>1.7511566147583535</c:v>
                </c:pt>
                <c:pt idx="7">
                  <c:v>1.2451422140206114</c:v>
                </c:pt>
                <c:pt idx="8">
                  <c:v>1.4784333744942924</c:v>
                </c:pt>
                <c:pt idx="9">
                  <c:v>4.6509582900106095</c:v>
                </c:pt>
                <c:pt idx="10">
                  <c:v>1.9047987287308388</c:v>
                </c:pt>
                <c:pt idx="11">
                  <c:v>4.3460826463559199</c:v>
                </c:pt>
                <c:pt idx="12">
                  <c:v>5.4959359933304253</c:v>
                </c:pt>
                <c:pt idx="13">
                  <c:v>6.2710647522322693</c:v>
                </c:pt>
                <c:pt idx="14">
                  <c:v>2.5375533940297901</c:v>
                </c:pt>
                <c:pt idx="15">
                  <c:v>2.0670566243188082</c:v>
                </c:pt>
                <c:pt idx="16">
                  <c:v>-0.22044737475994669</c:v>
                </c:pt>
                <c:pt idx="17">
                  <c:v>2.3246692934881352</c:v>
                </c:pt>
                <c:pt idx="18">
                  <c:v>2.5636184301594644</c:v>
                </c:pt>
                <c:pt idx="19">
                  <c:v>-0.81703333235005893</c:v>
                </c:pt>
                <c:pt idx="20">
                  <c:v>0.56413397903898321</c:v>
                </c:pt>
                <c:pt idx="21">
                  <c:v>3.0849491102687532</c:v>
                </c:pt>
                <c:pt idx="22">
                  <c:v>0.6171088532508584</c:v>
                </c:pt>
                <c:pt idx="23">
                  <c:v>0</c:v>
                </c:pt>
              </c:numCache>
            </c:numRef>
          </c:val>
          <c:smooth val="1"/>
          <c:extLst xmlns:c16r2="http://schemas.microsoft.com/office/drawing/2015/06/chart">
            <c:ext xmlns:c16="http://schemas.microsoft.com/office/drawing/2014/chart" uri="{C3380CC4-5D6E-409C-BE32-E72D297353CC}">
              <c16:uniqueId val="{00000002-D172-4178-887F-6D623B3EA68A}"/>
            </c:ext>
          </c:extLst>
        </c:ser>
        <c:dLbls>
          <c:showLegendKey val="0"/>
          <c:showVal val="0"/>
          <c:showCatName val="0"/>
          <c:showSerName val="0"/>
          <c:showPercent val="0"/>
          <c:showBubbleSize val="0"/>
        </c:dLbls>
        <c:marker val="1"/>
        <c:smooth val="0"/>
        <c:axId val="212895616"/>
        <c:axId val="212897152"/>
      </c:lineChart>
      <c:dateAx>
        <c:axId val="21289561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12897152"/>
        <c:crosses val="autoZero"/>
        <c:auto val="0"/>
        <c:lblOffset val="0"/>
        <c:baseTimeUnit val="days"/>
      </c:dateAx>
      <c:valAx>
        <c:axId val="21289715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12895616"/>
        <c:crosses val="autoZero"/>
        <c:crossBetween val="between"/>
      </c:valAx>
    </c:plotArea>
    <c:legend>
      <c:legendPos val="r"/>
      <c:layout>
        <c:manualLayout>
          <c:xMode val="edge"/>
          <c:yMode val="edge"/>
          <c:x val="9.9472362946142159E-2"/>
          <c:y val="9.1259531804523744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44436</c:v>
                </c:pt>
                <c:pt idx="1">
                  <c:v>44429</c:v>
                </c:pt>
                <c:pt idx="2">
                  <c:v>44422</c:v>
                </c:pt>
                <c:pt idx="3">
                  <c:v>44415</c:v>
                </c:pt>
                <c:pt idx="4">
                  <c:v>44408</c:v>
                </c:pt>
                <c:pt idx="5">
                  <c:v>44401</c:v>
                </c:pt>
                <c:pt idx="6">
                  <c:v>44394</c:v>
                </c:pt>
                <c:pt idx="7">
                  <c:v>44387</c:v>
                </c:pt>
                <c:pt idx="8">
                  <c:v>44380</c:v>
                </c:pt>
                <c:pt idx="9">
                  <c:v>44373</c:v>
                </c:pt>
                <c:pt idx="10">
                  <c:v>44366</c:v>
                </c:pt>
                <c:pt idx="11">
                  <c:v>44359</c:v>
                </c:pt>
                <c:pt idx="12">
                  <c:v>44352</c:v>
                </c:pt>
                <c:pt idx="13">
                  <c:v>44345</c:v>
                </c:pt>
                <c:pt idx="14">
                  <c:v>44338</c:v>
                </c:pt>
                <c:pt idx="15">
                  <c:v>44331</c:v>
                </c:pt>
                <c:pt idx="16">
                  <c:v>44324</c:v>
                </c:pt>
                <c:pt idx="17">
                  <c:v>44317</c:v>
                </c:pt>
                <c:pt idx="18">
                  <c:v>44310</c:v>
                </c:pt>
                <c:pt idx="19">
                  <c:v>44303</c:v>
                </c:pt>
                <c:pt idx="20">
                  <c:v>44296</c:v>
                </c:pt>
                <c:pt idx="21">
                  <c:v>44289</c:v>
                </c:pt>
                <c:pt idx="22">
                  <c:v>44282</c:v>
                </c:pt>
                <c:pt idx="23">
                  <c:v>44275</c:v>
                </c:pt>
                <c:pt idx="24">
                  <c:v>44268</c:v>
                </c:pt>
                <c:pt idx="25">
                  <c:v>44261</c:v>
                </c:pt>
              </c:numCache>
            </c:numRef>
          </c:cat>
          <c:val>
            <c:numRef>
              <c:f>汇率!$B$3:$B$28</c:f>
              <c:numCache>
                <c:formatCode>###,###,###,###,##0.00</c:formatCode>
                <c:ptCount val="26"/>
                <c:pt idx="0">
                  <c:v>6.4797000000000002</c:v>
                </c:pt>
                <c:pt idx="1">
                  <c:v>6.5</c:v>
                </c:pt>
                <c:pt idx="2">
                  <c:v>6.4829999999999997</c:v>
                </c:pt>
                <c:pt idx="3">
                  <c:v>6.4687999999999999</c:v>
                </c:pt>
                <c:pt idx="4">
                  <c:v>6.4560000000000004</c:v>
                </c:pt>
                <c:pt idx="5">
                  <c:v>6.4759000000000002</c:v>
                </c:pt>
                <c:pt idx="6">
                  <c:v>6.4678000000000004</c:v>
                </c:pt>
                <c:pt idx="7">
                  <c:v>6.4847000000000001</c:v>
                </c:pt>
                <c:pt idx="8">
                  <c:v>6.4824999999999999</c:v>
                </c:pt>
                <c:pt idx="9">
                  <c:v>6.4553000000000003</c:v>
                </c:pt>
                <c:pt idx="10">
                  <c:v>6.4408000000000003</c:v>
                </c:pt>
                <c:pt idx="11">
                  <c:v>6.3914</c:v>
                </c:pt>
                <c:pt idx="12">
                  <c:v>6.4092000000000002</c:v>
                </c:pt>
                <c:pt idx="13">
                  <c:v>6.3654000000000002</c:v>
                </c:pt>
                <c:pt idx="14">
                  <c:v>6.4337</c:v>
                </c:pt>
                <c:pt idx="15">
                  <c:v>6.4347000000000003</c:v>
                </c:pt>
                <c:pt idx="16">
                  <c:v>6.4588999999999999</c:v>
                </c:pt>
                <c:pt idx="17">
                  <c:v>6.4715999999999996</c:v>
                </c:pt>
                <c:pt idx="18">
                  <c:v>6.4935999999999998</c:v>
                </c:pt>
                <c:pt idx="19">
                  <c:v>6.5228000000000002</c:v>
                </c:pt>
                <c:pt idx="20">
                  <c:v>6.5589000000000004</c:v>
                </c:pt>
                <c:pt idx="21">
                  <c:v>6.5612000000000004</c:v>
                </c:pt>
                <c:pt idx="22">
                  <c:v>6.5407000000000002</c:v>
                </c:pt>
                <c:pt idx="23">
                  <c:v>6.5045000000000002</c:v>
                </c:pt>
                <c:pt idx="24">
                  <c:v>6.5035999999999996</c:v>
                </c:pt>
                <c:pt idx="25">
                  <c:v>6.4767999999999999</c:v>
                </c:pt>
              </c:numCache>
            </c:numRef>
          </c:val>
          <c:smooth val="1"/>
          <c:extLst xmlns:c16r2="http://schemas.microsoft.com/office/drawing/2015/06/chart">
            <c:ext xmlns:c16="http://schemas.microsoft.com/office/drawing/2014/chart" uri="{C3380CC4-5D6E-409C-BE32-E72D297353CC}">
              <c16:uniqueId val="{00000000-CF3B-4E99-892D-3FBFC3D5D778}"/>
            </c:ext>
          </c:extLst>
        </c:ser>
        <c:dLbls>
          <c:showLegendKey val="0"/>
          <c:showVal val="0"/>
          <c:showCatName val="0"/>
          <c:showSerName val="0"/>
          <c:showPercent val="0"/>
          <c:showBubbleSize val="0"/>
        </c:dLbls>
        <c:marker val="1"/>
        <c:smooth val="0"/>
        <c:axId val="212914176"/>
        <c:axId val="21291571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44436</c:v>
                </c:pt>
                <c:pt idx="1">
                  <c:v>44429</c:v>
                </c:pt>
                <c:pt idx="2">
                  <c:v>44422</c:v>
                </c:pt>
                <c:pt idx="3">
                  <c:v>44415</c:v>
                </c:pt>
                <c:pt idx="4">
                  <c:v>44408</c:v>
                </c:pt>
                <c:pt idx="5">
                  <c:v>44401</c:v>
                </c:pt>
                <c:pt idx="6">
                  <c:v>44394</c:v>
                </c:pt>
                <c:pt idx="7">
                  <c:v>44387</c:v>
                </c:pt>
                <c:pt idx="8">
                  <c:v>44380</c:v>
                </c:pt>
                <c:pt idx="9">
                  <c:v>44373</c:v>
                </c:pt>
                <c:pt idx="10">
                  <c:v>44366</c:v>
                </c:pt>
                <c:pt idx="11">
                  <c:v>44359</c:v>
                </c:pt>
                <c:pt idx="12">
                  <c:v>44352</c:v>
                </c:pt>
                <c:pt idx="13">
                  <c:v>44345</c:v>
                </c:pt>
                <c:pt idx="14">
                  <c:v>44338</c:v>
                </c:pt>
                <c:pt idx="15">
                  <c:v>44331</c:v>
                </c:pt>
                <c:pt idx="16">
                  <c:v>44324</c:v>
                </c:pt>
                <c:pt idx="17">
                  <c:v>44317</c:v>
                </c:pt>
                <c:pt idx="18">
                  <c:v>44310</c:v>
                </c:pt>
                <c:pt idx="19">
                  <c:v>44303</c:v>
                </c:pt>
                <c:pt idx="20">
                  <c:v>44296</c:v>
                </c:pt>
                <c:pt idx="21">
                  <c:v>44289</c:v>
                </c:pt>
                <c:pt idx="22">
                  <c:v>44282</c:v>
                </c:pt>
                <c:pt idx="23">
                  <c:v>44275</c:v>
                </c:pt>
                <c:pt idx="24">
                  <c:v>44268</c:v>
                </c:pt>
                <c:pt idx="25">
                  <c:v>44261</c:v>
                </c:pt>
              </c:numCache>
            </c:numRef>
          </c:cat>
          <c:val>
            <c:numRef>
              <c:f>汇率!$C$3:$C$28</c:f>
              <c:numCache>
                <c:formatCode>###,###,###,###,##0.00</c:formatCode>
                <c:ptCount val="26"/>
                <c:pt idx="0">
                  <c:v>155.98000000000002</c:v>
                </c:pt>
                <c:pt idx="1">
                  <c:v>159.19999999999999</c:v>
                </c:pt>
                <c:pt idx="2">
                  <c:v>158.91999999999999</c:v>
                </c:pt>
                <c:pt idx="3">
                  <c:v>150.38999999999999</c:v>
                </c:pt>
                <c:pt idx="4">
                  <c:v>159.63</c:v>
                </c:pt>
                <c:pt idx="5">
                  <c:v>161.34</c:v>
                </c:pt>
                <c:pt idx="6">
                  <c:v>163.32</c:v>
                </c:pt>
                <c:pt idx="7">
                  <c:v>164.04999999999998</c:v>
                </c:pt>
                <c:pt idx="8">
                  <c:v>164.02999999999997</c:v>
                </c:pt>
                <c:pt idx="9">
                  <c:v>154.26999999999998</c:v>
                </c:pt>
                <c:pt idx="10">
                  <c:v>167.02</c:v>
                </c:pt>
                <c:pt idx="11">
                  <c:v>165.76000000000002</c:v>
                </c:pt>
                <c:pt idx="12">
                  <c:v>153.24999999999997</c:v>
                </c:pt>
                <c:pt idx="13">
                  <c:v>150.25</c:v>
                </c:pt>
                <c:pt idx="14">
                  <c:v>145.76000000000002</c:v>
                </c:pt>
                <c:pt idx="15">
                  <c:v>151.22</c:v>
                </c:pt>
                <c:pt idx="16">
                  <c:v>155.88999999999999</c:v>
                </c:pt>
                <c:pt idx="17">
                  <c:v>151.40000000000003</c:v>
                </c:pt>
                <c:pt idx="18">
                  <c:v>159.19</c:v>
                </c:pt>
                <c:pt idx="19">
                  <c:v>157.31</c:v>
                </c:pt>
                <c:pt idx="20">
                  <c:v>154.21</c:v>
                </c:pt>
                <c:pt idx="21">
                  <c:v>148.13</c:v>
                </c:pt>
                <c:pt idx="22">
                  <c:v>152.85000000000002</c:v>
                </c:pt>
                <c:pt idx="23">
                  <c:v>149.64000000000001</c:v>
                </c:pt>
                <c:pt idx="24">
                  <c:v>162.13</c:v>
                </c:pt>
                <c:pt idx="25">
                  <c:v>168.56999999999996</c:v>
                </c:pt>
              </c:numCache>
            </c:numRef>
          </c:val>
          <c:smooth val="1"/>
          <c:extLst xmlns:c16r2="http://schemas.microsoft.com/office/drawing/2015/06/chart">
            <c:ext xmlns:c16="http://schemas.microsoft.com/office/drawing/2014/chart" uri="{C3380CC4-5D6E-409C-BE32-E72D297353CC}">
              <c16:uniqueId val="{00000001-CF3B-4E99-892D-3FBFC3D5D778}"/>
            </c:ext>
          </c:extLst>
        </c:ser>
        <c:dLbls>
          <c:showLegendKey val="0"/>
          <c:showVal val="0"/>
          <c:showCatName val="0"/>
          <c:showSerName val="0"/>
          <c:showPercent val="0"/>
          <c:showBubbleSize val="0"/>
        </c:dLbls>
        <c:marker val="1"/>
        <c:smooth val="0"/>
        <c:axId val="212923136"/>
        <c:axId val="212917248"/>
      </c:lineChart>
      <c:dateAx>
        <c:axId val="21291417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12915712"/>
        <c:crosses val="autoZero"/>
        <c:auto val="0"/>
        <c:lblOffset val="0"/>
        <c:baseTimeUnit val="days"/>
      </c:dateAx>
      <c:valAx>
        <c:axId val="212915712"/>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12914176"/>
        <c:crosses val="autoZero"/>
        <c:crossBetween val="between"/>
      </c:valAx>
      <c:valAx>
        <c:axId val="212917248"/>
        <c:scaling>
          <c:orientation val="minMax"/>
        </c:scaling>
        <c:delete val="0"/>
        <c:axPos val="r"/>
        <c:numFmt formatCode="#,##0_);[Red]\(#,##0\)" sourceLinked="0"/>
        <c:majorTickMark val="out"/>
        <c:minorTickMark val="none"/>
        <c:tickLblPos val="nextTo"/>
        <c:spPr>
          <a:ln w="3175">
            <a:solidFill>
              <a:sysClr val="windowText" lastClr="000000"/>
            </a:solidFill>
          </a:ln>
        </c:spPr>
        <c:crossAx val="212923136"/>
        <c:crosses val="max"/>
        <c:crossBetween val="between"/>
      </c:valAx>
      <c:dateAx>
        <c:axId val="212923136"/>
        <c:scaling>
          <c:orientation val="minMax"/>
        </c:scaling>
        <c:delete val="1"/>
        <c:axPos val="b"/>
        <c:numFmt formatCode="yyyy/mm/dd;@" sourceLinked="1"/>
        <c:majorTickMark val="out"/>
        <c:minorTickMark val="none"/>
        <c:tickLblPos val="nextTo"/>
        <c:crossAx val="212917248"/>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汇率!$L$2</c:f>
              <c:strCache>
                <c:ptCount val="1"/>
                <c:pt idx="0">
                  <c:v>现货结算价:LME铜:周</c:v>
                </c:pt>
              </c:strCache>
            </c:strRef>
          </c:tx>
          <c:spPr>
            <a:ln>
              <a:solidFill>
                <a:srgbClr val="ED7D31">
                  <a:lumMod val="75000"/>
                </a:srgbClr>
              </a:solidFill>
            </a:ln>
          </c:spPr>
          <c:marker>
            <c:symbol val="none"/>
          </c:marker>
          <c:cat>
            <c:numRef>
              <c:f>汇率!$K$3:$K$189</c:f>
              <c:numCache>
                <c:formatCode>yyyy/mm/dd;@</c:formatCode>
                <c:ptCount val="187"/>
                <c:pt idx="0">
                  <c:v>44436</c:v>
                </c:pt>
                <c:pt idx="1">
                  <c:v>44429</c:v>
                </c:pt>
                <c:pt idx="2">
                  <c:v>44422</c:v>
                </c:pt>
                <c:pt idx="3">
                  <c:v>44415</c:v>
                </c:pt>
                <c:pt idx="4">
                  <c:v>44408</c:v>
                </c:pt>
                <c:pt idx="5">
                  <c:v>44401</c:v>
                </c:pt>
                <c:pt idx="6">
                  <c:v>44394</c:v>
                </c:pt>
                <c:pt idx="7">
                  <c:v>44387</c:v>
                </c:pt>
                <c:pt idx="8">
                  <c:v>44380</c:v>
                </c:pt>
                <c:pt idx="9">
                  <c:v>44373</c:v>
                </c:pt>
                <c:pt idx="10">
                  <c:v>44366</c:v>
                </c:pt>
                <c:pt idx="11">
                  <c:v>44359</c:v>
                </c:pt>
                <c:pt idx="12">
                  <c:v>44352</c:v>
                </c:pt>
                <c:pt idx="13">
                  <c:v>44345</c:v>
                </c:pt>
                <c:pt idx="14">
                  <c:v>44338</c:v>
                </c:pt>
                <c:pt idx="15">
                  <c:v>44331</c:v>
                </c:pt>
                <c:pt idx="16">
                  <c:v>44324</c:v>
                </c:pt>
                <c:pt idx="17">
                  <c:v>44317</c:v>
                </c:pt>
                <c:pt idx="18">
                  <c:v>44310</c:v>
                </c:pt>
                <c:pt idx="19">
                  <c:v>44303</c:v>
                </c:pt>
                <c:pt idx="20">
                  <c:v>44296</c:v>
                </c:pt>
                <c:pt idx="21">
                  <c:v>44289</c:v>
                </c:pt>
                <c:pt idx="22">
                  <c:v>44282</c:v>
                </c:pt>
                <c:pt idx="23">
                  <c:v>44275</c:v>
                </c:pt>
                <c:pt idx="24">
                  <c:v>44268</c:v>
                </c:pt>
                <c:pt idx="25">
                  <c:v>44261</c:v>
                </c:pt>
                <c:pt idx="26">
                  <c:v>44254</c:v>
                </c:pt>
                <c:pt idx="27">
                  <c:v>44247</c:v>
                </c:pt>
                <c:pt idx="28">
                  <c:v>44240</c:v>
                </c:pt>
                <c:pt idx="29">
                  <c:v>44233</c:v>
                </c:pt>
                <c:pt idx="30">
                  <c:v>44226</c:v>
                </c:pt>
                <c:pt idx="31">
                  <c:v>44219</c:v>
                </c:pt>
                <c:pt idx="32">
                  <c:v>44212</c:v>
                </c:pt>
                <c:pt idx="33">
                  <c:v>44205</c:v>
                </c:pt>
                <c:pt idx="34">
                  <c:v>44198</c:v>
                </c:pt>
                <c:pt idx="35">
                  <c:v>44191</c:v>
                </c:pt>
                <c:pt idx="36">
                  <c:v>44184</c:v>
                </c:pt>
                <c:pt idx="37">
                  <c:v>44177</c:v>
                </c:pt>
                <c:pt idx="38">
                  <c:v>44170</c:v>
                </c:pt>
                <c:pt idx="39">
                  <c:v>44163</c:v>
                </c:pt>
                <c:pt idx="40">
                  <c:v>44156</c:v>
                </c:pt>
                <c:pt idx="41">
                  <c:v>44149</c:v>
                </c:pt>
                <c:pt idx="42">
                  <c:v>44142</c:v>
                </c:pt>
                <c:pt idx="43">
                  <c:v>44135</c:v>
                </c:pt>
                <c:pt idx="44">
                  <c:v>44128</c:v>
                </c:pt>
                <c:pt idx="45">
                  <c:v>44121</c:v>
                </c:pt>
                <c:pt idx="46">
                  <c:v>44114</c:v>
                </c:pt>
                <c:pt idx="47">
                  <c:v>44107</c:v>
                </c:pt>
                <c:pt idx="48">
                  <c:v>44100</c:v>
                </c:pt>
                <c:pt idx="49">
                  <c:v>44093</c:v>
                </c:pt>
                <c:pt idx="50">
                  <c:v>44086</c:v>
                </c:pt>
                <c:pt idx="51">
                  <c:v>44079</c:v>
                </c:pt>
                <c:pt idx="52">
                  <c:v>44072</c:v>
                </c:pt>
                <c:pt idx="53">
                  <c:v>44065</c:v>
                </c:pt>
                <c:pt idx="54">
                  <c:v>44058</c:v>
                </c:pt>
                <c:pt idx="55">
                  <c:v>44051</c:v>
                </c:pt>
                <c:pt idx="56">
                  <c:v>44044</c:v>
                </c:pt>
                <c:pt idx="57">
                  <c:v>44037</c:v>
                </c:pt>
                <c:pt idx="58">
                  <c:v>44030</c:v>
                </c:pt>
                <c:pt idx="59">
                  <c:v>44023</c:v>
                </c:pt>
                <c:pt idx="60">
                  <c:v>44016</c:v>
                </c:pt>
                <c:pt idx="61">
                  <c:v>44009</c:v>
                </c:pt>
                <c:pt idx="62">
                  <c:v>44002</c:v>
                </c:pt>
                <c:pt idx="63">
                  <c:v>43995</c:v>
                </c:pt>
                <c:pt idx="64">
                  <c:v>43988</c:v>
                </c:pt>
                <c:pt idx="65">
                  <c:v>43981</c:v>
                </c:pt>
                <c:pt idx="66">
                  <c:v>43974</c:v>
                </c:pt>
                <c:pt idx="67">
                  <c:v>43967</c:v>
                </c:pt>
                <c:pt idx="68">
                  <c:v>43960</c:v>
                </c:pt>
                <c:pt idx="69">
                  <c:v>43953</c:v>
                </c:pt>
                <c:pt idx="70">
                  <c:v>43946</c:v>
                </c:pt>
                <c:pt idx="71">
                  <c:v>43939</c:v>
                </c:pt>
                <c:pt idx="72">
                  <c:v>43932</c:v>
                </c:pt>
                <c:pt idx="73">
                  <c:v>43925</c:v>
                </c:pt>
                <c:pt idx="74">
                  <c:v>43918</c:v>
                </c:pt>
                <c:pt idx="75">
                  <c:v>43911</c:v>
                </c:pt>
                <c:pt idx="76">
                  <c:v>43904</c:v>
                </c:pt>
                <c:pt idx="77">
                  <c:v>43897</c:v>
                </c:pt>
                <c:pt idx="78">
                  <c:v>43890</c:v>
                </c:pt>
                <c:pt idx="79">
                  <c:v>43883</c:v>
                </c:pt>
                <c:pt idx="80">
                  <c:v>43876</c:v>
                </c:pt>
                <c:pt idx="81">
                  <c:v>43869</c:v>
                </c:pt>
                <c:pt idx="82">
                  <c:v>43862</c:v>
                </c:pt>
                <c:pt idx="83">
                  <c:v>43855</c:v>
                </c:pt>
                <c:pt idx="84">
                  <c:v>43848</c:v>
                </c:pt>
                <c:pt idx="85">
                  <c:v>43841</c:v>
                </c:pt>
                <c:pt idx="86">
                  <c:v>43834</c:v>
                </c:pt>
                <c:pt idx="87">
                  <c:v>43827</c:v>
                </c:pt>
                <c:pt idx="88">
                  <c:v>43820</c:v>
                </c:pt>
                <c:pt idx="89">
                  <c:v>43813</c:v>
                </c:pt>
                <c:pt idx="90">
                  <c:v>43806</c:v>
                </c:pt>
                <c:pt idx="91">
                  <c:v>43799</c:v>
                </c:pt>
                <c:pt idx="92">
                  <c:v>43792</c:v>
                </c:pt>
                <c:pt idx="93">
                  <c:v>43785</c:v>
                </c:pt>
                <c:pt idx="94">
                  <c:v>43778</c:v>
                </c:pt>
                <c:pt idx="95">
                  <c:v>43771</c:v>
                </c:pt>
                <c:pt idx="96">
                  <c:v>43764</c:v>
                </c:pt>
                <c:pt idx="97">
                  <c:v>43757</c:v>
                </c:pt>
                <c:pt idx="98">
                  <c:v>43750</c:v>
                </c:pt>
                <c:pt idx="99">
                  <c:v>43743</c:v>
                </c:pt>
                <c:pt idx="100">
                  <c:v>43736</c:v>
                </c:pt>
                <c:pt idx="101">
                  <c:v>43729</c:v>
                </c:pt>
                <c:pt idx="102">
                  <c:v>43722</c:v>
                </c:pt>
                <c:pt idx="103">
                  <c:v>43715</c:v>
                </c:pt>
                <c:pt idx="104">
                  <c:v>43708</c:v>
                </c:pt>
                <c:pt idx="105">
                  <c:v>43701</c:v>
                </c:pt>
                <c:pt idx="106">
                  <c:v>43694</c:v>
                </c:pt>
                <c:pt idx="107">
                  <c:v>43687</c:v>
                </c:pt>
                <c:pt idx="108">
                  <c:v>43680</c:v>
                </c:pt>
                <c:pt idx="109">
                  <c:v>43673</c:v>
                </c:pt>
                <c:pt idx="110">
                  <c:v>43666</c:v>
                </c:pt>
                <c:pt idx="111">
                  <c:v>43659</c:v>
                </c:pt>
                <c:pt idx="112">
                  <c:v>43652</c:v>
                </c:pt>
                <c:pt idx="113">
                  <c:v>43645</c:v>
                </c:pt>
                <c:pt idx="114">
                  <c:v>43638</c:v>
                </c:pt>
                <c:pt idx="115">
                  <c:v>43631</c:v>
                </c:pt>
                <c:pt idx="116">
                  <c:v>43624</c:v>
                </c:pt>
                <c:pt idx="117">
                  <c:v>43617</c:v>
                </c:pt>
                <c:pt idx="118">
                  <c:v>43610</c:v>
                </c:pt>
                <c:pt idx="119">
                  <c:v>43603</c:v>
                </c:pt>
                <c:pt idx="120">
                  <c:v>43596</c:v>
                </c:pt>
                <c:pt idx="121">
                  <c:v>43589</c:v>
                </c:pt>
                <c:pt idx="122">
                  <c:v>43582</c:v>
                </c:pt>
                <c:pt idx="123">
                  <c:v>43575</c:v>
                </c:pt>
                <c:pt idx="124">
                  <c:v>43568</c:v>
                </c:pt>
                <c:pt idx="125">
                  <c:v>43561</c:v>
                </c:pt>
                <c:pt idx="126">
                  <c:v>43554</c:v>
                </c:pt>
                <c:pt idx="127">
                  <c:v>43547</c:v>
                </c:pt>
                <c:pt idx="128">
                  <c:v>43540</c:v>
                </c:pt>
                <c:pt idx="129">
                  <c:v>43533</c:v>
                </c:pt>
                <c:pt idx="130">
                  <c:v>43526</c:v>
                </c:pt>
                <c:pt idx="131">
                  <c:v>43519</c:v>
                </c:pt>
                <c:pt idx="132">
                  <c:v>43512</c:v>
                </c:pt>
                <c:pt idx="133">
                  <c:v>43505</c:v>
                </c:pt>
                <c:pt idx="134">
                  <c:v>43498</c:v>
                </c:pt>
                <c:pt idx="135">
                  <c:v>43491</c:v>
                </c:pt>
                <c:pt idx="136">
                  <c:v>43484</c:v>
                </c:pt>
                <c:pt idx="137">
                  <c:v>43477</c:v>
                </c:pt>
                <c:pt idx="138">
                  <c:v>43470</c:v>
                </c:pt>
                <c:pt idx="139">
                  <c:v>43463</c:v>
                </c:pt>
                <c:pt idx="140">
                  <c:v>43456</c:v>
                </c:pt>
                <c:pt idx="141">
                  <c:v>43449</c:v>
                </c:pt>
                <c:pt idx="142">
                  <c:v>43442</c:v>
                </c:pt>
                <c:pt idx="143">
                  <c:v>43435</c:v>
                </c:pt>
                <c:pt idx="144">
                  <c:v>43428</c:v>
                </c:pt>
                <c:pt idx="145">
                  <c:v>43421</c:v>
                </c:pt>
                <c:pt idx="146">
                  <c:v>43414</c:v>
                </c:pt>
                <c:pt idx="147">
                  <c:v>43407</c:v>
                </c:pt>
                <c:pt idx="148">
                  <c:v>43400</c:v>
                </c:pt>
                <c:pt idx="149">
                  <c:v>43393</c:v>
                </c:pt>
                <c:pt idx="150">
                  <c:v>43386</c:v>
                </c:pt>
                <c:pt idx="151">
                  <c:v>43379</c:v>
                </c:pt>
                <c:pt idx="152">
                  <c:v>43372</c:v>
                </c:pt>
                <c:pt idx="153">
                  <c:v>43365</c:v>
                </c:pt>
                <c:pt idx="154">
                  <c:v>43358</c:v>
                </c:pt>
                <c:pt idx="155">
                  <c:v>43351</c:v>
                </c:pt>
                <c:pt idx="156">
                  <c:v>43344</c:v>
                </c:pt>
                <c:pt idx="157">
                  <c:v>43337</c:v>
                </c:pt>
                <c:pt idx="158">
                  <c:v>43330</c:v>
                </c:pt>
                <c:pt idx="159">
                  <c:v>43323</c:v>
                </c:pt>
                <c:pt idx="160">
                  <c:v>43316</c:v>
                </c:pt>
                <c:pt idx="161">
                  <c:v>43309</c:v>
                </c:pt>
                <c:pt idx="162">
                  <c:v>43302</c:v>
                </c:pt>
                <c:pt idx="163">
                  <c:v>43295</c:v>
                </c:pt>
                <c:pt idx="164">
                  <c:v>43288</c:v>
                </c:pt>
                <c:pt idx="165">
                  <c:v>43281</c:v>
                </c:pt>
                <c:pt idx="166">
                  <c:v>43274</c:v>
                </c:pt>
                <c:pt idx="167">
                  <c:v>43267</c:v>
                </c:pt>
                <c:pt idx="168">
                  <c:v>43260</c:v>
                </c:pt>
                <c:pt idx="169">
                  <c:v>43253</c:v>
                </c:pt>
                <c:pt idx="170">
                  <c:v>43246</c:v>
                </c:pt>
                <c:pt idx="171">
                  <c:v>43239</c:v>
                </c:pt>
                <c:pt idx="172">
                  <c:v>43232</c:v>
                </c:pt>
                <c:pt idx="173">
                  <c:v>43225</c:v>
                </c:pt>
                <c:pt idx="174">
                  <c:v>43218</c:v>
                </c:pt>
                <c:pt idx="175">
                  <c:v>43211</c:v>
                </c:pt>
                <c:pt idx="176">
                  <c:v>43204</c:v>
                </c:pt>
                <c:pt idx="177">
                  <c:v>43197</c:v>
                </c:pt>
                <c:pt idx="178">
                  <c:v>43190</c:v>
                </c:pt>
                <c:pt idx="179">
                  <c:v>43183</c:v>
                </c:pt>
                <c:pt idx="180">
                  <c:v>43176</c:v>
                </c:pt>
                <c:pt idx="181">
                  <c:v>43169</c:v>
                </c:pt>
                <c:pt idx="182">
                  <c:v>43162</c:v>
                </c:pt>
                <c:pt idx="183">
                  <c:v>43155</c:v>
                </c:pt>
                <c:pt idx="184">
                  <c:v>43148</c:v>
                </c:pt>
                <c:pt idx="185">
                  <c:v>43141</c:v>
                </c:pt>
                <c:pt idx="186">
                  <c:v>43134</c:v>
                </c:pt>
              </c:numCache>
            </c:numRef>
          </c:cat>
          <c:val>
            <c:numRef>
              <c:f>汇率!$L$3:$L$189</c:f>
              <c:numCache>
                <c:formatCode>###,###,###,###,##0.00</c:formatCode>
                <c:ptCount val="187"/>
                <c:pt idx="0">
                  <c:v>9352</c:v>
                </c:pt>
                <c:pt idx="1">
                  <c:v>8922</c:v>
                </c:pt>
                <c:pt idx="2">
                  <c:v>9429.5</c:v>
                </c:pt>
                <c:pt idx="3">
                  <c:v>9529.5</c:v>
                </c:pt>
                <c:pt idx="4">
                  <c:v>9747.5</c:v>
                </c:pt>
                <c:pt idx="5">
                  <c:v>9433.5</c:v>
                </c:pt>
                <c:pt idx="6">
                  <c:v>9396.5</c:v>
                </c:pt>
                <c:pt idx="7">
                  <c:v>9437.5</c:v>
                </c:pt>
                <c:pt idx="8">
                  <c:v>9296.5</c:v>
                </c:pt>
                <c:pt idx="9">
                  <c:v>9432.5</c:v>
                </c:pt>
                <c:pt idx="10">
                  <c:v>9206</c:v>
                </c:pt>
                <c:pt idx="11">
                  <c:v>10029</c:v>
                </c:pt>
                <c:pt idx="12">
                  <c:v>9852</c:v>
                </c:pt>
                <c:pt idx="13">
                  <c:v>10159.5</c:v>
                </c:pt>
                <c:pt idx="14">
                  <c:v>10011</c:v>
                </c:pt>
                <c:pt idx="15">
                  <c:v>10212</c:v>
                </c:pt>
                <c:pt idx="16">
                  <c:v>10361</c:v>
                </c:pt>
                <c:pt idx="17">
                  <c:v>9949</c:v>
                </c:pt>
                <c:pt idx="18">
                  <c:v>9545.5</c:v>
                </c:pt>
                <c:pt idx="19">
                  <c:v>9336</c:v>
                </c:pt>
                <c:pt idx="20">
                  <c:v>8993</c:v>
                </c:pt>
                <c:pt idx="21">
                  <c:v>8768</c:v>
                </c:pt>
                <c:pt idx="22">
                  <c:v>8929</c:v>
                </c:pt>
                <c:pt idx="23">
                  <c:v>9036</c:v>
                </c:pt>
                <c:pt idx="24">
                  <c:v>9052.5</c:v>
                </c:pt>
                <c:pt idx="25">
                  <c:v>9021.5</c:v>
                </c:pt>
                <c:pt idx="26">
                  <c:v>9172.5</c:v>
                </c:pt>
                <c:pt idx="27">
                  <c:v>8806.5</c:v>
                </c:pt>
                <c:pt idx="28">
                  <c:v>8270.5</c:v>
                </c:pt>
                <c:pt idx="29">
                  <c:v>7936.5</c:v>
                </c:pt>
                <c:pt idx="30">
                  <c:v>7877</c:v>
                </c:pt>
                <c:pt idx="31">
                  <c:v>7872</c:v>
                </c:pt>
                <c:pt idx="32">
                  <c:v>7979.5</c:v>
                </c:pt>
                <c:pt idx="33">
                  <c:v>8146</c:v>
                </c:pt>
                <c:pt idx="34">
                  <c:v>7741.5</c:v>
                </c:pt>
                <c:pt idx="35">
                  <c:v>7793</c:v>
                </c:pt>
                <c:pt idx="36">
                  <c:v>7964</c:v>
                </c:pt>
                <c:pt idx="37">
                  <c:v>7741</c:v>
                </c:pt>
                <c:pt idx="38">
                  <c:v>7741.5</c:v>
                </c:pt>
                <c:pt idx="39">
                  <c:v>7462</c:v>
                </c:pt>
                <c:pt idx="40">
                  <c:v>7178.5</c:v>
                </c:pt>
                <c:pt idx="41">
                  <c:v>6926</c:v>
                </c:pt>
                <c:pt idx="42">
                  <c:v>6938.5</c:v>
                </c:pt>
                <c:pt idx="43">
                  <c:v>6694.5</c:v>
                </c:pt>
                <c:pt idx="44">
                  <c:v>6879.5</c:v>
                </c:pt>
                <c:pt idx="45">
                  <c:v>6728</c:v>
                </c:pt>
                <c:pt idx="46">
                  <c:v>6740.5</c:v>
                </c:pt>
                <c:pt idx="47">
                  <c:v>6409.5</c:v>
                </c:pt>
                <c:pt idx="48">
                  <c:v>6529</c:v>
                </c:pt>
                <c:pt idx="49">
                  <c:v>6833.5</c:v>
                </c:pt>
                <c:pt idx="50">
                  <c:v>6757.5</c:v>
                </c:pt>
                <c:pt idx="51">
                  <c:v>6678</c:v>
                </c:pt>
                <c:pt idx="52">
                  <c:v>6728</c:v>
                </c:pt>
                <c:pt idx="53">
                  <c:v>6564.5</c:v>
                </c:pt>
                <c:pt idx="54">
                  <c:v>6342.5</c:v>
                </c:pt>
                <c:pt idx="55">
                  <c:v>6437</c:v>
                </c:pt>
                <c:pt idx="56">
                  <c:v>6446.5</c:v>
                </c:pt>
                <c:pt idx="57">
                  <c:v>6412.5</c:v>
                </c:pt>
                <c:pt idx="58">
                  <c:v>6454.5</c:v>
                </c:pt>
                <c:pt idx="59">
                  <c:v>6322.5</c:v>
                </c:pt>
                <c:pt idx="60">
                  <c:v>6022.5</c:v>
                </c:pt>
                <c:pt idx="61">
                  <c:v>5985.5</c:v>
                </c:pt>
                <c:pt idx="62">
                  <c:v>5835.5</c:v>
                </c:pt>
                <c:pt idx="63">
                  <c:v>5785.5</c:v>
                </c:pt>
                <c:pt idx="64">
                  <c:v>5588</c:v>
                </c:pt>
                <c:pt idx="65">
                  <c:v>5332.5</c:v>
                </c:pt>
                <c:pt idx="66">
                  <c:v>5242.5</c:v>
                </c:pt>
                <c:pt idx="67">
                  <c:v>5165</c:v>
                </c:pt>
                <c:pt idx="68">
                  <c:v>5227.5</c:v>
                </c:pt>
                <c:pt idx="69">
                  <c:v>5061</c:v>
                </c:pt>
                <c:pt idx="70">
                  <c:v>5118</c:v>
                </c:pt>
                <c:pt idx="71">
                  <c:v>5175.5</c:v>
                </c:pt>
                <c:pt idx="72">
                  <c:v>4963.5</c:v>
                </c:pt>
                <c:pt idx="73">
                  <c:v>4863.5</c:v>
                </c:pt>
                <c:pt idx="74">
                  <c:v>4774</c:v>
                </c:pt>
                <c:pt idx="75">
                  <c:v>4855</c:v>
                </c:pt>
                <c:pt idx="76">
                  <c:v>5530.5</c:v>
                </c:pt>
                <c:pt idx="77">
                  <c:v>5624</c:v>
                </c:pt>
                <c:pt idx="78">
                  <c:v>5573</c:v>
                </c:pt>
                <c:pt idx="79">
                  <c:v>5702</c:v>
                </c:pt>
                <c:pt idx="80">
                  <c:v>5737</c:v>
                </c:pt>
                <c:pt idx="81">
                  <c:v>5653</c:v>
                </c:pt>
                <c:pt idx="82">
                  <c:v>5570</c:v>
                </c:pt>
                <c:pt idx="83">
                  <c:v>5968</c:v>
                </c:pt>
                <c:pt idx="84">
                  <c:v>6276.5</c:v>
                </c:pt>
                <c:pt idx="85">
                  <c:v>6157</c:v>
                </c:pt>
                <c:pt idx="86">
                  <c:v>6077</c:v>
                </c:pt>
                <c:pt idx="87">
                  <c:v>6211</c:v>
                </c:pt>
                <c:pt idx="88">
                  <c:v>6155.5</c:v>
                </c:pt>
                <c:pt idx="89">
                  <c:v>6154</c:v>
                </c:pt>
                <c:pt idx="90">
                  <c:v>5867.5</c:v>
                </c:pt>
                <c:pt idx="91">
                  <c:v>5854</c:v>
                </c:pt>
                <c:pt idx="92">
                  <c:v>5834</c:v>
                </c:pt>
                <c:pt idx="93">
                  <c:v>5812</c:v>
                </c:pt>
                <c:pt idx="94">
                  <c:v>5951.5</c:v>
                </c:pt>
                <c:pt idx="95">
                  <c:v>5797</c:v>
                </c:pt>
                <c:pt idx="96">
                  <c:v>5867.5</c:v>
                </c:pt>
                <c:pt idx="97">
                  <c:v>5751</c:v>
                </c:pt>
                <c:pt idx="98">
                  <c:v>5763</c:v>
                </c:pt>
                <c:pt idx="99">
                  <c:v>5599</c:v>
                </c:pt>
                <c:pt idx="100">
                  <c:v>5714</c:v>
                </c:pt>
                <c:pt idx="101">
                  <c:v>5777.5</c:v>
                </c:pt>
                <c:pt idx="102">
                  <c:v>5870</c:v>
                </c:pt>
                <c:pt idx="103">
                  <c:v>5787.5</c:v>
                </c:pt>
                <c:pt idx="104">
                  <c:v>5678</c:v>
                </c:pt>
                <c:pt idx="105">
                  <c:v>5675</c:v>
                </c:pt>
                <c:pt idx="106">
                  <c:v>5710</c:v>
                </c:pt>
                <c:pt idx="107">
                  <c:v>5744</c:v>
                </c:pt>
                <c:pt idx="108">
                  <c:v>5769</c:v>
                </c:pt>
                <c:pt idx="109">
                  <c:v>5945</c:v>
                </c:pt>
                <c:pt idx="110">
                  <c:v>6066</c:v>
                </c:pt>
                <c:pt idx="111">
                  <c:v>5950</c:v>
                </c:pt>
                <c:pt idx="112">
                  <c:v>5857</c:v>
                </c:pt>
                <c:pt idx="113">
                  <c:v>5972</c:v>
                </c:pt>
                <c:pt idx="114">
                  <c:v>5941</c:v>
                </c:pt>
                <c:pt idx="115">
                  <c:v>5805.5</c:v>
                </c:pt>
                <c:pt idx="116">
                  <c:v>5770</c:v>
                </c:pt>
                <c:pt idx="117">
                  <c:v>5780.5</c:v>
                </c:pt>
                <c:pt idx="118">
                  <c:v>5919</c:v>
                </c:pt>
                <c:pt idx="119">
                  <c:v>6025</c:v>
                </c:pt>
                <c:pt idx="120">
                  <c:v>6135.5</c:v>
                </c:pt>
                <c:pt idx="121">
                  <c:v>6180</c:v>
                </c:pt>
                <c:pt idx="122">
                  <c:v>6393</c:v>
                </c:pt>
                <c:pt idx="123">
                  <c:v>6448</c:v>
                </c:pt>
                <c:pt idx="124">
                  <c:v>6490</c:v>
                </c:pt>
                <c:pt idx="125">
                  <c:v>6419</c:v>
                </c:pt>
                <c:pt idx="126">
                  <c:v>6485</c:v>
                </c:pt>
                <c:pt idx="127">
                  <c:v>6375</c:v>
                </c:pt>
                <c:pt idx="128">
                  <c:v>6410</c:v>
                </c:pt>
                <c:pt idx="129">
                  <c:v>6398.5</c:v>
                </c:pt>
                <c:pt idx="130">
                  <c:v>6572</c:v>
                </c:pt>
                <c:pt idx="131">
                  <c:v>6489</c:v>
                </c:pt>
                <c:pt idx="132">
                  <c:v>6190</c:v>
                </c:pt>
                <c:pt idx="133">
                  <c:v>6207</c:v>
                </c:pt>
                <c:pt idx="134">
                  <c:v>6097.5</c:v>
                </c:pt>
                <c:pt idx="135">
                  <c:v>5901</c:v>
                </c:pt>
                <c:pt idx="136">
                  <c:v>6022</c:v>
                </c:pt>
                <c:pt idx="137">
                  <c:v>5926.5</c:v>
                </c:pt>
                <c:pt idx="138">
                  <c:v>5840</c:v>
                </c:pt>
                <c:pt idx="139">
                  <c:v>6018</c:v>
                </c:pt>
                <c:pt idx="140">
                  <c:v>5987</c:v>
                </c:pt>
                <c:pt idx="141">
                  <c:v>6104</c:v>
                </c:pt>
                <c:pt idx="142">
                  <c:v>6173</c:v>
                </c:pt>
                <c:pt idx="143">
                  <c:v>6238</c:v>
                </c:pt>
                <c:pt idx="144">
                  <c:v>6210</c:v>
                </c:pt>
                <c:pt idx="145">
                  <c:v>6181</c:v>
                </c:pt>
                <c:pt idx="146">
                  <c:v>6088</c:v>
                </c:pt>
                <c:pt idx="147">
                  <c:v>6255</c:v>
                </c:pt>
                <c:pt idx="148">
                  <c:v>6159</c:v>
                </c:pt>
                <c:pt idx="149">
                  <c:v>6191.5</c:v>
                </c:pt>
                <c:pt idx="150">
                  <c:v>6325</c:v>
                </c:pt>
                <c:pt idx="151">
                  <c:v>6182.5</c:v>
                </c:pt>
                <c:pt idx="152">
                  <c:v>6180</c:v>
                </c:pt>
                <c:pt idx="153">
                  <c:v>6203</c:v>
                </c:pt>
                <c:pt idx="154">
                  <c:v>5946.5</c:v>
                </c:pt>
                <c:pt idx="155">
                  <c:v>5883</c:v>
                </c:pt>
                <c:pt idx="156">
                  <c:v>6019</c:v>
                </c:pt>
                <c:pt idx="157">
                  <c:v>6001</c:v>
                </c:pt>
                <c:pt idx="158">
                  <c:v>5844</c:v>
                </c:pt>
                <c:pt idx="159">
                  <c:v>6120</c:v>
                </c:pt>
                <c:pt idx="160">
                  <c:v>6167</c:v>
                </c:pt>
                <c:pt idx="161">
                  <c:v>6251.5</c:v>
                </c:pt>
                <c:pt idx="162">
                  <c:v>6073</c:v>
                </c:pt>
                <c:pt idx="163">
                  <c:v>6166</c:v>
                </c:pt>
                <c:pt idx="164">
                  <c:v>6326</c:v>
                </c:pt>
                <c:pt idx="165">
                  <c:v>6646</c:v>
                </c:pt>
                <c:pt idx="166">
                  <c:v>6811</c:v>
                </c:pt>
                <c:pt idx="167">
                  <c:v>7136</c:v>
                </c:pt>
                <c:pt idx="168">
                  <c:v>7262.5</c:v>
                </c:pt>
                <c:pt idx="169">
                  <c:v>6814</c:v>
                </c:pt>
                <c:pt idx="170">
                  <c:v>6886</c:v>
                </c:pt>
                <c:pt idx="171">
                  <c:v>6783.5</c:v>
                </c:pt>
                <c:pt idx="172">
                  <c:v>6869</c:v>
                </c:pt>
                <c:pt idx="173">
                  <c:v>6783</c:v>
                </c:pt>
                <c:pt idx="174">
                  <c:v>6797</c:v>
                </c:pt>
                <c:pt idx="175">
                  <c:v>6939</c:v>
                </c:pt>
                <c:pt idx="176">
                  <c:v>6830</c:v>
                </c:pt>
                <c:pt idx="177">
                  <c:v>6703</c:v>
                </c:pt>
                <c:pt idx="178">
                  <c:v>6685</c:v>
                </c:pt>
                <c:pt idx="179">
                  <c:v>6658</c:v>
                </c:pt>
                <c:pt idx="180">
                  <c:v>6923</c:v>
                </c:pt>
                <c:pt idx="181">
                  <c:v>6808</c:v>
                </c:pt>
                <c:pt idx="182">
                  <c:v>6883</c:v>
                </c:pt>
                <c:pt idx="183">
                  <c:v>7073.5</c:v>
                </c:pt>
                <c:pt idx="184">
                  <c:v>7159</c:v>
                </c:pt>
                <c:pt idx="185">
                  <c:v>6755</c:v>
                </c:pt>
                <c:pt idx="186">
                  <c:v>7066</c:v>
                </c:pt>
              </c:numCache>
            </c:numRef>
          </c:val>
          <c:smooth val="1"/>
          <c:extLst xmlns:c16r2="http://schemas.microsoft.com/office/drawing/2015/06/chart">
            <c:ext xmlns:c16="http://schemas.microsoft.com/office/drawing/2014/chart" uri="{C3380CC4-5D6E-409C-BE32-E72D297353CC}">
              <c16:uniqueId val="{00000000-6DF3-45ED-A673-992F9D42463F}"/>
            </c:ext>
          </c:extLst>
        </c:ser>
        <c:dLbls>
          <c:showLegendKey val="0"/>
          <c:showVal val="0"/>
          <c:showCatName val="0"/>
          <c:showSerName val="0"/>
          <c:showPercent val="0"/>
          <c:showBubbleSize val="0"/>
        </c:dLbls>
        <c:marker val="1"/>
        <c:smooth val="0"/>
        <c:axId val="212934016"/>
        <c:axId val="212944000"/>
      </c:lineChart>
      <c:lineChart>
        <c:grouping val="standard"/>
        <c:varyColors val="0"/>
        <c:ser>
          <c:idx val="2"/>
          <c:order val="1"/>
          <c:tx>
            <c:strRef>
              <c:f>汇率!$M$2</c:f>
              <c:strCache>
                <c:ptCount val="1"/>
                <c:pt idx="0">
                  <c:v>期货结算价(连续):布伦特原油:周</c:v>
                </c:pt>
              </c:strCache>
            </c:strRef>
          </c:tx>
          <c:spPr>
            <a:ln>
              <a:solidFill>
                <a:srgbClr val="ED7D31"/>
              </a:solidFill>
              <a:prstDash val="sysDash"/>
            </a:ln>
          </c:spPr>
          <c:marker>
            <c:symbol val="none"/>
          </c:marker>
          <c:cat>
            <c:numRef>
              <c:f>汇率!$K$3:$K$189</c:f>
              <c:numCache>
                <c:formatCode>yyyy/mm/dd;@</c:formatCode>
                <c:ptCount val="187"/>
                <c:pt idx="0">
                  <c:v>44436</c:v>
                </c:pt>
                <c:pt idx="1">
                  <c:v>44429</c:v>
                </c:pt>
                <c:pt idx="2">
                  <c:v>44422</c:v>
                </c:pt>
                <c:pt idx="3">
                  <c:v>44415</c:v>
                </c:pt>
                <c:pt idx="4">
                  <c:v>44408</c:v>
                </c:pt>
                <c:pt idx="5">
                  <c:v>44401</c:v>
                </c:pt>
                <c:pt idx="6">
                  <c:v>44394</c:v>
                </c:pt>
                <c:pt idx="7">
                  <c:v>44387</c:v>
                </c:pt>
                <c:pt idx="8">
                  <c:v>44380</c:v>
                </c:pt>
                <c:pt idx="9">
                  <c:v>44373</c:v>
                </c:pt>
                <c:pt idx="10">
                  <c:v>44366</c:v>
                </c:pt>
                <c:pt idx="11">
                  <c:v>44359</c:v>
                </c:pt>
                <c:pt idx="12">
                  <c:v>44352</c:v>
                </c:pt>
                <c:pt idx="13">
                  <c:v>44345</c:v>
                </c:pt>
                <c:pt idx="14">
                  <c:v>44338</c:v>
                </c:pt>
                <c:pt idx="15">
                  <c:v>44331</c:v>
                </c:pt>
                <c:pt idx="16">
                  <c:v>44324</c:v>
                </c:pt>
                <c:pt idx="17">
                  <c:v>44317</c:v>
                </c:pt>
                <c:pt idx="18">
                  <c:v>44310</c:v>
                </c:pt>
                <c:pt idx="19">
                  <c:v>44303</c:v>
                </c:pt>
                <c:pt idx="20">
                  <c:v>44296</c:v>
                </c:pt>
                <c:pt idx="21">
                  <c:v>44289</c:v>
                </c:pt>
                <c:pt idx="22">
                  <c:v>44282</c:v>
                </c:pt>
                <c:pt idx="23">
                  <c:v>44275</c:v>
                </c:pt>
                <c:pt idx="24">
                  <c:v>44268</c:v>
                </c:pt>
                <c:pt idx="25">
                  <c:v>44261</c:v>
                </c:pt>
                <c:pt idx="26">
                  <c:v>44254</c:v>
                </c:pt>
                <c:pt idx="27">
                  <c:v>44247</c:v>
                </c:pt>
                <c:pt idx="28">
                  <c:v>44240</c:v>
                </c:pt>
                <c:pt idx="29">
                  <c:v>44233</c:v>
                </c:pt>
                <c:pt idx="30">
                  <c:v>44226</c:v>
                </c:pt>
                <c:pt idx="31">
                  <c:v>44219</c:v>
                </c:pt>
                <c:pt idx="32">
                  <c:v>44212</c:v>
                </c:pt>
                <c:pt idx="33">
                  <c:v>44205</c:v>
                </c:pt>
                <c:pt idx="34">
                  <c:v>44198</c:v>
                </c:pt>
                <c:pt idx="35">
                  <c:v>44191</c:v>
                </c:pt>
                <c:pt idx="36">
                  <c:v>44184</c:v>
                </c:pt>
                <c:pt idx="37">
                  <c:v>44177</c:v>
                </c:pt>
                <c:pt idx="38">
                  <c:v>44170</c:v>
                </c:pt>
                <c:pt idx="39">
                  <c:v>44163</c:v>
                </c:pt>
                <c:pt idx="40">
                  <c:v>44156</c:v>
                </c:pt>
                <c:pt idx="41">
                  <c:v>44149</c:v>
                </c:pt>
                <c:pt idx="42">
                  <c:v>44142</c:v>
                </c:pt>
                <c:pt idx="43">
                  <c:v>44135</c:v>
                </c:pt>
                <c:pt idx="44">
                  <c:v>44128</c:v>
                </c:pt>
                <c:pt idx="45">
                  <c:v>44121</c:v>
                </c:pt>
                <c:pt idx="46">
                  <c:v>44114</c:v>
                </c:pt>
                <c:pt idx="47">
                  <c:v>44107</c:v>
                </c:pt>
                <c:pt idx="48">
                  <c:v>44100</c:v>
                </c:pt>
                <c:pt idx="49">
                  <c:v>44093</c:v>
                </c:pt>
                <c:pt idx="50">
                  <c:v>44086</c:v>
                </c:pt>
                <c:pt idx="51">
                  <c:v>44079</c:v>
                </c:pt>
                <c:pt idx="52">
                  <c:v>44072</c:v>
                </c:pt>
                <c:pt idx="53">
                  <c:v>44065</c:v>
                </c:pt>
                <c:pt idx="54">
                  <c:v>44058</c:v>
                </c:pt>
                <c:pt idx="55">
                  <c:v>44051</c:v>
                </c:pt>
                <c:pt idx="56">
                  <c:v>44044</c:v>
                </c:pt>
                <c:pt idx="57">
                  <c:v>44037</c:v>
                </c:pt>
                <c:pt idx="58">
                  <c:v>44030</c:v>
                </c:pt>
                <c:pt idx="59">
                  <c:v>44023</c:v>
                </c:pt>
                <c:pt idx="60">
                  <c:v>44016</c:v>
                </c:pt>
                <c:pt idx="61">
                  <c:v>44009</c:v>
                </c:pt>
                <c:pt idx="62">
                  <c:v>44002</c:v>
                </c:pt>
                <c:pt idx="63">
                  <c:v>43995</c:v>
                </c:pt>
                <c:pt idx="64">
                  <c:v>43988</c:v>
                </c:pt>
                <c:pt idx="65">
                  <c:v>43981</c:v>
                </c:pt>
                <c:pt idx="66">
                  <c:v>43974</c:v>
                </c:pt>
                <c:pt idx="67">
                  <c:v>43967</c:v>
                </c:pt>
                <c:pt idx="68">
                  <c:v>43960</c:v>
                </c:pt>
                <c:pt idx="69">
                  <c:v>43953</c:v>
                </c:pt>
                <c:pt idx="70">
                  <c:v>43946</c:v>
                </c:pt>
                <c:pt idx="71">
                  <c:v>43939</c:v>
                </c:pt>
                <c:pt idx="72">
                  <c:v>43932</c:v>
                </c:pt>
                <c:pt idx="73">
                  <c:v>43925</c:v>
                </c:pt>
                <c:pt idx="74">
                  <c:v>43918</c:v>
                </c:pt>
                <c:pt idx="75">
                  <c:v>43911</c:v>
                </c:pt>
                <c:pt idx="76">
                  <c:v>43904</c:v>
                </c:pt>
                <c:pt idx="77">
                  <c:v>43897</c:v>
                </c:pt>
                <c:pt idx="78">
                  <c:v>43890</c:v>
                </c:pt>
                <c:pt idx="79">
                  <c:v>43883</c:v>
                </c:pt>
                <c:pt idx="80">
                  <c:v>43876</c:v>
                </c:pt>
                <c:pt idx="81">
                  <c:v>43869</c:v>
                </c:pt>
                <c:pt idx="82">
                  <c:v>43862</c:v>
                </c:pt>
                <c:pt idx="83">
                  <c:v>43855</c:v>
                </c:pt>
                <c:pt idx="84">
                  <c:v>43848</c:v>
                </c:pt>
                <c:pt idx="85">
                  <c:v>43841</c:v>
                </c:pt>
                <c:pt idx="86">
                  <c:v>43834</c:v>
                </c:pt>
                <c:pt idx="87">
                  <c:v>43827</c:v>
                </c:pt>
                <c:pt idx="88">
                  <c:v>43820</c:v>
                </c:pt>
                <c:pt idx="89">
                  <c:v>43813</c:v>
                </c:pt>
                <c:pt idx="90">
                  <c:v>43806</c:v>
                </c:pt>
                <c:pt idx="91">
                  <c:v>43799</c:v>
                </c:pt>
                <c:pt idx="92">
                  <c:v>43792</c:v>
                </c:pt>
                <c:pt idx="93">
                  <c:v>43785</c:v>
                </c:pt>
                <c:pt idx="94">
                  <c:v>43778</c:v>
                </c:pt>
                <c:pt idx="95">
                  <c:v>43771</c:v>
                </c:pt>
                <c:pt idx="96">
                  <c:v>43764</c:v>
                </c:pt>
                <c:pt idx="97">
                  <c:v>43757</c:v>
                </c:pt>
                <c:pt idx="98">
                  <c:v>43750</c:v>
                </c:pt>
                <c:pt idx="99">
                  <c:v>43743</c:v>
                </c:pt>
                <c:pt idx="100">
                  <c:v>43736</c:v>
                </c:pt>
                <c:pt idx="101">
                  <c:v>43729</c:v>
                </c:pt>
                <c:pt idx="102">
                  <c:v>43722</c:v>
                </c:pt>
                <c:pt idx="103">
                  <c:v>43715</c:v>
                </c:pt>
                <c:pt idx="104">
                  <c:v>43708</c:v>
                </c:pt>
                <c:pt idx="105">
                  <c:v>43701</c:v>
                </c:pt>
                <c:pt idx="106">
                  <c:v>43694</c:v>
                </c:pt>
                <c:pt idx="107">
                  <c:v>43687</c:v>
                </c:pt>
                <c:pt idx="108">
                  <c:v>43680</c:v>
                </c:pt>
                <c:pt idx="109">
                  <c:v>43673</c:v>
                </c:pt>
                <c:pt idx="110">
                  <c:v>43666</c:v>
                </c:pt>
                <c:pt idx="111">
                  <c:v>43659</c:v>
                </c:pt>
                <c:pt idx="112">
                  <c:v>43652</c:v>
                </c:pt>
                <c:pt idx="113">
                  <c:v>43645</c:v>
                </c:pt>
                <c:pt idx="114">
                  <c:v>43638</c:v>
                </c:pt>
                <c:pt idx="115">
                  <c:v>43631</c:v>
                </c:pt>
                <c:pt idx="116">
                  <c:v>43624</c:v>
                </c:pt>
                <c:pt idx="117">
                  <c:v>43617</c:v>
                </c:pt>
                <c:pt idx="118">
                  <c:v>43610</c:v>
                </c:pt>
                <c:pt idx="119">
                  <c:v>43603</c:v>
                </c:pt>
                <c:pt idx="120">
                  <c:v>43596</c:v>
                </c:pt>
                <c:pt idx="121">
                  <c:v>43589</c:v>
                </c:pt>
                <c:pt idx="122">
                  <c:v>43582</c:v>
                </c:pt>
                <c:pt idx="123">
                  <c:v>43575</c:v>
                </c:pt>
                <c:pt idx="124">
                  <c:v>43568</c:v>
                </c:pt>
                <c:pt idx="125">
                  <c:v>43561</c:v>
                </c:pt>
                <c:pt idx="126">
                  <c:v>43554</c:v>
                </c:pt>
                <c:pt idx="127">
                  <c:v>43547</c:v>
                </c:pt>
                <c:pt idx="128">
                  <c:v>43540</c:v>
                </c:pt>
                <c:pt idx="129">
                  <c:v>43533</c:v>
                </c:pt>
                <c:pt idx="130">
                  <c:v>43526</c:v>
                </c:pt>
                <c:pt idx="131">
                  <c:v>43519</c:v>
                </c:pt>
                <c:pt idx="132">
                  <c:v>43512</c:v>
                </c:pt>
                <c:pt idx="133">
                  <c:v>43505</c:v>
                </c:pt>
                <c:pt idx="134">
                  <c:v>43498</c:v>
                </c:pt>
                <c:pt idx="135">
                  <c:v>43491</c:v>
                </c:pt>
                <c:pt idx="136">
                  <c:v>43484</c:v>
                </c:pt>
                <c:pt idx="137">
                  <c:v>43477</c:v>
                </c:pt>
                <c:pt idx="138">
                  <c:v>43470</c:v>
                </c:pt>
                <c:pt idx="139">
                  <c:v>43463</c:v>
                </c:pt>
                <c:pt idx="140">
                  <c:v>43456</c:v>
                </c:pt>
                <c:pt idx="141">
                  <c:v>43449</c:v>
                </c:pt>
                <c:pt idx="142">
                  <c:v>43442</c:v>
                </c:pt>
                <c:pt idx="143">
                  <c:v>43435</c:v>
                </c:pt>
                <c:pt idx="144">
                  <c:v>43428</c:v>
                </c:pt>
                <c:pt idx="145">
                  <c:v>43421</c:v>
                </c:pt>
                <c:pt idx="146">
                  <c:v>43414</c:v>
                </c:pt>
                <c:pt idx="147">
                  <c:v>43407</c:v>
                </c:pt>
                <c:pt idx="148">
                  <c:v>43400</c:v>
                </c:pt>
                <c:pt idx="149">
                  <c:v>43393</c:v>
                </c:pt>
                <c:pt idx="150">
                  <c:v>43386</c:v>
                </c:pt>
                <c:pt idx="151">
                  <c:v>43379</c:v>
                </c:pt>
                <c:pt idx="152">
                  <c:v>43372</c:v>
                </c:pt>
                <c:pt idx="153">
                  <c:v>43365</c:v>
                </c:pt>
                <c:pt idx="154">
                  <c:v>43358</c:v>
                </c:pt>
                <c:pt idx="155">
                  <c:v>43351</c:v>
                </c:pt>
                <c:pt idx="156">
                  <c:v>43344</c:v>
                </c:pt>
                <c:pt idx="157">
                  <c:v>43337</c:v>
                </c:pt>
                <c:pt idx="158">
                  <c:v>43330</c:v>
                </c:pt>
                <c:pt idx="159">
                  <c:v>43323</c:v>
                </c:pt>
                <c:pt idx="160">
                  <c:v>43316</c:v>
                </c:pt>
                <c:pt idx="161">
                  <c:v>43309</c:v>
                </c:pt>
                <c:pt idx="162">
                  <c:v>43302</c:v>
                </c:pt>
                <c:pt idx="163">
                  <c:v>43295</c:v>
                </c:pt>
                <c:pt idx="164">
                  <c:v>43288</c:v>
                </c:pt>
                <c:pt idx="165">
                  <c:v>43281</c:v>
                </c:pt>
                <c:pt idx="166">
                  <c:v>43274</c:v>
                </c:pt>
                <c:pt idx="167">
                  <c:v>43267</c:v>
                </c:pt>
                <c:pt idx="168">
                  <c:v>43260</c:v>
                </c:pt>
                <c:pt idx="169">
                  <c:v>43253</c:v>
                </c:pt>
                <c:pt idx="170">
                  <c:v>43246</c:v>
                </c:pt>
                <c:pt idx="171">
                  <c:v>43239</c:v>
                </c:pt>
                <c:pt idx="172">
                  <c:v>43232</c:v>
                </c:pt>
                <c:pt idx="173">
                  <c:v>43225</c:v>
                </c:pt>
                <c:pt idx="174">
                  <c:v>43218</c:v>
                </c:pt>
                <c:pt idx="175">
                  <c:v>43211</c:v>
                </c:pt>
                <c:pt idx="176">
                  <c:v>43204</c:v>
                </c:pt>
                <c:pt idx="177">
                  <c:v>43197</c:v>
                </c:pt>
                <c:pt idx="178">
                  <c:v>43190</c:v>
                </c:pt>
                <c:pt idx="179">
                  <c:v>43183</c:v>
                </c:pt>
                <c:pt idx="180">
                  <c:v>43176</c:v>
                </c:pt>
                <c:pt idx="181">
                  <c:v>43169</c:v>
                </c:pt>
                <c:pt idx="182">
                  <c:v>43162</c:v>
                </c:pt>
                <c:pt idx="183">
                  <c:v>43155</c:v>
                </c:pt>
                <c:pt idx="184">
                  <c:v>43148</c:v>
                </c:pt>
                <c:pt idx="185">
                  <c:v>43141</c:v>
                </c:pt>
                <c:pt idx="186">
                  <c:v>43134</c:v>
                </c:pt>
              </c:numCache>
            </c:numRef>
          </c:cat>
          <c:val>
            <c:numRef>
              <c:f>汇率!$M$3:$M$189</c:f>
              <c:numCache>
                <c:formatCode>###,###,###,###,##0.00</c:formatCode>
                <c:ptCount val="187"/>
                <c:pt idx="0">
                  <c:v>72.7</c:v>
                </c:pt>
                <c:pt idx="1">
                  <c:v>65.180000000000007</c:v>
                </c:pt>
                <c:pt idx="2">
                  <c:v>70.59</c:v>
                </c:pt>
                <c:pt idx="3">
                  <c:v>70.7</c:v>
                </c:pt>
                <c:pt idx="4">
                  <c:v>76.33</c:v>
                </c:pt>
                <c:pt idx="5">
                  <c:v>74.099999999999994</c:v>
                </c:pt>
                <c:pt idx="6">
                  <c:v>73.59</c:v>
                </c:pt>
                <c:pt idx="7">
                  <c:v>75.55</c:v>
                </c:pt>
                <c:pt idx="8">
                  <c:v>76.17</c:v>
                </c:pt>
                <c:pt idx="9">
                  <c:v>76.180000000000007</c:v>
                </c:pt>
                <c:pt idx="10">
                  <c:v>73.510000000000005</c:v>
                </c:pt>
                <c:pt idx="11">
                  <c:v>72.69</c:v>
                </c:pt>
                <c:pt idx="12">
                  <c:v>71.89</c:v>
                </c:pt>
                <c:pt idx="13">
                  <c:v>69.63</c:v>
                </c:pt>
                <c:pt idx="14">
                  <c:v>66.44</c:v>
                </c:pt>
                <c:pt idx="15">
                  <c:v>68.709999999999994</c:v>
                </c:pt>
                <c:pt idx="16">
                  <c:v>68.28</c:v>
                </c:pt>
                <c:pt idx="17">
                  <c:v>67.25</c:v>
                </c:pt>
                <c:pt idx="18">
                  <c:v>66.11</c:v>
                </c:pt>
                <c:pt idx="19">
                  <c:v>66.77</c:v>
                </c:pt>
                <c:pt idx="20">
                  <c:v>62.95</c:v>
                </c:pt>
                <c:pt idx="21">
                  <c:v>63.54</c:v>
                </c:pt>
                <c:pt idx="22">
                  <c:v>64.569999999999993</c:v>
                </c:pt>
                <c:pt idx="23">
                  <c:v>64.53</c:v>
                </c:pt>
                <c:pt idx="24">
                  <c:v>69.22</c:v>
                </c:pt>
                <c:pt idx="25">
                  <c:v>69.36</c:v>
                </c:pt>
                <c:pt idx="26">
                  <c:v>66.13</c:v>
                </c:pt>
                <c:pt idx="27">
                  <c:v>62.91</c:v>
                </c:pt>
                <c:pt idx="28">
                  <c:v>62.43</c:v>
                </c:pt>
                <c:pt idx="29">
                  <c:v>59.34</c:v>
                </c:pt>
                <c:pt idx="30">
                  <c:v>55.88</c:v>
                </c:pt>
                <c:pt idx="31">
                  <c:v>55.41</c:v>
                </c:pt>
                <c:pt idx="32">
                  <c:v>55.1</c:v>
                </c:pt>
                <c:pt idx="33">
                  <c:v>55.99</c:v>
                </c:pt>
                <c:pt idx="34">
                  <c:v>51.8</c:v>
                </c:pt>
                <c:pt idx="35">
                  <c:v>51.29</c:v>
                </c:pt>
                <c:pt idx="36">
                  <c:v>52.26</c:v>
                </c:pt>
                <c:pt idx="37">
                  <c:v>49.97</c:v>
                </c:pt>
                <c:pt idx="38">
                  <c:v>49.25</c:v>
                </c:pt>
                <c:pt idx="39">
                  <c:v>48.18</c:v>
                </c:pt>
                <c:pt idx="40">
                  <c:v>44.96</c:v>
                </c:pt>
                <c:pt idx="41">
                  <c:v>42.78</c:v>
                </c:pt>
                <c:pt idx="42">
                  <c:v>39.450000000000003</c:v>
                </c:pt>
                <c:pt idx="43">
                  <c:v>37.46</c:v>
                </c:pt>
                <c:pt idx="44">
                  <c:v>41.77</c:v>
                </c:pt>
                <c:pt idx="45">
                  <c:v>42.93</c:v>
                </c:pt>
                <c:pt idx="46">
                  <c:v>42.85</c:v>
                </c:pt>
                <c:pt idx="47">
                  <c:v>39.270000000000003</c:v>
                </c:pt>
                <c:pt idx="48">
                  <c:v>41.92</c:v>
                </c:pt>
                <c:pt idx="49">
                  <c:v>43.15</c:v>
                </c:pt>
                <c:pt idx="50">
                  <c:v>39.83</c:v>
                </c:pt>
                <c:pt idx="51">
                  <c:v>42.66</c:v>
                </c:pt>
                <c:pt idx="52">
                  <c:v>45.05</c:v>
                </c:pt>
                <c:pt idx="53">
                  <c:v>44.35</c:v>
                </c:pt>
                <c:pt idx="54">
                  <c:v>44.8</c:v>
                </c:pt>
                <c:pt idx="55">
                  <c:v>44.4</c:v>
                </c:pt>
                <c:pt idx="56">
                  <c:v>43.3</c:v>
                </c:pt>
                <c:pt idx="57">
                  <c:v>43.34</c:v>
                </c:pt>
                <c:pt idx="58">
                  <c:v>43.14</c:v>
                </c:pt>
                <c:pt idx="59">
                  <c:v>43.24</c:v>
                </c:pt>
                <c:pt idx="60">
                  <c:v>42.8</c:v>
                </c:pt>
                <c:pt idx="61">
                  <c:v>41.02</c:v>
                </c:pt>
                <c:pt idx="62">
                  <c:v>42.19</c:v>
                </c:pt>
                <c:pt idx="63">
                  <c:v>38.729999999999997</c:v>
                </c:pt>
                <c:pt idx="64">
                  <c:v>42.3</c:v>
                </c:pt>
                <c:pt idx="65">
                  <c:v>35.33</c:v>
                </c:pt>
                <c:pt idx="66">
                  <c:v>35.130000000000003</c:v>
                </c:pt>
                <c:pt idx="67">
                  <c:v>32.5</c:v>
                </c:pt>
                <c:pt idx="68">
                  <c:v>30.97</c:v>
                </c:pt>
                <c:pt idx="69">
                  <c:v>26.44</c:v>
                </c:pt>
                <c:pt idx="70">
                  <c:v>21.44</c:v>
                </c:pt>
                <c:pt idx="71">
                  <c:v>28.08</c:v>
                </c:pt>
                <c:pt idx="72">
                  <c:v>31.48</c:v>
                </c:pt>
                <c:pt idx="73">
                  <c:v>34.11</c:v>
                </c:pt>
                <c:pt idx="74">
                  <c:v>24.93</c:v>
                </c:pt>
                <c:pt idx="75">
                  <c:v>26.98</c:v>
                </c:pt>
                <c:pt idx="76">
                  <c:v>33.85</c:v>
                </c:pt>
                <c:pt idx="77">
                  <c:v>45.27</c:v>
                </c:pt>
                <c:pt idx="78">
                  <c:v>50.52</c:v>
                </c:pt>
                <c:pt idx="79">
                  <c:v>58.5</c:v>
                </c:pt>
                <c:pt idx="80">
                  <c:v>57.32</c:v>
                </c:pt>
                <c:pt idx="81">
                  <c:v>54.54</c:v>
                </c:pt>
                <c:pt idx="82">
                  <c:v>58.16</c:v>
                </c:pt>
                <c:pt idx="83">
                  <c:v>60.69</c:v>
                </c:pt>
                <c:pt idx="84">
                  <c:v>64.849999999999994</c:v>
                </c:pt>
                <c:pt idx="85">
                  <c:v>64.98</c:v>
                </c:pt>
                <c:pt idx="86">
                  <c:v>68.599999999999994</c:v>
                </c:pt>
                <c:pt idx="87">
                  <c:v>68.16</c:v>
                </c:pt>
                <c:pt idx="88">
                  <c:v>66.14</c:v>
                </c:pt>
                <c:pt idx="89">
                  <c:v>65.22</c:v>
                </c:pt>
                <c:pt idx="90">
                  <c:v>64.39</c:v>
                </c:pt>
                <c:pt idx="91">
                  <c:v>62.43</c:v>
                </c:pt>
                <c:pt idx="92">
                  <c:v>63.39</c:v>
                </c:pt>
                <c:pt idx="93">
                  <c:v>63.3</c:v>
                </c:pt>
                <c:pt idx="94">
                  <c:v>62.51</c:v>
                </c:pt>
                <c:pt idx="95">
                  <c:v>61.69</c:v>
                </c:pt>
                <c:pt idx="96">
                  <c:v>62.02</c:v>
                </c:pt>
                <c:pt idx="97">
                  <c:v>59.42</c:v>
                </c:pt>
                <c:pt idx="98">
                  <c:v>60.51</c:v>
                </c:pt>
                <c:pt idx="99">
                  <c:v>58.37</c:v>
                </c:pt>
                <c:pt idx="100">
                  <c:v>61.91</c:v>
                </c:pt>
                <c:pt idx="101">
                  <c:v>64.28</c:v>
                </c:pt>
                <c:pt idx="102">
                  <c:v>60.22</c:v>
                </c:pt>
                <c:pt idx="103">
                  <c:v>61.54</c:v>
                </c:pt>
                <c:pt idx="104">
                  <c:v>60.43</c:v>
                </c:pt>
                <c:pt idx="105">
                  <c:v>59.34</c:v>
                </c:pt>
                <c:pt idx="106">
                  <c:v>58.64</c:v>
                </c:pt>
                <c:pt idx="107">
                  <c:v>58.53</c:v>
                </c:pt>
                <c:pt idx="108">
                  <c:v>61.89</c:v>
                </c:pt>
                <c:pt idx="109">
                  <c:v>63.46</c:v>
                </c:pt>
                <c:pt idx="110">
                  <c:v>62.47</c:v>
                </c:pt>
                <c:pt idx="111">
                  <c:v>66.72</c:v>
                </c:pt>
                <c:pt idx="112">
                  <c:v>64.23</c:v>
                </c:pt>
                <c:pt idx="113">
                  <c:v>66.55</c:v>
                </c:pt>
                <c:pt idx="114">
                  <c:v>65.2</c:v>
                </c:pt>
                <c:pt idx="115">
                  <c:v>62.01</c:v>
                </c:pt>
                <c:pt idx="116">
                  <c:v>63.29</c:v>
                </c:pt>
                <c:pt idx="117">
                  <c:v>64.489999999999995</c:v>
                </c:pt>
                <c:pt idx="118">
                  <c:v>68.69</c:v>
                </c:pt>
                <c:pt idx="119">
                  <c:v>72.209999999999994</c:v>
                </c:pt>
                <c:pt idx="120">
                  <c:v>70.62</c:v>
                </c:pt>
                <c:pt idx="121">
                  <c:v>70.849999999999994</c:v>
                </c:pt>
                <c:pt idx="122">
                  <c:v>72.150000000000006</c:v>
                </c:pt>
                <c:pt idx="123">
                  <c:v>71.97</c:v>
                </c:pt>
                <c:pt idx="124">
                  <c:v>71.55</c:v>
                </c:pt>
                <c:pt idx="125">
                  <c:v>70.34</c:v>
                </c:pt>
                <c:pt idx="126">
                  <c:v>68.39</c:v>
                </c:pt>
                <c:pt idx="127">
                  <c:v>67.03</c:v>
                </c:pt>
                <c:pt idx="128">
                  <c:v>67.16</c:v>
                </c:pt>
                <c:pt idx="129">
                  <c:v>65.739999999999995</c:v>
                </c:pt>
                <c:pt idx="130">
                  <c:v>65.069999999999993</c:v>
                </c:pt>
                <c:pt idx="131">
                  <c:v>67.12</c:v>
                </c:pt>
                <c:pt idx="132">
                  <c:v>66.25</c:v>
                </c:pt>
                <c:pt idx="133">
                  <c:v>62.1</c:v>
                </c:pt>
                <c:pt idx="134">
                  <c:v>62.75</c:v>
                </c:pt>
                <c:pt idx="135">
                  <c:v>61.64</c:v>
                </c:pt>
                <c:pt idx="136">
                  <c:v>62.7</c:v>
                </c:pt>
                <c:pt idx="137">
                  <c:v>60.48</c:v>
                </c:pt>
                <c:pt idx="138">
                  <c:v>57.06</c:v>
                </c:pt>
                <c:pt idx="139">
                  <c:v>52.2</c:v>
                </c:pt>
                <c:pt idx="140">
                  <c:v>53.82</c:v>
                </c:pt>
                <c:pt idx="141">
                  <c:v>60.28</c:v>
                </c:pt>
                <c:pt idx="142">
                  <c:v>61.67</c:v>
                </c:pt>
                <c:pt idx="143">
                  <c:v>58.71</c:v>
                </c:pt>
                <c:pt idx="144">
                  <c:v>58.8</c:v>
                </c:pt>
                <c:pt idx="145">
                  <c:v>66.760000000000005</c:v>
                </c:pt>
                <c:pt idx="146">
                  <c:v>70.180000000000007</c:v>
                </c:pt>
                <c:pt idx="147">
                  <c:v>72.83</c:v>
                </c:pt>
                <c:pt idx="148">
                  <c:v>77.62</c:v>
                </c:pt>
                <c:pt idx="149">
                  <c:v>79.78</c:v>
                </c:pt>
                <c:pt idx="150">
                  <c:v>80.430000000000007</c:v>
                </c:pt>
                <c:pt idx="151">
                  <c:v>84.16</c:v>
                </c:pt>
                <c:pt idx="152">
                  <c:v>82.72</c:v>
                </c:pt>
                <c:pt idx="153">
                  <c:v>78.8</c:v>
                </c:pt>
                <c:pt idx="154">
                  <c:v>78.09</c:v>
                </c:pt>
                <c:pt idx="155">
                  <c:v>76.83</c:v>
                </c:pt>
                <c:pt idx="156">
                  <c:v>77.42</c:v>
                </c:pt>
                <c:pt idx="157">
                  <c:v>75.819999999999993</c:v>
                </c:pt>
                <c:pt idx="158">
                  <c:v>71.83</c:v>
                </c:pt>
                <c:pt idx="159">
                  <c:v>72.81</c:v>
                </c:pt>
                <c:pt idx="160">
                  <c:v>73.209999999999994</c:v>
                </c:pt>
                <c:pt idx="161">
                  <c:v>74.290000000000006</c:v>
                </c:pt>
                <c:pt idx="162">
                  <c:v>73.069999999999993</c:v>
                </c:pt>
                <c:pt idx="163">
                  <c:v>75.33</c:v>
                </c:pt>
                <c:pt idx="164">
                  <c:v>77.11</c:v>
                </c:pt>
                <c:pt idx="165">
                  <c:v>79.44</c:v>
                </c:pt>
                <c:pt idx="166">
                  <c:v>75.55</c:v>
                </c:pt>
                <c:pt idx="167">
                  <c:v>73.44</c:v>
                </c:pt>
                <c:pt idx="168">
                  <c:v>76.459999999999994</c:v>
                </c:pt>
                <c:pt idx="169">
                  <c:v>76.790000000000006</c:v>
                </c:pt>
                <c:pt idx="170">
                  <c:v>76.44</c:v>
                </c:pt>
                <c:pt idx="171">
                  <c:v>78.510000000000005</c:v>
                </c:pt>
                <c:pt idx="172">
                  <c:v>77.12</c:v>
                </c:pt>
                <c:pt idx="173">
                  <c:v>74.87</c:v>
                </c:pt>
                <c:pt idx="174">
                  <c:v>74.64</c:v>
                </c:pt>
                <c:pt idx="175">
                  <c:v>74.06</c:v>
                </c:pt>
                <c:pt idx="176">
                  <c:v>72.58</c:v>
                </c:pt>
                <c:pt idx="177">
                  <c:v>67.11</c:v>
                </c:pt>
                <c:pt idx="178">
                  <c:v>70.27</c:v>
                </c:pt>
                <c:pt idx="179">
                  <c:v>70.45</c:v>
                </c:pt>
                <c:pt idx="180">
                  <c:v>66.209999999999994</c:v>
                </c:pt>
                <c:pt idx="181">
                  <c:v>65.489999999999995</c:v>
                </c:pt>
                <c:pt idx="182">
                  <c:v>64.37</c:v>
                </c:pt>
                <c:pt idx="183">
                  <c:v>67.31</c:v>
                </c:pt>
                <c:pt idx="184">
                  <c:v>64.84</c:v>
                </c:pt>
                <c:pt idx="185">
                  <c:v>62.79</c:v>
                </c:pt>
                <c:pt idx="186">
                  <c:v>68.58</c:v>
                </c:pt>
              </c:numCache>
            </c:numRef>
          </c:val>
          <c:smooth val="1"/>
          <c:extLst xmlns:c16r2="http://schemas.microsoft.com/office/drawing/2015/06/chart">
            <c:ext xmlns:c16="http://schemas.microsoft.com/office/drawing/2014/chart" uri="{C3380CC4-5D6E-409C-BE32-E72D297353CC}">
              <c16:uniqueId val="{00000001-6DF3-45ED-A673-992F9D42463F}"/>
            </c:ext>
          </c:extLst>
        </c:ser>
        <c:dLbls>
          <c:showLegendKey val="0"/>
          <c:showVal val="0"/>
          <c:showCatName val="0"/>
          <c:showSerName val="0"/>
          <c:showPercent val="0"/>
          <c:showBubbleSize val="0"/>
        </c:dLbls>
        <c:marker val="1"/>
        <c:smooth val="0"/>
        <c:axId val="212951424"/>
        <c:axId val="212945536"/>
      </c:lineChart>
      <c:dateAx>
        <c:axId val="21293401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12944000"/>
        <c:crosses val="autoZero"/>
        <c:auto val="0"/>
        <c:lblOffset val="0"/>
        <c:baseTimeUnit val="days"/>
      </c:dateAx>
      <c:valAx>
        <c:axId val="212944000"/>
        <c:scaling>
          <c:orientation val="minMax"/>
          <c:min val="4000"/>
        </c:scaling>
        <c:delete val="0"/>
        <c:axPos val="l"/>
        <c:numFmt formatCode="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12934016"/>
        <c:crosses val="autoZero"/>
        <c:crossBetween val="between"/>
      </c:valAx>
      <c:valAx>
        <c:axId val="212945536"/>
        <c:scaling>
          <c:orientation val="minMax"/>
          <c:min val="20"/>
        </c:scaling>
        <c:delete val="0"/>
        <c:axPos val="r"/>
        <c:numFmt formatCode="#,##0_);[Red]\(#,##0\)" sourceLinked="0"/>
        <c:majorTickMark val="out"/>
        <c:minorTickMark val="none"/>
        <c:tickLblPos val="nextTo"/>
        <c:spPr>
          <a:ln w="3175">
            <a:solidFill>
              <a:sysClr val="windowText" lastClr="000000"/>
            </a:solidFill>
          </a:ln>
        </c:spPr>
        <c:crossAx val="212951424"/>
        <c:crosses val="max"/>
        <c:crossBetween val="between"/>
      </c:valAx>
      <c:dateAx>
        <c:axId val="212951424"/>
        <c:scaling>
          <c:orientation val="minMax"/>
        </c:scaling>
        <c:delete val="1"/>
        <c:axPos val="b"/>
        <c:numFmt formatCode="yyyy/mm/dd;@" sourceLinked="1"/>
        <c:majorTickMark val="out"/>
        <c:minorTickMark val="none"/>
        <c:tickLblPos val="nextTo"/>
        <c:crossAx val="212945536"/>
        <c:crosses val="autoZero"/>
        <c:auto val="0"/>
        <c:lblOffset val="100"/>
        <c:baseTimeUnit val="years"/>
      </c:dateAx>
    </c:plotArea>
    <c:legend>
      <c:legendPos val="r"/>
      <c:layout>
        <c:manualLayout>
          <c:xMode val="edge"/>
          <c:yMode val="edge"/>
          <c:x val="9.8452539198019592E-2"/>
          <c:y val="2.3337707786526686E-3"/>
          <c:w val="0.82506483230016781"/>
          <c:h val="0.1375287391401656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6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6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06C513-7E52-47AB-813C-D7E3A9388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7</Pages>
  <Words>643</Words>
  <Characters>3669</Characters>
  <Application>Microsoft Office Word</Application>
  <DocSecurity>0</DocSecurity>
  <Lines>30</Lines>
  <Paragraphs>8</Paragraphs>
  <ScaleCrop>false</ScaleCrop>
  <Company>Microsoft</Company>
  <LinksUpToDate>false</LinksUpToDate>
  <CharactersWithSpaces>4304</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5</cp:revision>
  <cp:lastPrinted>2019-06-26T06:05:00Z</cp:lastPrinted>
  <dcterms:created xsi:type="dcterms:W3CDTF">2021-08-30T04:23:00Z</dcterms:created>
  <dcterms:modified xsi:type="dcterms:W3CDTF">2021-08-30T09:33:00Z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