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富荣基金</w:t>
      </w:r>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527A671A"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E50190">
        <w:rPr>
          <w:rFonts w:ascii="楷体" w:eastAsia="楷体" w:hAnsi="楷体" w:hint="eastAsia"/>
          <w:sz w:val="28"/>
          <w:szCs w:val="28"/>
        </w:rPr>
        <w:t>债市</w:t>
      </w:r>
      <w:r w:rsidR="00A314E6">
        <w:rPr>
          <w:rFonts w:ascii="楷体" w:eastAsia="楷体" w:hAnsi="楷体" w:hint="eastAsia"/>
          <w:sz w:val="28"/>
          <w:szCs w:val="28"/>
        </w:rPr>
        <w:t>出现调整</w:t>
      </w:r>
      <w:r w:rsidR="00CD02EA" w:rsidRPr="00C67176">
        <w:rPr>
          <w:rFonts w:ascii="楷体" w:eastAsia="楷体" w:hAnsi="楷体" w:hint="eastAsia"/>
          <w:sz w:val="28"/>
          <w:szCs w:val="28"/>
        </w:rPr>
        <w:t>，</w:t>
      </w:r>
      <w:r w:rsidR="00A314E6">
        <w:rPr>
          <w:rFonts w:ascii="楷体" w:eastAsia="楷体" w:hAnsi="楷体" w:hint="eastAsia"/>
          <w:sz w:val="28"/>
          <w:szCs w:val="28"/>
        </w:rPr>
        <w:t>中小行理财受限</w:t>
      </w:r>
    </w:p>
    <w:p w14:paraId="268B23A9" w14:textId="3F9E2A4B" w:rsidR="003627DB" w:rsidRPr="003627DB" w:rsidRDefault="005E5CB1" w:rsidP="003627DB">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r w:rsidR="003627DB" w:rsidRPr="003627DB">
        <w:rPr>
          <w:rFonts w:ascii="华文楷体" w:hAnsi="华文楷体" w:hint="eastAsia"/>
          <w:b w:val="0"/>
          <w:color w:val="auto"/>
          <w:sz w:val="24"/>
          <w:szCs w:val="24"/>
        </w:rPr>
        <w:t>（数据来源内部整理，且仅为单一角度，谨供参考）</w:t>
      </w:r>
    </w:p>
    <w:p w14:paraId="42E3C2D1" w14:textId="296643E7"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近日市场传言称，未设立理财子公司的银行将无法再新增理财业务，理财规模500亿元可能为设立的门槛。银行理财半年报中，信用债投资余额 14.53 万亿元，占总投资资产的50.57%，占全部非金融信用债存量</w:t>
      </w:r>
      <w:r w:rsidR="007A41EE">
        <w:rPr>
          <w:rFonts w:ascii="华文楷体" w:hAnsi="华文楷体" w:hint="eastAsia"/>
          <w:b w:val="0"/>
          <w:color w:val="auto"/>
          <w:sz w:val="24"/>
          <w:szCs w:val="24"/>
        </w:rPr>
        <w:t>的</w:t>
      </w:r>
      <w:r w:rsidRPr="003627DB">
        <w:rPr>
          <w:rFonts w:ascii="华文楷体" w:hAnsi="华文楷体" w:hint="eastAsia"/>
          <w:b w:val="0"/>
          <w:color w:val="auto"/>
          <w:sz w:val="24"/>
          <w:szCs w:val="24"/>
        </w:rPr>
        <w:t>近一半。截至20</w:t>
      </w:r>
      <w:r w:rsidR="007A41EE">
        <w:rPr>
          <w:rFonts w:ascii="华文楷体" w:hAnsi="华文楷体" w:hint="eastAsia"/>
          <w:b w:val="0"/>
          <w:color w:val="auto"/>
          <w:sz w:val="24"/>
          <w:szCs w:val="24"/>
        </w:rPr>
        <w:t>20</w:t>
      </w:r>
      <w:r w:rsidRPr="003627DB">
        <w:rPr>
          <w:rFonts w:ascii="华文楷体" w:hAnsi="华文楷体" w:hint="eastAsia"/>
          <w:b w:val="0"/>
          <w:color w:val="auto"/>
          <w:sz w:val="24"/>
          <w:szCs w:val="24"/>
        </w:rPr>
        <w:t>年底，发债城投的总有息债务35.5</w:t>
      </w:r>
      <w:proofErr w:type="gramStart"/>
      <w:r w:rsidRPr="003627DB">
        <w:rPr>
          <w:rFonts w:ascii="华文楷体" w:hAnsi="华文楷体" w:hint="eastAsia"/>
          <w:b w:val="0"/>
          <w:color w:val="auto"/>
          <w:sz w:val="24"/>
          <w:szCs w:val="24"/>
        </w:rPr>
        <w:t>万亿</w:t>
      </w:r>
      <w:proofErr w:type="gramEnd"/>
      <w:r w:rsidRPr="003627DB">
        <w:rPr>
          <w:rFonts w:ascii="华文楷体" w:hAnsi="华文楷体" w:hint="eastAsia"/>
          <w:b w:val="0"/>
          <w:color w:val="auto"/>
          <w:sz w:val="24"/>
          <w:szCs w:val="24"/>
        </w:rPr>
        <w:t>，其中债券9.3</w:t>
      </w:r>
      <w:proofErr w:type="gramStart"/>
      <w:r w:rsidRPr="003627DB">
        <w:rPr>
          <w:rFonts w:ascii="华文楷体" w:hAnsi="华文楷体" w:hint="eastAsia"/>
          <w:b w:val="0"/>
          <w:color w:val="auto"/>
          <w:sz w:val="24"/>
          <w:szCs w:val="24"/>
        </w:rPr>
        <w:t>万亿</w:t>
      </w:r>
      <w:proofErr w:type="gramEnd"/>
      <w:r w:rsidRPr="003627DB">
        <w:rPr>
          <w:rFonts w:ascii="华文楷体" w:hAnsi="华文楷体" w:hint="eastAsia"/>
          <w:b w:val="0"/>
          <w:color w:val="auto"/>
          <w:sz w:val="24"/>
          <w:szCs w:val="24"/>
        </w:rPr>
        <w:t>，非标3.97</w:t>
      </w:r>
      <w:proofErr w:type="gramStart"/>
      <w:r w:rsidRPr="003627DB">
        <w:rPr>
          <w:rFonts w:ascii="华文楷体" w:hAnsi="华文楷体" w:hint="eastAsia"/>
          <w:b w:val="0"/>
          <w:color w:val="auto"/>
          <w:sz w:val="24"/>
          <w:szCs w:val="24"/>
        </w:rPr>
        <w:t>万亿</w:t>
      </w:r>
      <w:proofErr w:type="gramEnd"/>
      <w:r w:rsidRPr="003627DB">
        <w:rPr>
          <w:rFonts w:ascii="华文楷体" w:hAnsi="华文楷体" w:hint="eastAsia"/>
          <w:b w:val="0"/>
          <w:color w:val="auto"/>
          <w:sz w:val="24"/>
          <w:szCs w:val="24"/>
        </w:rPr>
        <w:t>，区域银行理财是地方城投的重要投资者。我们统计了主要发债银行，2020年底共计找到理财数据的有135家，合计总资产251</w:t>
      </w:r>
      <w:proofErr w:type="gramStart"/>
      <w:r w:rsidRPr="003627DB">
        <w:rPr>
          <w:rFonts w:ascii="华文楷体" w:hAnsi="华文楷体" w:hint="eastAsia"/>
          <w:b w:val="0"/>
          <w:color w:val="auto"/>
          <w:sz w:val="24"/>
          <w:szCs w:val="24"/>
        </w:rPr>
        <w:t>万亿</w:t>
      </w:r>
      <w:proofErr w:type="gramEnd"/>
      <w:r w:rsidRPr="003627DB">
        <w:rPr>
          <w:rFonts w:ascii="华文楷体" w:hAnsi="华文楷体" w:hint="eastAsia"/>
          <w:b w:val="0"/>
          <w:color w:val="auto"/>
          <w:sz w:val="24"/>
          <w:szCs w:val="24"/>
        </w:rPr>
        <w:t>，理财规模25.3</w:t>
      </w:r>
      <w:proofErr w:type="gramStart"/>
      <w:r w:rsidRPr="003627DB">
        <w:rPr>
          <w:rFonts w:ascii="华文楷体" w:hAnsi="华文楷体" w:hint="eastAsia"/>
          <w:b w:val="0"/>
          <w:color w:val="auto"/>
          <w:sz w:val="24"/>
          <w:szCs w:val="24"/>
        </w:rPr>
        <w:t>万亿</w:t>
      </w:r>
      <w:proofErr w:type="gramEnd"/>
      <w:r w:rsidRPr="003627DB">
        <w:rPr>
          <w:rFonts w:ascii="华文楷体" w:hAnsi="华文楷体" w:hint="eastAsia"/>
          <w:b w:val="0"/>
          <w:color w:val="auto"/>
          <w:sz w:val="24"/>
          <w:szCs w:val="24"/>
        </w:rPr>
        <w:t>，规模看已涵盖大多数。以此</w:t>
      </w:r>
      <w:r w:rsidR="007A41EE">
        <w:rPr>
          <w:rFonts w:ascii="华文楷体" w:hAnsi="华文楷体" w:hint="eastAsia"/>
          <w:b w:val="0"/>
          <w:color w:val="auto"/>
          <w:sz w:val="24"/>
          <w:szCs w:val="24"/>
        </w:rPr>
        <w:t>推算</w:t>
      </w:r>
      <w:r w:rsidRPr="003627DB">
        <w:rPr>
          <w:rFonts w:ascii="华文楷体" w:hAnsi="华文楷体" w:hint="eastAsia"/>
          <w:b w:val="0"/>
          <w:color w:val="auto"/>
          <w:sz w:val="24"/>
          <w:szCs w:val="24"/>
        </w:rPr>
        <w:t>理财变动可能对不同区域城投的影响</w:t>
      </w:r>
      <w:r w:rsidR="007A41EE">
        <w:rPr>
          <w:rFonts w:ascii="华文楷体" w:hAnsi="华文楷体" w:hint="eastAsia"/>
          <w:b w:val="0"/>
          <w:color w:val="auto"/>
          <w:sz w:val="24"/>
          <w:szCs w:val="24"/>
        </w:rPr>
        <w:t>：</w:t>
      </w:r>
    </w:p>
    <w:p w14:paraId="36B59D26" w14:textId="77777777"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1） 受冲击可能最大：宁夏、新疆、山西、吉林、甘肃，全省理财规模合计不足500亿元，原先理财可能对城投债券及非标的支持较高，计算当地银行理财/（城投债券+非标），吉林占比54%，甘肃占比35%，山西占比28%，新疆占比23%。</w:t>
      </w:r>
    </w:p>
    <w:p w14:paraId="705A90BF" w14:textId="77777777"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2） 风险上升幅度较大：河北、广西、湖南，无500亿以上理财银行，但拥有1-2家 200-500亿理财规模的银行，计算当地银行理财/（城投债券+非标），河北占比24%、广西21%、湖南12%，需关注区域联合设立理财子的可能性。</w:t>
      </w:r>
    </w:p>
    <w:p w14:paraId="5D6FD656" w14:textId="00A94A22"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3） 风险上升幅度较大：河南、辽宁、黑龙江，陕西，原本地区理财对城投债券和非标的覆盖度较好，分别为36%、57%、67%</w:t>
      </w:r>
      <w:r w:rsidR="007A41EE">
        <w:rPr>
          <w:rFonts w:ascii="华文楷体" w:hAnsi="华文楷体" w:hint="eastAsia"/>
          <w:b w:val="0"/>
          <w:color w:val="auto"/>
          <w:sz w:val="24"/>
          <w:szCs w:val="24"/>
        </w:rPr>
        <w:t>，</w:t>
      </w:r>
      <w:r w:rsidRPr="003627DB">
        <w:rPr>
          <w:rFonts w:ascii="华文楷体" w:hAnsi="华文楷体" w:hint="eastAsia"/>
          <w:b w:val="0"/>
          <w:color w:val="auto"/>
          <w:sz w:val="24"/>
          <w:szCs w:val="24"/>
        </w:rPr>
        <w:t>区域虽有规模以上大行，但500亿以上银行的占比在60%及以下。</w:t>
      </w:r>
    </w:p>
    <w:p w14:paraId="267E9143" w14:textId="504C16A6"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4） 风险存在但变化有限：西藏、青海、内蒙、云南，全省理财规模不足500亿，不过因总理财规模小，20</w:t>
      </w:r>
      <w:r w:rsidR="007A41EE">
        <w:rPr>
          <w:rFonts w:ascii="华文楷体" w:hAnsi="华文楷体" w:hint="eastAsia"/>
          <w:b w:val="0"/>
          <w:color w:val="auto"/>
          <w:sz w:val="24"/>
          <w:szCs w:val="24"/>
        </w:rPr>
        <w:t>20年底对城投总有息</w:t>
      </w:r>
      <w:r w:rsidRPr="003627DB">
        <w:rPr>
          <w:rFonts w:ascii="华文楷体" w:hAnsi="华文楷体" w:hint="eastAsia"/>
          <w:b w:val="0"/>
          <w:color w:val="auto"/>
          <w:sz w:val="24"/>
          <w:szCs w:val="24"/>
        </w:rPr>
        <w:t>的覆盖就在5%以下。</w:t>
      </w:r>
    </w:p>
    <w:p w14:paraId="60978005" w14:textId="77777777" w:rsidR="003627DB"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5） 风险小幅上升：湖北、四川、江西、陕西有规模以上银行理财，不过银行理财的总规模对地区城</w:t>
      </w:r>
      <w:proofErr w:type="gramStart"/>
      <w:r w:rsidRPr="003627DB">
        <w:rPr>
          <w:rFonts w:ascii="华文楷体" w:hAnsi="华文楷体" w:hint="eastAsia"/>
          <w:b w:val="0"/>
          <w:color w:val="auto"/>
          <w:sz w:val="24"/>
          <w:szCs w:val="24"/>
        </w:rPr>
        <w:t>投债总</w:t>
      </w:r>
      <w:proofErr w:type="gramEnd"/>
      <w:r w:rsidRPr="003627DB">
        <w:rPr>
          <w:rFonts w:ascii="华文楷体" w:hAnsi="华文楷体" w:hint="eastAsia"/>
          <w:b w:val="0"/>
          <w:color w:val="auto"/>
          <w:sz w:val="24"/>
          <w:szCs w:val="24"/>
        </w:rPr>
        <w:t>有息覆盖不足10%，对城投的债券和非标合计覆盖不足20%。</w:t>
      </w:r>
    </w:p>
    <w:p w14:paraId="4AAC99E4" w14:textId="2F172100" w:rsidR="00F3595A" w:rsidRPr="003627DB" w:rsidRDefault="003627DB" w:rsidP="003627DB">
      <w:pPr>
        <w:pStyle w:val="Header1"/>
        <w:spacing w:before="240"/>
        <w:ind w:firstLineChars="200" w:firstLine="480"/>
        <w:rPr>
          <w:rFonts w:ascii="华文楷体" w:hAnsi="华文楷体"/>
          <w:b w:val="0"/>
          <w:color w:val="auto"/>
          <w:sz w:val="24"/>
          <w:szCs w:val="24"/>
        </w:rPr>
      </w:pPr>
      <w:r w:rsidRPr="003627DB">
        <w:rPr>
          <w:rFonts w:ascii="华文楷体" w:hAnsi="华文楷体" w:hint="eastAsia"/>
          <w:b w:val="0"/>
          <w:color w:val="auto"/>
          <w:sz w:val="24"/>
          <w:szCs w:val="24"/>
        </w:rPr>
        <w:t>6） 变化不大：北京、广东、上海、浙江、江苏、山东、天津、重庆，地区银行资源丰富，拥有2家以上500亿规模以上的理财银行；安徽，大</w:t>
      </w:r>
      <w:proofErr w:type="gramStart"/>
      <w:r w:rsidRPr="003627DB">
        <w:rPr>
          <w:rFonts w:ascii="华文楷体" w:hAnsi="华文楷体" w:hint="eastAsia"/>
          <w:b w:val="0"/>
          <w:color w:val="auto"/>
          <w:sz w:val="24"/>
          <w:szCs w:val="24"/>
        </w:rPr>
        <w:t>行一家</w:t>
      </w:r>
      <w:proofErr w:type="gramEnd"/>
      <w:r w:rsidRPr="003627DB">
        <w:rPr>
          <w:rFonts w:ascii="华文楷体" w:hAnsi="华文楷体" w:hint="eastAsia"/>
          <w:b w:val="0"/>
          <w:color w:val="auto"/>
          <w:sz w:val="24"/>
          <w:szCs w:val="24"/>
        </w:rPr>
        <w:t>独大是主要银行理财的规模来源。</w:t>
      </w:r>
    </w:p>
    <w:p w14:paraId="7EEDEF05" w14:textId="45224E4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5F88F8B4" w:rsidR="00A917BC" w:rsidRPr="00500BB1" w:rsidRDefault="00AC4578" w:rsidP="007A1586">
      <w:pPr>
        <w:pStyle w:val="Header1"/>
        <w:spacing w:before="240"/>
        <w:ind w:firstLine="480"/>
        <w:rPr>
          <w:rFonts w:ascii="华文楷体" w:hAnsi="华文楷体"/>
          <w:sz w:val="24"/>
          <w:szCs w:val="24"/>
          <w:highlight w:val="yellow"/>
        </w:rPr>
      </w:pPr>
      <w:r w:rsidRPr="00AC4578">
        <w:rPr>
          <w:rFonts w:ascii="华文楷体" w:hAnsi="华文楷体" w:hint="eastAsia"/>
          <w:b w:val="0"/>
          <w:color w:val="auto"/>
          <w:sz w:val="24"/>
          <w:szCs w:val="24"/>
        </w:rPr>
        <w:t>出口</w:t>
      </w:r>
      <w:proofErr w:type="gramStart"/>
      <w:r w:rsidRPr="00AC4578">
        <w:rPr>
          <w:rFonts w:ascii="华文楷体" w:hAnsi="华文楷体" w:hint="eastAsia"/>
          <w:b w:val="0"/>
          <w:color w:val="auto"/>
          <w:sz w:val="24"/>
          <w:szCs w:val="24"/>
        </w:rPr>
        <w:t>数据超</w:t>
      </w:r>
      <w:proofErr w:type="gramEnd"/>
      <w:r w:rsidRPr="00AC4578">
        <w:rPr>
          <w:rFonts w:ascii="华文楷体" w:hAnsi="华文楷体" w:hint="eastAsia"/>
          <w:b w:val="0"/>
          <w:color w:val="auto"/>
          <w:sz w:val="24"/>
          <w:szCs w:val="24"/>
        </w:rPr>
        <w:t>预期、国务院政策例行吹风会上孙国峰和潘功胜司长的讲话、中美通话</w:t>
      </w:r>
      <w:r w:rsidR="007A41EE">
        <w:rPr>
          <w:rFonts w:ascii="华文楷体" w:hAnsi="华文楷体" w:hint="eastAsia"/>
          <w:b w:val="0"/>
          <w:color w:val="auto"/>
          <w:sz w:val="24"/>
          <w:szCs w:val="24"/>
        </w:rPr>
        <w:t>等</w:t>
      </w:r>
      <w:r w:rsidRPr="00AC4578">
        <w:rPr>
          <w:rFonts w:ascii="华文楷体" w:hAnsi="华文楷体" w:hint="eastAsia"/>
          <w:b w:val="0"/>
          <w:color w:val="auto"/>
          <w:sz w:val="24"/>
          <w:szCs w:val="24"/>
        </w:rPr>
        <w:t>对债市情绪有一定压制，周五偏弱的</w:t>
      </w:r>
      <w:proofErr w:type="gramStart"/>
      <w:r w:rsidRPr="00AC4578">
        <w:rPr>
          <w:rFonts w:ascii="华文楷体" w:hAnsi="华文楷体" w:hint="eastAsia"/>
          <w:b w:val="0"/>
          <w:color w:val="auto"/>
          <w:sz w:val="24"/>
          <w:szCs w:val="24"/>
        </w:rPr>
        <w:t>社融数据</w:t>
      </w:r>
      <w:proofErr w:type="gramEnd"/>
      <w:r w:rsidRPr="00AC4578">
        <w:rPr>
          <w:rFonts w:ascii="华文楷体" w:hAnsi="华文楷体" w:hint="eastAsia"/>
          <w:b w:val="0"/>
          <w:color w:val="auto"/>
          <w:sz w:val="24"/>
          <w:szCs w:val="24"/>
        </w:rPr>
        <w:t>一定程度上</w:t>
      </w:r>
      <w:r w:rsidR="007A41EE">
        <w:rPr>
          <w:rFonts w:ascii="华文楷体" w:hAnsi="华文楷体" w:hint="eastAsia"/>
          <w:b w:val="0"/>
          <w:color w:val="auto"/>
          <w:sz w:val="24"/>
          <w:szCs w:val="24"/>
        </w:rPr>
        <w:t>在</w:t>
      </w:r>
      <w:r w:rsidRPr="00AC4578">
        <w:rPr>
          <w:rFonts w:ascii="华文楷体" w:hAnsi="华文楷体" w:hint="eastAsia"/>
          <w:b w:val="0"/>
          <w:color w:val="auto"/>
          <w:sz w:val="24"/>
          <w:szCs w:val="24"/>
        </w:rPr>
        <w:t>市场预期之内</w:t>
      </w:r>
      <w:r w:rsidR="007A41EE">
        <w:rPr>
          <w:rFonts w:ascii="华文楷体" w:hAnsi="华文楷体" w:hint="eastAsia"/>
          <w:b w:val="0"/>
          <w:color w:val="auto"/>
          <w:sz w:val="24"/>
          <w:szCs w:val="24"/>
        </w:rPr>
        <w:t>，</w:t>
      </w:r>
      <w:r w:rsidRPr="00AC4578">
        <w:rPr>
          <w:rFonts w:ascii="华文楷体" w:hAnsi="华文楷体" w:hint="eastAsia"/>
          <w:b w:val="0"/>
          <w:color w:val="auto"/>
          <w:sz w:val="24"/>
          <w:szCs w:val="24"/>
        </w:rPr>
        <w:t>扰动不大。</w:t>
      </w:r>
      <w:r w:rsidR="00F3595A" w:rsidRPr="00F3595A">
        <w:rPr>
          <w:rFonts w:ascii="华文楷体" w:hAnsi="华文楷体" w:hint="eastAsia"/>
          <w:b w:val="0"/>
          <w:color w:val="auto"/>
          <w:sz w:val="24"/>
          <w:szCs w:val="24"/>
        </w:rPr>
        <w:t>债市出现调整，10年国债活跃</w:t>
      </w:r>
      <w:proofErr w:type="gramStart"/>
      <w:r w:rsidR="00F3595A" w:rsidRPr="00F3595A">
        <w:rPr>
          <w:rFonts w:ascii="华文楷体" w:hAnsi="华文楷体" w:hint="eastAsia"/>
          <w:b w:val="0"/>
          <w:color w:val="auto"/>
          <w:sz w:val="24"/>
          <w:szCs w:val="24"/>
        </w:rPr>
        <w:t>券</w:t>
      </w:r>
      <w:proofErr w:type="gramEnd"/>
      <w:r w:rsidR="00F3595A" w:rsidRPr="00F3595A">
        <w:rPr>
          <w:rFonts w:ascii="华文楷体" w:hAnsi="华文楷体" w:hint="eastAsia"/>
          <w:b w:val="0"/>
          <w:color w:val="auto"/>
          <w:sz w:val="24"/>
          <w:szCs w:val="24"/>
        </w:rPr>
        <w:t>全周上</w:t>
      </w:r>
      <w:r w:rsidR="007A41EE">
        <w:rPr>
          <w:rFonts w:ascii="华文楷体" w:hAnsi="华文楷体" w:hint="eastAsia"/>
          <w:b w:val="0"/>
          <w:color w:val="auto"/>
          <w:sz w:val="24"/>
          <w:szCs w:val="24"/>
        </w:rPr>
        <w:t>行</w:t>
      </w:r>
      <w:r w:rsidR="00F3595A" w:rsidRPr="00F3595A">
        <w:rPr>
          <w:rFonts w:ascii="华文楷体" w:hAnsi="华文楷体" w:hint="eastAsia"/>
          <w:b w:val="0"/>
          <w:color w:val="auto"/>
          <w:sz w:val="24"/>
          <w:szCs w:val="24"/>
        </w:rPr>
        <w:t>3bp，利率曲线趋平。全周1Y、5Y、10Y国债中债估值分别变动</w:t>
      </w:r>
      <w:r w:rsidR="00F3595A" w:rsidRPr="00F3595A">
        <w:rPr>
          <w:rFonts w:ascii="华文楷体" w:hAnsi="华文楷体" w:hint="eastAsia"/>
          <w:b w:val="0"/>
          <w:color w:val="auto"/>
          <w:sz w:val="24"/>
          <w:szCs w:val="24"/>
        </w:rPr>
        <w:lastRenderedPageBreak/>
        <w:t>+5.4BP、+4.3BP和+3.3BP，10-1Y国债利差下行2.2bp。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F3595A">
        <w:tblPrEx>
          <w:tblCellMar>
            <w:left w:w="108" w:type="dxa"/>
            <w:right w:w="108" w:type="dxa"/>
          </w:tblCellMar>
        </w:tblPrEx>
        <w:trPr>
          <w:trHeight w:val="2854"/>
          <w:jc w:val="center"/>
        </w:trPr>
        <w:tc>
          <w:tcPr>
            <w:tcW w:w="4939" w:type="dxa"/>
            <w:vAlign w:val="center"/>
          </w:tcPr>
          <w:p w14:paraId="678C97B0" w14:textId="348B91A3" w:rsidR="00E0626C" w:rsidRPr="00B41E24" w:rsidRDefault="00F3595A" w:rsidP="002104B2">
            <w:pPr>
              <w:rPr>
                <w:noProof/>
              </w:rPr>
            </w:pPr>
            <w:r>
              <w:rPr>
                <w:noProof/>
              </w:rPr>
              <w:drawing>
                <wp:inline distT="0" distB="0" distL="0" distR="0" wp14:anchorId="695EED4F" wp14:editId="79C2DA65">
                  <wp:extent cx="2622794" cy="1674230"/>
                  <wp:effectExtent l="0" t="0" r="6350" b="2540"/>
                  <wp:docPr id="2" name="图表 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3BB79AE3" w:rsidR="00E0626C" w:rsidRPr="00B41E24" w:rsidRDefault="00F3595A" w:rsidP="009A2BA0">
            <w:pPr>
              <w:jc w:val="center"/>
              <w:rPr>
                <w:noProof/>
                <w:szCs w:val="18"/>
              </w:rPr>
            </w:pPr>
            <w:r>
              <w:rPr>
                <w:noProof/>
              </w:rPr>
              <w:drawing>
                <wp:inline distT="0" distB="0" distL="0" distR="0" wp14:anchorId="0DBDD4BA" wp14:editId="4696AA61">
                  <wp:extent cx="2683119" cy="1709790"/>
                  <wp:effectExtent l="0" t="0" r="3175" b="508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资料来源：万得，富荣基金</w:t>
            </w:r>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资料来源：万得，富荣基金</w:t>
            </w:r>
          </w:p>
        </w:tc>
      </w:tr>
    </w:tbl>
    <w:p w14:paraId="548449F9" w14:textId="77777777" w:rsidR="00A314E6" w:rsidRDefault="00A314E6" w:rsidP="00A314E6">
      <w:pPr>
        <w:pStyle w:val="Header2"/>
        <w:rPr>
          <w:rFonts w:ascii="华文楷体" w:eastAsia="PMingLiU" w:hAnsi="华文楷体"/>
          <w:b w:val="0"/>
          <w:szCs w:val="24"/>
        </w:rPr>
      </w:pPr>
    </w:p>
    <w:p w14:paraId="18D67482" w14:textId="37D8ABEA" w:rsidR="00E0626C" w:rsidRPr="00CD2B4D" w:rsidRDefault="007A1586" w:rsidP="00A314E6">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0F7B9A54" w:rsidR="00CD1AE8" w:rsidRPr="003E4A57" w:rsidRDefault="00E50190" w:rsidP="00F3595A">
      <w:pPr>
        <w:pStyle w:val="Body-text"/>
        <w:spacing w:after="240"/>
        <w:ind w:firstLineChars="200" w:firstLine="480"/>
        <w:rPr>
          <w:rFonts w:ascii="华文楷体" w:hAnsi="华文楷体"/>
          <w:sz w:val="24"/>
          <w:szCs w:val="24"/>
          <w:highlight w:val="yellow"/>
          <w:lang w:eastAsia="zh-CN"/>
        </w:rPr>
      </w:pPr>
      <w:r w:rsidRPr="00E50190">
        <w:rPr>
          <w:rFonts w:ascii="华文楷体" w:hAnsi="华文楷体" w:hint="eastAsia"/>
          <w:sz w:val="24"/>
          <w:szCs w:val="24"/>
          <w:lang w:eastAsia="zh-CN"/>
        </w:rPr>
        <w:t>信用</w:t>
      </w:r>
      <w:proofErr w:type="gramStart"/>
      <w:r w:rsidRPr="00E50190">
        <w:rPr>
          <w:rFonts w:ascii="华文楷体" w:hAnsi="华文楷体" w:hint="eastAsia"/>
          <w:sz w:val="24"/>
          <w:szCs w:val="24"/>
          <w:lang w:eastAsia="zh-CN"/>
        </w:rPr>
        <w:t>债</w:t>
      </w:r>
      <w:r w:rsidR="00F3595A">
        <w:rPr>
          <w:rFonts w:ascii="华文楷体" w:hAnsi="华文楷体" w:hint="eastAsia"/>
          <w:sz w:val="24"/>
          <w:szCs w:val="24"/>
          <w:lang w:eastAsia="zh-CN"/>
        </w:rPr>
        <w:t>出现</w:t>
      </w:r>
      <w:proofErr w:type="gramEnd"/>
      <w:r w:rsidR="00F3595A">
        <w:rPr>
          <w:rFonts w:ascii="华文楷体" w:hAnsi="华文楷体" w:hint="eastAsia"/>
          <w:sz w:val="24"/>
          <w:szCs w:val="24"/>
          <w:lang w:eastAsia="zh-CN"/>
        </w:rPr>
        <w:t>调整</w:t>
      </w:r>
      <w:r w:rsidRPr="00E50190">
        <w:rPr>
          <w:rFonts w:ascii="华文楷体" w:hAnsi="华文楷体" w:hint="eastAsia"/>
          <w:sz w:val="24"/>
          <w:szCs w:val="24"/>
          <w:lang w:eastAsia="zh-CN"/>
        </w:rPr>
        <w:t>。</w:t>
      </w:r>
      <w:r w:rsidR="00F3595A" w:rsidRPr="00F3595A">
        <w:rPr>
          <w:rFonts w:ascii="华文楷体" w:hAnsi="华文楷体" w:hint="eastAsia"/>
          <w:sz w:val="24"/>
          <w:szCs w:val="24"/>
          <w:lang w:eastAsia="zh-CN"/>
        </w:rPr>
        <w:t>1Y期限</w:t>
      </w:r>
      <w:proofErr w:type="gramStart"/>
      <w:r w:rsidR="00F3595A" w:rsidRPr="00F3595A">
        <w:rPr>
          <w:rFonts w:ascii="华文楷体" w:hAnsi="华文楷体" w:hint="eastAsia"/>
          <w:sz w:val="24"/>
          <w:szCs w:val="24"/>
          <w:lang w:eastAsia="zh-CN"/>
        </w:rPr>
        <w:t>短融变化</w:t>
      </w:r>
      <w:proofErr w:type="gramEnd"/>
      <w:r w:rsidR="00F3595A" w:rsidRPr="00F3595A">
        <w:rPr>
          <w:rFonts w:ascii="华文楷体" w:hAnsi="华文楷体" w:hint="eastAsia"/>
          <w:sz w:val="24"/>
          <w:szCs w:val="24"/>
          <w:lang w:eastAsia="zh-CN"/>
        </w:rPr>
        <w:t>-1~1BP，3年AAA企业</w:t>
      </w:r>
      <w:proofErr w:type="gramStart"/>
      <w:r w:rsidR="00F3595A" w:rsidRPr="00F3595A">
        <w:rPr>
          <w:rFonts w:ascii="华文楷体" w:hAnsi="华文楷体" w:hint="eastAsia"/>
          <w:sz w:val="24"/>
          <w:szCs w:val="24"/>
          <w:lang w:eastAsia="zh-CN"/>
        </w:rPr>
        <w:t>债变化</w:t>
      </w:r>
      <w:proofErr w:type="gramEnd"/>
      <w:r w:rsidR="00F3595A" w:rsidRPr="00F3595A">
        <w:rPr>
          <w:rFonts w:ascii="华文楷体" w:hAnsi="华文楷体" w:hint="eastAsia"/>
          <w:sz w:val="24"/>
          <w:szCs w:val="24"/>
          <w:lang w:eastAsia="zh-CN"/>
        </w:rPr>
        <w:t>1~4BP，5Y企业</w:t>
      </w:r>
      <w:proofErr w:type="gramStart"/>
      <w:r w:rsidR="00F3595A" w:rsidRPr="00F3595A">
        <w:rPr>
          <w:rFonts w:ascii="华文楷体" w:hAnsi="华文楷体" w:hint="eastAsia"/>
          <w:sz w:val="24"/>
          <w:szCs w:val="24"/>
          <w:lang w:eastAsia="zh-CN"/>
        </w:rPr>
        <w:t>债变化</w:t>
      </w:r>
      <w:proofErr w:type="gramEnd"/>
      <w:r w:rsidR="00F3595A" w:rsidRPr="00F3595A">
        <w:rPr>
          <w:rFonts w:ascii="华文楷体" w:hAnsi="华文楷体" w:hint="eastAsia"/>
          <w:sz w:val="24"/>
          <w:szCs w:val="24"/>
          <w:lang w:eastAsia="zh-CN"/>
        </w:rPr>
        <w:t xml:space="preserve">-2~2BP左右， </w:t>
      </w:r>
      <w:proofErr w:type="gramStart"/>
      <w:r w:rsidR="00F3595A" w:rsidRPr="00F3595A">
        <w:rPr>
          <w:rFonts w:ascii="华文楷体" w:hAnsi="华文楷体" w:hint="eastAsia"/>
          <w:sz w:val="24"/>
          <w:szCs w:val="24"/>
          <w:lang w:eastAsia="zh-CN"/>
        </w:rPr>
        <w:t>城投债</w:t>
      </w:r>
      <w:proofErr w:type="gramEnd"/>
      <w:r w:rsidR="00F3595A" w:rsidRPr="00F3595A">
        <w:rPr>
          <w:rFonts w:ascii="华文楷体" w:hAnsi="华文楷体" w:hint="eastAsia"/>
          <w:sz w:val="24"/>
          <w:szCs w:val="24"/>
          <w:lang w:eastAsia="zh-CN"/>
        </w:rPr>
        <w:t>3Y期限品种变化2~4BP，5Y品种变化2~4BP，7Y品种变化6~8BP左右。具体来看收益率分位数，1Y品种收益率分位数在9%~15%以内；3Y品种收益率分位数在6%~13%区间</w:t>
      </w:r>
      <w:r w:rsidR="007A41EE">
        <w:rPr>
          <w:rFonts w:ascii="华文楷体" w:hAnsi="华文楷体" w:hint="eastAsia"/>
          <w:sz w:val="24"/>
          <w:szCs w:val="24"/>
          <w:lang w:eastAsia="zh-CN"/>
        </w:rPr>
        <w:t>；</w:t>
      </w:r>
      <w:r w:rsidR="00F3595A" w:rsidRPr="00F3595A">
        <w:rPr>
          <w:rFonts w:ascii="华文楷体" w:hAnsi="华文楷体" w:hint="eastAsia"/>
          <w:sz w:val="24"/>
          <w:szCs w:val="24"/>
          <w:lang w:eastAsia="zh-CN"/>
        </w:rPr>
        <w:t>5Y及7Y等中长期</w:t>
      </w:r>
      <w:proofErr w:type="gramStart"/>
      <w:r w:rsidR="00F3595A" w:rsidRPr="00F3595A">
        <w:rPr>
          <w:rFonts w:ascii="华文楷体" w:hAnsi="华文楷体" w:hint="eastAsia"/>
          <w:sz w:val="24"/>
          <w:szCs w:val="24"/>
          <w:lang w:eastAsia="zh-CN"/>
        </w:rPr>
        <w:t>限品种</w:t>
      </w:r>
      <w:proofErr w:type="gramEnd"/>
      <w:r w:rsidR="00F3595A" w:rsidRPr="00F3595A">
        <w:rPr>
          <w:rFonts w:ascii="华文楷体" w:hAnsi="华文楷体" w:hint="eastAsia"/>
          <w:sz w:val="24"/>
          <w:szCs w:val="24"/>
          <w:lang w:eastAsia="zh-CN"/>
        </w:rPr>
        <w:t>处于5%~10%分位数。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F3595A" w:rsidRPr="003F4793" w14:paraId="15070232"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413AFE14" w14:textId="513F655D"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w:t>
                  </w:r>
                </w:p>
              </w:tc>
              <w:tc>
                <w:tcPr>
                  <w:tcW w:w="740" w:type="dxa"/>
                  <w:tcBorders>
                    <w:top w:val="nil"/>
                    <w:left w:val="nil"/>
                    <w:bottom w:val="single" w:sz="12" w:space="0" w:color="FFFFFF"/>
                    <w:right w:val="single" w:sz="8" w:space="0" w:color="FFFFFF"/>
                  </w:tcBorders>
                  <w:shd w:val="clear" w:color="000000" w:fill="F79646"/>
                  <w:noWrap/>
                  <w:vAlign w:val="center"/>
                  <w:hideMark/>
                </w:tcPr>
                <w:p w14:paraId="0F3218AA" w14:textId="645757E7"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36D46C23"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13458EB8"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6362870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563D1BF7"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5DC00EA3"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5A446833"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78870A3C"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7EED9FEA"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F3595A" w:rsidRPr="003F4793" w14:paraId="759A3C98"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8EBF66E" w14:textId="5661E939"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1F59B1A1" w14:textId="15DCE0E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2.72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664D979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2.82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693AE06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2.98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0EEA24F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5.32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636F70CA"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492F47E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0.36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39B8FB7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0.45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3900D15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0.61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21BEF1A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2.95 </w:t>
                  </w:r>
                </w:p>
              </w:tc>
            </w:tr>
            <w:tr w:rsidR="00F3595A" w:rsidRPr="003F4793" w14:paraId="3A66D0A6"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9137B72" w14:textId="2FC06ED3"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B73915E" w14:textId="3391FE6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3.08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6619133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3.23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6A1C87C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3.72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1C228E8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6.06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47B849AB"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018D027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0.51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76C9D15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0.66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5E3CB4B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1.15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2F86778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3.49 </w:t>
                  </w:r>
                </w:p>
              </w:tc>
            </w:tr>
            <w:tr w:rsidR="00F3595A" w:rsidRPr="003F4793" w14:paraId="1D6AAB92"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55F3072" w14:textId="563C328B"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7FD24B78" w14:textId="6990D5D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3.46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629C074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3.68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56F93BF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4.31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199E2AF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6.64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21942CC6"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5BBD9BD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0.75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2A56CE6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0.97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2BD8CB0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1.60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59C7EB1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3.93 </w:t>
                  </w:r>
                </w:p>
              </w:tc>
            </w:tr>
            <w:tr w:rsidR="00F3595A" w:rsidRPr="003F4793" w14:paraId="3DB9FA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2044C520" w14:textId="50554064"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094B223D" w14:textId="5A9330B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3.07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2F021C2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3.26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79B0233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3.88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6F103FF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6.22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29FE9035"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60BE5B9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0.50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1DBA2FA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0.69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47234FD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1.31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66504F1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3.65 </w:t>
                  </w:r>
                </w:p>
              </w:tc>
            </w:tr>
            <w:tr w:rsidR="00F3595A" w:rsidRPr="003F4793" w14:paraId="6E6959B5"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22DA7E07" w14:textId="11468199"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3321A8C9" w14:textId="1E36CED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3.41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129A76E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3.60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061466E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4.30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782A60B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6.65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355AE881"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525DF6B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0.71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06FE756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0.90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577617E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1.60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61B806F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3.95 </w:t>
                  </w:r>
                </w:p>
              </w:tc>
            </w:tr>
            <w:tr w:rsidR="00F3595A" w:rsidRPr="003F4793" w14:paraId="10282E85"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5AA354BC" w14:textId="71608413"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46F6A45C" w14:textId="07E908B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3.65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47DF305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3.86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57221AA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4.56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2F21FF9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6.89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36498033"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5D9BE32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0.78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3418F1F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0.99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194A5A7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1.69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69BC98C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4.02 </w:t>
                  </w:r>
                </w:p>
              </w:tc>
            </w:tr>
            <w:tr w:rsidR="00F3595A" w:rsidRPr="003F4793" w14:paraId="4B34B1B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08D60A2" w14:textId="20AC8E22"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7AC10927" w14:textId="16EB1E9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3.10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3199965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3.23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69F09BA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3.37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066B25B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5.95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4F488BA5"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106246E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0.53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085C6E9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0.66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212D666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0.80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7BE5AFD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3.38 </w:t>
                  </w:r>
                </w:p>
              </w:tc>
            </w:tr>
            <w:tr w:rsidR="00F3595A" w:rsidRPr="003F4793" w14:paraId="410B429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F93C5ED" w14:textId="70CB51D9"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31CF143" w14:textId="52F9554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3.43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2B51CF1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3.64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15C63E6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3.97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2F5CFD7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6.85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2601D43C"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0AC426F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0.72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1160167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0.93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67A94B0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1.27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00EB73B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4.15 </w:t>
                  </w:r>
                </w:p>
              </w:tc>
            </w:tr>
            <w:tr w:rsidR="00F3595A" w:rsidRPr="003F4793" w14:paraId="3E035994" w14:textId="77777777" w:rsidTr="00E10EDA">
              <w:trPr>
                <w:trHeight w:val="310"/>
              </w:trPr>
              <w:tc>
                <w:tcPr>
                  <w:tcW w:w="1309" w:type="dxa"/>
                  <w:tcBorders>
                    <w:top w:val="nil"/>
                    <w:left w:val="nil"/>
                    <w:bottom w:val="nil"/>
                    <w:right w:val="nil"/>
                  </w:tcBorders>
                  <w:shd w:val="clear" w:color="000000" w:fill="FCD5B4"/>
                  <w:noWrap/>
                  <w:vAlign w:val="center"/>
                  <w:hideMark/>
                </w:tcPr>
                <w:p w14:paraId="6806E277" w14:textId="2F7D670A"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6B2AD056" w14:textId="4546279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3.69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694A17C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3.90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2F28775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4.40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75460D3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7.28 </w:t>
                  </w:r>
                </w:p>
              </w:tc>
              <w:tc>
                <w:tcPr>
                  <w:tcW w:w="1149" w:type="dxa"/>
                  <w:tcBorders>
                    <w:top w:val="nil"/>
                    <w:left w:val="nil"/>
                    <w:bottom w:val="nil"/>
                    <w:right w:val="nil"/>
                  </w:tcBorders>
                  <w:shd w:val="clear" w:color="000000" w:fill="FCD5B4"/>
                  <w:noWrap/>
                  <w:vAlign w:val="center"/>
                  <w:hideMark/>
                </w:tcPr>
                <w:p w14:paraId="21A0B914" w14:textId="2A647F55"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779FA4D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0.83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4F5F883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1.03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618D30C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1.53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7D6C028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4.41 </w:t>
                  </w:r>
                </w:p>
              </w:tc>
            </w:tr>
            <w:tr w:rsidR="00F3595A" w:rsidRPr="003F4793" w14:paraId="7406B1F6" w14:textId="77777777" w:rsidTr="00E10EDA">
              <w:trPr>
                <w:trHeight w:val="160"/>
              </w:trPr>
              <w:tc>
                <w:tcPr>
                  <w:tcW w:w="1309" w:type="dxa"/>
                  <w:tcBorders>
                    <w:top w:val="nil"/>
                    <w:left w:val="nil"/>
                    <w:bottom w:val="nil"/>
                    <w:right w:val="nil"/>
                  </w:tcBorders>
                  <w:shd w:val="clear" w:color="auto" w:fill="auto"/>
                  <w:noWrap/>
                  <w:vAlign w:val="center"/>
                  <w:hideMark/>
                </w:tcPr>
                <w:p w14:paraId="2190587C" w14:textId="77777777" w:rsidR="00F3595A" w:rsidRPr="003F4793" w:rsidRDefault="00F3595A" w:rsidP="00F3595A">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399F5F18"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F3595A" w:rsidRPr="003F4793" w:rsidRDefault="00F3595A" w:rsidP="00F3595A">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F3595A" w:rsidRPr="003F4793" w:rsidRDefault="00F3595A" w:rsidP="00F3595A">
                  <w:pPr>
                    <w:widowControl/>
                    <w:jc w:val="center"/>
                    <w:rPr>
                      <w:rFonts w:ascii="KaiTi" w:eastAsia="KaiTi" w:hAnsi="KaiTi"/>
                      <w:kern w:val="0"/>
                      <w:sz w:val="20"/>
                      <w:szCs w:val="20"/>
                    </w:rPr>
                  </w:pPr>
                </w:p>
              </w:tc>
            </w:tr>
            <w:tr w:rsidR="00F3595A" w:rsidRPr="003F4793" w14:paraId="67AF4F87" w14:textId="77777777" w:rsidTr="00E10EDA">
              <w:trPr>
                <w:trHeight w:val="74"/>
              </w:trPr>
              <w:tc>
                <w:tcPr>
                  <w:tcW w:w="1309" w:type="dxa"/>
                  <w:tcBorders>
                    <w:top w:val="nil"/>
                    <w:left w:val="nil"/>
                    <w:bottom w:val="single" w:sz="12" w:space="0" w:color="FFFFFF"/>
                    <w:right w:val="single" w:sz="8" w:space="0" w:color="FFFFFF"/>
                  </w:tcBorders>
                  <w:shd w:val="clear" w:color="000000" w:fill="F79646"/>
                  <w:noWrap/>
                  <w:vAlign w:val="center"/>
                  <w:hideMark/>
                </w:tcPr>
                <w:p w14:paraId="3FE61E82" w14:textId="204B28E0" w:rsidR="00F3595A" w:rsidRPr="003F4793" w:rsidRDefault="00F3595A" w:rsidP="00F3595A">
                  <w:pPr>
                    <w:widowControl/>
                    <w:jc w:val="center"/>
                    <w:rPr>
                      <w:rFonts w:ascii="KaiTi" w:eastAsia="KaiTi" w:hAnsi="KaiTi" w:cs="宋体"/>
                      <w:b/>
                      <w:bCs/>
                      <w:color w:val="FFFFFF"/>
                      <w:kern w:val="0"/>
                      <w:sz w:val="20"/>
                      <w:szCs w:val="20"/>
                    </w:rPr>
                  </w:pPr>
                  <w:proofErr w:type="gramStart"/>
                  <w:r>
                    <w:rPr>
                      <w:rFonts w:ascii="楷体" w:eastAsia="楷体" w:hAnsi="楷体" w:hint="eastAsia"/>
                      <w:b/>
                      <w:bCs/>
                      <w:color w:val="FFFFFF"/>
                      <w:sz w:val="20"/>
                      <w:szCs w:val="20"/>
                    </w:rPr>
                    <w:t>周变化</w:t>
                  </w:r>
                  <w:proofErr w:type="gramEnd"/>
                  <w:r>
                    <w:rPr>
                      <w:rFonts w:ascii="楷体" w:eastAsia="楷体" w:hAnsi="楷体" w:hint="eastAsia"/>
                      <w:b/>
                      <w:bCs/>
                      <w:color w:val="FFFFFF"/>
                      <w:sz w:val="20"/>
                      <w:szCs w:val="20"/>
                    </w:rPr>
                    <w:t>(BP)</w:t>
                  </w:r>
                </w:p>
              </w:tc>
              <w:tc>
                <w:tcPr>
                  <w:tcW w:w="740" w:type="dxa"/>
                  <w:tcBorders>
                    <w:top w:val="nil"/>
                    <w:left w:val="nil"/>
                    <w:bottom w:val="single" w:sz="12" w:space="0" w:color="FFFFFF"/>
                    <w:right w:val="single" w:sz="8" w:space="0" w:color="FFFFFF"/>
                  </w:tcBorders>
                  <w:shd w:val="clear" w:color="000000" w:fill="F79646"/>
                  <w:noWrap/>
                  <w:vAlign w:val="center"/>
                  <w:hideMark/>
                </w:tcPr>
                <w:p w14:paraId="7A2D29AE" w14:textId="0C3F0F19"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3F4C9D39"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04176DD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51327219"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753C1601"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3440A8B3"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772D9758"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3837689A"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6CEE716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F3595A" w:rsidRPr="003F4793" w14:paraId="691FA2FB"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B8AC9FB" w14:textId="605C0ED9"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26737727" w14:textId="47E7D40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2C5B9FB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0.7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2852BF59"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-1.3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137061AC"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-1.3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4C02BE9C"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50C27733"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-4.7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3DF0D229"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-4.8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5C3B98FA"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-6.8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4ACA7977"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-6.7 </w:t>
                  </w:r>
                </w:p>
              </w:tc>
            </w:tr>
            <w:tr w:rsidR="00F3595A" w:rsidRPr="003F4793" w14:paraId="497D492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DBC5358" w14:textId="7F3ACFAC"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CD640D8" w14:textId="7A0B2D6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0.1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574ABB89"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242170F6"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-0.9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763A47BB"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-0.9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63129D26"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5C356DAC"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-6.6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6077BDDD"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-8.6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7699A95A"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-7.6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09284BBD"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-7.6 </w:t>
                  </w:r>
                </w:p>
              </w:tc>
            </w:tr>
            <w:tr w:rsidR="00F3595A" w:rsidRPr="003F4793" w14:paraId="0CE9EDD9"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666B8A39" w14:textId="730AA44C"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46A29143" w14:textId="1BA19E5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08BDB90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516D282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2A5434F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38F8F7D1"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5C7532FA"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60D6B015"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295C93DA"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39AEBC69"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-2.1 </w:t>
                  </w:r>
                </w:p>
              </w:tc>
            </w:tr>
            <w:tr w:rsidR="00F3595A" w:rsidRPr="003F4793" w14:paraId="4B96FC1F"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5655BC" w14:textId="40A7DE1E"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5C23ADBD" w14:textId="5781729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2AE8E752"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0.9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26B0D86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3A18711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3.9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74A93FF3"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5F091B4B"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-3.8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05C223F7"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53A3F826"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-3.8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7553ABD9"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-2.8 </w:t>
                  </w:r>
                </w:p>
              </w:tc>
            </w:tr>
            <w:tr w:rsidR="00F3595A" w:rsidRPr="003F4793" w14:paraId="445C2E7B"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A530122" w14:textId="35BE7996"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5D5F6751" w14:textId="4C520A2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1.4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57D43EC6"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-1.6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36C79F1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0.4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44F8334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2.4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54741A43"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48BE8FFF"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-3.0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0F6E0ECC"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36C6F06E"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-4.0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413E365C"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-2.0 </w:t>
                  </w:r>
                </w:p>
              </w:tc>
            </w:tr>
            <w:tr w:rsidR="00F3595A" w:rsidRPr="003F4793" w14:paraId="3191787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F700977" w14:textId="59C0981B"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2827D979" w14:textId="04120B5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7333686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0.6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011EEF5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76F991B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533E4071"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715B09CD"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-1.6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60F9AFBD"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-2.6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2321E8EC"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-0.6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55039243"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-0.6 </w:t>
                  </w:r>
                </w:p>
              </w:tc>
            </w:tr>
            <w:tr w:rsidR="00F3595A" w:rsidRPr="003F4793" w14:paraId="30D8B86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34C7AF72" w14:textId="28D14C84"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BA27B0F" w14:textId="0E29824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4BF6062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28D42A6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37896FE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6BB371B6"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4C864180"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-3.1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6B1BD7B6"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-4.1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022E3E8B"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-5.1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0CB578AD"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-3.1 </w:t>
                  </w:r>
                </w:p>
              </w:tc>
            </w:tr>
            <w:tr w:rsidR="00F3595A" w:rsidRPr="003F4793" w14:paraId="6A7B0CBC"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2855D1" w14:textId="3319759D"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7770DE15" w14:textId="127EE60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20573BA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3.6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609A8BA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6BBAC25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6007E141"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675F45E4"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73937021"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-0.8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441D365B"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393FED00" w:rsidR="00F3595A" w:rsidRPr="003F4793" w:rsidRDefault="00F3595A" w:rsidP="00F3595A">
                  <w:pPr>
                    <w:widowControl/>
                    <w:jc w:val="center"/>
                    <w:rPr>
                      <w:rFonts w:ascii="KaiTi" w:eastAsia="KaiTi" w:hAnsi="KaiTi" w:cs="Calibri"/>
                      <w:color w:val="000000"/>
                      <w:kern w:val="0"/>
                      <w:szCs w:val="21"/>
                    </w:rPr>
                  </w:pPr>
                  <w:r>
                    <w:rPr>
                      <w:rFonts w:eastAsia="等线" w:cs="Calibri"/>
                      <w:color w:val="FF0000"/>
                      <w:szCs w:val="21"/>
                    </w:rPr>
                    <w:t xml:space="preserve">-2.8 </w:t>
                  </w:r>
                </w:p>
              </w:tc>
            </w:tr>
            <w:tr w:rsidR="00F3595A" w:rsidRPr="003F4793" w14:paraId="3B417DAA" w14:textId="77777777" w:rsidTr="00E10EDA">
              <w:trPr>
                <w:trHeight w:val="310"/>
              </w:trPr>
              <w:tc>
                <w:tcPr>
                  <w:tcW w:w="1309" w:type="dxa"/>
                  <w:tcBorders>
                    <w:top w:val="nil"/>
                    <w:left w:val="nil"/>
                    <w:bottom w:val="nil"/>
                    <w:right w:val="nil"/>
                  </w:tcBorders>
                  <w:shd w:val="clear" w:color="000000" w:fill="FCD5B4"/>
                  <w:noWrap/>
                  <w:vAlign w:val="center"/>
                  <w:hideMark/>
                </w:tcPr>
                <w:p w14:paraId="0DA46A28" w14:textId="5034E865"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77893C8C" w14:textId="3F9983A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6.1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0B52A9D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8.1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074CA30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8.1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5C9539A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8.1 </w:t>
                  </w:r>
                </w:p>
              </w:tc>
              <w:tc>
                <w:tcPr>
                  <w:tcW w:w="1149" w:type="dxa"/>
                  <w:tcBorders>
                    <w:top w:val="nil"/>
                    <w:left w:val="nil"/>
                    <w:bottom w:val="nil"/>
                    <w:right w:val="nil"/>
                  </w:tcBorders>
                  <w:shd w:val="clear" w:color="000000" w:fill="FCD5B4"/>
                  <w:noWrap/>
                  <w:vAlign w:val="center"/>
                  <w:hideMark/>
                </w:tcPr>
                <w:p w14:paraId="10247A8D" w14:textId="67228B90"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4347BB9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13DEE0B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4.9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3B50C8D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4.9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46B07E4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 xml:space="preserve">4.9 </w:t>
                  </w:r>
                </w:p>
              </w:tc>
            </w:tr>
            <w:tr w:rsidR="00F3595A" w:rsidRPr="003F4793" w14:paraId="42AE38BD" w14:textId="77777777" w:rsidTr="00E10EDA">
              <w:trPr>
                <w:trHeight w:val="160"/>
              </w:trPr>
              <w:tc>
                <w:tcPr>
                  <w:tcW w:w="1309" w:type="dxa"/>
                  <w:tcBorders>
                    <w:top w:val="nil"/>
                    <w:left w:val="nil"/>
                    <w:bottom w:val="nil"/>
                    <w:right w:val="nil"/>
                  </w:tcBorders>
                  <w:shd w:val="clear" w:color="auto" w:fill="auto"/>
                  <w:noWrap/>
                  <w:vAlign w:val="center"/>
                  <w:hideMark/>
                </w:tcPr>
                <w:p w14:paraId="5A7EA8AA" w14:textId="77777777" w:rsidR="00F3595A" w:rsidRPr="003F4793" w:rsidRDefault="00F3595A" w:rsidP="00F3595A">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48196DA8"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F3595A" w:rsidRPr="003F4793" w:rsidRDefault="00F3595A" w:rsidP="00F3595A">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F3595A" w:rsidRPr="003F4793" w:rsidRDefault="00F3595A" w:rsidP="00F3595A">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F3595A" w:rsidRPr="003F4793" w:rsidRDefault="00F3595A" w:rsidP="00F3595A">
                  <w:pPr>
                    <w:widowControl/>
                    <w:jc w:val="center"/>
                    <w:rPr>
                      <w:rFonts w:ascii="KaiTi" w:eastAsia="KaiTi" w:hAnsi="KaiTi"/>
                      <w:kern w:val="0"/>
                      <w:sz w:val="20"/>
                      <w:szCs w:val="20"/>
                    </w:rPr>
                  </w:pPr>
                </w:p>
              </w:tc>
            </w:tr>
            <w:tr w:rsidR="00F3595A" w:rsidRPr="003F4793" w14:paraId="2463192E"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30C3828D" w14:textId="5E730357"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收益率分位</w:t>
                  </w:r>
                </w:p>
              </w:tc>
              <w:tc>
                <w:tcPr>
                  <w:tcW w:w="740" w:type="dxa"/>
                  <w:tcBorders>
                    <w:top w:val="nil"/>
                    <w:left w:val="nil"/>
                    <w:bottom w:val="single" w:sz="12" w:space="0" w:color="FFFFFF"/>
                    <w:right w:val="single" w:sz="8" w:space="0" w:color="FFFFFF"/>
                  </w:tcBorders>
                  <w:shd w:val="clear" w:color="000000" w:fill="F79646"/>
                  <w:noWrap/>
                  <w:vAlign w:val="center"/>
                  <w:hideMark/>
                </w:tcPr>
                <w:p w14:paraId="57743789" w14:textId="1C90188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6794E2AA"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06C5056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7B57A530"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19B5F011"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47ED4A7E"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08A9755E"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22FB1897"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776711FA" w:rsidR="00F3595A" w:rsidRPr="003F4793" w:rsidRDefault="00F3595A" w:rsidP="00F3595A">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F3595A" w:rsidRPr="003F4793" w14:paraId="6BCEED0C"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08C9B79B" w14:textId="7E1967DB"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lastRenderedPageBreak/>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3D9575A3" w14:textId="65F6DDF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15%</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0F566DE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4B15036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57AAF20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44%</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16032D1D"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2BF1B36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546E304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111620D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4A352CA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53%</w:t>
                  </w:r>
                </w:p>
              </w:tc>
            </w:tr>
            <w:tr w:rsidR="00F3595A" w:rsidRPr="003F4793" w14:paraId="3DF945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C68C45D" w14:textId="0F395584"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5A423046" w14:textId="79C5C71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69E864B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673B8A7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76BA4BC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47%</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207D550C"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0D20102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15A714F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47983F5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0AB6F3D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71%</w:t>
                  </w:r>
                </w:p>
              </w:tc>
            </w:tr>
            <w:tr w:rsidR="00F3595A" w:rsidRPr="003F4793" w14:paraId="311BF477"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EFAC63F" w14:textId="5C0377DE"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15941BE2" w14:textId="6AE1F6D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6590E4A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1632367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42D7432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51%</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3DC6FB6A"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627E8F3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16F7ED4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55E8EA7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19%</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2FCBDF9F" w:rsidR="00F3595A" w:rsidRPr="003F4793" w:rsidRDefault="00F3595A" w:rsidP="00F3595A">
                  <w:pPr>
                    <w:widowControl/>
                    <w:jc w:val="center"/>
                    <w:rPr>
                      <w:rFonts w:ascii="KaiTi" w:eastAsia="KaiTi" w:hAnsi="KaiTi" w:cs="Calibri"/>
                      <w:color w:val="000000"/>
                      <w:kern w:val="0"/>
                      <w:szCs w:val="21"/>
                    </w:rPr>
                  </w:pPr>
                  <w:r>
                    <w:rPr>
                      <w:rFonts w:eastAsia="等线" w:cs="Calibri"/>
                      <w:color w:val="9C0006"/>
                      <w:szCs w:val="21"/>
                    </w:rPr>
                    <w:t>80%</w:t>
                  </w:r>
                </w:p>
              </w:tc>
            </w:tr>
            <w:tr w:rsidR="00F3595A" w:rsidRPr="003F4793" w14:paraId="61191F6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87E41C4" w14:textId="5566AF47"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3EADA916" w14:textId="6138588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0D2559F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54E44945"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0D99030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56%</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6EB5485B"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5F8DFC7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4ECD217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1139BF8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18%</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1A0C00E6" w:rsidR="00F3595A" w:rsidRPr="003F4793" w:rsidRDefault="00F3595A" w:rsidP="00F3595A">
                  <w:pPr>
                    <w:widowControl/>
                    <w:jc w:val="center"/>
                    <w:rPr>
                      <w:rFonts w:ascii="KaiTi" w:eastAsia="KaiTi" w:hAnsi="KaiTi" w:cs="Calibri"/>
                      <w:color w:val="000000"/>
                      <w:kern w:val="0"/>
                      <w:szCs w:val="21"/>
                    </w:rPr>
                  </w:pPr>
                  <w:r>
                    <w:rPr>
                      <w:rFonts w:eastAsia="等线" w:cs="Calibri"/>
                      <w:color w:val="9C0006"/>
                      <w:szCs w:val="21"/>
                    </w:rPr>
                    <w:t>81%</w:t>
                  </w:r>
                </w:p>
              </w:tc>
            </w:tr>
            <w:tr w:rsidR="00F3595A" w:rsidRPr="003F4793" w14:paraId="60838313"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BD5D8A8" w14:textId="4CBF0F67"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75E567A4" w14:textId="299C326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5C8D70D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2E2F8D1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49E7B1B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50%</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44B370BE"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15DE6AB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03A410B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48CE562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19%</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71618EFE" w:rsidR="00F3595A" w:rsidRPr="003F4793" w:rsidRDefault="00F3595A" w:rsidP="00F3595A">
                  <w:pPr>
                    <w:widowControl/>
                    <w:jc w:val="center"/>
                    <w:rPr>
                      <w:rFonts w:ascii="KaiTi" w:eastAsia="KaiTi" w:hAnsi="KaiTi" w:cs="Calibri"/>
                      <w:color w:val="000000"/>
                      <w:kern w:val="0"/>
                      <w:szCs w:val="21"/>
                    </w:rPr>
                  </w:pPr>
                  <w:r>
                    <w:rPr>
                      <w:rFonts w:eastAsia="等线" w:cs="Calibri"/>
                      <w:color w:val="9C0006"/>
                      <w:szCs w:val="21"/>
                    </w:rPr>
                    <w:t>80%</w:t>
                  </w:r>
                </w:p>
              </w:tc>
            </w:tr>
            <w:tr w:rsidR="00F3595A" w:rsidRPr="003F4793" w14:paraId="2C298517"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0486C22" w14:textId="0E8027D0"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65693455" w14:textId="153FD64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6BFC092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2B94956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4D758CFF"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42%</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1CBEAC7F" w:rsidR="00F3595A" w:rsidRPr="003F4793" w:rsidRDefault="00F3595A" w:rsidP="00F3595A">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5A06A6B3"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5161003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2A9BB0CC"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1C494187"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78%</w:t>
                  </w:r>
                </w:p>
              </w:tc>
            </w:tr>
            <w:tr w:rsidR="00F3595A" w:rsidRPr="003F4793" w14:paraId="21DC06D6"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4FE37E8C" w14:textId="24C3A9C8"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57AADBA" w14:textId="39A13E74"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7BE2B34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7CCB9AE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5689DC48"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47%</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56E66A4B"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74FB176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350C922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70AD605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75880B4D"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69%</w:t>
                  </w:r>
                </w:p>
              </w:tc>
            </w:tr>
            <w:tr w:rsidR="00F3595A" w:rsidRPr="003F4793" w14:paraId="0EA4170B"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0FF0248" w14:textId="0540EB79"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2074306" w14:textId="6D1B445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50DF98A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225C277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74E03F3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62%</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4532FF4B"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40E6E26B"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43D2A0A1"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14D35DD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45AFB091" w:rsidR="00F3595A" w:rsidRPr="003F4793" w:rsidRDefault="00F3595A" w:rsidP="00F3595A">
                  <w:pPr>
                    <w:widowControl/>
                    <w:jc w:val="center"/>
                    <w:rPr>
                      <w:rFonts w:ascii="KaiTi" w:eastAsia="KaiTi" w:hAnsi="KaiTi" w:cs="Calibri"/>
                      <w:color w:val="9C0006"/>
                      <w:kern w:val="0"/>
                      <w:szCs w:val="21"/>
                    </w:rPr>
                  </w:pPr>
                  <w:r>
                    <w:rPr>
                      <w:rFonts w:eastAsia="等线" w:cs="Calibri"/>
                      <w:color w:val="9C0006"/>
                      <w:szCs w:val="21"/>
                    </w:rPr>
                    <w:t>84%</w:t>
                  </w:r>
                </w:p>
              </w:tc>
            </w:tr>
            <w:tr w:rsidR="00F3595A" w:rsidRPr="003F4793" w14:paraId="72207D52" w14:textId="77777777" w:rsidTr="00E10EDA">
              <w:trPr>
                <w:trHeight w:val="310"/>
              </w:trPr>
              <w:tc>
                <w:tcPr>
                  <w:tcW w:w="1309" w:type="dxa"/>
                  <w:tcBorders>
                    <w:top w:val="nil"/>
                    <w:left w:val="nil"/>
                    <w:bottom w:val="nil"/>
                    <w:right w:val="nil"/>
                  </w:tcBorders>
                  <w:shd w:val="clear" w:color="000000" w:fill="FCD5B4"/>
                  <w:noWrap/>
                  <w:vAlign w:val="center"/>
                  <w:hideMark/>
                </w:tcPr>
                <w:p w14:paraId="4814BB37" w14:textId="5458AFD3"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5E5F0BFD" w14:textId="56DAAC5E"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6B9569E6"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1FE769DA"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73AF44F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62%</w:t>
                  </w:r>
                </w:p>
              </w:tc>
              <w:tc>
                <w:tcPr>
                  <w:tcW w:w="1149" w:type="dxa"/>
                  <w:tcBorders>
                    <w:top w:val="nil"/>
                    <w:left w:val="nil"/>
                    <w:bottom w:val="nil"/>
                    <w:right w:val="nil"/>
                  </w:tcBorders>
                  <w:shd w:val="clear" w:color="000000" w:fill="FCD5B4"/>
                  <w:noWrap/>
                  <w:vAlign w:val="center"/>
                  <w:hideMark/>
                </w:tcPr>
                <w:p w14:paraId="24472A59" w14:textId="3382EDFB" w:rsidR="00F3595A" w:rsidRPr="003F4793" w:rsidRDefault="00F3595A" w:rsidP="00F3595A">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6442D0D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72D76B70"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694BB929" w:rsidR="00F3595A" w:rsidRPr="003F4793" w:rsidRDefault="00F3595A" w:rsidP="00F3595A">
                  <w:pPr>
                    <w:widowControl/>
                    <w:jc w:val="center"/>
                    <w:rPr>
                      <w:rFonts w:ascii="KaiTi" w:eastAsia="KaiTi" w:hAnsi="KaiTi" w:cs="Calibri"/>
                      <w:color w:val="000000"/>
                      <w:kern w:val="0"/>
                      <w:szCs w:val="21"/>
                    </w:rPr>
                  </w:pPr>
                  <w:r>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6247715E" w:rsidR="00F3595A" w:rsidRPr="003F4793" w:rsidRDefault="00F3595A" w:rsidP="00F3595A">
                  <w:pPr>
                    <w:widowControl/>
                    <w:jc w:val="center"/>
                    <w:rPr>
                      <w:rFonts w:ascii="KaiTi" w:eastAsia="KaiTi" w:hAnsi="KaiTi" w:cs="Calibri"/>
                      <w:color w:val="9C0006"/>
                      <w:kern w:val="0"/>
                      <w:szCs w:val="21"/>
                    </w:rPr>
                  </w:pPr>
                  <w:r>
                    <w:rPr>
                      <w:rFonts w:eastAsia="等线" w:cs="Calibri"/>
                      <w:color w:val="9C0006"/>
                      <w:szCs w:val="21"/>
                    </w:rPr>
                    <w:t>83%</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54CC26BF" w:rsidR="002D3316" w:rsidRPr="007A1586" w:rsidRDefault="00F3595A" w:rsidP="002D3316">
      <w:pPr>
        <w:pStyle w:val="Body-text"/>
        <w:spacing w:after="240"/>
        <w:ind w:firstLineChars="200" w:firstLine="480"/>
        <w:rPr>
          <w:rFonts w:ascii="华文楷体" w:hAnsi="华文楷体"/>
          <w:sz w:val="24"/>
          <w:szCs w:val="24"/>
          <w:lang w:eastAsia="zh-CN"/>
        </w:rPr>
      </w:pPr>
      <w:r w:rsidRPr="00F3595A">
        <w:rPr>
          <w:rFonts w:ascii="华文楷体" w:hAnsi="华文楷体" w:hint="eastAsia"/>
          <w:sz w:val="24"/>
          <w:szCs w:val="24"/>
        </w:rPr>
        <w:t>权益主要指数风格分化，小盘股</w:t>
      </w:r>
      <w:r w:rsidR="007A41EE">
        <w:rPr>
          <w:rFonts w:ascii="华文楷体" w:hAnsi="华文楷体" w:hint="eastAsia"/>
          <w:sz w:val="24"/>
          <w:szCs w:val="24"/>
          <w:lang w:eastAsia="zh-CN"/>
        </w:rPr>
        <w:t>上</w:t>
      </w:r>
      <w:r w:rsidRPr="00F3595A">
        <w:rPr>
          <w:rFonts w:ascii="华文楷体" w:hAnsi="华文楷体" w:hint="eastAsia"/>
          <w:sz w:val="24"/>
          <w:szCs w:val="24"/>
        </w:rPr>
        <w:t>周再次跑赢大盘股，主要成长赛道回暖。具体看，上证综指上涨3.39%，上证50指数上涨2.41%，沪深300指数上涨3.52%，中证500指数上涨4.52%，创业板指上涨4.19%。中证转债上涨2.1</w:t>
      </w:r>
      <w:r w:rsidR="00854CB7">
        <w:rPr>
          <w:rFonts w:ascii="华文楷体" w:hAnsi="华文楷体" w:hint="eastAsia"/>
          <w:sz w:val="24"/>
          <w:szCs w:val="24"/>
          <w:lang w:eastAsia="zh-CN"/>
        </w:rPr>
        <w:t>0</w:t>
      </w:r>
      <w:r w:rsidRPr="00F3595A">
        <w:rPr>
          <w:rFonts w:ascii="华文楷体" w:hAnsi="华文楷体" w:hint="eastAsia"/>
          <w:sz w:val="24"/>
          <w:szCs w:val="24"/>
        </w:rPr>
        <w:t>%，未能继续跑赢沪深300及上证50指数。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A7043C">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1F8529A3">
                  <wp:extent cx="2702020" cy="1715054"/>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tretch>
                            <a:fillRect/>
                          </a:stretch>
                        </pic:blipFill>
                        <pic:spPr bwMode="auto">
                          <a:xfrm>
                            <a:off x="0" y="0"/>
                            <a:ext cx="2702020" cy="1715054"/>
                          </a:xfrm>
                          <a:prstGeom prst="rect">
                            <a:avLst/>
                          </a:prstGeom>
                          <a:noFill/>
                          <a:ln>
                            <a:noFill/>
                          </a:ln>
                        </pic:spPr>
                      </pic:pic>
                    </a:graphicData>
                  </a:graphic>
                </wp:inline>
              </w:drawing>
            </w:r>
          </w:p>
        </w:tc>
        <w:tc>
          <w:tcPr>
            <w:tcW w:w="4938" w:type="dxa"/>
            <w:vAlign w:val="center"/>
          </w:tcPr>
          <w:p w14:paraId="39BD4383" w14:textId="158D69B2" w:rsidR="00E0626C" w:rsidRPr="009864B5" w:rsidRDefault="00A7043C" w:rsidP="009A2BA0">
            <w:pPr>
              <w:jc w:val="center"/>
              <w:rPr>
                <w:noProof/>
                <w:szCs w:val="18"/>
              </w:rPr>
            </w:pPr>
            <w:r>
              <w:rPr>
                <w:noProof/>
              </w:rPr>
              <w:drawing>
                <wp:inline distT="0" distB="0" distL="0" distR="0" wp14:anchorId="6D1C8643" wp14:editId="7A57A5CF">
                  <wp:extent cx="2738396" cy="1871649"/>
                  <wp:effectExtent l="0" t="0" r="5080" b="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资料来源：万得，富荣基金</w:t>
            </w:r>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资料来源：万得，富荣基金</w:t>
            </w:r>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66D12251" w14:textId="77777777" w:rsidR="00F3595A" w:rsidRPr="00F3595A" w:rsidRDefault="00F3595A" w:rsidP="00F3595A">
      <w:pPr>
        <w:pStyle w:val="Header1"/>
        <w:spacing w:before="240"/>
        <w:ind w:firstLineChars="200" w:firstLine="480"/>
        <w:rPr>
          <w:rFonts w:ascii="华文楷体" w:hAnsi="华文楷体"/>
          <w:b w:val="0"/>
          <w:color w:val="auto"/>
          <w:sz w:val="24"/>
          <w:szCs w:val="24"/>
        </w:rPr>
      </w:pPr>
      <w:r w:rsidRPr="00F3595A">
        <w:rPr>
          <w:rFonts w:ascii="华文楷体" w:hAnsi="华文楷体" w:hint="eastAsia"/>
          <w:b w:val="0"/>
          <w:color w:val="auto"/>
          <w:sz w:val="24"/>
          <w:szCs w:val="24"/>
        </w:rPr>
        <w:t>其他资产方面，在岸人民币对美元升值0.19%收于6.4444，伦敦金</w:t>
      </w:r>
      <w:proofErr w:type="gramStart"/>
      <w:r w:rsidRPr="00F3595A">
        <w:rPr>
          <w:rFonts w:ascii="华文楷体" w:hAnsi="华文楷体" w:hint="eastAsia"/>
          <w:b w:val="0"/>
          <w:color w:val="auto"/>
          <w:sz w:val="24"/>
          <w:szCs w:val="24"/>
        </w:rPr>
        <w:t>现下跌</w:t>
      </w:r>
      <w:proofErr w:type="gramEnd"/>
      <w:r w:rsidRPr="00F3595A">
        <w:rPr>
          <w:rFonts w:ascii="华文楷体" w:hAnsi="华文楷体" w:hint="eastAsia"/>
          <w:b w:val="0"/>
          <w:color w:val="auto"/>
          <w:sz w:val="24"/>
          <w:szCs w:val="24"/>
        </w:rPr>
        <w:t>2.18%至1787美元，</w:t>
      </w:r>
      <w:proofErr w:type="gramStart"/>
      <w:r w:rsidRPr="00F3595A">
        <w:rPr>
          <w:rFonts w:ascii="华文楷体" w:hAnsi="华文楷体" w:hint="eastAsia"/>
          <w:b w:val="0"/>
          <w:color w:val="auto"/>
          <w:sz w:val="24"/>
          <w:szCs w:val="24"/>
        </w:rPr>
        <w:t>标普</w:t>
      </w:r>
      <w:proofErr w:type="gramEnd"/>
      <w:r w:rsidRPr="00F3595A">
        <w:rPr>
          <w:rFonts w:ascii="华文楷体" w:hAnsi="华文楷体" w:hint="eastAsia"/>
          <w:b w:val="0"/>
          <w:color w:val="auto"/>
          <w:sz w:val="24"/>
          <w:szCs w:val="24"/>
        </w:rPr>
        <w:t>500指数下跌1.69%，</w:t>
      </w:r>
      <w:proofErr w:type="gramStart"/>
      <w:r w:rsidRPr="00F3595A">
        <w:rPr>
          <w:rFonts w:ascii="华文楷体" w:hAnsi="华文楷体" w:hint="eastAsia"/>
          <w:b w:val="0"/>
          <w:color w:val="auto"/>
          <w:sz w:val="24"/>
          <w:szCs w:val="24"/>
        </w:rPr>
        <w:t>布油价格</w:t>
      </w:r>
      <w:proofErr w:type="gramEnd"/>
      <w:r w:rsidRPr="00F3595A">
        <w:rPr>
          <w:rFonts w:ascii="华文楷体" w:hAnsi="华文楷体" w:hint="eastAsia"/>
          <w:b w:val="0"/>
          <w:color w:val="auto"/>
          <w:sz w:val="24"/>
          <w:szCs w:val="24"/>
        </w:rPr>
        <w:t>上涨0.47%至72.95美元每桶，LME铜上涨2.72%，10年美债震荡上行1.9bp收于1.347%。</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F979DD">
        <w:tblPrEx>
          <w:tblCellMar>
            <w:left w:w="108" w:type="dxa"/>
            <w:right w:w="108" w:type="dxa"/>
          </w:tblCellMar>
        </w:tblPrEx>
        <w:trPr>
          <w:trHeight w:val="2921"/>
          <w:jc w:val="center"/>
        </w:trPr>
        <w:tc>
          <w:tcPr>
            <w:tcW w:w="4939" w:type="dxa"/>
            <w:vAlign w:val="center"/>
          </w:tcPr>
          <w:p w14:paraId="3608D4C9" w14:textId="3F767DB6" w:rsidR="00FC1FA4" w:rsidRPr="009864B5" w:rsidRDefault="00F979DD" w:rsidP="00692D2B">
            <w:pPr>
              <w:widowControl/>
              <w:jc w:val="left"/>
              <w:rPr>
                <w:rFonts w:ascii="宋体" w:hAnsi="宋体" w:cs="宋体"/>
                <w:kern w:val="0"/>
                <w:sz w:val="24"/>
                <w:szCs w:val="24"/>
              </w:rPr>
            </w:pPr>
            <w:r>
              <w:rPr>
                <w:noProof/>
              </w:rPr>
              <w:drawing>
                <wp:inline distT="0" distB="0" distL="0" distR="0" wp14:anchorId="3FC191DF" wp14:editId="0006014A">
                  <wp:extent cx="2703270" cy="1680509"/>
                  <wp:effectExtent l="0" t="0" r="1905" b="0"/>
                  <wp:docPr id="10" name="图表 10">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70C79866" w:rsidR="00FC1FA4" w:rsidRPr="009864B5" w:rsidRDefault="00F979DD" w:rsidP="00692D2B">
            <w:pPr>
              <w:jc w:val="center"/>
              <w:rPr>
                <w:noProof/>
                <w:szCs w:val="18"/>
              </w:rPr>
            </w:pPr>
            <w:r>
              <w:rPr>
                <w:noProof/>
              </w:rPr>
              <w:drawing>
                <wp:inline distT="0" distB="0" distL="0" distR="0" wp14:anchorId="342E744C" wp14:editId="7530492B">
                  <wp:extent cx="2679775" cy="1683908"/>
                  <wp:effectExtent l="0" t="0" r="6350" b="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资料来源：万得，富荣基金</w:t>
            </w:r>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资料来源：万得，富荣基金</w:t>
            </w:r>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727229EA"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6F3FA1" w:rsidRPr="00C87D79">
        <w:rPr>
          <w:rFonts w:ascii="华文楷体" w:hAnsi="华文楷体" w:hint="eastAsia"/>
          <w:sz w:val="24"/>
          <w:szCs w:val="24"/>
          <w:lang w:eastAsia="zh-CN"/>
        </w:rPr>
        <w:t>焦煤、动力煤</w:t>
      </w:r>
      <w:r w:rsidR="00C87D79" w:rsidRPr="00C87D79">
        <w:rPr>
          <w:rFonts w:ascii="华文楷体" w:hAnsi="华文楷体" w:hint="eastAsia"/>
          <w:sz w:val="24"/>
          <w:szCs w:val="24"/>
          <w:lang w:eastAsia="zh-CN"/>
        </w:rPr>
        <w:t>价格</w:t>
      </w:r>
      <w:r w:rsidR="00F979DD">
        <w:rPr>
          <w:rFonts w:ascii="华文楷体" w:hAnsi="华文楷体" w:hint="eastAsia"/>
          <w:sz w:val="24"/>
          <w:szCs w:val="24"/>
          <w:lang w:eastAsia="zh-CN"/>
        </w:rPr>
        <w:t>再度冲高，</w:t>
      </w:r>
      <w:r w:rsidR="00F979DD" w:rsidRPr="00C87D79">
        <w:rPr>
          <w:rFonts w:ascii="华文楷体" w:hAnsi="华文楷体" w:hint="eastAsia"/>
          <w:sz w:val="24"/>
          <w:szCs w:val="24"/>
          <w:lang w:eastAsia="zh-CN"/>
        </w:rPr>
        <w:t>原油</w:t>
      </w:r>
      <w:r w:rsidR="00F979DD">
        <w:rPr>
          <w:rFonts w:ascii="华文楷体" w:hAnsi="华文楷体" w:hint="eastAsia"/>
          <w:sz w:val="24"/>
          <w:szCs w:val="24"/>
          <w:lang w:eastAsia="zh-CN"/>
        </w:rPr>
        <w:t>价格震荡</w:t>
      </w:r>
      <w:r w:rsidR="006F3FA1" w:rsidRPr="00C87D79">
        <w:rPr>
          <w:rFonts w:ascii="华文楷体" w:hAnsi="华文楷体" w:hint="eastAsia"/>
          <w:sz w:val="24"/>
          <w:szCs w:val="24"/>
          <w:lang w:eastAsia="zh-CN"/>
        </w:rPr>
        <w:t>，</w:t>
      </w:r>
      <w:r w:rsidR="009D73A1">
        <w:rPr>
          <w:rFonts w:ascii="华文楷体" w:hAnsi="华文楷体" w:hint="eastAsia"/>
          <w:sz w:val="24"/>
          <w:szCs w:val="24"/>
          <w:lang w:eastAsia="zh-CN"/>
        </w:rPr>
        <w:t>基建加速下</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F979DD">
        <w:rPr>
          <w:rFonts w:ascii="华文楷体" w:hAnsi="华文楷体" w:hint="eastAsia"/>
          <w:sz w:val="24"/>
          <w:szCs w:val="24"/>
          <w:lang w:eastAsia="zh-CN"/>
        </w:rPr>
        <w:t>六</w:t>
      </w:r>
      <w:r w:rsidR="006F3FA1" w:rsidRPr="00C87D79">
        <w:rPr>
          <w:rFonts w:ascii="华文楷体" w:hAnsi="华文楷体" w:hint="eastAsia"/>
          <w:sz w:val="24"/>
          <w:szCs w:val="24"/>
          <w:lang w:eastAsia="zh-CN"/>
        </w:rPr>
        <w:t>周</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w:t>
      </w:r>
      <w:r w:rsidR="00F979DD">
        <w:rPr>
          <w:rFonts w:ascii="华文楷体" w:hAnsi="华文楷体" w:hint="eastAsia"/>
          <w:sz w:val="24"/>
          <w:szCs w:val="24"/>
          <w:lang w:eastAsia="zh-CN"/>
        </w:rPr>
        <w:t>四</w:t>
      </w:r>
      <w:r w:rsidR="00C87D79" w:rsidRPr="00C87D79">
        <w:rPr>
          <w:rFonts w:ascii="华文楷体" w:hAnsi="华文楷体" w:hint="eastAsia"/>
          <w:sz w:val="24"/>
          <w:szCs w:val="24"/>
          <w:lang w:eastAsia="zh-CN"/>
        </w:rPr>
        <w:t>周走弱</w:t>
      </w:r>
      <w:r w:rsidR="00BC1DA3" w:rsidRPr="00C87D79">
        <w:rPr>
          <w:rFonts w:ascii="华文楷体" w:hAnsi="华文楷体" w:hint="eastAsia"/>
          <w:sz w:val="24"/>
          <w:szCs w:val="24"/>
          <w:lang w:eastAsia="zh-CN"/>
        </w:rPr>
        <w:t>。</w:t>
      </w:r>
    </w:p>
    <w:p w14:paraId="72F4E8C0" w14:textId="5D227E09"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w:t>
      </w:r>
      <w:r w:rsidR="009D73A1">
        <w:rPr>
          <w:rFonts w:ascii="华文楷体" w:hAnsi="华文楷体" w:hint="eastAsia"/>
          <w:sz w:val="24"/>
          <w:szCs w:val="24"/>
          <w:lang w:eastAsia="zh-CN"/>
        </w:rPr>
        <w:t>略有上涨</w:t>
      </w:r>
      <w:r w:rsidR="00C87D79" w:rsidRPr="00C87D79">
        <w:rPr>
          <w:rFonts w:ascii="华文楷体" w:hAnsi="华文楷体" w:hint="eastAsia"/>
          <w:sz w:val="24"/>
          <w:szCs w:val="24"/>
          <w:lang w:eastAsia="zh-CN"/>
        </w:rPr>
        <w:t>，</w:t>
      </w:r>
      <w:r w:rsidR="00F979DD" w:rsidRPr="00C87D79">
        <w:rPr>
          <w:rFonts w:ascii="华文楷体" w:hAnsi="华文楷体" w:hint="eastAsia"/>
          <w:sz w:val="24"/>
          <w:szCs w:val="24"/>
          <w:lang w:eastAsia="zh-CN"/>
        </w:rPr>
        <w:t>蔬菜、猪肉价格</w:t>
      </w:r>
      <w:r w:rsidR="00F979DD">
        <w:rPr>
          <w:rFonts w:ascii="华文楷体" w:hAnsi="华文楷体" w:hint="eastAsia"/>
          <w:sz w:val="24"/>
          <w:szCs w:val="24"/>
          <w:lang w:eastAsia="zh-CN"/>
        </w:rPr>
        <w:t>再度下跌，</w:t>
      </w:r>
      <w:r w:rsidR="00C87D79" w:rsidRPr="00C87D79">
        <w:rPr>
          <w:rFonts w:ascii="华文楷体" w:hAnsi="华文楷体" w:hint="eastAsia"/>
          <w:sz w:val="24"/>
          <w:szCs w:val="24"/>
          <w:lang w:eastAsia="zh-CN"/>
        </w:rPr>
        <w:t>水果批发价</w:t>
      </w:r>
      <w:r w:rsidR="005E6806">
        <w:rPr>
          <w:rFonts w:ascii="华文楷体" w:hAnsi="华文楷体" w:hint="eastAsia"/>
          <w:sz w:val="24"/>
          <w:szCs w:val="24"/>
          <w:lang w:eastAsia="zh-CN"/>
        </w:rPr>
        <w:t>近两周</w:t>
      </w:r>
      <w:r w:rsidR="009D73A1">
        <w:rPr>
          <w:rFonts w:ascii="华文楷体" w:hAnsi="华文楷体" w:hint="eastAsia"/>
          <w:sz w:val="24"/>
          <w:szCs w:val="24"/>
          <w:lang w:eastAsia="zh-CN"/>
        </w:rPr>
        <w:t>环比反弹</w:t>
      </w:r>
      <w:r w:rsidRPr="00C87D79">
        <w:rPr>
          <w:rFonts w:ascii="华文楷体" w:hAnsi="华文楷体" w:hint="eastAsia"/>
          <w:sz w:val="24"/>
          <w:szCs w:val="24"/>
          <w:lang w:eastAsia="zh-CN"/>
        </w:rPr>
        <w:t>。</w:t>
      </w:r>
    </w:p>
    <w:p w14:paraId="10D6A074" w14:textId="2420FB11"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5E6806" w:rsidRPr="005E6806">
        <w:rPr>
          <w:rFonts w:ascii="华文楷体" w:hAnsi="华文楷体" w:hint="eastAsia"/>
          <w:sz w:val="24"/>
          <w:szCs w:val="24"/>
          <w:lang w:eastAsia="zh-CN"/>
        </w:rPr>
        <w:t>有色金属板块整体较强，</w:t>
      </w:r>
      <w:proofErr w:type="gramStart"/>
      <w:r w:rsidR="005E6806" w:rsidRPr="005E6806">
        <w:rPr>
          <w:rFonts w:ascii="华文楷体" w:hAnsi="华文楷体" w:hint="eastAsia"/>
          <w:sz w:val="24"/>
          <w:szCs w:val="24"/>
          <w:lang w:eastAsia="zh-CN"/>
        </w:rPr>
        <w:t>铝由于</w:t>
      </w:r>
      <w:proofErr w:type="gramEnd"/>
      <w:r w:rsidR="005E6806" w:rsidRPr="005E6806">
        <w:rPr>
          <w:rFonts w:ascii="华文楷体" w:hAnsi="华文楷体" w:hint="eastAsia"/>
          <w:sz w:val="24"/>
          <w:szCs w:val="24"/>
          <w:lang w:eastAsia="zh-CN"/>
        </w:rPr>
        <w:t>能耗双控导致产量受限，叠加全球重要铝土矿供应国家几内亚发生政变，</w:t>
      </w:r>
      <w:r w:rsidR="00854CB7">
        <w:rPr>
          <w:rFonts w:ascii="华文楷体" w:hAnsi="华文楷体" w:hint="eastAsia"/>
          <w:sz w:val="24"/>
          <w:szCs w:val="24"/>
          <w:lang w:eastAsia="zh-CN"/>
        </w:rPr>
        <w:t>上</w:t>
      </w:r>
      <w:r w:rsidR="005E6806" w:rsidRPr="005E6806">
        <w:rPr>
          <w:rFonts w:ascii="华文楷体" w:hAnsi="华文楷体" w:hint="eastAsia"/>
          <w:sz w:val="24"/>
          <w:szCs w:val="24"/>
          <w:lang w:eastAsia="zh-CN"/>
        </w:rPr>
        <w:t>周铝价强势上涨</w:t>
      </w:r>
      <w:r w:rsidR="007C4C14" w:rsidRPr="00C87D79">
        <w:rPr>
          <w:rFonts w:ascii="华文楷体" w:hAnsi="华文楷体" w:hint="eastAsia"/>
          <w:sz w:val="24"/>
          <w:szCs w:val="24"/>
          <w:lang w:eastAsia="zh-CN"/>
        </w:rPr>
        <w:t>。</w:t>
      </w:r>
    </w:p>
    <w:p w14:paraId="24A84318" w14:textId="12709E6E"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71545F">
        <w:rPr>
          <w:rFonts w:ascii="华文楷体" w:hAnsi="华文楷体" w:hint="eastAsia"/>
          <w:sz w:val="24"/>
          <w:szCs w:val="24"/>
          <w:lang w:eastAsia="zh-CN"/>
        </w:rPr>
        <w:t>进入“金九”，</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r w:rsidR="00BC1DA3" w:rsidRPr="00C87D79">
        <w:rPr>
          <w:rFonts w:ascii="华文楷体" w:hAnsi="华文楷体" w:hint="eastAsia"/>
          <w:sz w:val="24"/>
          <w:szCs w:val="24"/>
          <w:lang w:eastAsia="zh-CN"/>
        </w:rPr>
        <w:t>面积</w:t>
      </w:r>
      <w:r w:rsidR="00BA16AD">
        <w:rPr>
          <w:rFonts w:ascii="华文楷体" w:hAnsi="华文楷体" w:hint="eastAsia"/>
          <w:sz w:val="24"/>
          <w:szCs w:val="24"/>
          <w:lang w:eastAsia="zh-CN"/>
        </w:rPr>
        <w:t>仍</w:t>
      </w:r>
      <w:r w:rsidR="005E6806">
        <w:rPr>
          <w:rFonts w:ascii="华文楷体" w:hAnsi="华文楷体" w:hint="eastAsia"/>
          <w:sz w:val="24"/>
          <w:szCs w:val="24"/>
          <w:lang w:eastAsia="zh-CN"/>
        </w:rPr>
        <w:t>表现</w:t>
      </w:r>
      <w:r w:rsidR="00BA16AD">
        <w:rPr>
          <w:rFonts w:ascii="华文楷体" w:hAnsi="华文楷体" w:hint="eastAsia"/>
          <w:sz w:val="24"/>
          <w:szCs w:val="24"/>
          <w:lang w:eastAsia="zh-CN"/>
        </w:rPr>
        <w:t>不佳</w:t>
      </w:r>
      <w:r w:rsidR="00C87D79" w:rsidRPr="00C87D79">
        <w:rPr>
          <w:rFonts w:ascii="华文楷体" w:hAnsi="华文楷体" w:hint="eastAsia"/>
          <w:sz w:val="24"/>
          <w:szCs w:val="24"/>
          <w:lang w:eastAsia="zh-CN"/>
        </w:rPr>
        <w:t>，</w:t>
      </w:r>
      <w:r w:rsidR="0071545F">
        <w:rPr>
          <w:rFonts w:ascii="华文楷体" w:hAnsi="华文楷体" w:hint="eastAsia"/>
          <w:sz w:val="24"/>
          <w:szCs w:val="24"/>
          <w:lang w:eastAsia="zh-CN"/>
        </w:rPr>
        <w:t>其中</w:t>
      </w:r>
      <w:r w:rsidR="005E6806">
        <w:rPr>
          <w:rFonts w:ascii="华文楷体" w:hAnsi="华文楷体" w:hint="eastAsia"/>
          <w:sz w:val="24"/>
          <w:szCs w:val="24"/>
          <w:lang w:eastAsia="zh-CN"/>
        </w:rPr>
        <w:t>前期较强势的</w:t>
      </w:r>
      <w:r w:rsidR="00C87D79" w:rsidRPr="00C87D79">
        <w:rPr>
          <w:rFonts w:ascii="华文楷体" w:hAnsi="华文楷体" w:hint="eastAsia"/>
          <w:sz w:val="24"/>
          <w:szCs w:val="24"/>
          <w:lang w:eastAsia="zh-CN"/>
        </w:rPr>
        <w:t>一线城市成交</w:t>
      </w:r>
      <w:proofErr w:type="gramStart"/>
      <w:r w:rsidR="00C87D79" w:rsidRPr="00C87D79">
        <w:rPr>
          <w:rFonts w:ascii="华文楷体" w:hAnsi="华文楷体" w:hint="eastAsia"/>
          <w:sz w:val="24"/>
          <w:szCs w:val="24"/>
          <w:lang w:eastAsia="zh-CN"/>
        </w:rPr>
        <w:t>面积环</w:t>
      </w:r>
      <w:proofErr w:type="gramEnd"/>
      <w:r w:rsidR="00C87D79" w:rsidRPr="00C87D79">
        <w:rPr>
          <w:rFonts w:ascii="华文楷体" w:hAnsi="华文楷体" w:hint="eastAsia"/>
          <w:sz w:val="24"/>
          <w:szCs w:val="24"/>
          <w:lang w:eastAsia="zh-CN"/>
        </w:rPr>
        <w:t>比</w:t>
      </w:r>
      <w:r w:rsidR="005E6806">
        <w:rPr>
          <w:rFonts w:ascii="华文楷体" w:hAnsi="华文楷体" w:hint="eastAsia"/>
          <w:sz w:val="24"/>
          <w:szCs w:val="24"/>
          <w:lang w:eastAsia="zh-CN"/>
        </w:rPr>
        <w:t>连续两周</w:t>
      </w:r>
      <w:r w:rsidR="0071545F">
        <w:rPr>
          <w:rFonts w:ascii="华文楷体" w:hAnsi="华文楷体" w:hint="eastAsia"/>
          <w:sz w:val="24"/>
          <w:szCs w:val="24"/>
          <w:lang w:eastAsia="zh-CN"/>
        </w:rPr>
        <w:t>下行</w:t>
      </w:r>
      <w:r w:rsidR="002D3316"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二</w:t>
      </w:r>
      <w:r w:rsidR="00C87D79" w:rsidRPr="00C87D79">
        <w:rPr>
          <w:rFonts w:ascii="华文楷体" w:hAnsi="华文楷体" w:hint="eastAsia"/>
          <w:sz w:val="24"/>
          <w:szCs w:val="24"/>
          <w:lang w:eastAsia="zh-CN"/>
        </w:rPr>
        <w:t>线城市成交面积</w:t>
      </w:r>
      <w:r w:rsidR="0071545F">
        <w:rPr>
          <w:rFonts w:ascii="华文楷体" w:hAnsi="华文楷体" w:hint="eastAsia"/>
          <w:sz w:val="24"/>
          <w:szCs w:val="24"/>
          <w:lang w:eastAsia="zh-CN"/>
        </w:rPr>
        <w:t>显著回暖</w:t>
      </w:r>
      <w:r w:rsidR="00C87D79"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三线城市</w:t>
      </w:r>
      <w:r w:rsidR="00C87D79" w:rsidRPr="00C87D79">
        <w:rPr>
          <w:rFonts w:ascii="华文楷体" w:hAnsi="华文楷体" w:hint="eastAsia"/>
          <w:sz w:val="24"/>
          <w:szCs w:val="24"/>
          <w:lang w:eastAsia="zh-CN"/>
        </w:rPr>
        <w:t>成交面积</w:t>
      </w:r>
      <w:r w:rsidR="007C4C14" w:rsidRPr="00C87D79">
        <w:rPr>
          <w:rFonts w:ascii="华文楷体" w:hAnsi="华文楷体" w:hint="eastAsia"/>
          <w:sz w:val="24"/>
          <w:szCs w:val="24"/>
          <w:lang w:eastAsia="zh-CN"/>
        </w:rPr>
        <w:t>仍在下降</w:t>
      </w:r>
      <w:r w:rsidR="0071545F">
        <w:rPr>
          <w:rFonts w:ascii="华文楷体" w:hAnsi="华文楷体" w:hint="eastAsia"/>
          <w:sz w:val="24"/>
          <w:szCs w:val="24"/>
          <w:lang w:eastAsia="zh-CN"/>
        </w:rPr>
        <w:t>通道</w:t>
      </w:r>
      <w:r w:rsidR="002D3316" w:rsidRPr="00C87D79">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37F6923D">
                  <wp:extent cx="5988003" cy="689214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5988003" cy="6892145"/>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3BF5B5A2"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后续利率债供给的放量、宽信用以及美联储Taper的边际变化或对市场产生一定扰动。我们维</w:t>
      </w:r>
      <w:r w:rsidRPr="003E4A57">
        <w:rPr>
          <w:rFonts w:ascii="华文楷体" w:hAnsi="华文楷体" w:hint="eastAsia"/>
          <w:b w:val="0"/>
          <w:color w:val="auto"/>
          <w:sz w:val="24"/>
          <w:szCs w:val="24"/>
        </w:rPr>
        <w:lastRenderedPageBreak/>
        <w:t>持对利率谨慎乐观的判断，谨防多头走在预期前，</w:t>
      </w:r>
      <w:r w:rsidR="00854CB7">
        <w:rPr>
          <w:rFonts w:ascii="华文楷体" w:hAnsi="华文楷体" w:hint="eastAsia"/>
          <w:b w:val="0"/>
          <w:color w:val="auto"/>
          <w:sz w:val="24"/>
          <w:szCs w:val="24"/>
        </w:rPr>
        <w:t>采用</w:t>
      </w:r>
      <w:r w:rsidRPr="003E4A57">
        <w:rPr>
          <w:rFonts w:ascii="华文楷体" w:hAnsi="华文楷体" w:hint="eastAsia"/>
          <w:b w:val="0"/>
          <w:color w:val="auto"/>
          <w:sz w:val="24"/>
          <w:szCs w:val="24"/>
        </w:rPr>
        <w:t>哑铃型配置以灵活应对可能打破均衡的超预期因素。</w:t>
      </w:r>
    </w:p>
    <w:p w14:paraId="7EFA5FEE" w14:textId="38643C7E"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信用债方面，K型分化的过程中，监管的控制力逐渐显现。一方面致力完善长效机制（《关于推动公司信用类债券市场改革开放高质量发展的指导意见》），另一方面也在避免短期</w:t>
      </w:r>
      <w:r w:rsidR="00854CB7" w:rsidRPr="003E4A57">
        <w:rPr>
          <w:rFonts w:ascii="华文楷体" w:hAnsi="华文楷体" w:hint="eastAsia"/>
          <w:b w:val="0"/>
          <w:color w:val="auto"/>
          <w:sz w:val="24"/>
          <w:szCs w:val="24"/>
        </w:rPr>
        <w:t>系统性</w:t>
      </w:r>
      <w:proofErr w:type="gramStart"/>
      <w:r w:rsidR="00854CB7" w:rsidRPr="003E4A57">
        <w:rPr>
          <w:rFonts w:ascii="华文楷体" w:hAnsi="华文楷体" w:hint="eastAsia"/>
          <w:b w:val="0"/>
          <w:color w:val="auto"/>
          <w:sz w:val="24"/>
          <w:szCs w:val="24"/>
        </w:rPr>
        <w:t>化</w:t>
      </w:r>
      <w:r w:rsidRPr="003E4A57">
        <w:rPr>
          <w:rFonts w:ascii="华文楷体" w:hAnsi="华文楷体" w:hint="eastAsia"/>
          <w:b w:val="0"/>
          <w:color w:val="auto"/>
          <w:sz w:val="24"/>
          <w:szCs w:val="24"/>
        </w:rPr>
        <w:t>金融</w:t>
      </w:r>
      <w:proofErr w:type="gramEnd"/>
      <w:r w:rsidRPr="003E4A57">
        <w:rPr>
          <w:rFonts w:ascii="华文楷体" w:hAnsi="华文楷体" w:hint="eastAsia"/>
          <w:b w:val="0"/>
          <w:color w:val="auto"/>
          <w:sz w:val="24"/>
          <w:szCs w:val="24"/>
        </w:rPr>
        <w:t>风险，对</w:t>
      </w:r>
      <w:r w:rsidR="00854CB7">
        <w:rPr>
          <w:rFonts w:ascii="华文楷体" w:hAnsi="华文楷体" w:hint="eastAsia"/>
          <w:b w:val="0"/>
          <w:color w:val="auto"/>
          <w:sz w:val="24"/>
          <w:szCs w:val="24"/>
        </w:rPr>
        <w:t>某些</w:t>
      </w:r>
      <w:r w:rsidRPr="003E4A57">
        <w:rPr>
          <w:rFonts w:ascii="华文楷体" w:hAnsi="华文楷体" w:hint="eastAsia"/>
          <w:b w:val="0"/>
          <w:color w:val="auto"/>
          <w:sz w:val="24"/>
          <w:szCs w:val="24"/>
        </w:rPr>
        <w:t>典型企业采取了不同的措施和关注，对信贷不平衡地区启动了再贷款。信用策略上，继续防范尾部风险的基础上，关注具备持续经营能力的国企产业和强公益属性的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50B38B47"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w:t>
      </w:r>
      <w:r w:rsidR="003627DB">
        <w:rPr>
          <w:rFonts w:ascii="华文楷体" w:hAnsi="华文楷体" w:hint="eastAsia"/>
          <w:b w:val="0"/>
          <w:bCs/>
          <w:color w:val="auto"/>
          <w:sz w:val="24"/>
          <w:szCs w:val="24"/>
        </w:rPr>
        <w:t>四</w:t>
      </w:r>
      <w:r w:rsidRPr="003E4A57">
        <w:rPr>
          <w:rFonts w:ascii="华文楷体" w:hAnsi="华文楷体" w:hint="eastAsia"/>
          <w:b w:val="0"/>
          <w:bCs/>
          <w:color w:val="auto"/>
          <w:sz w:val="24"/>
          <w:szCs w:val="24"/>
        </w:rPr>
        <w:t>条主线：</w:t>
      </w:r>
      <w:r w:rsidR="003627DB" w:rsidRPr="003627DB">
        <w:rPr>
          <w:rFonts w:ascii="华文楷体" w:hAnsi="华文楷体" w:hint="eastAsia"/>
          <w:b w:val="0"/>
          <w:bCs/>
          <w:color w:val="auto"/>
          <w:sz w:val="24"/>
          <w:szCs w:val="24"/>
        </w:rPr>
        <w:t>一是稳定型与低价高性价比转债，</w:t>
      </w:r>
      <w:proofErr w:type="gramStart"/>
      <w:r w:rsidR="003627DB" w:rsidRPr="003627DB">
        <w:rPr>
          <w:rFonts w:ascii="华文楷体" w:hAnsi="华文楷体" w:hint="eastAsia"/>
          <w:b w:val="0"/>
          <w:bCs/>
          <w:color w:val="auto"/>
          <w:sz w:val="24"/>
          <w:szCs w:val="24"/>
        </w:rPr>
        <w:t>高配130元</w:t>
      </w:r>
      <w:proofErr w:type="gramEnd"/>
      <w:r w:rsidR="003627DB" w:rsidRPr="003627DB">
        <w:rPr>
          <w:rFonts w:ascii="华文楷体" w:hAnsi="华文楷体" w:hint="eastAsia"/>
          <w:b w:val="0"/>
          <w:bCs/>
          <w:color w:val="auto"/>
          <w:sz w:val="24"/>
          <w:szCs w:val="24"/>
        </w:rPr>
        <w:t>/25%以</w:t>
      </w:r>
      <w:proofErr w:type="gramStart"/>
      <w:r w:rsidR="003627DB" w:rsidRPr="003627DB">
        <w:rPr>
          <w:rFonts w:ascii="华文楷体" w:hAnsi="华文楷体" w:hint="eastAsia"/>
          <w:b w:val="0"/>
          <w:bCs/>
          <w:color w:val="auto"/>
          <w:sz w:val="24"/>
          <w:szCs w:val="24"/>
        </w:rPr>
        <w:t>下溢价率基本</w:t>
      </w:r>
      <w:proofErr w:type="gramEnd"/>
      <w:r w:rsidR="003627DB" w:rsidRPr="003627DB">
        <w:rPr>
          <w:rFonts w:ascii="华文楷体" w:hAnsi="华文楷体" w:hint="eastAsia"/>
          <w:b w:val="0"/>
          <w:bCs/>
          <w:color w:val="auto"/>
          <w:sz w:val="24"/>
          <w:szCs w:val="24"/>
        </w:rPr>
        <w:t>面尚可的防御型标的，在市场整体估值高位下增加底仓品种的配置权重；二是在中游制造板块中寻找细分景气度不错、行业格局好、PEG估值性价比较高的中小市值隐形冠军；三是景气度持续提升的半导体、光伏、锂</w:t>
      </w:r>
      <w:proofErr w:type="gramStart"/>
      <w:r w:rsidR="003627DB" w:rsidRPr="003627DB">
        <w:rPr>
          <w:rFonts w:ascii="华文楷体" w:hAnsi="华文楷体" w:hint="eastAsia"/>
          <w:b w:val="0"/>
          <w:bCs/>
          <w:color w:val="auto"/>
          <w:sz w:val="24"/>
          <w:szCs w:val="24"/>
        </w:rPr>
        <w:t>电成长</w:t>
      </w:r>
      <w:proofErr w:type="gramEnd"/>
      <w:r w:rsidR="003627DB" w:rsidRPr="003627DB">
        <w:rPr>
          <w:rFonts w:ascii="华文楷体" w:hAnsi="华文楷体" w:hint="eastAsia"/>
          <w:b w:val="0"/>
          <w:bCs/>
          <w:color w:val="auto"/>
          <w:sz w:val="24"/>
          <w:szCs w:val="24"/>
        </w:rPr>
        <w:t>板块转债，短期调整叠加盈利释放后，估值吸引力有所提升，仍具备中长期配置价值。四是供需关系错配明显，具备涨价逻辑的细分周期转债，当前估值水平普遍偏低，建议小</w:t>
      </w:r>
      <w:proofErr w:type="gramStart"/>
      <w:r w:rsidR="003627DB" w:rsidRPr="003627DB">
        <w:rPr>
          <w:rFonts w:ascii="华文楷体" w:hAnsi="华文楷体" w:hint="eastAsia"/>
          <w:b w:val="0"/>
          <w:bCs/>
          <w:color w:val="auto"/>
          <w:sz w:val="24"/>
          <w:szCs w:val="24"/>
        </w:rPr>
        <w:t>仓位</w:t>
      </w:r>
      <w:proofErr w:type="gramEnd"/>
      <w:r w:rsidR="003627DB" w:rsidRPr="003627DB">
        <w:rPr>
          <w:rFonts w:ascii="华文楷体" w:hAnsi="华文楷体" w:hint="eastAsia"/>
          <w:b w:val="0"/>
          <w:bCs/>
          <w:color w:val="auto"/>
          <w:sz w:val="24"/>
          <w:szCs w:val="24"/>
        </w:rPr>
        <w:t>适度参与，短期仍有一定的博弈价值。</w:t>
      </w:r>
    </w:p>
    <w:p w14:paraId="799B0B13" w14:textId="0E290C28" w:rsidR="00F3595A" w:rsidRPr="00B76849" w:rsidRDefault="00B76849" w:rsidP="00F3595A">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Cs/>
          <w:sz w:val="24"/>
          <w:szCs w:val="24"/>
        </w:rPr>
        <w:t>下周关注：</w:t>
      </w:r>
      <w:r w:rsidR="00F3595A" w:rsidRPr="00F3595A">
        <w:rPr>
          <w:rFonts w:ascii="华文楷体" w:hAnsi="华文楷体" w:hint="eastAsia"/>
          <w:b w:val="0"/>
          <w:color w:val="auto"/>
          <w:sz w:val="24"/>
          <w:szCs w:val="24"/>
        </w:rPr>
        <w:t>国</w:t>
      </w:r>
      <w:r w:rsidR="003627DB">
        <w:rPr>
          <w:rFonts w:ascii="华文楷体" w:hAnsi="华文楷体" w:hint="eastAsia"/>
          <w:b w:val="0"/>
          <w:color w:val="auto"/>
          <w:sz w:val="24"/>
          <w:szCs w:val="24"/>
        </w:rPr>
        <w:t>内</w:t>
      </w:r>
      <w:r w:rsidR="00F3595A" w:rsidRPr="00F3595A">
        <w:rPr>
          <w:rFonts w:ascii="华文楷体" w:hAnsi="华文楷体" w:hint="eastAsia"/>
          <w:b w:val="0"/>
          <w:color w:val="auto"/>
          <w:sz w:val="24"/>
          <w:szCs w:val="24"/>
        </w:rPr>
        <w:t>疫情（福建）、央行MLF续作情况（周三）、8月经济数据（周三）、美国8月CPI（周二）</w:t>
      </w:r>
    </w:p>
    <w:p w14:paraId="5F84F6C0" w14:textId="4C04C8BE" w:rsidR="00213121" w:rsidRPr="00B76849" w:rsidRDefault="00213121" w:rsidP="00B76849">
      <w:pPr>
        <w:pStyle w:val="Header1"/>
        <w:spacing w:before="240"/>
        <w:ind w:firstLineChars="200" w:firstLine="482"/>
        <w:rPr>
          <w:rFonts w:ascii="华文楷体" w:hAnsi="华文楷体"/>
          <w:b w:val="0"/>
          <w:bCs/>
          <w:sz w:val="24"/>
          <w:szCs w:val="24"/>
        </w:rPr>
      </w:pPr>
      <w:r>
        <w:rPr>
          <w:rFonts w:ascii="黑体" w:eastAsia="黑体"/>
          <w:sz w:val="24"/>
          <w:szCs w:val="24"/>
        </w:rPr>
        <w:br w:type="page"/>
      </w:r>
    </w:p>
    <w:p w14:paraId="6E67394C" w14:textId="77777777" w:rsidR="00854CB7" w:rsidRPr="00025DA7" w:rsidRDefault="00854CB7" w:rsidP="00854CB7">
      <w:pPr>
        <w:rPr>
          <w:sz w:val="18"/>
          <w:szCs w:val="18"/>
        </w:rPr>
      </w:pPr>
      <w:r w:rsidRPr="00025DA7">
        <w:rPr>
          <w:rFonts w:ascii="微软雅黑" w:eastAsia="微软雅黑" w:hAnsi="微软雅黑" w:hint="eastAsia"/>
          <w:color w:val="808080"/>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25DA7">
        <w:rPr>
          <w:rFonts w:ascii="微软雅黑" w:eastAsia="微软雅黑" w:hAnsi="微软雅黑" w:hint="eastAsia"/>
          <w:color w:val="808080"/>
          <w:sz w:val="18"/>
          <w:szCs w:val="18"/>
          <w:shd w:val="clear" w:color="auto" w:fill="FFFFFF"/>
        </w:rPr>
        <w:t>作出</w:t>
      </w:r>
      <w:proofErr w:type="gramEnd"/>
      <w:r w:rsidRPr="00025DA7">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bookmarkStart w:id="0" w:name="_GoBack"/>
      <w:bookmarkEnd w:id="0"/>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8D3DF0" w14:textId="77777777" w:rsidR="00812B84" w:rsidRDefault="00812B84">
      <w:r>
        <w:separator/>
      </w:r>
    </w:p>
  </w:endnote>
  <w:endnote w:type="continuationSeparator" w:id="0">
    <w:p w14:paraId="0DEDDFFB" w14:textId="77777777" w:rsidR="00812B84" w:rsidRDefault="00812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854CB7" w:rsidRPr="00854CB7">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7B9447" w14:textId="77777777" w:rsidR="00812B84" w:rsidRDefault="00812B84">
      <w:r>
        <w:separator/>
      </w:r>
    </w:p>
  </w:footnote>
  <w:footnote w:type="continuationSeparator" w:id="0">
    <w:p w14:paraId="7150437D" w14:textId="77777777" w:rsidR="00812B84" w:rsidRDefault="00812B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AE6"/>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1FB3"/>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349B"/>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D4E"/>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7DB"/>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6806"/>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20"/>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45F"/>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839"/>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5F0"/>
    <w:rsid w:val="007A26DA"/>
    <w:rsid w:val="007A2C99"/>
    <w:rsid w:val="007A2E4E"/>
    <w:rsid w:val="007A325B"/>
    <w:rsid w:val="007A39C1"/>
    <w:rsid w:val="007A3C8F"/>
    <w:rsid w:val="007A3F0D"/>
    <w:rsid w:val="007A41EE"/>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B84"/>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CB7"/>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3A1"/>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4E6"/>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43C"/>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578"/>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25F"/>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6AD"/>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43"/>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088A"/>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90"/>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95A"/>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979DD"/>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766852492">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87232866">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12.21</c:v>
                </c:pt>
                <c:pt idx="1">
                  <c:v>-0.51</c:v>
                </c:pt>
                <c:pt idx="2">
                  <c:v>5.44</c:v>
                </c:pt>
                <c:pt idx="3">
                  <c:v>6.64</c:v>
                </c:pt>
                <c:pt idx="4">
                  <c:v>4.34</c:v>
                </c:pt>
                <c:pt idx="5">
                  <c:v>3.24</c:v>
                </c:pt>
                <c:pt idx="6">
                  <c:v>3.29</c:v>
                </c:pt>
              </c:numCache>
            </c:numRef>
          </c:val>
          <c:extLst xmlns:c16r2="http://schemas.microsoft.com/office/drawing/2015/06/chart">
            <c:ext xmlns:c16="http://schemas.microsoft.com/office/drawing/2014/chart" uri="{C3380CC4-5D6E-409C-BE32-E72D297353CC}">
              <c16:uniqueId val="{00000000-3AFF-49CB-924C-A1F06E2B5E10}"/>
            </c:ext>
          </c:extLst>
        </c:ser>
        <c:dLbls>
          <c:showLegendKey val="0"/>
          <c:showVal val="0"/>
          <c:showCatName val="0"/>
          <c:showSerName val="0"/>
          <c:showPercent val="0"/>
          <c:showBubbleSize val="0"/>
        </c:dLbls>
        <c:gapWidth val="150"/>
        <c:axId val="269838592"/>
        <c:axId val="269844864"/>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AFF-49CB-924C-A1F06E2B5E1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AFF-49CB-924C-A1F06E2B5E1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3AFF-49CB-924C-A1F06E2B5E1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AFF-49CB-924C-A1F06E2B5E1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3AFF-49CB-924C-A1F06E2B5E1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AFF-49CB-924C-A1F06E2B5E10}"/>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3AFF-49CB-924C-A1F06E2B5E1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1.9152</c:v>
                </c:pt>
                <c:pt idx="1">
                  <c:v>2.0528</c:v>
                </c:pt>
                <c:pt idx="2">
                  <c:v>2.3666</c:v>
                </c:pt>
                <c:pt idx="3">
                  <c:v>2.5714999999999999</c:v>
                </c:pt>
                <c:pt idx="4">
                  <c:v>2.7059000000000002</c:v>
                </c:pt>
                <c:pt idx="5">
                  <c:v>2.8673000000000002</c:v>
                </c:pt>
                <c:pt idx="6">
                  <c:v>2.8656000000000001</c:v>
                </c:pt>
              </c:numCache>
            </c:numRef>
          </c:val>
          <c:smooth val="0"/>
          <c:extLst xmlns:c16r2="http://schemas.microsoft.com/office/drawing/2015/06/chart">
            <c:ext xmlns:c16="http://schemas.microsoft.com/office/drawing/2014/chart" uri="{C3380CC4-5D6E-409C-BE32-E72D297353CC}">
              <c16:uniqueId val="{00000008-3AFF-49CB-924C-A1F06E2B5E10}"/>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1.7930999999999999</c:v>
                </c:pt>
                <c:pt idx="1">
                  <c:v>2.0579000000000001</c:v>
                </c:pt>
                <c:pt idx="2">
                  <c:v>2.3121999999999998</c:v>
                </c:pt>
                <c:pt idx="3">
                  <c:v>2.5051000000000001</c:v>
                </c:pt>
                <c:pt idx="4">
                  <c:v>2.6625000000000001</c:v>
                </c:pt>
                <c:pt idx="5">
                  <c:v>2.8349000000000002</c:v>
                </c:pt>
                <c:pt idx="6">
                  <c:v>2.8327</c:v>
                </c:pt>
              </c:numCache>
            </c:numRef>
          </c:val>
          <c:smooth val="0"/>
          <c:extLst xmlns:c16r2="http://schemas.microsoft.com/office/drawing/2015/06/chart">
            <c:ext xmlns:c16="http://schemas.microsoft.com/office/drawing/2014/chart" uri="{C3380CC4-5D6E-409C-BE32-E72D297353CC}">
              <c16:uniqueId val="{00000009-3AFF-49CB-924C-A1F06E2B5E10}"/>
            </c:ext>
          </c:extLst>
        </c:ser>
        <c:dLbls>
          <c:showLegendKey val="0"/>
          <c:showVal val="0"/>
          <c:showCatName val="0"/>
          <c:showSerName val="0"/>
          <c:showPercent val="0"/>
          <c:showBubbleSize val="0"/>
        </c:dLbls>
        <c:marker val="1"/>
        <c:smooth val="0"/>
        <c:axId val="269847936"/>
        <c:axId val="269846400"/>
      </c:lineChart>
      <c:dateAx>
        <c:axId val="26983859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9844864"/>
        <c:crosses val="autoZero"/>
        <c:auto val="0"/>
        <c:lblOffset val="0"/>
        <c:baseTimeUnit val="days"/>
      </c:dateAx>
      <c:valAx>
        <c:axId val="2698448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9838592"/>
        <c:crosses val="autoZero"/>
        <c:crossBetween val="between"/>
      </c:valAx>
      <c:valAx>
        <c:axId val="269846400"/>
        <c:scaling>
          <c:orientation val="minMax"/>
        </c:scaling>
        <c:delete val="0"/>
        <c:axPos val="r"/>
        <c:numFmt formatCode="#,##0.0_);[Red]\(#,##0.0\)" sourceLinked="0"/>
        <c:majorTickMark val="out"/>
        <c:minorTickMark val="none"/>
        <c:tickLblPos val="nextTo"/>
        <c:spPr>
          <a:ln w="3175">
            <a:solidFill>
              <a:sysClr val="windowText" lastClr="000000"/>
            </a:solidFill>
          </a:ln>
        </c:spPr>
        <c:crossAx val="269847936"/>
        <c:crosses val="max"/>
        <c:crossBetween val="between"/>
      </c:valAx>
      <c:dateAx>
        <c:axId val="269847936"/>
        <c:scaling>
          <c:orientation val="minMax"/>
        </c:scaling>
        <c:delete val="1"/>
        <c:axPos val="b"/>
        <c:numFmt formatCode="General" sourceLinked="1"/>
        <c:majorTickMark val="out"/>
        <c:minorTickMark val="none"/>
        <c:tickLblPos val="nextTo"/>
        <c:crossAx val="26984640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12.56</c:v>
                </c:pt>
                <c:pt idx="1">
                  <c:v>5.36</c:v>
                </c:pt>
                <c:pt idx="2">
                  <c:v>0.15</c:v>
                </c:pt>
                <c:pt idx="3">
                  <c:v>3.38</c:v>
                </c:pt>
                <c:pt idx="4">
                  <c:v>3.4</c:v>
                </c:pt>
                <c:pt idx="5">
                  <c:v>1.91</c:v>
                </c:pt>
                <c:pt idx="6">
                  <c:v>2.0299999999999998</c:v>
                </c:pt>
              </c:numCache>
            </c:numRef>
          </c:val>
          <c:extLst xmlns:c16r2="http://schemas.microsoft.com/office/drawing/2015/06/chart">
            <c:ext xmlns:c16="http://schemas.microsoft.com/office/drawing/2014/chart" uri="{C3380CC4-5D6E-409C-BE32-E72D297353CC}">
              <c16:uniqueId val="{00000000-A1DD-40C0-9B0B-C630DA3A9476}"/>
            </c:ext>
          </c:extLst>
        </c:ser>
        <c:dLbls>
          <c:showLegendKey val="0"/>
          <c:showVal val="0"/>
          <c:showCatName val="0"/>
          <c:showSerName val="0"/>
          <c:showPercent val="0"/>
          <c:showBubbleSize val="0"/>
        </c:dLbls>
        <c:gapWidth val="150"/>
        <c:axId val="273419264"/>
        <c:axId val="273421440"/>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1DD-40C0-9B0B-C630DA3A9476}"/>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A1DD-40C0-9B0B-C630DA3A9476}"/>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1DD-40C0-9B0B-C630DA3A9476}"/>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1DD-40C0-9B0B-C630DA3A9476}"/>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A1DD-40C0-9B0B-C630DA3A9476}"/>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1DD-40C0-9B0B-C630DA3A9476}"/>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A1DD-40C0-9B0B-C630DA3A9476}"/>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1.9268000000000001</c:v>
                </c:pt>
                <c:pt idx="1">
                  <c:v>2.1657000000000002</c:v>
                </c:pt>
                <c:pt idx="2">
                  <c:v>2.3769999999999998</c:v>
                </c:pt>
                <c:pt idx="3">
                  <c:v>2.7808999999999999</c:v>
                </c:pt>
                <c:pt idx="4">
                  <c:v>3.0419</c:v>
                </c:pt>
                <c:pt idx="5">
                  <c:v>3.1880000000000002</c:v>
                </c:pt>
                <c:pt idx="6">
                  <c:v>3.1924000000000001</c:v>
                </c:pt>
              </c:numCache>
            </c:numRef>
          </c:val>
          <c:smooth val="0"/>
          <c:extLst xmlns:c16r2="http://schemas.microsoft.com/office/drawing/2015/06/chart">
            <c:ext xmlns:c16="http://schemas.microsoft.com/office/drawing/2014/chart" uri="{C3380CC4-5D6E-409C-BE32-E72D297353CC}">
              <c16:uniqueId val="{00000008-A1DD-40C0-9B0B-C630DA3A9476}"/>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1.8011999999999999</c:v>
                </c:pt>
                <c:pt idx="1">
                  <c:v>2.1120999999999999</c:v>
                </c:pt>
                <c:pt idx="2">
                  <c:v>2.3755000000000002</c:v>
                </c:pt>
                <c:pt idx="3">
                  <c:v>2.7471000000000001</c:v>
                </c:pt>
                <c:pt idx="4">
                  <c:v>3.0078999999999998</c:v>
                </c:pt>
                <c:pt idx="5">
                  <c:v>3.1688999999999998</c:v>
                </c:pt>
                <c:pt idx="6">
                  <c:v>3.1720999999999999</c:v>
                </c:pt>
              </c:numCache>
            </c:numRef>
          </c:val>
          <c:smooth val="0"/>
          <c:extLst xmlns:c16r2="http://schemas.microsoft.com/office/drawing/2015/06/chart">
            <c:ext xmlns:c16="http://schemas.microsoft.com/office/drawing/2014/chart" uri="{C3380CC4-5D6E-409C-BE32-E72D297353CC}">
              <c16:uniqueId val="{00000009-A1DD-40C0-9B0B-C630DA3A9476}"/>
            </c:ext>
          </c:extLst>
        </c:ser>
        <c:dLbls>
          <c:showLegendKey val="0"/>
          <c:showVal val="0"/>
          <c:showCatName val="0"/>
          <c:showSerName val="0"/>
          <c:showPercent val="0"/>
          <c:showBubbleSize val="0"/>
        </c:dLbls>
        <c:marker val="1"/>
        <c:smooth val="0"/>
        <c:axId val="273441152"/>
        <c:axId val="273422976"/>
      </c:lineChart>
      <c:dateAx>
        <c:axId val="2734192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421440"/>
        <c:crosses val="autoZero"/>
        <c:auto val="0"/>
        <c:lblOffset val="0"/>
        <c:baseTimeUnit val="days"/>
      </c:dateAx>
      <c:valAx>
        <c:axId val="27342144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419264"/>
        <c:crosses val="autoZero"/>
        <c:crossBetween val="between"/>
      </c:valAx>
      <c:valAx>
        <c:axId val="273422976"/>
        <c:scaling>
          <c:orientation val="minMax"/>
        </c:scaling>
        <c:delete val="0"/>
        <c:axPos val="r"/>
        <c:numFmt formatCode="#,##0.0_);[Red]\(#,##0.0\)" sourceLinked="0"/>
        <c:majorTickMark val="out"/>
        <c:minorTickMark val="none"/>
        <c:tickLblPos val="nextTo"/>
        <c:spPr>
          <a:ln w="3175">
            <a:solidFill>
              <a:sysClr val="windowText" lastClr="000000"/>
            </a:solidFill>
          </a:ln>
        </c:spPr>
        <c:crossAx val="273441152"/>
        <c:crosses val="max"/>
        <c:crossBetween val="between"/>
      </c:valAx>
      <c:dateAx>
        <c:axId val="273441152"/>
        <c:scaling>
          <c:orientation val="minMax"/>
        </c:scaling>
        <c:delete val="1"/>
        <c:axPos val="b"/>
        <c:numFmt formatCode="General" sourceLinked="1"/>
        <c:majorTickMark val="out"/>
        <c:minorTickMark val="none"/>
        <c:tickLblPos val="nextTo"/>
        <c:crossAx val="27342297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44449</c:v>
                </c:pt>
                <c:pt idx="1">
                  <c:v>44442</c:v>
                </c:pt>
                <c:pt idx="2">
                  <c:v>44435</c:v>
                </c:pt>
                <c:pt idx="3">
                  <c:v>44428</c:v>
                </c:pt>
                <c:pt idx="4">
                  <c:v>44421</c:v>
                </c:pt>
                <c:pt idx="5">
                  <c:v>44414</c:v>
                </c:pt>
                <c:pt idx="6">
                  <c:v>44407</c:v>
                </c:pt>
                <c:pt idx="7">
                  <c:v>44400</c:v>
                </c:pt>
                <c:pt idx="8">
                  <c:v>44393</c:v>
                </c:pt>
                <c:pt idx="9">
                  <c:v>44386</c:v>
                </c:pt>
                <c:pt idx="10">
                  <c:v>44379</c:v>
                </c:pt>
                <c:pt idx="11">
                  <c:v>44372</c:v>
                </c:pt>
                <c:pt idx="12">
                  <c:v>44365</c:v>
                </c:pt>
                <c:pt idx="13">
                  <c:v>44358</c:v>
                </c:pt>
                <c:pt idx="14">
                  <c:v>44351</c:v>
                </c:pt>
                <c:pt idx="15">
                  <c:v>44344</c:v>
                </c:pt>
                <c:pt idx="16">
                  <c:v>44337</c:v>
                </c:pt>
                <c:pt idx="17">
                  <c:v>44330</c:v>
                </c:pt>
                <c:pt idx="18">
                  <c:v>44323</c:v>
                </c:pt>
                <c:pt idx="19">
                  <c:v>44316</c:v>
                </c:pt>
                <c:pt idx="20">
                  <c:v>44309</c:v>
                </c:pt>
                <c:pt idx="21">
                  <c:v>44302</c:v>
                </c:pt>
                <c:pt idx="22">
                  <c:v>44295</c:v>
                </c:pt>
                <c:pt idx="23">
                  <c:v>44288</c:v>
                </c:pt>
              </c:numCache>
            </c:numRef>
          </c:cat>
          <c:val>
            <c:numRef>
              <c:f>转债!$H$5:$H$28</c:f>
              <c:numCache>
                <c:formatCode>General</c:formatCode>
                <c:ptCount val="24"/>
                <c:pt idx="0">
                  <c:v>15.194915205934656</c:v>
                </c:pt>
                <c:pt idx="1">
                  <c:v>12.820252540646404</c:v>
                </c:pt>
                <c:pt idx="2">
                  <c:v>10.398417977215813</c:v>
                </c:pt>
                <c:pt idx="3">
                  <c:v>8.4225179859825019</c:v>
                </c:pt>
                <c:pt idx="4">
                  <c:v>9.6192131303982631</c:v>
                </c:pt>
                <c:pt idx="5">
                  <c:v>8.4115528266904818</c:v>
                </c:pt>
                <c:pt idx="6">
                  <c:v>7.0584684549466203</c:v>
                </c:pt>
                <c:pt idx="7">
                  <c:v>8.0130344259861097</c:v>
                </c:pt>
                <c:pt idx="8">
                  <c:v>6.5163173241102879</c:v>
                </c:pt>
                <c:pt idx="9">
                  <c:v>5.0943750089906148</c:v>
                </c:pt>
                <c:pt idx="10">
                  <c:v>3.1433366165481091</c:v>
                </c:pt>
                <c:pt idx="11">
                  <c:v>4.1459701546820327</c:v>
                </c:pt>
                <c:pt idx="12">
                  <c:v>2.1058534137336382</c:v>
                </c:pt>
                <c:pt idx="13">
                  <c:v>3.8125641726447945</c:v>
                </c:pt>
                <c:pt idx="14">
                  <c:v>3.9838540743573514</c:v>
                </c:pt>
                <c:pt idx="15">
                  <c:v>3.9025381901027334</c:v>
                </c:pt>
                <c:pt idx="16">
                  <c:v>2.2156407140707213</c:v>
                </c:pt>
                <c:pt idx="17">
                  <c:v>1.9882493661784961</c:v>
                </c:pt>
                <c:pt idx="18">
                  <c:v>1.0952131379978747</c:v>
                </c:pt>
                <c:pt idx="19">
                  <c:v>0.80987472305509289</c:v>
                </c:pt>
                <c:pt idx="20">
                  <c:v>0.81177462689281388</c:v>
                </c:pt>
                <c:pt idx="21">
                  <c:v>8.9865451524362427E-2</c:v>
                </c:pt>
                <c:pt idx="22">
                  <c:v>0.37403678268110863</c:v>
                </c:pt>
                <c:pt idx="23">
                  <c:v>0</c:v>
                </c:pt>
              </c:numCache>
            </c:numRef>
          </c:val>
          <c:smooth val="1"/>
          <c:extLst xmlns:c16r2="http://schemas.microsoft.com/office/drawing/2015/06/chart">
            <c:ext xmlns:c16="http://schemas.microsoft.com/office/drawing/2014/chart" uri="{C3380CC4-5D6E-409C-BE32-E72D297353CC}">
              <c16:uniqueId val="{00000000-80BE-4699-8A8F-7125F6D457D4}"/>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44449</c:v>
                </c:pt>
                <c:pt idx="1">
                  <c:v>44442</c:v>
                </c:pt>
                <c:pt idx="2">
                  <c:v>44435</c:v>
                </c:pt>
                <c:pt idx="3">
                  <c:v>44428</c:v>
                </c:pt>
                <c:pt idx="4">
                  <c:v>44421</c:v>
                </c:pt>
                <c:pt idx="5">
                  <c:v>44414</c:v>
                </c:pt>
                <c:pt idx="6">
                  <c:v>44407</c:v>
                </c:pt>
                <c:pt idx="7">
                  <c:v>44400</c:v>
                </c:pt>
                <c:pt idx="8">
                  <c:v>44393</c:v>
                </c:pt>
                <c:pt idx="9">
                  <c:v>44386</c:v>
                </c:pt>
                <c:pt idx="10">
                  <c:v>44379</c:v>
                </c:pt>
                <c:pt idx="11">
                  <c:v>44372</c:v>
                </c:pt>
                <c:pt idx="12">
                  <c:v>44365</c:v>
                </c:pt>
                <c:pt idx="13">
                  <c:v>44358</c:v>
                </c:pt>
                <c:pt idx="14">
                  <c:v>44351</c:v>
                </c:pt>
                <c:pt idx="15">
                  <c:v>44344</c:v>
                </c:pt>
                <c:pt idx="16">
                  <c:v>44337</c:v>
                </c:pt>
                <c:pt idx="17">
                  <c:v>44330</c:v>
                </c:pt>
                <c:pt idx="18">
                  <c:v>44323</c:v>
                </c:pt>
                <c:pt idx="19">
                  <c:v>44316</c:v>
                </c:pt>
                <c:pt idx="20">
                  <c:v>44309</c:v>
                </c:pt>
                <c:pt idx="21">
                  <c:v>44302</c:v>
                </c:pt>
                <c:pt idx="22">
                  <c:v>44295</c:v>
                </c:pt>
                <c:pt idx="23">
                  <c:v>44288</c:v>
                </c:pt>
              </c:numCache>
            </c:numRef>
          </c:cat>
          <c:val>
            <c:numRef>
              <c:f>转债!$I$5:$I$28</c:f>
              <c:numCache>
                <c:formatCode>General</c:formatCode>
                <c:ptCount val="24"/>
                <c:pt idx="0">
                  <c:v>1.7835418340410802</c:v>
                </c:pt>
                <c:pt idx="1">
                  <c:v>1.9461766368686906</c:v>
                </c:pt>
                <c:pt idx="2">
                  <c:v>1.7866023948888587</c:v>
                </c:pt>
                <c:pt idx="3">
                  <c:v>1.8996731150983326</c:v>
                </c:pt>
                <c:pt idx="4">
                  <c:v>1.7149342617034602</c:v>
                </c:pt>
                <c:pt idx="5">
                  <c:v>2.0180148012123311</c:v>
                </c:pt>
                <c:pt idx="6">
                  <c:v>1.8484087208981093</c:v>
                </c:pt>
                <c:pt idx="7">
                  <c:v>1.5591857207833293</c:v>
                </c:pt>
                <c:pt idx="8">
                  <c:v>1.2958924722955345</c:v>
                </c:pt>
                <c:pt idx="9">
                  <c:v>0.96603202536864607</c:v>
                </c:pt>
                <c:pt idx="10">
                  <c:v>0.55124101491597077</c:v>
                </c:pt>
                <c:pt idx="11">
                  <c:v>0.52233571802033918</c:v>
                </c:pt>
                <c:pt idx="12">
                  <c:v>0.31574786079549</c:v>
                </c:pt>
                <c:pt idx="13">
                  <c:v>0.39336708451822577</c:v>
                </c:pt>
                <c:pt idx="14">
                  <c:v>0.60888157754908079</c:v>
                </c:pt>
                <c:pt idx="15">
                  <c:v>0.70630943120326695</c:v>
                </c:pt>
                <c:pt idx="16">
                  <c:v>0.77049619342743902</c:v>
                </c:pt>
                <c:pt idx="17">
                  <c:v>0.5015069011396367</c:v>
                </c:pt>
                <c:pt idx="18">
                  <c:v>0.4116454340257869</c:v>
                </c:pt>
                <c:pt idx="19">
                  <c:v>0.35425991812998436</c:v>
                </c:pt>
                <c:pt idx="20">
                  <c:v>0.39379216241375303</c:v>
                </c:pt>
                <c:pt idx="21">
                  <c:v>0.26626879375644119</c:v>
                </c:pt>
                <c:pt idx="22">
                  <c:v>-2.7970125525500489E-2</c:v>
                </c:pt>
                <c:pt idx="23">
                  <c:v>0</c:v>
                </c:pt>
              </c:numCache>
            </c:numRef>
          </c:val>
          <c:smooth val="1"/>
          <c:extLst xmlns:c16r2="http://schemas.microsoft.com/office/drawing/2015/06/chart">
            <c:ext xmlns:c16="http://schemas.microsoft.com/office/drawing/2014/chart" uri="{C3380CC4-5D6E-409C-BE32-E72D297353CC}">
              <c16:uniqueId val="{00000001-80BE-4699-8A8F-7125F6D457D4}"/>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44449</c:v>
                </c:pt>
                <c:pt idx="1">
                  <c:v>44442</c:v>
                </c:pt>
                <c:pt idx="2">
                  <c:v>44435</c:v>
                </c:pt>
                <c:pt idx="3">
                  <c:v>44428</c:v>
                </c:pt>
                <c:pt idx="4">
                  <c:v>44421</c:v>
                </c:pt>
                <c:pt idx="5">
                  <c:v>44414</c:v>
                </c:pt>
                <c:pt idx="6">
                  <c:v>44407</c:v>
                </c:pt>
                <c:pt idx="7">
                  <c:v>44400</c:v>
                </c:pt>
                <c:pt idx="8">
                  <c:v>44393</c:v>
                </c:pt>
                <c:pt idx="9">
                  <c:v>44386</c:v>
                </c:pt>
                <c:pt idx="10">
                  <c:v>44379</c:v>
                </c:pt>
                <c:pt idx="11">
                  <c:v>44372</c:v>
                </c:pt>
                <c:pt idx="12">
                  <c:v>44365</c:v>
                </c:pt>
                <c:pt idx="13">
                  <c:v>44358</c:v>
                </c:pt>
                <c:pt idx="14">
                  <c:v>44351</c:v>
                </c:pt>
                <c:pt idx="15">
                  <c:v>44344</c:v>
                </c:pt>
                <c:pt idx="16">
                  <c:v>44337</c:v>
                </c:pt>
                <c:pt idx="17">
                  <c:v>44330</c:v>
                </c:pt>
                <c:pt idx="18">
                  <c:v>44323</c:v>
                </c:pt>
                <c:pt idx="19">
                  <c:v>44316</c:v>
                </c:pt>
                <c:pt idx="20">
                  <c:v>44309</c:v>
                </c:pt>
                <c:pt idx="21">
                  <c:v>44302</c:v>
                </c:pt>
                <c:pt idx="22">
                  <c:v>44295</c:v>
                </c:pt>
                <c:pt idx="23">
                  <c:v>44288</c:v>
                </c:pt>
              </c:numCache>
            </c:numRef>
          </c:cat>
          <c:val>
            <c:numRef>
              <c:f>转债!$J$5:$J$28</c:f>
              <c:numCache>
                <c:formatCode>General</c:formatCode>
                <c:ptCount val="24"/>
                <c:pt idx="0">
                  <c:v>-2.868029993043375</c:v>
                </c:pt>
                <c:pt idx="1">
                  <c:v>-6.170512234399661</c:v>
                </c:pt>
                <c:pt idx="2">
                  <c:v>-6.4808662673078281</c:v>
                </c:pt>
                <c:pt idx="3">
                  <c:v>-7.6002087664673423</c:v>
                </c:pt>
                <c:pt idx="4">
                  <c:v>-4.1765305348081982</c:v>
                </c:pt>
                <c:pt idx="5">
                  <c:v>-4.6496087256153178</c:v>
                </c:pt>
                <c:pt idx="6">
                  <c:v>-6.7884052581111636</c:v>
                </c:pt>
                <c:pt idx="7">
                  <c:v>-1.4012961864277806</c:v>
                </c:pt>
                <c:pt idx="8">
                  <c:v>-1.2938770470591776</c:v>
                </c:pt>
                <c:pt idx="9">
                  <c:v>-1.7847483188647928</c:v>
                </c:pt>
                <c:pt idx="10">
                  <c:v>-1.5584386951154161</c:v>
                </c:pt>
                <c:pt idx="11">
                  <c:v>1.5191443496438195</c:v>
                </c:pt>
                <c:pt idx="12">
                  <c:v>-1.1448328700977783</c:v>
                </c:pt>
                <c:pt idx="13">
                  <c:v>1.2233925000420198</c:v>
                </c:pt>
                <c:pt idx="14">
                  <c:v>2.3388350131333668</c:v>
                </c:pt>
                <c:pt idx="15">
                  <c:v>3.0907670513135477</c:v>
                </c:pt>
                <c:pt idx="16">
                  <c:v>-0.5310141984485317</c:v>
                </c:pt>
                <c:pt idx="17">
                  <c:v>-0.98743074981889611</c:v>
                </c:pt>
                <c:pt idx="18">
                  <c:v>-3.2064782624017796</c:v>
                </c:pt>
                <c:pt idx="19">
                  <c:v>-0.737527469667143</c:v>
                </c:pt>
                <c:pt idx="20">
                  <c:v>-0.50572919190330357</c:v>
                </c:pt>
                <c:pt idx="21">
                  <c:v>-3.7852106212371672</c:v>
                </c:pt>
                <c:pt idx="22">
                  <c:v>-2.4453765103315872</c:v>
                </c:pt>
                <c:pt idx="23">
                  <c:v>0</c:v>
                </c:pt>
              </c:numCache>
            </c:numRef>
          </c:val>
          <c:smooth val="1"/>
          <c:extLst xmlns:c16r2="http://schemas.microsoft.com/office/drawing/2015/06/chart">
            <c:ext xmlns:c16="http://schemas.microsoft.com/office/drawing/2014/chart" uri="{C3380CC4-5D6E-409C-BE32-E72D297353CC}">
              <c16:uniqueId val="{00000002-80BE-4699-8A8F-7125F6D457D4}"/>
            </c:ext>
          </c:extLst>
        </c:ser>
        <c:dLbls>
          <c:showLegendKey val="0"/>
          <c:showVal val="0"/>
          <c:showCatName val="0"/>
          <c:showSerName val="0"/>
          <c:showPercent val="0"/>
          <c:showBubbleSize val="0"/>
        </c:dLbls>
        <c:marker val="1"/>
        <c:smooth val="0"/>
        <c:axId val="273471360"/>
        <c:axId val="273472896"/>
      </c:lineChart>
      <c:dateAx>
        <c:axId val="27347136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3472896"/>
        <c:crosses val="autoZero"/>
        <c:auto val="0"/>
        <c:lblOffset val="0"/>
        <c:baseTimeUnit val="days"/>
      </c:dateAx>
      <c:valAx>
        <c:axId val="27347289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3471360"/>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汇率!$A$3:$A$24</c:f>
              <c:numCache>
                <c:formatCode>yyyy\-mm\-dd;@</c:formatCode>
                <c:ptCount val="22"/>
                <c:pt idx="0">
                  <c:v>44450</c:v>
                </c:pt>
                <c:pt idx="1">
                  <c:v>44443</c:v>
                </c:pt>
                <c:pt idx="2">
                  <c:v>44436</c:v>
                </c:pt>
                <c:pt idx="3">
                  <c:v>44429</c:v>
                </c:pt>
                <c:pt idx="4">
                  <c:v>44422</c:v>
                </c:pt>
                <c:pt idx="5">
                  <c:v>44415</c:v>
                </c:pt>
                <c:pt idx="6">
                  <c:v>44408</c:v>
                </c:pt>
                <c:pt idx="7">
                  <c:v>44401</c:v>
                </c:pt>
                <c:pt idx="8">
                  <c:v>44394</c:v>
                </c:pt>
                <c:pt idx="9">
                  <c:v>44387</c:v>
                </c:pt>
                <c:pt idx="10">
                  <c:v>44380</c:v>
                </c:pt>
                <c:pt idx="11">
                  <c:v>44373</c:v>
                </c:pt>
                <c:pt idx="12">
                  <c:v>44366</c:v>
                </c:pt>
                <c:pt idx="13">
                  <c:v>44359</c:v>
                </c:pt>
                <c:pt idx="14">
                  <c:v>44352</c:v>
                </c:pt>
                <c:pt idx="15">
                  <c:v>44345</c:v>
                </c:pt>
                <c:pt idx="16">
                  <c:v>44338</c:v>
                </c:pt>
                <c:pt idx="17">
                  <c:v>44331</c:v>
                </c:pt>
                <c:pt idx="18">
                  <c:v>44324</c:v>
                </c:pt>
                <c:pt idx="19">
                  <c:v>44317</c:v>
                </c:pt>
                <c:pt idx="20">
                  <c:v>44310</c:v>
                </c:pt>
                <c:pt idx="21">
                  <c:v>44303</c:v>
                </c:pt>
              </c:numCache>
            </c:numRef>
          </c:cat>
          <c:val>
            <c:numRef>
              <c:f>汇率!$B$3:$B$24</c:f>
              <c:numCache>
                <c:formatCode>###,###,###,###,##0.00</c:formatCode>
                <c:ptCount val="22"/>
                <c:pt idx="0">
                  <c:v>6.4408000000000003</c:v>
                </c:pt>
                <c:pt idx="1">
                  <c:v>6.4565000000000001</c:v>
                </c:pt>
                <c:pt idx="2">
                  <c:v>6.4797000000000002</c:v>
                </c:pt>
                <c:pt idx="3">
                  <c:v>6.5</c:v>
                </c:pt>
                <c:pt idx="4">
                  <c:v>6.4829999999999997</c:v>
                </c:pt>
                <c:pt idx="5">
                  <c:v>6.4687999999999999</c:v>
                </c:pt>
                <c:pt idx="6">
                  <c:v>6.4560000000000004</c:v>
                </c:pt>
                <c:pt idx="7">
                  <c:v>6.4759000000000002</c:v>
                </c:pt>
                <c:pt idx="8">
                  <c:v>6.4678000000000004</c:v>
                </c:pt>
                <c:pt idx="9">
                  <c:v>6.4847000000000001</c:v>
                </c:pt>
                <c:pt idx="10">
                  <c:v>6.4824999999999999</c:v>
                </c:pt>
                <c:pt idx="11">
                  <c:v>6.4553000000000003</c:v>
                </c:pt>
                <c:pt idx="12">
                  <c:v>6.4408000000000003</c:v>
                </c:pt>
                <c:pt idx="13">
                  <c:v>6.3914</c:v>
                </c:pt>
                <c:pt idx="14">
                  <c:v>6.4092000000000002</c:v>
                </c:pt>
                <c:pt idx="15">
                  <c:v>6.3654000000000002</c:v>
                </c:pt>
                <c:pt idx="16">
                  <c:v>6.4337</c:v>
                </c:pt>
                <c:pt idx="17">
                  <c:v>6.4347000000000003</c:v>
                </c:pt>
                <c:pt idx="18">
                  <c:v>6.4588999999999999</c:v>
                </c:pt>
                <c:pt idx="19">
                  <c:v>6.4715999999999996</c:v>
                </c:pt>
                <c:pt idx="20">
                  <c:v>6.4935999999999998</c:v>
                </c:pt>
                <c:pt idx="21">
                  <c:v>6.5228000000000002</c:v>
                </c:pt>
              </c:numCache>
            </c:numRef>
          </c:val>
          <c:smooth val="1"/>
          <c:extLst xmlns:c16r2="http://schemas.microsoft.com/office/drawing/2015/06/chart">
            <c:ext xmlns:c16="http://schemas.microsoft.com/office/drawing/2014/chart" uri="{C3380CC4-5D6E-409C-BE32-E72D297353CC}">
              <c16:uniqueId val="{00000000-A1A5-47FD-901E-1B94C71AAF5B}"/>
            </c:ext>
          </c:extLst>
        </c:ser>
        <c:dLbls>
          <c:showLegendKey val="0"/>
          <c:showVal val="0"/>
          <c:showCatName val="0"/>
          <c:showSerName val="0"/>
          <c:showPercent val="0"/>
          <c:showBubbleSize val="0"/>
        </c:dLbls>
        <c:marker val="1"/>
        <c:smooth val="0"/>
        <c:axId val="305317376"/>
        <c:axId val="30531891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汇率!$A$3:$A$24</c:f>
              <c:numCache>
                <c:formatCode>yyyy\-mm\-dd;@</c:formatCode>
                <c:ptCount val="22"/>
                <c:pt idx="0">
                  <c:v>44450</c:v>
                </c:pt>
                <c:pt idx="1">
                  <c:v>44443</c:v>
                </c:pt>
                <c:pt idx="2">
                  <c:v>44436</c:v>
                </c:pt>
                <c:pt idx="3">
                  <c:v>44429</c:v>
                </c:pt>
                <c:pt idx="4">
                  <c:v>44422</c:v>
                </c:pt>
                <c:pt idx="5">
                  <c:v>44415</c:v>
                </c:pt>
                <c:pt idx="6">
                  <c:v>44408</c:v>
                </c:pt>
                <c:pt idx="7">
                  <c:v>44401</c:v>
                </c:pt>
                <c:pt idx="8">
                  <c:v>44394</c:v>
                </c:pt>
                <c:pt idx="9">
                  <c:v>44387</c:v>
                </c:pt>
                <c:pt idx="10">
                  <c:v>44380</c:v>
                </c:pt>
                <c:pt idx="11">
                  <c:v>44373</c:v>
                </c:pt>
                <c:pt idx="12">
                  <c:v>44366</c:v>
                </c:pt>
                <c:pt idx="13">
                  <c:v>44359</c:v>
                </c:pt>
                <c:pt idx="14">
                  <c:v>44352</c:v>
                </c:pt>
                <c:pt idx="15">
                  <c:v>44345</c:v>
                </c:pt>
                <c:pt idx="16">
                  <c:v>44338</c:v>
                </c:pt>
                <c:pt idx="17">
                  <c:v>44331</c:v>
                </c:pt>
                <c:pt idx="18">
                  <c:v>44324</c:v>
                </c:pt>
                <c:pt idx="19">
                  <c:v>44317</c:v>
                </c:pt>
                <c:pt idx="20">
                  <c:v>44310</c:v>
                </c:pt>
                <c:pt idx="21">
                  <c:v>44303</c:v>
                </c:pt>
              </c:numCache>
            </c:numRef>
          </c:cat>
          <c:val>
            <c:numRef>
              <c:f>汇率!$C$3:$C$24</c:f>
              <c:numCache>
                <c:formatCode>###,###,###,###,##0.00</c:formatCode>
                <c:ptCount val="22"/>
                <c:pt idx="0">
                  <c:v>151.56</c:v>
                </c:pt>
                <c:pt idx="1">
                  <c:v>150.26999999999998</c:v>
                </c:pt>
                <c:pt idx="2">
                  <c:v>155.98000000000002</c:v>
                </c:pt>
                <c:pt idx="3">
                  <c:v>159.19999999999999</c:v>
                </c:pt>
                <c:pt idx="4">
                  <c:v>158.91999999999999</c:v>
                </c:pt>
                <c:pt idx="5">
                  <c:v>150.38999999999999</c:v>
                </c:pt>
                <c:pt idx="6">
                  <c:v>159.63</c:v>
                </c:pt>
                <c:pt idx="7">
                  <c:v>161.34</c:v>
                </c:pt>
                <c:pt idx="8">
                  <c:v>163.32</c:v>
                </c:pt>
                <c:pt idx="9">
                  <c:v>164.04999999999998</c:v>
                </c:pt>
                <c:pt idx="10">
                  <c:v>164.02999999999997</c:v>
                </c:pt>
                <c:pt idx="11">
                  <c:v>154.26999999999998</c:v>
                </c:pt>
                <c:pt idx="12">
                  <c:v>167.02</c:v>
                </c:pt>
                <c:pt idx="13">
                  <c:v>165.76000000000002</c:v>
                </c:pt>
                <c:pt idx="14">
                  <c:v>153.24999999999997</c:v>
                </c:pt>
                <c:pt idx="15">
                  <c:v>150.25</c:v>
                </c:pt>
                <c:pt idx="16">
                  <c:v>145.76000000000002</c:v>
                </c:pt>
                <c:pt idx="17">
                  <c:v>151.22</c:v>
                </c:pt>
                <c:pt idx="18">
                  <c:v>155.88999999999999</c:v>
                </c:pt>
                <c:pt idx="19">
                  <c:v>151.40000000000003</c:v>
                </c:pt>
                <c:pt idx="20">
                  <c:v>159.19</c:v>
                </c:pt>
                <c:pt idx="21">
                  <c:v>157.31</c:v>
                </c:pt>
              </c:numCache>
            </c:numRef>
          </c:val>
          <c:smooth val="1"/>
          <c:extLst xmlns:c16r2="http://schemas.microsoft.com/office/drawing/2015/06/chart">
            <c:ext xmlns:c16="http://schemas.microsoft.com/office/drawing/2014/chart" uri="{C3380CC4-5D6E-409C-BE32-E72D297353CC}">
              <c16:uniqueId val="{00000001-A1A5-47FD-901E-1B94C71AAF5B}"/>
            </c:ext>
          </c:extLst>
        </c:ser>
        <c:dLbls>
          <c:showLegendKey val="0"/>
          <c:showVal val="0"/>
          <c:showCatName val="0"/>
          <c:showSerName val="0"/>
          <c:showPercent val="0"/>
          <c:showBubbleSize val="0"/>
        </c:dLbls>
        <c:marker val="1"/>
        <c:smooth val="0"/>
        <c:axId val="305322240"/>
        <c:axId val="305320704"/>
      </c:lineChart>
      <c:dateAx>
        <c:axId val="3053173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5318912"/>
        <c:crosses val="autoZero"/>
        <c:auto val="0"/>
        <c:lblOffset val="0"/>
        <c:baseTimeUnit val="days"/>
      </c:dateAx>
      <c:valAx>
        <c:axId val="305318912"/>
        <c:scaling>
          <c:orientation val="minMax"/>
          <c:min val="6.35"/>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5317376"/>
        <c:crosses val="autoZero"/>
        <c:crossBetween val="between"/>
      </c:valAx>
      <c:valAx>
        <c:axId val="305320704"/>
        <c:scaling>
          <c:orientation val="minMax"/>
        </c:scaling>
        <c:delete val="0"/>
        <c:axPos val="r"/>
        <c:numFmt formatCode="#,##0_);[Red]\(#,##0\)" sourceLinked="0"/>
        <c:majorTickMark val="out"/>
        <c:minorTickMark val="none"/>
        <c:tickLblPos val="nextTo"/>
        <c:spPr>
          <a:ln w="3175">
            <a:solidFill>
              <a:sysClr val="windowText" lastClr="000000"/>
            </a:solidFill>
          </a:ln>
        </c:spPr>
        <c:crossAx val="305322240"/>
        <c:crosses val="max"/>
        <c:crossBetween val="between"/>
      </c:valAx>
      <c:dateAx>
        <c:axId val="305322240"/>
        <c:scaling>
          <c:orientation val="minMax"/>
        </c:scaling>
        <c:delete val="1"/>
        <c:axPos val="b"/>
        <c:numFmt formatCode="yyyy\-mm\-dd;@" sourceLinked="1"/>
        <c:majorTickMark val="out"/>
        <c:minorTickMark val="none"/>
        <c:tickLblPos val="nextTo"/>
        <c:crossAx val="30532070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汇率!$K$3:$K$100</c:f>
              <c:numCache>
                <c:formatCode>yyyy\-mm\-dd;@</c:formatCode>
                <c:ptCount val="98"/>
                <c:pt idx="0">
                  <c:v>44450</c:v>
                </c:pt>
                <c:pt idx="1">
                  <c:v>44443</c:v>
                </c:pt>
                <c:pt idx="2">
                  <c:v>44436</c:v>
                </c:pt>
                <c:pt idx="3">
                  <c:v>44429</c:v>
                </c:pt>
                <c:pt idx="4">
                  <c:v>44422</c:v>
                </c:pt>
                <c:pt idx="5">
                  <c:v>44415</c:v>
                </c:pt>
                <c:pt idx="6">
                  <c:v>44408</c:v>
                </c:pt>
                <c:pt idx="7">
                  <c:v>44401</c:v>
                </c:pt>
                <c:pt idx="8">
                  <c:v>44394</c:v>
                </c:pt>
                <c:pt idx="9">
                  <c:v>44387</c:v>
                </c:pt>
                <c:pt idx="10">
                  <c:v>44380</c:v>
                </c:pt>
                <c:pt idx="11">
                  <c:v>44373</c:v>
                </c:pt>
                <c:pt idx="12">
                  <c:v>44366</c:v>
                </c:pt>
                <c:pt idx="13">
                  <c:v>44359</c:v>
                </c:pt>
                <c:pt idx="14">
                  <c:v>44352</c:v>
                </c:pt>
                <c:pt idx="15">
                  <c:v>44345</c:v>
                </c:pt>
                <c:pt idx="16">
                  <c:v>44338</c:v>
                </c:pt>
                <c:pt idx="17">
                  <c:v>44331</c:v>
                </c:pt>
                <c:pt idx="18">
                  <c:v>44324</c:v>
                </c:pt>
                <c:pt idx="19">
                  <c:v>44317</c:v>
                </c:pt>
                <c:pt idx="20">
                  <c:v>44310</c:v>
                </c:pt>
                <c:pt idx="21">
                  <c:v>44303</c:v>
                </c:pt>
                <c:pt idx="22">
                  <c:v>44296</c:v>
                </c:pt>
                <c:pt idx="23">
                  <c:v>44289</c:v>
                </c:pt>
                <c:pt idx="24">
                  <c:v>44282</c:v>
                </c:pt>
                <c:pt idx="25">
                  <c:v>44275</c:v>
                </c:pt>
                <c:pt idx="26">
                  <c:v>44268</c:v>
                </c:pt>
                <c:pt idx="27">
                  <c:v>44261</c:v>
                </c:pt>
                <c:pt idx="28">
                  <c:v>44254</c:v>
                </c:pt>
                <c:pt idx="29">
                  <c:v>44247</c:v>
                </c:pt>
                <c:pt idx="30">
                  <c:v>44240</c:v>
                </c:pt>
                <c:pt idx="31">
                  <c:v>44233</c:v>
                </c:pt>
                <c:pt idx="32">
                  <c:v>44226</c:v>
                </c:pt>
                <c:pt idx="33">
                  <c:v>44219</c:v>
                </c:pt>
                <c:pt idx="34">
                  <c:v>44212</c:v>
                </c:pt>
                <c:pt idx="35">
                  <c:v>44205</c:v>
                </c:pt>
                <c:pt idx="36">
                  <c:v>44198</c:v>
                </c:pt>
                <c:pt idx="37">
                  <c:v>44191</c:v>
                </c:pt>
                <c:pt idx="38">
                  <c:v>44184</c:v>
                </c:pt>
                <c:pt idx="39">
                  <c:v>44177</c:v>
                </c:pt>
                <c:pt idx="40">
                  <c:v>44170</c:v>
                </c:pt>
                <c:pt idx="41">
                  <c:v>44163</c:v>
                </c:pt>
                <c:pt idx="42">
                  <c:v>44156</c:v>
                </c:pt>
                <c:pt idx="43">
                  <c:v>44149</c:v>
                </c:pt>
                <c:pt idx="44">
                  <c:v>44142</c:v>
                </c:pt>
                <c:pt idx="45">
                  <c:v>44135</c:v>
                </c:pt>
                <c:pt idx="46">
                  <c:v>44128</c:v>
                </c:pt>
                <c:pt idx="47">
                  <c:v>44121</c:v>
                </c:pt>
                <c:pt idx="48">
                  <c:v>44114</c:v>
                </c:pt>
                <c:pt idx="49">
                  <c:v>44107</c:v>
                </c:pt>
                <c:pt idx="50">
                  <c:v>44100</c:v>
                </c:pt>
                <c:pt idx="51">
                  <c:v>44093</c:v>
                </c:pt>
                <c:pt idx="52">
                  <c:v>44086</c:v>
                </c:pt>
                <c:pt idx="53">
                  <c:v>44079</c:v>
                </c:pt>
                <c:pt idx="54">
                  <c:v>44072</c:v>
                </c:pt>
                <c:pt idx="55">
                  <c:v>44065</c:v>
                </c:pt>
                <c:pt idx="56">
                  <c:v>44058</c:v>
                </c:pt>
                <c:pt idx="57">
                  <c:v>44051</c:v>
                </c:pt>
                <c:pt idx="58">
                  <c:v>44044</c:v>
                </c:pt>
                <c:pt idx="59">
                  <c:v>44037</c:v>
                </c:pt>
                <c:pt idx="60">
                  <c:v>44030</c:v>
                </c:pt>
                <c:pt idx="61">
                  <c:v>44023</c:v>
                </c:pt>
                <c:pt idx="62">
                  <c:v>44016</c:v>
                </c:pt>
                <c:pt idx="63">
                  <c:v>44009</c:v>
                </c:pt>
                <c:pt idx="64">
                  <c:v>44002</c:v>
                </c:pt>
                <c:pt idx="65">
                  <c:v>43995</c:v>
                </c:pt>
                <c:pt idx="66">
                  <c:v>43988</c:v>
                </c:pt>
                <c:pt idx="67">
                  <c:v>43981</c:v>
                </c:pt>
                <c:pt idx="68">
                  <c:v>43974</c:v>
                </c:pt>
                <c:pt idx="69">
                  <c:v>43967</c:v>
                </c:pt>
                <c:pt idx="70">
                  <c:v>43960</c:v>
                </c:pt>
                <c:pt idx="71">
                  <c:v>43953</c:v>
                </c:pt>
                <c:pt idx="72">
                  <c:v>43946</c:v>
                </c:pt>
                <c:pt idx="73">
                  <c:v>43939</c:v>
                </c:pt>
                <c:pt idx="74">
                  <c:v>43932</c:v>
                </c:pt>
                <c:pt idx="75">
                  <c:v>43925</c:v>
                </c:pt>
                <c:pt idx="76">
                  <c:v>43918</c:v>
                </c:pt>
                <c:pt idx="77">
                  <c:v>43911</c:v>
                </c:pt>
                <c:pt idx="78">
                  <c:v>43904</c:v>
                </c:pt>
                <c:pt idx="79">
                  <c:v>43897</c:v>
                </c:pt>
                <c:pt idx="80">
                  <c:v>43890</c:v>
                </c:pt>
                <c:pt idx="81">
                  <c:v>43883</c:v>
                </c:pt>
                <c:pt idx="82">
                  <c:v>43876</c:v>
                </c:pt>
                <c:pt idx="83">
                  <c:v>43869</c:v>
                </c:pt>
                <c:pt idx="84">
                  <c:v>43862</c:v>
                </c:pt>
                <c:pt idx="85">
                  <c:v>43855</c:v>
                </c:pt>
                <c:pt idx="86">
                  <c:v>43848</c:v>
                </c:pt>
                <c:pt idx="87">
                  <c:v>43841</c:v>
                </c:pt>
                <c:pt idx="88">
                  <c:v>43834</c:v>
                </c:pt>
                <c:pt idx="89">
                  <c:v>43827</c:v>
                </c:pt>
                <c:pt idx="90">
                  <c:v>43820</c:v>
                </c:pt>
                <c:pt idx="91">
                  <c:v>43813</c:v>
                </c:pt>
                <c:pt idx="92">
                  <c:v>43806</c:v>
                </c:pt>
                <c:pt idx="93">
                  <c:v>43799</c:v>
                </c:pt>
                <c:pt idx="94">
                  <c:v>43792</c:v>
                </c:pt>
                <c:pt idx="95">
                  <c:v>43785</c:v>
                </c:pt>
                <c:pt idx="96">
                  <c:v>43778</c:v>
                </c:pt>
                <c:pt idx="97">
                  <c:v>43771</c:v>
                </c:pt>
              </c:numCache>
            </c:numRef>
          </c:cat>
          <c:val>
            <c:numRef>
              <c:f>汇率!$L$3:$L$100</c:f>
              <c:numCache>
                <c:formatCode>###,###,###,###,##0.00</c:formatCode>
                <c:ptCount val="98"/>
                <c:pt idx="0">
                  <c:v>9515</c:v>
                </c:pt>
                <c:pt idx="1">
                  <c:v>9361</c:v>
                </c:pt>
                <c:pt idx="2">
                  <c:v>9352</c:v>
                </c:pt>
                <c:pt idx="3">
                  <c:v>8922</c:v>
                </c:pt>
                <c:pt idx="4">
                  <c:v>9429.5</c:v>
                </c:pt>
                <c:pt idx="5">
                  <c:v>9529.5</c:v>
                </c:pt>
                <c:pt idx="6">
                  <c:v>9747.5</c:v>
                </c:pt>
                <c:pt idx="7">
                  <c:v>9433.5</c:v>
                </c:pt>
                <c:pt idx="8">
                  <c:v>9396.5</c:v>
                </c:pt>
                <c:pt idx="9">
                  <c:v>9437.5</c:v>
                </c:pt>
                <c:pt idx="10">
                  <c:v>9296.5</c:v>
                </c:pt>
                <c:pt idx="11">
                  <c:v>9432.5</c:v>
                </c:pt>
                <c:pt idx="12">
                  <c:v>9206</c:v>
                </c:pt>
                <c:pt idx="13">
                  <c:v>10029</c:v>
                </c:pt>
                <c:pt idx="14">
                  <c:v>9852</c:v>
                </c:pt>
                <c:pt idx="15">
                  <c:v>10159.5</c:v>
                </c:pt>
                <c:pt idx="16">
                  <c:v>10011</c:v>
                </c:pt>
                <c:pt idx="17">
                  <c:v>10212</c:v>
                </c:pt>
                <c:pt idx="18">
                  <c:v>10361</c:v>
                </c:pt>
                <c:pt idx="19">
                  <c:v>9949</c:v>
                </c:pt>
                <c:pt idx="20">
                  <c:v>9545.5</c:v>
                </c:pt>
                <c:pt idx="21">
                  <c:v>9336</c:v>
                </c:pt>
                <c:pt idx="22">
                  <c:v>8993</c:v>
                </c:pt>
                <c:pt idx="23">
                  <c:v>8768</c:v>
                </c:pt>
                <c:pt idx="24">
                  <c:v>8929</c:v>
                </c:pt>
                <c:pt idx="25">
                  <c:v>9036</c:v>
                </c:pt>
                <c:pt idx="26">
                  <c:v>9052.5</c:v>
                </c:pt>
                <c:pt idx="27">
                  <c:v>9021.5</c:v>
                </c:pt>
                <c:pt idx="28">
                  <c:v>9172.5</c:v>
                </c:pt>
                <c:pt idx="29">
                  <c:v>8806.5</c:v>
                </c:pt>
                <c:pt idx="30">
                  <c:v>8270.5</c:v>
                </c:pt>
                <c:pt idx="31">
                  <c:v>7936.5</c:v>
                </c:pt>
                <c:pt idx="32">
                  <c:v>7877</c:v>
                </c:pt>
                <c:pt idx="33">
                  <c:v>7872</c:v>
                </c:pt>
                <c:pt idx="34">
                  <c:v>7979.5</c:v>
                </c:pt>
                <c:pt idx="35">
                  <c:v>8146</c:v>
                </c:pt>
                <c:pt idx="36">
                  <c:v>7741.5</c:v>
                </c:pt>
                <c:pt idx="37">
                  <c:v>7793</c:v>
                </c:pt>
                <c:pt idx="38">
                  <c:v>7964</c:v>
                </c:pt>
                <c:pt idx="39">
                  <c:v>7741</c:v>
                </c:pt>
                <c:pt idx="40">
                  <c:v>7741.5</c:v>
                </c:pt>
                <c:pt idx="41">
                  <c:v>7462</c:v>
                </c:pt>
                <c:pt idx="42">
                  <c:v>7178.5</c:v>
                </c:pt>
                <c:pt idx="43">
                  <c:v>6926</c:v>
                </c:pt>
                <c:pt idx="44">
                  <c:v>6938.5</c:v>
                </c:pt>
                <c:pt idx="45">
                  <c:v>6694.5</c:v>
                </c:pt>
                <c:pt idx="46">
                  <c:v>6879.5</c:v>
                </c:pt>
                <c:pt idx="47">
                  <c:v>6728</c:v>
                </c:pt>
                <c:pt idx="48">
                  <c:v>6740.5</c:v>
                </c:pt>
                <c:pt idx="49">
                  <c:v>6409.5</c:v>
                </c:pt>
                <c:pt idx="50">
                  <c:v>6529</c:v>
                </c:pt>
                <c:pt idx="51">
                  <c:v>6833.5</c:v>
                </c:pt>
                <c:pt idx="52">
                  <c:v>6757.5</c:v>
                </c:pt>
                <c:pt idx="53">
                  <c:v>6678</c:v>
                </c:pt>
                <c:pt idx="54">
                  <c:v>6728</c:v>
                </c:pt>
                <c:pt idx="55">
                  <c:v>6564.5</c:v>
                </c:pt>
                <c:pt idx="56">
                  <c:v>6342.5</c:v>
                </c:pt>
                <c:pt idx="57">
                  <c:v>6437</c:v>
                </c:pt>
                <c:pt idx="58">
                  <c:v>6446.5</c:v>
                </c:pt>
                <c:pt idx="59">
                  <c:v>6412.5</c:v>
                </c:pt>
                <c:pt idx="60">
                  <c:v>6454.5</c:v>
                </c:pt>
                <c:pt idx="61">
                  <c:v>6322.5</c:v>
                </c:pt>
                <c:pt idx="62">
                  <c:v>6022.5</c:v>
                </c:pt>
                <c:pt idx="63">
                  <c:v>5985.5</c:v>
                </c:pt>
                <c:pt idx="64">
                  <c:v>5835.5</c:v>
                </c:pt>
                <c:pt idx="65">
                  <c:v>5785.5</c:v>
                </c:pt>
                <c:pt idx="66">
                  <c:v>5588</c:v>
                </c:pt>
                <c:pt idx="67">
                  <c:v>5332.5</c:v>
                </c:pt>
                <c:pt idx="68">
                  <c:v>5242.5</c:v>
                </c:pt>
                <c:pt idx="69">
                  <c:v>5165</c:v>
                </c:pt>
                <c:pt idx="70">
                  <c:v>5227.5</c:v>
                </c:pt>
                <c:pt idx="71">
                  <c:v>5061</c:v>
                </c:pt>
                <c:pt idx="72">
                  <c:v>5118</c:v>
                </c:pt>
                <c:pt idx="73">
                  <c:v>5175.5</c:v>
                </c:pt>
                <c:pt idx="74">
                  <c:v>4963.5</c:v>
                </c:pt>
                <c:pt idx="75">
                  <c:v>4863.5</c:v>
                </c:pt>
                <c:pt idx="76">
                  <c:v>4774</c:v>
                </c:pt>
                <c:pt idx="77">
                  <c:v>4855</c:v>
                </c:pt>
                <c:pt idx="78">
                  <c:v>5530.5</c:v>
                </c:pt>
                <c:pt idx="79">
                  <c:v>5624</c:v>
                </c:pt>
                <c:pt idx="80">
                  <c:v>5573</c:v>
                </c:pt>
                <c:pt idx="81">
                  <c:v>5702</c:v>
                </c:pt>
                <c:pt idx="82">
                  <c:v>5737</c:v>
                </c:pt>
                <c:pt idx="83">
                  <c:v>5653</c:v>
                </c:pt>
                <c:pt idx="84">
                  <c:v>5570</c:v>
                </c:pt>
                <c:pt idx="85">
                  <c:v>5968</c:v>
                </c:pt>
                <c:pt idx="86">
                  <c:v>6276.5</c:v>
                </c:pt>
                <c:pt idx="87">
                  <c:v>6157</c:v>
                </c:pt>
                <c:pt idx="88">
                  <c:v>6077</c:v>
                </c:pt>
                <c:pt idx="89">
                  <c:v>6211</c:v>
                </c:pt>
                <c:pt idx="90">
                  <c:v>6155.5</c:v>
                </c:pt>
                <c:pt idx="91">
                  <c:v>6154</c:v>
                </c:pt>
                <c:pt idx="92">
                  <c:v>5867.5</c:v>
                </c:pt>
                <c:pt idx="93">
                  <c:v>5854</c:v>
                </c:pt>
                <c:pt idx="94">
                  <c:v>5834</c:v>
                </c:pt>
                <c:pt idx="95">
                  <c:v>5812</c:v>
                </c:pt>
                <c:pt idx="96">
                  <c:v>5951.5</c:v>
                </c:pt>
                <c:pt idx="97">
                  <c:v>5797</c:v>
                </c:pt>
              </c:numCache>
            </c:numRef>
          </c:val>
          <c:smooth val="1"/>
          <c:extLst xmlns:c16r2="http://schemas.microsoft.com/office/drawing/2015/06/chart">
            <c:ext xmlns:c16="http://schemas.microsoft.com/office/drawing/2014/chart" uri="{C3380CC4-5D6E-409C-BE32-E72D297353CC}">
              <c16:uniqueId val="{00000000-A5BD-49DC-9B49-C253E11DB209}"/>
            </c:ext>
          </c:extLst>
        </c:ser>
        <c:dLbls>
          <c:showLegendKey val="0"/>
          <c:showVal val="0"/>
          <c:showCatName val="0"/>
          <c:showSerName val="0"/>
          <c:showPercent val="0"/>
          <c:showBubbleSize val="0"/>
        </c:dLbls>
        <c:marker val="1"/>
        <c:smooth val="0"/>
        <c:axId val="312049024"/>
        <c:axId val="312054912"/>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汇率!$K$3:$K$100</c:f>
              <c:numCache>
                <c:formatCode>yyyy\-mm\-dd;@</c:formatCode>
                <c:ptCount val="98"/>
                <c:pt idx="0">
                  <c:v>44450</c:v>
                </c:pt>
                <c:pt idx="1">
                  <c:v>44443</c:v>
                </c:pt>
                <c:pt idx="2">
                  <c:v>44436</c:v>
                </c:pt>
                <c:pt idx="3">
                  <c:v>44429</c:v>
                </c:pt>
                <c:pt idx="4">
                  <c:v>44422</c:v>
                </c:pt>
                <c:pt idx="5">
                  <c:v>44415</c:v>
                </c:pt>
                <c:pt idx="6">
                  <c:v>44408</c:v>
                </c:pt>
                <c:pt idx="7">
                  <c:v>44401</c:v>
                </c:pt>
                <c:pt idx="8">
                  <c:v>44394</c:v>
                </c:pt>
                <c:pt idx="9">
                  <c:v>44387</c:v>
                </c:pt>
                <c:pt idx="10">
                  <c:v>44380</c:v>
                </c:pt>
                <c:pt idx="11">
                  <c:v>44373</c:v>
                </c:pt>
                <c:pt idx="12">
                  <c:v>44366</c:v>
                </c:pt>
                <c:pt idx="13">
                  <c:v>44359</c:v>
                </c:pt>
                <c:pt idx="14">
                  <c:v>44352</c:v>
                </c:pt>
                <c:pt idx="15">
                  <c:v>44345</c:v>
                </c:pt>
                <c:pt idx="16">
                  <c:v>44338</c:v>
                </c:pt>
                <c:pt idx="17">
                  <c:v>44331</c:v>
                </c:pt>
                <c:pt idx="18">
                  <c:v>44324</c:v>
                </c:pt>
                <c:pt idx="19">
                  <c:v>44317</c:v>
                </c:pt>
                <c:pt idx="20">
                  <c:v>44310</c:v>
                </c:pt>
                <c:pt idx="21">
                  <c:v>44303</c:v>
                </c:pt>
                <c:pt idx="22">
                  <c:v>44296</c:v>
                </c:pt>
                <c:pt idx="23">
                  <c:v>44289</c:v>
                </c:pt>
                <c:pt idx="24">
                  <c:v>44282</c:v>
                </c:pt>
                <c:pt idx="25">
                  <c:v>44275</c:v>
                </c:pt>
                <c:pt idx="26">
                  <c:v>44268</c:v>
                </c:pt>
                <c:pt idx="27">
                  <c:v>44261</c:v>
                </c:pt>
                <c:pt idx="28">
                  <c:v>44254</c:v>
                </c:pt>
                <c:pt idx="29">
                  <c:v>44247</c:v>
                </c:pt>
                <c:pt idx="30">
                  <c:v>44240</c:v>
                </c:pt>
                <c:pt idx="31">
                  <c:v>44233</c:v>
                </c:pt>
                <c:pt idx="32">
                  <c:v>44226</c:v>
                </c:pt>
                <c:pt idx="33">
                  <c:v>44219</c:v>
                </c:pt>
                <c:pt idx="34">
                  <c:v>44212</c:v>
                </c:pt>
                <c:pt idx="35">
                  <c:v>44205</c:v>
                </c:pt>
                <c:pt idx="36">
                  <c:v>44198</c:v>
                </c:pt>
                <c:pt idx="37">
                  <c:v>44191</c:v>
                </c:pt>
                <c:pt idx="38">
                  <c:v>44184</c:v>
                </c:pt>
                <c:pt idx="39">
                  <c:v>44177</c:v>
                </c:pt>
                <c:pt idx="40">
                  <c:v>44170</c:v>
                </c:pt>
                <c:pt idx="41">
                  <c:v>44163</c:v>
                </c:pt>
                <c:pt idx="42">
                  <c:v>44156</c:v>
                </c:pt>
                <c:pt idx="43">
                  <c:v>44149</c:v>
                </c:pt>
                <c:pt idx="44">
                  <c:v>44142</c:v>
                </c:pt>
                <c:pt idx="45">
                  <c:v>44135</c:v>
                </c:pt>
                <c:pt idx="46">
                  <c:v>44128</c:v>
                </c:pt>
                <c:pt idx="47">
                  <c:v>44121</c:v>
                </c:pt>
                <c:pt idx="48">
                  <c:v>44114</c:v>
                </c:pt>
                <c:pt idx="49">
                  <c:v>44107</c:v>
                </c:pt>
                <c:pt idx="50">
                  <c:v>44100</c:v>
                </c:pt>
                <c:pt idx="51">
                  <c:v>44093</c:v>
                </c:pt>
                <c:pt idx="52">
                  <c:v>44086</c:v>
                </c:pt>
                <c:pt idx="53">
                  <c:v>44079</c:v>
                </c:pt>
                <c:pt idx="54">
                  <c:v>44072</c:v>
                </c:pt>
                <c:pt idx="55">
                  <c:v>44065</c:v>
                </c:pt>
                <c:pt idx="56">
                  <c:v>44058</c:v>
                </c:pt>
                <c:pt idx="57">
                  <c:v>44051</c:v>
                </c:pt>
                <c:pt idx="58">
                  <c:v>44044</c:v>
                </c:pt>
                <c:pt idx="59">
                  <c:v>44037</c:v>
                </c:pt>
                <c:pt idx="60">
                  <c:v>44030</c:v>
                </c:pt>
                <c:pt idx="61">
                  <c:v>44023</c:v>
                </c:pt>
                <c:pt idx="62">
                  <c:v>44016</c:v>
                </c:pt>
                <c:pt idx="63">
                  <c:v>44009</c:v>
                </c:pt>
                <c:pt idx="64">
                  <c:v>44002</c:v>
                </c:pt>
                <c:pt idx="65">
                  <c:v>43995</c:v>
                </c:pt>
                <c:pt idx="66">
                  <c:v>43988</c:v>
                </c:pt>
                <c:pt idx="67">
                  <c:v>43981</c:v>
                </c:pt>
                <c:pt idx="68">
                  <c:v>43974</c:v>
                </c:pt>
                <c:pt idx="69">
                  <c:v>43967</c:v>
                </c:pt>
                <c:pt idx="70">
                  <c:v>43960</c:v>
                </c:pt>
                <c:pt idx="71">
                  <c:v>43953</c:v>
                </c:pt>
                <c:pt idx="72">
                  <c:v>43946</c:v>
                </c:pt>
                <c:pt idx="73">
                  <c:v>43939</c:v>
                </c:pt>
                <c:pt idx="74">
                  <c:v>43932</c:v>
                </c:pt>
                <c:pt idx="75">
                  <c:v>43925</c:v>
                </c:pt>
                <c:pt idx="76">
                  <c:v>43918</c:v>
                </c:pt>
                <c:pt idx="77">
                  <c:v>43911</c:v>
                </c:pt>
                <c:pt idx="78">
                  <c:v>43904</c:v>
                </c:pt>
                <c:pt idx="79">
                  <c:v>43897</c:v>
                </c:pt>
                <c:pt idx="80">
                  <c:v>43890</c:v>
                </c:pt>
                <c:pt idx="81">
                  <c:v>43883</c:v>
                </c:pt>
                <c:pt idx="82">
                  <c:v>43876</c:v>
                </c:pt>
                <c:pt idx="83">
                  <c:v>43869</c:v>
                </c:pt>
                <c:pt idx="84">
                  <c:v>43862</c:v>
                </c:pt>
                <c:pt idx="85">
                  <c:v>43855</c:v>
                </c:pt>
                <c:pt idx="86">
                  <c:v>43848</c:v>
                </c:pt>
                <c:pt idx="87">
                  <c:v>43841</c:v>
                </c:pt>
                <c:pt idx="88">
                  <c:v>43834</c:v>
                </c:pt>
                <c:pt idx="89">
                  <c:v>43827</c:v>
                </c:pt>
                <c:pt idx="90">
                  <c:v>43820</c:v>
                </c:pt>
                <c:pt idx="91">
                  <c:v>43813</c:v>
                </c:pt>
                <c:pt idx="92">
                  <c:v>43806</c:v>
                </c:pt>
                <c:pt idx="93">
                  <c:v>43799</c:v>
                </c:pt>
                <c:pt idx="94">
                  <c:v>43792</c:v>
                </c:pt>
                <c:pt idx="95">
                  <c:v>43785</c:v>
                </c:pt>
                <c:pt idx="96">
                  <c:v>43778</c:v>
                </c:pt>
                <c:pt idx="97">
                  <c:v>43771</c:v>
                </c:pt>
              </c:numCache>
            </c:numRef>
          </c:cat>
          <c:val>
            <c:numRef>
              <c:f>汇率!$M$3:$M$100</c:f>
              <c:numCache>
                <c:formatCode>###,###,###,###,##0.00</c:formatCode>
                <c:ptCount val="98"/>
                <c:pt idx="0">
                  <c:v>72.92</c:v>
                </c:pt>
                <c:pt idx="1">
                  <c:v>72.61</c:v>
                </c:pt>
                <c:pt idx="2">
                  <c:v>72.7</c:v>
                </c:pt>
                <c:pt idx="3">
                  <c:v>65.180000000000007</c:v>
                </c:pt>
                <c:pt idx="4">
                  <c:v>70.59</c:v>
                </c:pt>
                <c:pt idx="5">
                  <c:v>70.7</c:v>
                </c:pt>
                <c:pt idx="6">
                  <c:v>76.33</c:v>
                </c:pt>
                <c:pt idx="7">
                  <c:v>74.099999999999994</c:v>
                </c:pt>
                <c:pt idx="8">
                  <c:v>73.59</c:v>
                </c:pt>
                <c:pt idx="9">
                  <c:v>75.55</c:v>
                </c:pt>
                <c:pt idx="10">
                  <c:v>76.17</c:v>
                </c:pt>
                <c:pt idx="11">
                  <c:v>76.180000000000007</c:v>
                </c:pt>
                <c:pt idx="12">
                  <c:v>73.510000000000005</c:v>
                </c:pt>
                <c:pt idx="13">
                  <c:v>72.69</c:v>
                </c:pt>
                <c:pt idx="14">
                  <c:v>71.89</c:v>
                </c:pt>
                <c:pt idx="15">
                  <c:v>69.63</c:v>
                </c:pt>
                <c:pt idx="16">
                  <c:v>66.44</c:v>
                </c:pt>
                <c:pt idx="17">
                  <c:v>68.709999999999994</c:v>
                </c:pt>
                <c:pt idx="18">
                  <c:v>68.28</c:v>
                </c:pt>
                <c:pt idx="19">
                  <c:v>67.25</c:v>
                </c:pt>
                <c:pt idx="20">
                  <c:v>66.11</c:v>
                </c:pt>
                <c:pt idx="21">
                  <c:v>66.77</c:v>
                </c:pt>
                <c:pt idx="22">
                  <c:v>62.95</c:v>
                </c:pt>
                <c:pt idx="23">
                  <c:v>63.54</c:v>
                </c:pt>
                <c:pt idx="24">
                  <c:v>64.569999999999993</c:v>
                </c:pt>
                <c:pt idx="25">
                  <c:v>64.53</c:v>
                </c:pt>
                <c:pt idx="26">
                  <c:v>69.22</c:v>
                </c:pt>
                <c:pt idx="27">
                  <c:v>69.36</c:v>
                </c:pt>
                <c:pt idx="28">
                  <c:v>66.13</c:v>
                </c:pt>
                <c:pt idx="29">
                  <c:v>62.91</c:v>
                </c:pt>
                <c:pt idx="30">
                  <c:v>62.43</c:v>
                </c:pt>
                <c:pt idx="31">
                  <c:v>59.34</c:v>
                </c:pt>
                <c:pt idx="32">
                  <c:v>55.88</c:v>
                </c:pt>
                <c:pt idx="33">
                  <c:v>55.41</c:v>
                </c:pt>
                <c:pt idx="34">
                  <c:v>55.1</c:v>
                </c:pt>
                <c:pt idx="35">
                  <c:v>55.99</c:v>
                </c:pt>
                <c:pt idx="36">
                  <c:v>51.8</c:v>
                </c:pt>
                <c:pt idx="37">
                  <c:v>51.29</c:v>
                </c:pt>
                <c:pt idx="38">
                  <c:v>52.26</c:v>
                </c:pt>
                <c:pt idx="39">
                  <c:v>49.97</c:v>
                </c:pt>
                <c:pt idx="40">
                  <c:v>49.25</c:v>
                </c:pt>
                <c:pt idx="41">
                  <c:v>48.18</c:v>
                </c:pt>
                <c:pt idx="42">
                  <c:v>44.96</c:v>
                </c:pt>
                <c:pt idx="43">
                  <c:v>42.78</c:v>
                </c:pt>
                <c:pt idx="44">
                  <c:v>39.450000000000003</c:v>
                </c:pt>
                <c:pt idx="45">
                  <c:v>37.46</c:v>
                </c:pt>
                <c:pt idx="46">
                  <c:v>41.77</c:v>
                </c:pt>
                <c:pt idx="47">
                  <c:v>42.93</c:v>
                </c:pt>
                <c:pt idx="48">
                  <c:v>42.85</c:v>
                </c:pt>
                <c:pt idx="49">
                  <c:v>39.270000000000003</c:v>
                </c:pt>
                <c:pt idx="50">
                  <c:v>41.92</c:v>
                </c:pt>
                <c:pt idx="51">
                  <c:v>43.15</c:v>
                </c:pt>
                <c:pt idx="52">
                  <c:v>39.83</c:v>
                </c:pt>
                <c:pt idx="53">
                  <c:v>42.66</c:v>
                </c:pt>
                <c:pt idx="54">
                  <c:v>45.05</c:v>
                </c:pt>
                <c:pt idx="55">
                  <c:v>44.35</c:v>
                </c:pt>
                <c:pt idx="56">
                  <c:v>44.8</c:v>
                </c:pt>
                <c:pt idx="57">
                  <c:v>44.4</c:v>
                </c:pt>
                <c:pt idx="58">
                  <c:v>43.3</c:v>
                </c:pt>
                <c:pt idx="59">
                  <c:v>43.34</c:v>
                </c:pt>
                <c:pt idx="60">
                  <c:v>43.14</c:v>
                </c:pt>
                <c:pt idx="61">
                  <c:v>43.24</c:v>
                </c:pt>
                <c:pt idx="62">
                  <c:v>42.8</c:v>
                </c:pt>
                <c:pt idx="63">
                  <c:v>41.02</c:v>
                </c:pt>
                <c:pt idx="64">
                  <c:v>42.19</c:v>
                </c:pt>
                <c:pt idx="65">
                  <c:v>38.729999999999997</c:v>
                </c:pt>
                <c:pt idx="66">
                  <c:v>42.3</c:v>
                </c:pt>
                <c:pt idx="67">
                  <c:v>35.33</c:v>
                </c:pt>
                <c:pt idx="68">
                  <c:v>35.130000000000003</c:v>
                </c:pt>
                <c:pt idx="69">
                  <c:v>32.5</c:v>
                </c:pt>
                <c:pt idx="70">
                  <c:v>30.97</c:v>
                </c:pt>
                <c:pt idx="71">
                  <c:v>26.44</c:v>
                </c:pt>
                <c:pt idx="72">
                  <c:v>21.44</c:v>
                </c:pt>
                <c:pt idx="73">
                  <c:v>28.08</c:v>
                </c:pt>
                <c:pt idx="74">
                  <c:v>31.48</c:v>
                </c:pt>
                <c:pt idx="75">
                  <c:v>34.11</c:v>
                </c:pt>
                <c:pt idx="76">
                  <c:v>24.93</c:v>
                </c:pt>
                <c:pt idx="77">
                  <c:v>26.98</c:v>
                </c:pt>
                <c:pt idx="78">
                  <c:v>33.85</c:v>
                </c:pt>
                <c:pt idx="79">
                  <c:v>45.27</c:v>
                </c:pt>
                <c:pt idx="80">
                  <c:v>50.52</c:v>
                </c:pt>
                <c:pt idx="81">
                  <c:v>58.5</c:v>
                </c:pt>
                <c:pt idx="82">
                  <c:v>57.32</c:v>
                </c:pt>
                <c:pt idx="83">
                  <c:v>54.54</c:v>
                </c:pt>
                <c:pt idx="84">
                  <c:v>58.16</c:v>
                </c:pt>
                <c:pt idx="85">
                  <c:v>60.69</c:v>
                </c:pt>
                <c:pt idx="86">
                  <c:v>64.849999999999994</c:v>
                </c:pt>
                <c:pt idx="87">
                  <c:v>64.98</c:v>
                </c:pt>
                <c:pt idx="88">
                  <c:v>68.599999999999994</c:v>
                </c:pt>
                <c:pt idx="89">
                  <c:v>68.16</c:v>
                </c:pt>
                <c:pt idx="90">
                  <c:v>66.14</c:v>
                </c:pt>
                <c:pt idx="91">
                  <c:v>65.22</c:v>
                </c:pt>
                <c:pt idx="92">
                  <c:v>64.39</c:v>
                </c:pt>
                <c:pt idx="93">
                  <c:v>62.43</c:v>
                </c:pt>
                <c:pt idx="94">
                  <c:v>63.39</c:v>
                </c:pt>
                <c:pt idx="95">
                  <c:v>63.3</c:v>
                </c:pt>
                <c:pt idx="96">
                  <c:v>62.51</c:v>
                </c:pt>
                <c:pt idx="97">
                  <c:v>61.69</c:v>
                </c:pt>
              </c:numCache>
            </c:numRef>
          </c:val>
          <c:smooth val="1"/>
          <c:extLst xmlns:c16r2="http://schemas.microsoft.com/office/drawing/2015/06/chart">
            <c:ext xmlns:c16="http://schemas.microsoft.com/office/drawing/2014/chart" uri="{C3380CC4-5D6E-409C-BE32-E72D297353CC}">
              <c16:uniqueId val="{00000001-A5BD-49DC-9B49-C253E11DB209}"/>
            </c:ext>
          </c:extLst>
        </c:ser>
        <c:dLbls>
          <c:showLegendKey val="0"/>
          <c:showVal val="0"/>
          <c:showCatName val="0"/>
          <c:showSerName val="0"/>
          <c:showPercent val="0"/>
          <c:showBubbleSize val="0"/>
        </c:dLbls>
        <c:marker val="1"/>
        <c:smooth val="0"/>
        <c:axId val="312062336"/>
        <c:axId val="312056448"/>
      </c:lineChart>
      <c:dateAx>
        <c:axId val="3120490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2054912"/>
        <c:crosses val="autoZero"/>
        <c:auto val="0"/>
        <c:lblOffset val="0"/>
        <c:baseTimeUnit val="days"/>
      </c:dateAx>
      <c:valAx>
        <c:axId val="312054912"/>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2049024"/>
        <c:crosses val="autoZero"/>
        <c:crossBetween val="between"/>
      </c:valAx>
      <c:valAx>
        <c:axId val="312056448"/>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312062336"/>
        <c:crosses val="max"/>
        <c:crossBetween val="between"/>
      </c:valAx>
      <c:dateAx>
        <c:axId val="312062336"/>
        <c:scaling>
          <c:orientation val="minMax"/>
        </c:scaling>
        <c:delete val="1"/>
        <c:axPos val="b"/>
        <c:numFmt formatCode="yyyy\-mm\-dd;@" sourceLinked="1"/>
        <c:majorTickMark val="out"/>
        <c:minorTickMark val="none"/>
        <c:tickLblPos val="nextTo"/>
        <c:crossAx val="312056448"/>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36F1C-C243-478F-A8CF-4F5622DF5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683</Words>
  <Characters>3894</Characters>
  <Application>Microsoft Office Word</Application>
  <DocSecurity>0</DocSecurity>
  <Lines>32</Lines>
  <Paragraphs>9</Paragraphs>
  <ScaleCrop>false</ScaleCrop>
  <Company>Microsoft</Company>
  <LinksUpToDate>false</LinksUpToDate>
  <CharactersWithSpaces>4568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2021-09-13T06:39:00Z</dcterms:created>
  <dcterms:modified xsi:type="dcterms:W3CDTF">2021-09-13T06:56:00Z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