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A96BFEC" w:rsidR="007E1695" w:rsidRPr="00006470" w:rsidRDefault="00204A09" w:rsidP="005262EE">
            <w:pPr>
              <w:jc w:val="center"/>
              <w:rPr>
                <w:rFonts w:ascii="Times New Roman" w:hAnsi="Times New Roman" w:cs="Times New Roman"/>
                <w:b/>
                <w:sz w:val="32"/>
                <w:szCs w:val="32"/>
              </w:rPr>
            </w:pPr>
            <w:r>
              <w:rPr>
                <w:rFonts w:ascii="Times New Roman" w:hAnsi="Times New Roman" w:cs="Times New Roman" w:hint="eastAsia"/>
                <w:b/>
                <w:sz w:val="32"/>
                <w:szCs w:val="32"/>
              </w:rPr>
              <w:t>市场成交持续上升，周期领涨</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26BF980E"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bookmarkEnd w:id="0"/>
      <w:r w:rsidR="007D7A38">
        <w:rPr>
          <w:rFonts w:ascii="Times New Roman" w:eastAsia="楷体" w:hAnsi="Times New Roman" w:cs="Times New Roman" w:hint="eastAsia"/>
          <w:sz w:val="24"/>
        </w:rPr>
        <w:t>欧洲央行议息会议</w:t>
      </w:r>
    </w:p>
    <w:p w14:paraId="6E1A5EE5" w14:textId="3A8F321B" w:rsidR="00515BC0" w:rsidRDefault="007D7A38" w:rsidP="00515BC0">
      <w:pPr>
        <w:ind w:firstLineChars="200" w:firstLine="480"/>
        <w:rPr>
          <w:rFonts w:ascii="Times New Roman" w:eastAsia="楷体" w:hAnsi="Times New Roman" w:cs="Times New Roman"/>
          <w:color w:val="000000" w:themeColor="text1"/>
        </w:rPr>
      </w:pPr>
      <w:r w:rsidRPr="007D7A38">
        <w:rPr>
          <w:rFonts w:ascii="Times New Roman" w:eastAsia="楷体" w:hAnsi="Times New Roman" w:cs="Times New Roman" w:hint="eastAsia"/>
          <w:color w:val="000000" w:themeColor="text1"/>
        </w:rPr>
        <w:t>欧洲中央银行</w:t>
      </w:r>
      <w:r w:rsidRPr="007D7A38">
        <w:rPr>
          <w:rFonts w:ascii="Times New Roman" w:eastAsia="楷体" w:hAnsi="Times New Roman" w:cs="Times New Roman" w:hint="eastAsia"/>
          <w:color w:val="000000" w:themeColor="text1"/>
        </w:rPr>
        <w:t>9</w:t>
      </w:r>
      <w:r w:rsidRPr="007D7A38">
        <w:rPr>
          <w:rFonts w:ascii="Times New Roman" w:eastAsia="楷体" w:hAnsi="Times New Roman" w:cs="Times New Roman" w:hint="eastAsia"/>
          <w:color w:val="000000" w:themeColor="text1"/>
        </w:rPr>
        <w:t>日召开例行货币政策会议，将主要再融资利率、边际贷款利率和存款机制利率分别在</w:t>
      </w:r>
      <w:r w:rsidRPr="007D7A38">
        <w:rPr>
          <w:rFonts w:ascii="Times New Roman" w:eastAsia="楷体" w:hAnsi="Times New Roman" w:cs="Times New Roman" w:hint="eastAsia"/>
          <w:color w:val="000000" w:themeColor="text1"/>
        </w:rPr>
        <w:t>0.00%</w:t>
      </w:r>
      <w:r w:rsidRPr="007D7A38">
        <w:rPr>
          <w:rFonts w:ascii="Times New Roman" w:eastAsia="楷体" w:hAnsi="Times New Roman" w:cs="Times New Roman" w:hint="eastAsia"/>
          <w:color w:val="000000" w:themeColor="text1"/>
        </w:rPr>
        <w:t>、</w:t>
      </w:r>
      <w:r w:rsidRPr="007D7A38">
        <w:rPr>
          <w:rFonts w:ascii="Times New Roman" w:eastAsia="楷体" w:hAnsi="Times New Roman" w:cs="Times New Roman" w:hint="eastAsia"/>
          <w:color w:val="000000" w:themeColor="text1"/>
        </w:rPr>
        <w:t>0.25%</w:t>
      </w:r>
      <w:r w:rsidRPr="007D7A38">
        <w:rPr>
          <w:rFonts w:ascii="Times New Roman" w:eastAsia="楷体" w:hAnsi="Times New Roman" w:cs="Times New Roman" w:hint="eastAsia"/>
          <w:color w:val="000000" w:themeColor="text1"/>
        </w:rPr>
        <w:t>和</w:t>
      </w:r>
      <w:r w:rsidRPr="007D7A38">
        <w:rPr>
          <w:rFonts w:ascii="Times New Roman" w:eastAsia="楷体" w:hAnsi="Times New Roman" w:cs="Times New Roman" w:hint="eastAsia"/>
          <w:color w:val="000000" w:themeColor="text1"/>
        </w:rPr>
        <w:t>-0.50%</w:t>
      </w:r>
      <w:r w:rsidRPr="007D7A38">
        <w:rPr>
          <w:rFonts w:ascii="Times New Roman" w:eastAsia="楷体" w:hAnsi="Times New Roman" w:cs="Times New Roman" w:hint="eastAsia"/>
          <w:color w:val="000000" w:themeColor="text1"/>
        </w:rPr>
        <w:t>不变，同时继续实施总规模为</w:t>
      </w:r>
      <w:r w:rsidRPr="007D7A38">
        <w:rPr>
          <w:rFonts w:ascii="Times New Roman" w:eastAsia="楷体" w:hAnsi="Times New Roman" w:cs="Times New Roman" w:hint="eastAsia"/>
          <w:color w:val="000000" w:themeColor="text1"/>
        </w:rPr>
        <w:t>1.85</w:t>
      </w:r>
      <w:proofErr w:type="gramStart"/>
      <w:r w:rsidRPr="007D7A38">
        <w:rPr>
          <w:rFonts w:ascii="Times New Roman" w:eastAsia="楷体" w:hAnsi="Times New Roman" w:cs="Times New Roman" w:hint="eastAsia"/>
          <w:color w:val="000000" w:themeColor="text1"/>
        </w:rPr>
        <w:t>万亿</w:t>
      </w:r>
      <w:proofErr w:type="gramEnd"/>
      <w:r w:rsidRPr="007D7A38">
        <w:rPr>
          <w:rFonts w:ascii="Times New Roman" w:eastAsia="楷体" w:hAnsi="Times New Roman" w:cs="Times New Roman" w:hint="eastAsia"/>
          <w:color w:val="000000" w:themeColor="text1"/>
        </w:rPr>
        <w:t>欧元的紧急资产购买计划，但将适度</w:t>
      </w:r>
      <w:proofErr w:type="gramStart"/>
      <w:r w:rsidRPr="007D7A38">
        <w:rPr>
          <w:rFonts w:ascii="Times New Roman" w:eastAsia="楷体" w:hAnsi="Times New Roman" w:cs="Times New Roman" w:hint="eastAsia"/>
          <w:color w:val="000000" w:themeColor="text1"/>
        </w:rPr>
        <w:t>放慢购债步伐</w:t>
      </w:r>
      <w:proofErr w:type="gramEnd"/>
      <w:r w:rsidR="00515BC0" w:rsidRPr="00515BC0">
        <w:rPr>
          <w:rFonts w:ascii="Times New Roman" w:eastAsia="楷体" w:hAnsi="Times New Roman" w:cs="Times New Roman" w:hint="eastAsia"/>
          <w:color w:val="000000" w:themeColor="text1"/>
        </w:rPr>
        <w:t>。</w:t>
      </w:r>
    </w:p>
    <w:p w14:paraId="18F0CF00" w14:textId="035F8089" w:rsidR="00515BC0" w:rsidRPr="00515BC0" w:rsidRDefault="007D7A38" w:rsidP="00515BC0">
      <w:pPr>
        <w:ind w:firstLineChars="200" w:firstLine="480"/>
        <w:rPr>
          <w:rFonts w:ascii="Times New Roman" w:eastAsia="楷体" w:hAnsi="Times New Roman" w:cs="Times New Roman"/>
          <w:color w:val="000000" w:themeColor="text1"/>
        </w:rPr>
      </w:pPr>
      <w:r w:rsidRPr="007D7A38">
        <w:rPr>
          <w:rFonts w:ascii="Times New Roman" w:eastAsia="楷体" w:hAnsi="Times New Roman" w:cs="Times New Roman" w:hint="eastAsia"/>
          <w:color w:val="000000" w:themeColor="text1"/>
        </w:rPr>
        <w:t>9</w:t>
      </w:r>
      <w:r w:rsidRPr="007D7A38">
        <w:rPr>
          <w:rFonts w:ascii="Times New Roman" w:eastAsia="楷体" w:hAnsi="Times New Roman" w:cs="Times New Roman" w:hint="eastAsia"/>
          <w:color w:val="000000" w:themeColor="text1"/>
        </w:rPr>
        <w:t>月欧洲央行利率决议维持三大关键利率不变，符合市场预期，维持主要再融资利率于</w:t>
      </w:r>
      <w:r w:rsidRPr="007D7A38">
        <w:rPr>
          <w:rFonts w:ascii="Times New Roman" w:eastAsia="楷体" w:hAnsi="Times New Roman" w:cs="Times New Roman" w:hint="eastAsia"/>
          <w:color w:val="000000" w:themeColor="text1"/>
        </w:rPr>
        <w:t>0%</w:t>
      </w:r>
      <w:r w:rsidRPr="007D7A38">
        <w:rPr>
          <w:rFonts w:ascii="Times New Roman" w:eastAsia="楷体" w:hAnsi="Times New Roman" w:cs="Times New Roman" w:hint="eastAsia"/>
          <w:color w:val="000000" w:themeColor="text1"/>
        </w:rPr>
        <w:t>不变，维持边际借贷利率于</w:t>
      </w:r>
      <w:r w:rsidRPr="007D7A38">
        <w:rPr>
          <w:rFonts w:ascii="Times New Roman" w:eastAsia="楷体" w:hAnsi="Times New Roman" w:cs="Times New Roman" w:hint="eastAsia"/>
          <w:color w:val="000000" w:themeColor="text1"/>
        </w:rPr>
        <w:t>0.25%</w:t>
      </w:r>
      <w:r w:rsidRPr="007D7A38">
        <w:rPr>
          <w:rFonts w:ascii="Times New Roman" w:eastAsia="楷体" w:hAnsi="Times New Roman" w:cs="Times New Roman" w:hint="eastAsia"/>
          <w:color w:val="000000" w:themeColor="text1"/>
        </w:rPr>
        <w:t>不变，维持存款机制利率于</w:t>
      </w:r>
      <w:r w:rsidRPr="007D7A38">
        <w:rPr>
          <w:rFonts w:ascii="Times New Roman" w:eastAsia="楷体" w:hAnsi="Times New Roman" w:cs="Times New Roman" w:hint="eastAsia"/>
          <w:color w:val="000000" w:themeColor="text1"/>
        </w:rPr>
        <w:t>-0.5%</w:t>
      </w:r>
      <w:r w:rsidRPr="007D7A38">
        <w:rPr>
          <w:rFonts w:ascii="Times New Roman" w:eastAsia="楷体" w:hAnsi="Times New Roman" w:cs="Times New Roman" w:hint="eastAsia"/>
          <w:color w:val="000000" w:themeColor="text1"/>
        </w:rPr>
        <w:t>不变。欧央行表示，在通胀率达到</w:t>
      </w:r>
      <w:r w:rsidRPr="007D7A38">
        <w:rPr>
          <w:rFonts w:ascii="Times New Roman" w:eastAsia="楷体" w:hAnsi="Times New Roman" w:cs="Times New Roman" w:hint="eastAsia"/>
          <w:color w:val="000000" w:themeColor="text1"/>
        </w:rPr>
        <w:t>2%</w:t>
      </w:r>
      <w:r w:rsidRPr="007D7A38">
        <w:rPr>
          <w:rFonts w:ascii="Times New Roman" w:eastAsia="楷体" w:hAnsi="Times New Roman" w:cs="Times New Roman" w:hint="eastAsia"/>
          <w:color w:val="000000" w:themeColor="text1"/>
        </w:rPr>
        <w:t>之前，关键利率将维持甚至低于当前水</w:t>
      </w:r>
      <w:r w:rsidR="005262EE">
        <w:rPr>
          <w:rFonts w:ascii="Times New Roman" w:eastAsia="楷体" w:hAnsi="Times New Roman" w:cs="Times New Roman" w:hint="eastAsia"/>
          <w:color w:val="000000" w:themeColor="text1"/>
        </w:rPr>
        <w:t>平。因此，本次欧央行会议的基调偏鸽，距离</w:t>
      </w:r>
      <w:proofErr w:type="gramStart"/>
      <w:r w:rsidR="005262EE">
        <w:rPr>
          <w:rFonts w:ascii="Times New Roman" w:eastAsia="楷体" w:hAnsi="Times New Roman" w:cs="Times New Roman" w:hint="eastAsia"/>
          <w:color w:val="000000" w:themeColor="text1"/>
        </w:rPr>
        <w:t>加息仍</w:t>
      </w:r>
      <w:proofErr w:type="gramEnd"/>
      <w:r w:rsidR="005262EE">
        <w:rPr>
          <w:rFonts w:ascii="Times New Roman" w:eastAsia="楷体" w:hAnsi="Times New Roman" w:cs="Times New Roman" w:hint="eastAsia"/>
          <w:color w:val="000000" w:themeColor="text1"/>
        </w:rPr>
        <w:t>有一段较长的时间</w:t>
      </w:r>
      <w:r w:rsidR="000501BA">
        <w:rPr>
          <w:rFonts w:ascii="Times New Roman" w:eastAsia="楷体" w:hAnsi="Times New Roman" w:cs="Times New Roman" w:hint="eastAsia"/>
          <w:color w:val="000000" w:themeColor="text1"/>
        </w:rPr>
        <w:t>。</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2DE1AC45"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80434A">
        <w:rPr>
          <w:rFonts w:ascii="Times New Roman" w:eastAsia="楷体" w:hAnsi="Times New Roman" w:cs="Times New Roman" w:hint="eastAsia"/>
          <w:color w:val="000000" w:themeColor="text1"/>
        </w:rPr>
        <w:t>LME</w:t>
      </w:r>
      <w:r w:rsidR="0080434A">
        <w:rPr>
          <w:rFonts w:ascii="Times New Roman" w:eastAsia="楷体" w:hAnsi="Times New Roman" w:cs="Times New Roman" w:hint="eastAsia"/>
          <w:color w:val="000000" w:themeColor="text1"/>
        </w:rPr>
        <w:t>铝</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7.35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日经</w:t>
      </w:r>
      <w:r w:rsidR="0080434A">
        <w:rPr>
          <w:rFonts w:ascii="Times New Roman" w:eastAsia="楷体" w:hAnsi="Times New Roman" w:cs="Times New Roman" w:hint="eastAsia"/>
          <w:color w:val="000000" w:themeColor="text1"/>
        </w:rPr>
        <w:t>225</w:t>
      </w:r>
      <w:r w:rsidR="0080434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4.30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4.17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421E8B">
        <w:rPr>
          <w:rFonts w:ascii="Times New Roman" w:eastAsia="楷体" w:hAnsi="Times New Roman" w:cs="Times New Roman" w:hint="eastAsia"/>
          <w:color w:val="000000" w:themeColor="text1"/>
        </w:rPr>
        <w:t>英国富时</w:t>
      </w:r>
      <w:r w:rsidR="00421E8B">
        <w:rPr>
          <w:rFonts w:ascii="Times New Roman" w:eastAsia="楷体" w:hAnsi="Times New Roman" w:cs="Times New Roman" w:hint="eastAsia"/>
          <w:color w:val="000000" w:themeColor="text1"/>
        </w:rPr>
        <w:t>100</w:t>
      </w:r>
      <w:r w:rsidR="00421E8B">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1.53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纳斯达克</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1.61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道琼斯工业指数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2.15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90EB8">
        <w:rPr>
          <w:rFonts w:ascii="Times New Roman" w:eastAsia="楷体" w:hAnsi="Times New Roman" w:cs="Times New Roman" w:hint="eastAsia"/>
          <w:color w:val="000000" w:themeColor="text1"/>
        </w:rPr>
        <w:t>普遍</w:t>
      </w:r>
      <w:r w:rsidR="0080434A">
        <w:rPr>
          <w:rFonts w:ascii="Times New Roman" w:eastAsia="楷体" w:hAnsi="Times New Roman" w:cs="Times New Roman" w:hint="eastAsia"/>
          <w:color w:val="000000" w:themeColor="text1"/>
        </w:rPr>
        <w:t>下跌</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4A0D2B">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1.53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4A0D2B">
        <w:rPr>
          <w:rFonts w:ascii="Times New Roman" w:eastAsia="楷体" w:hAnsi="Times New Roman" w:cs="Times New Roman" w:hint="eastAsia"/>
          <w:color w:val="000000" w:themeColor="text1"/>
        </w:rPr>
        <w:t>-</w:t>
      </w:r>
      <w:r w:rsidR="0080434A">
        <w:rPr>
          <w:rFonts w:ascii="Times New Roman" w:eastAsia="楷体" w:hAnsi="Times New Roman" w:cs="Times New Roman" w:hint="eastAsia"/>
          <w:color w:val="000000" w:themeColor="text1"/>
        </w:rPr>
        <w:t>1.09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80434A">
        <w:rPr>
          <w:rFonts w:ascii="Times New Roman" w:eastAsia="楷体" w:hAnsi="Times New Roman" w:cs="Times New Roman" w:hint="eastAsia"/>
          <w:color w:val="000000" w:themeColor="text1"/>
        </w:rPr>
        <w:t>-0.39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80434A">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A73F6C">
        <w:rPr>
          <w:rFonts w:ascii="Times New Roman" w:eastAsia="楷体" w:hAnsi="Times New Roman" w:cs="Times New Roman" w:hint="eastAsia"/>
          <w:color w:val="000000" w:themeColor="text1"/>
        </w:rPr>
        <w:t>-1.61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A73F6C">
        <w:rPr>
          <w:rFonts w:ascii="Times New Roman" w:eastAsia="楷体" w:hAnsi="Times New Roman" w:cs="Times New Roman" w:hint="eastAsia"/>
          <w:color w:val="000000" w:themeColor="text1"/>
        </w:rPr>
        <w:t>-1.69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4A0D2B">
        <w:rPr>
          <w:rFonts w:ascii="Times New Roman" w:eastAsia="楷体" w:hAnsi="Times New Roman" w:cs="Times New Roman" w:hint="eastAsia"/>
          <w:color w:val="000000" w:themeColor="text1"/>
        </w:rPr>
        <w:t>-</w:t>
      </w:r>
      <w:r w:rsidR="00A73F6C">
        <w:rPr>
          <w:rFonts w:ascii="Times New Roman" w:eastAsia="楷体" w:hAnsi="Times New Roman" w:cs="Times New Roman" w:hint="eastAsia"/>
          <w:color w:val="000000" w:themeColor="text1"/>
        </w:rPr>
        <w:t>2.15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1244A6BA"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421E8B">
        <w:rPr>
          <w:rFonts w:ascii="Times New Roman" w:eastAsia="楷体" w:hAnsi="Times New Roman" w:cs="Times New Roman" w:hint="eastAsia"/>
          <w:color w:val="000000" w:themeColor="text1"/>
        </w:rPr>
        <w:t>较好</w:t>
      </w:r>
      <w:r w:rsidRPr="00D127E3">
        <w:rPr>
          <w:rFonts w:ascii="Times New Roman" w:eastAsia="楷体" w:hAnsi="Times New Roman" w:cs="Times New Roman" w:hint="eastAsia"/>
          <w:color w:val="000000" w:themeColor="text1"/>
        </w:rPr>
        <w:t>，</w:t>
      </w:r>
      <w:proofErr w:type="gramStart"/>
      <w:r w:rsidR="00A73F6C">
        <w:rPr>
          <w:rFonts w:ascii="Times New Roman" w:eastAsia="楷体" w:hAnsi="Times New Roman" w:cs="Times New Roman" w:hint="eastAsia"/>
          <w:color w:val="000000" w:themeColor="text1"/>
        </w:rPr>
        <w:t>创成长</w:t>
      </w:r>
      <w:proofErr w:type="gramEnd"/>
      <w:r w:rsidR="00091EAB">
        <w:rPr>
          <w:rFonts w:ascii="Times New Roman" w:eastAsia="楷体" w:hAnsi="Times New Roman" w:cs="Times New Roman" w:hint="eastAsia"/>
          <w:color w:val="000000" w:themeColor="text1"/>
        </w:rPr>
        <w:t>指数领</w:t>
      </w:r>
      <w:r w:rsidR="00421E8B">
        <w:rPr>
          <w:rFonts w:ascii="Times New Roman" w:eastAsia="楷体" w:hAnsi="Times New Roman" w:cs="Times New Roman" w:hint="eastAsia"/>
          <w:color w:val="000000" w:themeColor="text1"/>
        </w:rPr>
        <w:t>涨</w:t>
      </w:r>
      <w:r w:rsidRPr="00D127E3">
        <w:rPr>
          <w:rFonts w:ascii="Times New Roman" w:eastAsia="楷体" w:hAnsi="Times New Roman" w:cs="Times New Roman" w:hint="eastAsia"/>
          <w:color w:val="000000" w:themeColor="text1"/>
        </w:rPr>
        <w:t>，周涨幅</w:t>
      </w:r>
      <w:r w:rsidR="00421E8B">
        <w:rPr>
          <w:rFonts w:ascii="Times New Roman" w:eastAsia="楷体" w:hAnsi="Times New Roman" w:cs="Times New Roman" w:hint="eastAsia"/>
          <w:color w:val="000000" w:themeColor="text1"/>
        </w:rPr>
        <w:t>+</w:t>
      </w:r>
      <w:r w:rsidR="00A73F6C">
        <w:rPr>
          <w:rFonts w:ascii="Times New Roman" w:eastAsia="楷体" w:hAnsi="Times New Roman" w:cs="Times New Roman" w:hint="eastAsia"/>
          <w:color w:val="000000" w:themeColor="text1"/>
        </w:rPr>
        <w:t>5.86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421E8B">
        <w:rPr>
          <w:rFonts w:ascii="Times New Roman" w:eastAsia="楷体" w:hAnsi="Times New Roman" w:cs="Times New Roman" w:hint="eastAsia"/>
          <w:color w:val="000000" w:themeColor="text1"/>
        </w:rPr>
        <w:t>上涨</w:t>
      </w:r>
      <w:r w:rsidR="00A73F6C">
        <w:rPr>
          <w:rFonts w:ascii="Times New Roman" w:eastAsia="楷体" w:hAnsi="Times New Roman" w:cs="Times New Roman" w:hint="eastAsia"/>
          <w:color w:val="000000" w:themeColor="text1"/>
        </w:rPr>
        <w:t>3.39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73F6C">
        <w:rPr>
          <w:rFonts w:ascii="Times New Roman" w:eastAsia="楷体" w:hAnsi="Times New Roman" w:cs="Times New Roman" w:hint="eastAsia"/>
          <w:color w:val="000000" w:themeColor="text1"/>
        </w:rPr>
        <w:t>3703.11</w:t>
      </w:r>
      <w:r w:rsidRPr="00D127E3">
        <w:rPr>
          <w:rFonts w:ascii="Times New Roman" w:eastAsia="楷体" w:hAnsi="Times New Roman" w:cs="Times New Roman" w:hint="eastAsia"/>
          <w:color w:val="000000" w:themeColor="text1"/>
        </w:rPr>
        <w:t>点；深证成指周内</w:t>
      </w:r>
      <w:r w:rsidR="00A73F6C">
        <w:rPr>
          <w:rFonts w:ascii="Times New Roman" w:eastAsia="楷体" w:hAnsi="Times New Roman" w:cs="Times New Roman" w:hint="eastAsia"/>
          <w:color w:val="000000" w:themeColor="text1"/>
        </w:rPr>
        <w:t>上涨</w:t>
      </w:r>
      <w:r w:rsidR="00A73F6C">
        <w:rPr>
          <w:rFonts w:ascii="Times New Roman" w:eastAsia="楷体" w:hAnsi="Times New Roman" w:cs="Times New Roman" w:hint="eastAsia"/>
          <w:color w:val="000000" w:themeColor="text1"/>
        </w:rPr>
        <w:t>4.17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73F6C">
        <w:rPr>
          <w:rFonts w:ascii="Times New Roman" w:eastAsia="楷体" w:hAnsi="Times New Roman" w:cs="Times New Roman" w:hint="eastAsia"/>
          <w:color w:val="000000" w:themeColor="text1"/>
        </w:rPr>
        <w:t>14771.87</w:t>
      </w:r>
      <w:r w:rsidRPr="00D127E3">
        <w:rPr>
          <w:rFonts w:ascii="Times New Roman" w:eastAsia="楷体" w:hAnsi="Times New Roman" w:cs="Times New Roman" w:hint="eastAsia"/>
          <w:color w:val="000000" w:themeColor="text1"/>
        </w:rPr>
        <w:t>点；创业板指周内</w:t>
      </w:r>
      <w:r w:rsidR="00A73F6C">
        <w:rPr>
          <w:rFonts w:ascii="Times New Roman" w:eastAsia="楷体" w:hAnsi="Times New Roman" w:cs="Times New Roman" w:hint="eastAsia"/>
          <w:color w:val="000000" w:themeColor="text1"/>
        </w:rPr>
        <w:t>上涨</w:t>
      </w:r>
      <w:r w:rsidR="00A73F6C">
        <w:rPr>
          <w:rFonts w:ascii="Times New Roman" w:eastAsia="楷体" w:hAnsi="Times New Roman" w:cs="Times New Roman" w:hint="eastAsia"/>
          <w:color w:val="000000" w:themeColor="text1"/>
        </w:rPr>
        <w:t>4.19</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73F6C">
        <w:rPr>
          <w:rFonts w:ascii="Times New Roman" w:eastAsia="楷体" w:hAnsi="Times New Roman" w:cs="Times New Roman" w:hint="eastAsia"/>
          <w:color w:val="000000" w:themeColor="text1"/>
        </w:rPr>
        <w:t>3232.01</w:t>
      </w:r>
      <w:r w:rsidRPr="00D127E3">
        <w:rPr>
          <w:rFonts w:ascii="Times New Roman" w:eastAsia="楷体" w:hAnsi="Times New Roman" w:cs="Times New Roman" w:hint="eastAsia"/>
          <w:color w:val="000000" w:themeColor="text1"/>
        </w:rPr>
        <w:t>点。两市周内日均成交</w:t>
      </w:r>
      <w:r w:rsidR="00A73F6C">
        <w:rPr>
          <w:rFonts w:ascii="Times New Roman" w:eastAsia="楷体" w:hAnsi="Times New Roman" w:cs="Times New Roman" w:hint="eastAsia"/>
          <w:color w:val="000000" w:themeColor="text1"/>
        </w:rPr>
        <w:t>14558.77</w:t>
      </w:r>
      <w:r w:rsidRPr="00D127E3">
        <w:rPr>
          <w:rFonts w:ascii="Times New Roman" w:eastAsia="楷体" w:hAnsi="Times New Roman" w:cs="Times New Roman" w:hint="eastAsia"/>
          <w:color w:val="000000" w:themeColor="text1"/>
        </w:rPr>
        <w:t>亿元，较上</w:t>
      </w:r>
      <w:r w:rsidR="005262EE">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A73F6C">
        <w:rPr>
          <w:rFonts w:ascii="Times New Roman" w:eastAsia="楷体" w:hAnsi="Times New Roman" w:cs="Times New Roman" w:hint="eastAsia"/>
          <w:color w:val="000000" w:themeColor="text1"/>
        </w:rPr>
        <w:t>减少</w:t>
      </w:r>
      <w:r w:rsidR="00A73F6C">
        <w:rPr>
          <w:rFonts w:ascii="Times New Roman" w:eastAsia="楷体" w:hAnsi="Times New Roman" w:cs="Times New Roman" w:hint="eastAsia"/>
          <w:color w:val="000000" w:themeColor="text1"/>
        </w:rPr>
        <w:t>998.48</w:t>
      </w:r>
      <w:r w:rsidRPr="00D127E3">
        <w:rPr>
          <w:rFonts w:ascii="Times New Roman" w:eastAsia="楷体" w:hAnsi="Times New Roman" w:cs="Times New Roman" w:hint="eastAsia"/>
          <w:color w:val="000000" w:themeColor="text1"/>
        </w:rPr>
        <w:t>亿元。两市个股周内</w:t>
      </w:r>
      <w:r w:rsidR="00273611">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A73F6C">
        <w:rPr>
          <w:rFonts w:ascii="Times New Roman" w:eastAsia="楷体" w:hAnsi="Times New Roman" w:cs="Times New Roman" w:hint="eastAsia"/>
          <w:color w:val="000000" w:themeColor="text1"/>
        </w:rPr>
        <w:t>3086</w:t>
      </w:r>
      <w:r w:rsidRPr="00D127E3">
        <w:rPr>
          <w:rFonts w:ascii="Times New Roman" w:eastAsia="楷体" w:hAnsi="Times New Roman" w:cs="Times New Roman" w:hint="eastAsia"/>
          <w:color w:val="000000" w:themeColor="text1"/>
        </w:rPr>
        <w:t>家上涨，</w:t>
      </w:r>
      <w:r w:rsidR="00A73F6C">
        <w:rPr>
          <w:rFonts w:ascii="Times New Roman" w:eastAsia="楷体" w:hAnsi="Times New Roman" w:cs="Times New Roman" w:hint="eastAsia"/>
          <w:color w:val="000000" w:themeColor="text1"/>
        </w:rPr>
        <w:t>52</w:t>
      </w:r>
      <w:r w:rsidRPr="00D127E3">
        <w:rPr>
          <w:rFonts w:ascii="Times New Roman" w:eastAsia="楷体" w:hAnsi="Times New Roman" w:cs="Times New Roman" w:hint="eastAsia"/>
          <w:color w:val="000000" w:themeColor="text1"/>
        </w:rPr>
        <w:t>家平盘，</w:t>
      </w:r>
      <w:r w:rsidR="00A73F6C">
        <w:rPr>
          <w:rFonts w:ascii="Times New Roman" w:eastAsia="楷体" w:hAnsi="Times New Roman" w:cs="Times New Roman" w:hint="eastAsia"/>
          <w:color w:val="000000" w:themeColor="text1"/>
        </w:rPr>
        <w:t>1329</w:t>
      </w:r>
      <w:r w:rsidRPr="00D127E3">
        <w:rPr>
          <w:rFonts w:ascii="Times New Roman" w:eastAsia="楷体" w:hAnsi="Times New Roman" w:cs="Times New Roman" w:hint="eastAsia"/>
          <w:color w:val="000000" w:themeColor="text1"/>
        </w:rPr>
        <w:t>家下跌；全市场</w:t>
      </w:r>
      <w:r w:rsidR="005262EE">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A73F6C">
        <w:rPr>
          <w:rFonts w:ascii="Times New Roman" w:eastAsia="楷体" w:hAnsi="Times New Roman" w:cs="Times New Roman" w:hint="eastAsia"/>
          <w:color w:val="000000" w:themeColor="text1"/>
        </w:rPr>
        <w:t>485</w:t>
      </w:r>
      <w:r w:rsidRPr="00D127E3">
        <w:rPr>
          <w:rFonts w:ascii="Times New Roman" w:eastAsia="楷体" w:hAnsi="Times New Roman" w:cs="Times New Roman" w:hint="eastAsia"/>
          <w:color w:val="000000" w:themeColor="text1"/>
        </w:rPr>
        <w:t>家，累计跌停</w:t>
      </w:r>
      <w:r w:rsidR="00A73F6C">
        <w:rPr>
          <w:rFonts w:ascii="Times New Roman" w:eastAsia="楷体" w:hAnsi="Times New Roman" w:cs="Times New Roman" w:hint="eastAsia"/>
          <w:color w:val="000000" w:themeColor="text1"/>
        </w:rPr>
        <w:t>46</w:t>
      </w:r>
      <w:r w:rsidRPr="00D127E3">
        <w:rPr>
          <w:rFonts w:ascii="Times New Roman" w:eastAsia="楷体" w:hAnsi="Times New Roman" w:cs="Times New Roman" w:hint="eastAsia"/>
          <w:color w:val="000000" w:themeColor="text1"/>
        </w:rPr>
        <w:t>家。</w:t>
      </w:r>
    </w:p>
    <w:bookmarkEnd w:id="1"/>
    <w:p w14:paraId="001A09E6" w14:textId="63EE73D1"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A73F6C">
        <w:rPr>
          <w:rFonts w:ascii="Times New Roman" w:eastAsia="楷体" w:hAnsi="Times New Roman" w:cs="Times New Roman" w:hint="eastAsia"/>
          <w:b/>
        </w:rPr>
        <w:t>创成长</w:t>
      </w:r>
      <w:proofErr w:type="gramEnd"/>
      <w:r w:rsidR="00D62097">
        <w:rPr>
          <w:rFonts w:ascii="Times New Roman" w:eastAsia="楷体" w:hAnsi="Times New Roman" w:cs="Times New Roman" w:hint="eastAsia"/>
          <w:b/>
        </w:rPr>
        <w:t>指数领</w:t>
      </w:r>
      <w:r w:rsidR="0027361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226C7ED" w:rsidR="007E1695" w:rsidRPr="00006470" w:rsidRDefault="00A73F6C">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77690979" wp14:editId="094689F2">
            <wp:extent cx="6041390" cy="27616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6B14E7D0"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273611">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11.34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82728B">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8.82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82728B">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8.75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82.82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70.08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68.41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3849D8">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17.67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17.75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19.90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35FB8531"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273611">
        <w:rPr>
          <w:rFonts w:ascii="Times New Roman" w:eastAsia="楷体" w:hAnsi="Times New Roman" w:cs="Times New Roman" w:hint="eastAsia"/>
          <w:b/>
        </w:rPr>
        <w:t>采掘</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0F76118" w:rsidR="00C13CA5" w:rsidRPr="00006470" w:rsidRDefault="0082728B"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17E1C5BE" wp14:editId="7266F782">
            <wp:extent cx="6524217" cy="1559864"/>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37918" cy="156314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7611FE78"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82728B">
        <w:rPr>
          <w:rFonts w:ascii="Times New Roman" w:eastAsia="楷体" w:hAnsi="Times New Roman" w:cs="Times New Roman" w:hint="eastAsia"/>
          <w:color w:val="000000" w:themeColor="text1"/>
        </w:rPr>
        <w:t>流入</w:t>
      </w:r>
      <w:r w:rsidR="0082728B">
        <w:rPr>
          <w:rFonts w:ascii="Times New Roman" w:eastAsia="楷体" w:hAnsi="Times New Roman" w:cs="Times New Roman" w:hint="eastAsia"/>
          <w:color w:val="000000" w:themeColor="text1"/>
        </w:rPr>
        <w:t>140.65</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82728B">
        <w:rPr>
          <w:rFonts w:ascii="Times New Roman" w:eastAsia="楷体" w:hAnsi="Times New Roman" w:cs="Times New Roman" w:hint="eastAsia"/>
          <w:color w:val="000000" w:themeColor="text1"/>
        </w:rPr>
        <w:t>351.13</w:t>
      </w:r>
      <w:r w:rsidRPr="00B41C69">
        <w:rPr>
          <w:rFonts w:ascii="Times New Roman" w:eastAsia="楷体" w:hAnsi="Times New Roman" w:cs="Times New Roman" w:hint="eastAsia"/>
          <w:color w:val="000000" w:themeColor="text1"/>
        </w:rPr>
        <w:t>亿份较前一周</w:t>
      </w:r>
      <w:r w:rsidR="0082728B">
        <w:rPr>
          <w:rFonts w:ascii="Times New Roman" w:eastAsia="楷体" w:hAnsi="Times New Roman" w:cs="Times New Roman" w:hint="eastAsia"/>
          <w:color w:val="000000" w:themeColor="text1"/>
        </w:rPr>
        <w:t>小幅增加</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9</w:t>
      </w:r>
      <w:r w:rsidRPr="00B41C69">
        <w:rPr>
          <w:rFonts w:ascii="Times New Roman" w:eastAsia="楷体" w:hAnsi="Times New Roman" w:cs="Times New Roman" w:hint="eastAsia"/>
          <w:color w:val="000000" w:themeColor="text1"/>
        </w:rPr>
        <w:t>月最新募资合计</w:t>
      </w:r>
      <w:r w:rsidR="0082728B">
        <w:rPr>
          <w:rFonts w:ascii="Times New Roman" w:eastAsia="楷体" w:hAnsi="Times New Roman" w:cs="Times New Roman" w:hint="eastAsia"/>
          <w:color w:val="000000" w:themeColor="text1"/>
        </w:rPr>
        <w:t>653.00</w:t>
      </w:r>
      <w:r w:rsidRPr="00B41C69">
        <w:rPr>
          <w:rFonts w:ascii="Times New Roman" w:eastAsia="楷体" w:hAnsi="Times New Roman" w:cs="Times New Roman" w:hint="eastAsia"/>
          <w:color w:val="000000" w:themeColor="text1"/>
        </w:rPr>
        <w:t>亿元；本周限售解禁市值约</w:t>
      </w:r>
      <w:r w:rsidR="0002782F">
        <w:rPr>
          <w:rFonts w:ascii="Times New Roman" w:eastAsia="楷体" w:hAnsi="Times New Roman" w:cs="Times New Roman" w:hint="eastAsia"/>
          <w:color w:val="000000" w:themeColor="text1"/>
        </w:rPr>
        <w:t>750.37</w:t>
      </w:r>
      <w:r w:rsidRPr="00B41C69">
        <w:rPr>
          <w:rFonts w:ascii="Times New Roman" w:eastAsia="楷体" w:hAnsi="Times New Roman" w:cs="Times New Roman" w:hint="eastAsia"/>
          <w:color w:val="000000" w:themeColor="text1"/>
        </w:rPr>
        <w:t>亿元，与上周相比</w:t>
      </w:r>
      <w:r w:rsidR="0002782F">
        <w:rPr>
          <w:rFonts w:ascii="Times New Roman" w:eastAsia="楷体" w:hAnsi="Times New Roman" w:cs="Times New Roman" w:hint="eastAsia"/>
          <w:color w:val="000000" w:themeColor="text1"/>
        </w:rPr>
        <w:t>小幅增加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0455335D" w:rsidR="0052683C" w:rsidRPr="00006470" w:rsidRDefault="00204A09"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204A09">
        <w:rPr>
          <w:rFonts w:ascii="Times New Roman" w:eastAsia="楷体" w:hAnsi="Times New Roman" w:cs="Times New Roman" w:hint="eastAsia"/>
          <w:color w:val="000000"/>
          <w:shd w:val="clear" w:color="auto" w:fill="FFFFFF"/>
        </w:rPr>
        <w:t>周各大指数震荡上涨，其中周期资源</w:t>
      </w:r>
      <w:proofErr w:type="gramStart"/>
      <w:r w:rsidRPr="00204A09">
        <w:rPr>
          <w:rFonts w:ascii="Times New Roman" w:eastAsia="楷体" w:hAnsi="Times New Roman" w:cs="Times New Roman" w:hint="eastAsia"/>
          <w:color w:val="000000"/>
          <w:shd w:val="clear" w:color="auto" w:fill="FFFFFF"/>
        </w:rPr>
        <w:t>品继续</w:t>
      </w:r>
      <w:proofErr w:type="gramEnd"/>
      <w:r w:rsidRPr="00204A09">
        <w:rPr>
          <w:rFonts w:ascii="Times New Roman" w:eastAsia="楷体" w:hAnsi="Times New Roman" w:cs="Times New Roman" w:hint="eastAsia"/>
          <w:color w:val="000000"/>
          <w:shd w:val="clear" w:color="auto" w:fill="FFFFFF"/>
        </w:rPr>
        <w:t>领涨。以煤炭为例，供给</w:t>
      </w:r>
      <w:proofErr w:type="gramStart"/>
      <w:r w:rsidRPr="00204A09">
        <w:rPr>
          <w:rFonts w:ascii="Times New Roman" w:eastAsia="楷体" w:hAnsi="Times New Roman" w:cs="Times New Roman" w:hint="eastAsia"/>
          <w:color w:val="000000"/>
          <w:shd w:val="clear" w:color="auto" w:fill="FFFFFF"/>
        </w:rPr>
        <w:t>端虽国家发改</w:t>
      </w:r>
      <w:proofErr w:type="gramEnd"/>
      <w:r w:rsidRPr="00204A09">
        <w:rPr>
          <w:rFonts w:ascii="Times New Roman" w:eastAsia="楷体" w:hAnsi="Times New Roman" w:cs="Times New Roman" w:hint="eastAsia"/>
          <w:color w:val="000000"/>
          <w:shd w:val="clear" w:color="auto" w:fill="FFFFFF"/>
        </w:rPr>
        <w:t>委陆续出</w:t>
      </w:r>
      <w:r w:rsidRPr="00204A09">
        <w:rPr>
          <w:rFonts w:ascii="Times New Roman" w:eastAsia="楷体" w:hAnsi="Times New Roman" w:cs="Times New Roman" w:hint="eastAsia"/>
          <w:color w:val="000000"/>
          <w:shd w:val="clear" w:color="auto" w:fill="FFFFFF"/>
        </w:rPr>
        <w:lastRenderedPageBreak/>
        <w:t>台多项措施保供（建立煤炭储备体系、加快露天煤矿用地批复手续、加快煤矿生产能力核增手续、延长煤矿联合试运转期限等）但整体产能增长有限，叠加较低的全社会库存以及煤炭需求的高位</w:t>
      </w:r>
      <w:r w:rsidR="005262EE">
        <w:rPr>
          <w:rFonts w:ascii="Times New Roman" w:eastAsia="楷体" w:hAnsi="Times New Roman" w:cs="Times New Roman" w:hint="eastAsia"/>
          <w:color w:val="000000"/>
          <w:shd w:val="clear" w:color="auto" w:fill="FFFFFF"/>
        </w:rPr>
        <w:t>，</w:t>
      </w:r>
      <w:r w:rsidRPr="00204A09">
        <w:rPr>
          <w:rFonts w:ascii="Times New Roman" w:eastAsia="楷体" w:hAnsi="Times New Roman" w:cs="Times New Roman" w:hint="eastAsia"/>
          <w:color w:val="000000"/>
          <w:shd w:val="clear" w:color="auto" w:fill="FFFFFF"/>
        </w:rPr>
        <w:t>我们预计未来煤价将维持较高水平。中报行情后，资源品供需紧缺价格上涨带来的业绩弹性在短期行业比较中相对占优，但需注意后续美联储货币收紧风险，短期我们仍看好周期板块的行情。其次，从</w:t>
      </w:r>
      <w:proofErr w:type="gramStart"/>
      <w:r w:rsidRPr="00204A09">
        <w:rPr>
          <w:rFonts w:ascii="Times New Roman" w:eastAsia="楷体" w:hAnsi="Times New Roman" w:cs="Times New Roman" w:hint="eastAsia"/>
          <w:color w:val="000000"/>
          <w:shd w:val="clear" w:color="auto" w:fill="FFFFFF"/>
        </w:rPr>
        <w:t>8</w:t>
      </w:r>
      <w:r w:rsidRPr="00204A09">
        <w:rPr>
          <w:rFonts w:ascii="Times New Roman" w:eastAsia="楷体" w:hAnsi="Times New Roman" w:cs="Times New Roman" w:hint="eastAsia"/>
          <w:color w:val="000000"/>
          <w:shd w:val="clear" w:color="auto" w:fill="FFFFFF"/>
        </w:rPr>
        <w:t>月社融增速</w:t>
      </w:r>
      <w:proofErr w:type="gramEnd"/>
      <w:r w:rsidRPr="00204A09">
        <w:rPr>
          <w:rFonts w:ascii="Times New Roman" w:eastAsia="楷体" w:hAnsi="Times New Roman" w:cs="Times New Roman" w:hint="eastAsia"/>
          <w:color w:val="000000"/>
          <w:shd w:val="clear" w:color="auto" w:fill="FFFFFF"/>
        </w:rPr>
        <w:t>、</w:t>
      </w:r>
      <w:r w:rsidRPr="00204A09">
        <w:rPr>
          <w:rFonts w:ascii="Times New Roman" w:eastAsia="楷体" w:hAnsi="Times New Roman" w:cs="Times New Roman" w:hint="eastAsia"/>
          <w:color w:val="000000"/>
          <w:shd w:val="clear" w:color="auto" w:fill="FFFFFF"/>
        </w:rPr>
        <w:t>PMI</w:t>
      </w:r>
      <w:r w:rsidRPr="00204A09">
        <w:rPr>
          <w:rFonts w:ascii="Times New Roman" w:eastAsia="楷体" w:hAnsi="Times New Roman" w:cs="Times New Roman" w:hint="eastAsia"/>
          <w:color w:val="000000"/>
          <w:shd w:val="clear" w:color="auto" w:fill="FFFFFF"/>
        </w:rPr>
        <w:t>数据来看</w:t>
      </w:r>
      <w:r w:rsidR="005262EE">
        <w:rPr>
          <w:rFonts w:ascii="Times New Roman" w:eastAsia="楷体" w:hAnsi="Times New Roman" w:cs="Times New Roman" w:hint="eastAsia"/>
          <w:color w:val="000000"/>
          <w:shd w:val="clear" w:color="auto" w:fill="FFFFFF"/>
        </w:rPr>
        <w:t>，</w:t>
      </w:r>
      <w:r w:rsidRPr="00204A09">
        <w:rPr>
          <w:rFonts w:ascii="Times New Roman" w:eastAsia="楷体" w:hAnsi="Times New Roman" w:cs="Times New Roman" w:hint="eastAsia"/>
          <w:color w:val="000000"/>
          <w:shd w:val="clear" w:color="auto" w:fill="FFFFFF"/>
        </w:rPr>
        <w:t>后续随着货币政策转松、财政政策发力有见底回升的趋势</w:t>
      </w:r>
      <w:r w:rsidR="005262EE">
        <w:rPr>
          <w:rFonts w:ascii="Times New Roman" w:eastAsia="楷体" w:hAnsi="Times New Roman" w:cs="Times New Roman" w:hint="eastAsia"/>
          <w:color w:val="000000"/>
          <w:shd w:val="clear" w:color="auto" w:fill="FFFFFF"/>
        </w:rPr>
        <w:t>。</w:t>
      </w:r>
      <w:proofErr w:type="gramStart"/>
      <w:r w:rsidRPr="00204A09">
        <w:rPr>
          <w:rFonts w:ascii="Times New Roman" w:eastAsia="楷体" w:hAnsi="Times New Roman" w:cs="Times New Roman" w:hint="eastAsia"/>
          <w:color w:val="000000"/>
          <w:shd w:val="clear" w:color="auto" w:fill="FFFFFF"/>
        </w:rPr>
        <w:t>稳增长</w:t>
      </w:r>
      <w:proofErr w:type="gramEnd"/>
      <w:r w:rsidRPr="00204A09">
        <w:rPr>
          <w:rFonts w:ascii="Times New Roman" w:eastAsia="楷体" w:hAnsi="Times New Roman" w:cs="Times New Roman" w:hint="eastAsia"/>
          <w:color w:val="000000"/>
          <w:shd w:val="clear" w:color="auto" w:fill="FFFFFF"/>
        </w:rPr>
        <w:t>财政支出发力预期下</w:t>
      </w:r>
      <w:r w:rsidR="005262EE">
        <w:rPr>
          <w:rFonts w:ascii="Times New Roman" w:eastAsia="楷体" w:hAnsi="Times New Roman" w:cs="Times New Roman" w:hint="eastAsia"/>
          <w:color w:val="000000"/>
          <w:shd w:val="clear" w:color="auto" w:fill="FFFFFF"/>
        </w:rPr>
        <w:t>，</w:t>
      </w:r>
      <w:r w:rsidRPr="00204A09">
        <w:rPr>
          <w:rFonts w:ascii="Times New Roman" w:eastAsia="楷体" w:hAnsi="Times New Roman" w:cs="Times New Roman" w:hint="eastAsia"/>
          <w:color w:val="000000"/>
          <w:shd w:val="clear" w:color="auto" w:fill="FFFFFF"/>
        </w:rPr>
        <w:t>传统基建链等低估值板块短期受益，同样可以</w:t>
      </w:r>
      <w:proofErr w:type="gramStart"/>
      <w:r w:rsidRPr="00204A09">
        <w:rPr>
          <w:rFonts w:ascii="Times New Roman" w:eastAsia="楷体" w:hAnsi="Times New Roman" w:cs="Times New Roman" w:hint="eastAsia"/>
          <w:color w:val="000000"/>
          <w:shd w:val="clear" w:color="auto" w:fill="FFFFFF"/>
        </w:rPr>
        <w:t>关注仍</w:t>
      </w:r>
      <w:proofErr w:type="gramEnd"/>
      <w:r w:rsidRPr="00204A09">
        <w:rPr>
          <w:rFonts w:ascii="Times New Roman" w:eastAsia="楷体" w:hAnsi="Times New Roman" w:cs="Times New Roman" w:hint="eastAsia"/>
          <w:color w:val="000000"/>
          <w:shd w:val="clear" w:color="auto" w:fill="FFFFFF"/>
        </w:rPr>
        <w:t>处估值底部区间的信息基建链条。整体在流动性偏松的预期下市场成交预计维持活跃，结构上短期市场风格将趋于均衡，中长期仍然看好高景气周期的电新、电子、军工等。</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978B74A"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204A09">
        <w:rPr>
          <w:rFonts w:ascii="Times New Roman" w:eastAsia="楷体" w:hAnsi="Times New Roman" w:cs="Times New Roman" w:hint="eastAsia"/>
          <w:color w:val="000000" w:themeColor="text1"/>
        </w:rPr>
        <w:t>高景气周期的电新、电子、军工等</w:t>
      </w:r>
      <w:r w:rsidRPr="00006470">
        <w:rPr>
          <w:rFonts w:ascii="Times New Roman" w:eastAsia="楷体" w:hAnsi="Times New Roman" w:cs="Times New Roman"/>
          <w:color w:val="000000" w:themeColor="text1"/>
        </w:rPr>
        <w:t>；</w:t>
      </w:r>
    </w:p>
    <w:p w14:paraId="1F660E1A" w14:textId="0C9B1BA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204A09">
        <w:rPr>
          <w:rFonts w:ascii="Times New Roman" w:eastAsia="楷体" w:hAnsi="Times New Roman" w:cs="Times New Roman"/>
          <w:color w:val="000000" w:themeColor="text1"/>
        </w:rPr>
        <w:t>、供需紧缺的上游资源品</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AF6C0D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2782F">
        <w:rPr>
          <w:rFonts w:ascii="Times New Roman" w:eastAsia="楷体" w:hAnsi="Times New Roman" w:cs="Times New Roman" w:hint="eastAsia"/>
          <w:b/>
        </w:rPr>
        <w:t>LME</w:t>
      </w:r>
      <w:proofErr w:type="gramStart"/>
      <w:r w:rsidR="0002782F">
        <w:rPr>
          <w:rFonts w:ascii="Times New Roman" w:eastAsia="楷体" w:hAnsi="Times New Roman" w:cs="Times New Roman" w:hint="eastAsia"/>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CF2E30">
        <w:rPr>
          <w:rFonts w:ascii="Times New Roman" w:eastAsia="楷体" w:hAnsi="Times New Roman" w:cs="Times New Roman" w:hint="eastAsia"/>
          <w:b/>
        </w:rPr>
        <w:t>，</w:t>
      </w:r>
      <w:r w:rsidR="0002782F">
        <w:rPr>
          <w:rFonts w:ascii="Times New Roman" w:eastAsia="楷体" w:hAnsi="Times New Roman" w:cs="Times New Roman" w:hint="eastAsia"/>
          <w:b/>
        </w:rPr>
        <w:t>道琼斯工业</w:t>
      </w:r>
      <w:r w:rsidR="00273611">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02782F"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DA3F509"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26436517" w14:textId="356B35BD"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7.35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84B3BE0"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47.89</w:t>
            </w:r>
          </w:p>
        </w:tc>
      </w:tr>
      <w:tr w:rsidR="0002782F"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3691A8B1"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日经225</w:t>
            </w:r>
          </w:p>
        </w:tc>
        <w:tc>
          <w:tcPr>
            <w:tcW w:w="1875" w:type="dxa"/>
            <w:noWrap/>
          </w:tcPr>
          <w:p w14:paraId="6CBF5955" w14:textId="09588683"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4.30</w:t>
            </w:r>
          </w:p>
        </w:tc>
        <w:tc>
          <w:tcPr>
            <w:tcW w:w="2293" w:type="dxa"/>
            <w:noWrap/>
          </w:tcPr>
          <w:p w14:paraId="03D306C5" w14:textId="02AB3EFA"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10.70</w:t>
            </w:r>
          </w:p>
        </w:tc>
      </w:tr>
      <w:tr w:rsidR="0002782F"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70599822"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0B8AF65" w14:textId="64A42005"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4.17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0B5CF290"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28.43</w:t>
            </w:r>
          </w:p>
        </w:tc>
      </w:tr>
      <w:tr w:rsidR="0002782F"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6CAB6DE"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万得全A</w:t>
            </w:r>
          </w:p>
        </w:tc>
        <w:tc>
          <w:tcPr>
            <w:tcW w:w="1875" w:type="dxa"/>
            <w:noWrap/>
          </w:tcPr>
          <w:p w14:paraId="6E1624BD" w14:textId="154C791A"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3.58</w:t>
            </w:r>
          </w:p>
        </w:tc>
        <w:tc>
          <w:tcPr>
            <w:tcW w:w="2293" w:type="dxa"/>
            <w:noWrap/>
          </w:tcPr>
          <w:p w14:paraId="628C5028" w14:textId="396D53FE"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9.32</w:t>
            </w:r>
          </w:p>
        </w:tc>
      </w:tr>
      <w:tr w:rsidR="0002782F"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D15FDAC"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01BF87B" w14:textId="4958620A"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2.72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D629128"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24.74</w:t>
            </w:r>
          </w:p>
        </w:tc>
      </w:tr>
      <w:tr w:rsidR="0002782F"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55E59BA"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恒生指数</w:t>
            </w:r>
          </w:p>
        </w:tc>
        <w:tc>
          <w:tcPr>
            <w:tcW w:w="1875" w:type="dxa"/>
            <w:noWrap/>
          </w:tcPr>
          <w:p w14:paraId="3F2524D6" w14:textId="45C2B662"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1.17</w:t>
            </w:r>
          </w:p>
        </w:tc>
        <w:tc>
          <w:tcPr>
            <w:tcW w:w="2293" w:type="dxa"/>
            <w:noWrap/>
          </w:tcPr>
          <w:p w14:paraId="0F02F0AC" w14:textId="539334EB"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-3.76</w:t>
            </w:r>
          </w:p>
        </w:tc>
      </w:tr>
      <w:tr w:rsidR="0002782F"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AA50C5E"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0C654950" w14:textId="6FED37CA"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0.61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CB639C9"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43.67</w:t>
            </w:r>
          </w:p>
        </w:tc>
      </w:tr>
      <w:tr w:rsidR="0002782F"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727BA63C"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美元指数</w:t>
            </w:r>
          </w:p>
        </w:tc>
        <w:tc>
          <w:tcPr>
            <w:tcW w:w="1875" w:type="dxa"/>
            <w:noWrap/>
          </w:tcPr>
          <w:p w14:paraId="5DA062AB" w14:textId="38621BCA"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0.55</w:t>
            </w:r>
          </w:p>
        </w:tc>
        <w:tc>
          <w:tcPr>
            <w:tcW w:w="2293" w:type="dxa"/>
            <w:noWrap/>
          </w:tcPr>
          <w:p w14:paraId="6CF61D40" w14:textId="0D518B63"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2.98</w:t>
            </w:r>
          </w:p>
        </w:tc>
      </w:tr>
      <w:tr w:rsidR="0002782F"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4EE994F"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769F1DAD"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0.00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F96C6F9"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0.00</w:t>
            </w:r>
          </w:p>
        </w:tc>
      </w:tr>
      <w:tr w:rsidR="0002782F"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7F3BB115" w:rsidR="0002782F" w:rsidRPr="00D60997" w:rsidRDefault="0002782F" w:rsidP="0002782F">
            <w:pPr>
              <w:jc w:val="center"/>
              <w:rPr>
                <w:rFonts w:ascii="楷体" w:eastAsia="楷体" w:hAnsi="楷体" w:cs="Times New Roman"/>
                <w:color w:val="000000"/>
              </w:rPr>
            </w:pPr>
            <w:proofErr w:type="gramStart"/>
            <w:r w:rsidRPr="0002782F">
              <w:rPr>
                <w:rFonts w:ascii="楷体" w:eastAsia="楷体" w:hAnsi="楷体" w:cs="Times New Roman" w:hint="eastAsia"/>
                <w:color w:val="000000"/>
              </w:rPr>
              <w:t>中债总指数</w:t>
            </w:r>
            <w:proofErr w:type="gramEnd"/>
          </w:p>
        </w:tc>
        <w:tc>
          <w:tcPr>
            <w:tcW w:w="1875" w:type="dxa"/>
            <w:noWrap/>
          </w:tcPr>
          <w:p w14:paraId="07AD02DE" w14:textId="5B35D128"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-0.09</w:t>
            </w:r>
          </w:p>
        </w:tc>
        <w:tc>
          <w:tcPr>
            <w:tcW w:w="2293" w:type="dxa"/>
            <w:noWrap/>
          </w:tcPr>
          <w:p w14:paraId="1353B161" w14:textId="434932EC"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4.01</w:t>
            </w:r>
          </w:p>
        </w:tc>
      </w:tr>
      <w:tr w:rsidR="0002782F"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082695EF"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95D9432" w14:textId="3B013F24"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-1.53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7B6C05F5"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8.80</w:t>
            </w:r>
          </w:p>
        </w:tc>
      </w:tr>
      <w:tr w:rsidR="0002782F"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2C4D11B"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纳斯达克指数</w:t>
            </w:r>
          </w:p>
        </w:tc>
        <w:tc>
          <w:tcPr>
            <w:tcW w:w="1875" w:type="dxa"/>
            <w:noWrap/>
          </w:tcPr>
          <w:p w14:paraId="0528E8CE" w14:textId="407A29AB"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-1.61</w:t>
            </w:r>
          </w:p>
        </w:tc>
        <w:tc>
          <w:tcPr>
            <w:tcW w:w="2293" w:type="dxa"/>
            <w:noWrap/>
          </w:tcPr>
          <w:p w14:paraId="0D77D093" w14:textId="25872393"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17.28</w:t>
            </w:r>
          </w:p>
        </w:tc>
      </w:tr>
      <w:tr w:rsidR="0002782F"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678E7B9" w:rsidR="0002782F" w:rsidRPr="00D60997" w:rsidRDefault="0002782F" w:rsidP="0002782F">
            <w:pPr>
              <w:jc w:val="center"/>
              <w:rPr>
                <w:rFonts w:ascii="楷体" w:eastAsia="楷体" w:hAnsi="楷体" w:cs="Times New Roman"/>
                <w:color w:val="000000"/>
              </w:rPr>
            </w:pPr>
            <w:r w:rsidRPr="0002782F">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F4244CE" w14:textId="38E68B4A" w:rsidR="0002782F" w:rsidRPr="00D60997"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2782F">
              <w:rPr>
                <w:rFonts w:ascii="楷体" w:eastAsia="楷体" w:hAnsi="楷体" w:cs="Times New Roman" w:hint="eastAsia"/>
                <w:color w:val="000000"/>
              </w:rPr>
              <w:t>-2.15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7422D74A" w:rsidR="0002782F" w:rsidRPr="00075E3A" w:rsidRDefault="0002782F" w:rsidP="0002782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13.07</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EEB409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849D8">
        <w:rPr>
          <w:rFonts w:ascii="Times New Roman" w:eastAsia="楷体" w:hAnsi="Times New Roman" w:cs="Times New Roman" w:hint="eastAsia"/>
          <w:b/>
        </w:rPr>
        <w:t>日经</w:t>
      </w:r>
      <w:r w:rsidR="003849D8">
        <w:rPr>
          <w:rFonts w:ascii="Times New Roman" w:eastAsia="楷体" w:hAnsi="Times New Roman" w:cs="Times New Roman" w:hint="eastAsia"/>
          <w:b/>
        </w:rPr>
        <w:t>225</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25643EF"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BF67E36" wp14:editId="7716D780">
            <wp:extent cx="5688330" cy="2700655"/>
            <wp:effectExtent l="0" t="0" r="762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2EDD79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832209">
        <w:rPr>
          <w:rFonts w:ascii="Times New Roman" w:eastAsia="楷体" w:hAnsi="Times New Roman" w:cs="Times New Roman" w:hint="eastAsia"/>
          <w:b/>
        </w:rPr>
        <w:t>提升</w:t>
      </w:r>
    </w:p>
    <w:p w14:paraId="3AD41BC7" w14:textId="1CC3FF80" w:rsidR="007E1695" w:rsidRPr="00006470" w:rsidRDefault="0083220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966004A" wp14:editId="3B03D30A">
            <wp:extent cx="6273165" cy="27559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5E36FE3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D62097">
        <w:rPr>
          <w:rFonts w:ascii="Times New Roman" w:eastAsia="楷体" w:hAnsi="Times New Roman" w:cs="Times New Roman" w:hint="eastAsia"/>
          <w:b/>
        </w:rPr>
        <w:t>流</w:t>
      </w:r>
      <w:r w:rsidR="00D076EE">
        <w:rPr>
          <w:rFonts w:ascii="Times New Roman" w:eastAsia="楷体" w:hAnsi="Times New Roman" w:cs="Times New Roman" w:hint="eastAsia"/>
          <w:b/>
        </w:rPr>
        <w:t>入</w:t>
      </w:r>
      <w:r w:rsidR="00832209">
        <w:rPr>
          <w:rFonts w:ascii="Times New Roman" w:eastAsia="楷体" w:hAnsi="Times New Roman" w:cs="Times New Roman" w:hint="eastAsia"/>
          <w:b/>
        </w:rPr>
        <w:t>140.65</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C25AFFD" w:rsidR="007E1695" w:rsidRPr="00006470" w:rsidRDefault="0083220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1DEEB3C" wp14:editId="2BA676BB">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209997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832209">
        <w:rPr>
          <w:rFonts w:ascii="Times New Roman" w:eastAsia="楷体" w:hAnsi="Times New Roman" w:cs="Times New Roman" w:hint="eastAsia"/>
          <w:b/>
          <w:color w:val="000000" w:themeColor="text1"/>
        </w:rPr>
        <w:t>19117.58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832209">
        <w:rPr>
          <w:rFonts w:ascii="Times New Roman" w:eastAsia="楷体" w:hAnsi="Times New Roman" w:cs="Times New Roman" w:hint="eastAsia"/>
          <w:b/>
        </w:rPr>
        <w:t>大幅</w:t>
      </w:r>
      <w:r w:rsidR="00D076EE">
        <w:rPr>
          <w:rFonts w:ascii="Times New Roman" w:eastAsia="楷体" w:hAnsi="Times New Roman" w:cs="Times New Roman" w:hint="eastAsia"/>
          <w:b/>
        </w:rPr>
        <w:t>增加</w:t>
      </w:r>
    </w:p>
    <w:p w14:paraId="3ABC9C3D" w14:textId="1955A78A" w:rsidR="007E1695" w:rsidRPr="00006470" w:rsidRDefault="00832209"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567F4FF1" wp14:editId="70B6367F">
            <wp:extent cx="5895340" cy="293243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5BB5131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832209">
        <w:rPr>
          <w:rFonts w:ascii="Times New Roman" w:eastAsia="楷体" w:hAnsi="Times New Roman" w:cs="Times New Roman" w:hint="eastAsia"/>
          <w:b/>
        </w:rPr>
        <w:t>750.37</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3849D8">
        <w:rPr>
          <w:rFonts w:ascii="Times New Roman" w:eastAsia="楷体" w:hAnsi="Times New Roman" w:cs="Times New Roman" w:hint="eastAsia"/>
          <w:b/>
        </w:rPr>
        <w:t>减少</w:t>
      </w:r>
    </w:p>
    <w:p w14:paraId="45E40DB6" w14:textId="376A4B40" w:rsidR="007E1695" w:rsidRPr="00006470" w:rsidRDefault="00832209"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ACED099" wp14:editId="54D2D60B">
            <wp:extent cx="6309995" cy="2682240"/>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6D4D34F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832209">
        <w:rPr>
          <w:rFonts w:ascii="Times New Roman" w:eastAsia="楷体" w:hAnsi="Times New Roman" w:cs="Times New Roman" w:hint="eastAsia"/>
          <w:b/>
        </w:rPr>
        <w:t>653.00</w:t>
      </w:r>
      <w:r w:rsidRPr="00006470">
        <w:rPr>
          <w:rFonts w:ascii="Times New Roman" w:eastAsia="楷体" w:hAnsi="Times New Roman" w:cs="Times New Roman"/>
          <w:b/>
        </w:rPr>
        <w:t>亿元</w:t>
      </w:r>
    </w:p>
    <w:p w14:paraId="09F800D5" w14:textId="50EB7B71" w:rsidR="007E1695" w:rsidRPr="00006470" w:rsidRDefault="0083220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080DD15" wp14:editId="08B989E3">
            <wp:extent cx="6383020" cy="3347085"/>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7F7E0893"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832209">
        <w:rPr>
          <w:rFonts w:ascii="Times New Roman" w:eastAsia="楷体" w:hAnsi="Times New Roman" w:cs="Times New Roman" w:hint="eastAsia"/>
          <w:b/>
        </w:rPr>
        <w:t>351.13</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832209">
        <w:rPr>
          <w:rFonts w:ascii="Times New Roman" w:eastAsia="楷体" w:hAnsi="Times New Roman" w:cs="Times New Roman" w:hint="eastAsia"/>
          <w:b/>
        </w:rPr>
        <w:t>小幅</w:t>
      </w:r>
      <w:r w:rsidR="00560681">
        <w:rPr>
          <w:rFonts w:ascii="Times New Roman" w:eastAsia="楷体" w:hAnsi="Times New Roman" w:cs="Times New Roman" w:hint="eastAsia"/>
          <w:b/>
        </w:rPr>
        <w:t>减少</w:t>
      </w:r>
    </w:p>
    <w:p w14:paraId="110691E2" w14:textId="225AC0D2" w:rsidR="00051381" w:rsidRPr="00006470" w:rsidRDefault="00832209"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8B43796" wp14:editId="3F650AC3">
            <wp:extent cx="5993130" cy="3347085"/>
            <wp:effectExtent l="0" t="0" r="762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67AD65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Pr>
          <w:rFonts w:ascii="Times New Roman" w:eastAsia="楷体" w:hAnsi="Times New Roman" w:cs="Times New Roman" w:hint="eastAsia"/>
          <w:b/>
        </w:rPr>
        <w:t>0.80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48D95CB"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67410AD" wp14:editId="6392DF4E">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57033A4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w:t>
      </w:r>
      <w:r w:rsidR="00832209">
        <w:rPr>
          <w:rFonts w:ascii="Times New Roman" w:eastAsia="楷体" w:hAnsi="Times New Roman" w:cs="Times New Roman" w:hint="eastAsia"/>
          <w:b/>
        </w:rPr>
        <w:t>5</w:t>
      </w:r>
      <w:r w:rsidR="00AD7359">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1679C5DE"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1F52E5D" wp14:editId="0CE3B3EA">
            <wp:extent cx="5761355" cy="25908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5D673A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60681">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AD7359">
        <w:rPr>
          <w:rFonts w:ascii="Times New Roman" w:eastAsia="楷体" w:hAnsi="Times New Roman" w:cs="Times New Roman" w:hint="eastAsia"/>
          <w:b/>
        </w:rPr>
        <w:t>50.</w:t>
      </w:r>
      <w:r w:rsidR="00560681">
        <w:rPr>
          <w:rFonts w:ascii="Times New Roman" w:eastAsia="楷体" w:hAnsi="Times New Roman" w:cs="Times New Roman" w:hint="eastAsia"/>
          <w:b/>
        </w:rPr>
        <w:t>1</w:t>
      </w:r>
      <w:r w:rsidR="00AD735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304FBC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832209">
        <w:rPr>
          <w:rFonts w:ascii="Times New Roman" w:eastAsia="楷体" w:hAnsi="Times New Roman" w:cs="Times New Roman" w:hint="eastAsia"/>
          <w:b/>
        </w:rPr>
        <w:t>2.96</w:t>
      </w:r>
      <w:proofErr w:type="gramStart"/>
      <w:r w:rsidRPr="00006470">
        <w:rPr>
          <w:rFonts w:ascii="Times New Roman" w:eastAsia="楷体" w:hAnsi="Times New Roman" w:cs="Times New Roman"/>
          <w:b/>
        </w:rPr>
        <w:t>万亿</w:t>
      </w:r>
      <w:proofErr w:type="gramEnd"/>
    </w:p>
    <w:p w14:paraId="6F8BF5F3" w14:textId="412970C0" w:rsidR="007E1695" w:rsidRPr="00006470" w:rsidRDefault="0083220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4217958" wp14:editId="39385534">
            <wp:extent cx="5767070" cy="2578735"/>
            <wp:effectExtent l="0" t="0" r="508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134925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52476C">
        <w:rPr>
          <w:rFonts w:ascii="Times New Roman" w:eastAsia="楷体" w:hAnsi="Times New Roman" w:cs="Times New Roman" w:hint="eastAsia"/>
          <w:b/>
        </w:rPr>
        <w:t>14.40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3B3C2DBD" w:rsidR="007E1695" w:rsidRPr="00006470" w:rsidRDefault="0052476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2CD396C" wp14:editId="318AF740">
            <wp:extent cx="5834380" cy="25908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2913865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52476C">
        <w:rPr>
          <w:rFonts w:ascii="Times New Roman" w:eastAsia="楷体" w:hAnsi="Times New Roman" w:cs="Times New Roman" w:hint="eastAsia"/>
          <w:b/>
        </w:rPr>
        <w:t>10.30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7F4D9CC" w:rsidR="00971387" w:rsidRPr="00006470" w:rsidRDefault="0052476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3E79FF4" wp14:editId="305C8205">
            <wp:extent cx="5834380"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55BC5E2"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52476C">
        <w:rPr>
          <w:rFonts w:ascii="Times New Roman" w:eastAsia="楷体" w:hAnsi="Times New Roman" w:cs="Times New Roman" w:hint="eastAsia"/>
          <w:b/>
        </w:rPr>
        <w:t>8.50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089F82C" w:rsidR="00AD4FF0" w:rsidRPr="00006470" w:rsidRDefault="0052476C"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8E25165" wp14:editId="5D87DF2F">
            <wp:extent cx="5876925" cy="2682240"/>
            <wp:effectExtent l="0" t="0" r="9525"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41DB6583" w14:textId="77777777" w:rsidR="005262EE" w:rsidRPr="00025DA7" w:rsidRDefault="005262EE" w:rsidP="005262EE">
      <w:pPr>
        <w:rPr>
          <w:sz w:val="18"/>
          <w:szCs w:val="18"/>
        </w:rPr>
      </w:pPr>
      <w:r w:rsidRPr="00025DA7">
        <w:rPr>
          <w:rFonts w:ascii="微软雅黑" w:eastAsia="微软雅黑" w:hAnsi="微软雅黑" w:hint="eastAsia"/>
          <w:color w:val="808080"/>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25DA7">
        <w:rPr>
          <w:rFonts w:ascii="微软雅黑" w:eastAsia="微软雅黑" w:hAnsi="微软雅黑" w:hint="eastAsia"/>
          <w:color w:val="808080"/>
          <w:sz w:val="18"/>
          <w:szCs w:val="18"/>
          <w:shd w:val="clear" w:color="auto" w:fill="FFFFFF"/>
        </w:rPr>
        <w:t>作出</w:t>
      </w:r>
      <w:proofErr w:type="gramEnd"/>
      <w:r w:rsidRPr="00025DA7">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bookmarkStart w:id="4" w:name="_GoBack"/>
      <w:bookmarkEnd w:id="4"/>
    </w:p>
    <w:sectPr w:rsidR="007E1695" w:rsidRPr="00006470">
      <w:headerReference w:type="default" r:id="rId25"/>
      <w:footerReference w:type="default" r:id="rId26"/>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A22758" w14:textId="77777777" w:rsidR="00E87E10" w:rsidRDefault="00E87E10">
      <w:pPr>
        <w:spacing w:line="240" w:lineRule="auto"/>
      </w:pPr>
      <w:r>
        <w:separator/>
      </w:r>
    </w:p>
  </w:endnote>
  <w:endnote w:type="continuationSeparator" w:id="0">
    <w:p w14:paraId="2AFBBBE8" w14:textId="77777777" w:rsidR="00E87E10" w:rsidRDefault="00E87E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262EE">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262EE">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ACD06F" w14:textId="77777777" w:rsidR="00E87E10" w:rsidRDefault="00E87E10">
      <w:pPr>
        <w:spacing w:line="240" w:lineRule="auto"/>
      </w:pPr>
      <w:r>
        <w:separator/>
      </w:r>
    </w:p>
  </w:footnote>
  <w:footnote w:type="continuationSeparator" w:id="0">
    <w:p w14:paraId="2927C2B0" w14:textId="77777777" w:rsidR="00E87E10" w:rsidRDefault="00E87E1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A09"/>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2D2"/>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2EE"/>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AC0"/>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87E10"/>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987656-1D3C-4474-9B27-DBDE3B34E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427</Words>
  <Characters>2436</Characters>
  <Application>Microsoft Office Word</Application>
  <DocSecurity>0</DocSecurity>
  <Lines>20</Lines>
  <Paragraphs>5</Paragraphs>
  <ScaleCrop>false</ScaleCrop>
  <LinksUpToDate>false</LinksUpToDate>
  <CharactersWithSpaces>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lastPrinted>2018-05-20T14:50:00Z</cp:lastPrinted>
  <dcterms:created xsi:type="dcterms:W3CDTF">2021-09-13T06:05:00Z</dcterms:created>
  <dcterms:modified xsi:type="dcterms:W3CDTF">2021-09-13T06:18:00Z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