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3FD52DFB" w:rsidR="007E1695" w:rsidRPr="00006470" w:rsidRDefault="001A7BCD" w:rsidP="00476348">
            <w:pPr>
              <w:jc w:val="center"/>
              <w:rPr>
                <w:rFonts w:ascii="Times New Roman" w:hAnsi="Times New Roman" w:cs="Times New Roman"/>
                <w:b/>
                <w:sz w:val="32"/>
                <w:szCs w:val="32"/>
              </w:rPr>
            </w:pPr>
            <w:r w:rsidRPr="001A7BCD">
              <w:rPr>
                <w:rFonts w:ascii="Times New Roman" w:hAnsi="Times New Roman" w:cs="Times New Roman" w:hint="eastAsia"/>
                <w:b/>
                <w:sz w:val="32"/>
                <w:szCs w:val="32"/>
              </w:rPr>
              <w:t>限电持续发酵，</w:t>
            </w:r>
            <w:r>
              <w:rPr>
                <w:rFonts w:ascii="Times New Roman" w:hAnsi="Times New Roman" w:cs="Times New Roman" w:hint="eastAsia"/>
                <w:b/>
                <w:sz w:val="32"/>
                <w:szCs w:val="32"/>
              </w:rPr>
              <w:t>风格建议均衡</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43644C29" w14:textId="5578DE84" w:rsidR="00515BC0" w:rsidRDefault="007378A4" w:rsidP="00515BC0">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bookmarkEnd w:id="0"/>
      <w:r w:rsidR="00A26A9E">
        <w:rPr>
          <w:rFonts w:ascii="Times New Roman" w:eastAsia="楷体" w:hAnsi="Times New Roman" w:cs="Times New Roman" w:hint="eastAsia"/>
          <w:sz w:val="24"/>
        </w:rPr>
        <w:t>美联储</w:t>
      </w:r>
      <w:r w:rsidR="00A26A9E">
        <w:rPr>
          <w:rFonts w:ascii="Times New Roman" w:eastAsia="楷体" w:hAnsi="Times New Roman" w:cs="Times New Roman" w:hint="eastAsia"/>
          <w:sz w:val="24"/>
        </w:rPr>
        <w:t>Taper</w:t>
      </w:r>
      <w:r w:rsidR="00A26A9E">
        <w:rPr>
          <w:rFonts w:ascii="Times New Roman" w:eastAsia="楷体" w:hAnsi="Times New Roman" w:cs="Times New Roman" w:hint="eastAsia"/>
          <w:sz w:val="24"/>
        </w:rPr>
        <w:t>预期加强</w:t>
      </w:r>
    </w:p>
    <w:p w14:paraId="6E1A5EE5" w14:textId="7DFBD863" w:rsidR="00515BC0" w:rsidRDefault="00A26A9E" w:rsidP="00515BC0">
      <w:pPr>
        <w:ind w:firstLineChars="200" w:firstLine="480"/>
        <w:rPr>
          <w:rFonts w:ascii="Times New Roman" w:eastAsia="楷体" w:hAnsi="Times New Roman" w:cs="Times New Roman"/>
          <w:color w:val="000000" w:themeColor="text1"/>
        </w:rPr>
      </w:pPr>
      <w:r w:rsidRPr="00A26A9E">
        <w:rPr>
          <w:rFonts w:ascii="Times New Roman" w:eastAsia="楷体" w:hAnsi="Times New Roman" w:cs="Times New Roman" w:hint="eastAsia"/>
          <w:color w:val="000000" w:themeColor="text1"/>
        </w:rPr>
        <w:t>北京时间</w:t>
      </w:r>
      <w:r w:rsidRPr="00A26A9E">
        <w:rPr>
          <w:rFonts w:ascii="Times New Roman" w:eastAsia="楷体" w:hAnsi="Times New Roman" w:cs="Times New Roman" w:hint="eastAsia"/>
          <w:color w:val="000000" w:themeColor="text1"/>
        </w:rPr>
        <w:t>9</w:t>
      </w:r>
      <w:r w:rsidRPr="00A26A9E">
        <w:rPr>
          <w:rFonts w:ascii="Times New Roman" w:eastAsia="楷体" w:hAnsi="Times New Roman" w:cs="Times New Roman" w:hint="eastAsia"/>
          <w:color w:val="000000" w:themeColor="text1"/>
        </w:rPr>
        <w:t>月</w:t>
      </w:r>
      <w:r w:rsidRPr="00A26A9E">
        <w:rPr>
          <w:rFonts w:ascii="Times New Roman" w:eastAsia="楷体" w:hAnsi="Times New Roman" w:cs="Times New Roman" w:hint="eastAsia"/>
          <w:color w:val="000000" w:themeColor="text1"/>
        </w:rPr>
        <w:t>23</w:t>
      </w:r>
      <w:r w:rsidRPr="00A26A9E">
        <w:rPr>
          <w:rFonts w:ascii="Times New Roman" w:eastAsia="楷体" w:hAnsi="Times New Roman" w:cs="Times New Roman" w:hint="eastAsia"/>
          <w:color w:val="000000" w:themeColor="text1"/>
        </w:rPr>
        <w:t>日凌晨，美联储结束</w:t>
      </w:r>
      <w:r w:rsidRPr="00A26A9E">
        <w:rPr>
          <w:rFonts w:ascii="Times New Roman" w:eastAsia="楷体" w:hAnsi="Times New Roman" w:cs="Times New Roman" w:hint="eastAsia"/>
          <w:color w:val="000000" w:themeColor="text1"/>
        </w:rPr>
        <w:t>9</w:t>
      </w:r>
      <w:r w:rsidRPr="00A26A9E">
        <w:rPr>
          <w:rFonts w:ascii="Times New Roman" w:eastAsia="楷体" w:hAnsi="Times New Roman" w:cs="Times New Roman" w:hint="eastAsia"/>
          <w:color w:val="000000" w:themeColor="text1"/>
        </w:rPr>
        <w:t>月议息会议。本次议</w:t>
      </w:r>
      <w:proofErr w:type="gramStart"/>
      <w:r w:rsidRPr="00A26A9E">
        <w:rPr>
          <w:rFonts w:ascii="Times New Roman" w:eastAsia="楷体" w:hAnsi="Times New Roman" w:cs="Times New Roman" w:hint="eastAsia"/>
          <w:color w:val="000000" w:themeColor="text1"/>
        </w:rPr>
        <w:t>息会议</w:t>
      </w:r>
      <w:proofErr w:type="gramEnd"/>
      <w:r w:rsidRPr="00A26A9E">
        <w:rPr>
          <w:rFonts w:ascii="Times New Roman" w:eastAsia="楷体" w:hAnsi="Times New Roman" w:cs="Times New Roman" w:hint="eastAsia"/>
          <w:color w:val="000000" w:themeColor="text1"/>
        </w:rPr>
        <w:t>维持联邦基金目标利率</w:t>
      </w:r>
      <w:r w:rsidRPr="00A26A9E">
        <w:rPr>
          <w:rFonts w:ascii="Times New Roman" w:eastAsia="楷体" w:hAnsi="Times New Roman" w:cs="Times New Roman" w:hint="eastAsia"/>
          <w:color w:val="000000" w:themeColor="text1"/>
        </w:rPr>
        <w:t>0%-0.25%</w:t>
      </w:r>
      <w:r w:rsidRPr="00A26A9E">
        <w:rPr>
          <w:rFonts w:ascii="Times New Roman" w:eastAsia="楷体" w:hAnsi="Times New Roman" w:cs="Times New Roman" w:hint="eastAsia"/>
          <w:color w:val="000000" w:themeColor="text1"/>
        </w:rPr>
        <w:t>不变，将隔夜逆回购对手方交易上限由</w:t>
      </w:r>
      <w:r w:rsidRPr="00A26A9E">
        <w:rPr>
          <w:rFonts w:ascii="Times New Roman" w:eastAsia="楷体" w:hAnsi="Times New Roman" w:cs="Times New Roman" w:hint="eastAsia"/>
          <w:color w:val="000000" w:themeColor="text1"/>
        </w:rPr>
        <w:t>800</w:t>
      </w:r>
      <w:r w:rsidRPr="00A26A9E">
        <w:rPr>
          <w:rFonts w:ascii="Times New Roman" w:eastAsia="楷体" w:hAnsi="Times New Roman" w:cs="Times New Roman" w:hint="eastAsia"/>
          <w:color w:val="000000" w:themeColor="text1"/>
        </w:rPr>
        <w:t>亿美元提高至</w:t>
      </w:r>
      <w:r w:rsidRPr="00A26A9E">
        <w:rPr>
          <w:rFonts w:ascii="Times New Roman" w:eastAsia="楷体" w:hAnsi="Times New Roman" w:cs="Times New Roman" w:hint="eastAsia"/>
          <w:color w:val="000000" w:themeColor="text1"/>
        </w:rPr>
        <w:t>1600</w:t>
      </w:r>
      <w:r w:rsidRPr="00A26A9E">
        <w:rPr>
          <w:rFonts w:ascii="Times New Roman" w:eastAsia="楷体" w:hAnsi="Times New Roman" w:cs="Times New Roman" w:hint="eastAsia"/>
          <w:color w:val="000000" w:themeColor="text1"/>
        </w:rPr>
        <w:t>亿美元，并上调通胀及失业率预期，下调年内</w:t>
      </w:r>
      <w:r w:rsidRPr="00A26A9E">
        <w:rPr>
          <w:rFonts w:ascii="Times New Roman" w:eastAsia="楷体" w:hAnsi="Times New Roman" w:cs="Times New Roman" w:hint="eastAsia"/>
          <w:color w:val="000000" w:themeColor="text1"/>
        </w:rPr>
        <w:t>GDP</w:t>
      </w:r>
      <w:r w:rsidRPr="00A26A9E">
        <w:rPr>
          <w:rFonts w:ascii="Times New Roman" w:eastAsia="楷体" w:hAnsi="Times New Roman" w:cs="Times New Roman" w:hint="eastAsia"/>
          <w:color w:val="000000" w:themeColor="text1"/>
        </w:rPr>
        <w:t>预期。尽管并未正式宣布</w:t>
      </w:r>
      <w:r w:rsidRPr="00A26A9E">
        <w:rPr>
          <w:rFonts w:ascii="Times New Roman" w:eastAsia="楷体" w:hAnsi="Times New Roman" w:cs="Times New Roman" w:hint="eastAsia"/>
          <w:color w:val="000000" w:themeColor="text1"/>
        </w:rPr>
        <w:t>Taper</w:t>
      </w:r>
      <w:r w:rsidRPr="00A26A9E">
        <w:rPr>
          <w:rFonts w:ascii="Times New Roman" w:eastAsia="楷体" w:hAnsi="Times New Roman" w:cs="Times New Roman" w:hint="eastAsia"/>
          <w:color w:val="000000" w:themeColor="text1"/>
        </w:rPr>
        <w:t>及给出时间表，但加息预期有所提前</w:t>
      </w:r>
      <w:r w:rsidR="00640F8B">
        <w:rPr>
          <w:rFonts w:ascii="Times New Roman" w:eastAsia="楷体" w:hAnsi="Times New Roman" w:cs="Times New Roman" w:hint="eastAsia"/>
          <w:color w:val="000000" w:themeColor="text1"/>
        </w:rPr>
        <w:t>。</w:t>
      </w:r>
    </w:p>
    <w:p w14:paraId="18F0CF00" w14:textId="43EAF818" w:rsidR="00515BC0" w:rsidRPr="00515BC0" w:rsidRDefault="00A26A9E" w:rsidP="00515BC0">
      <w:pPr>
        <w:ind w:firstLineChars="200" w:firstLine="480"/>
        <w:rPr>
          <w:rFonts w:ascii="Times New Roman" w:eastAsia="楷体" w:hAnsi="Times New Roman" w:cs="Times New Roman"/>
          <w:color w:val="000000" w:themeColor="text1"/>
        </w:rPr>
      </w:pPr>
      <w:r w:rsidRPr="00A26A9E">
        <w:rPr>
          <w:rFonts w:ascii="Times New Roman" w:eastAsia="楷体" w:hAnsi="Times New Roman" w:cs="Times New Roman" w:hint="eastAsia"/>
          <w:color w:val="000000" w:themeColor="text1"/>
        </w:rPr>
        <w:t>通胀方面，鲍威尔表示通胀将短期维持高位。目前，通胀依然较高，鲍威尔表示可能会在未来几个月保持这种情况，然后才会缓和。随着经济持续开放和消费支出增加，价格上行压力将增强，特别是一些行业的供应链问题将在短期内限制生产。供应链瓶颈问题比预期的更严重也更持久，美联储也因此上调通胀预期。但长期来看，随着供应链短缺效应减弱，通胀也会回落至目标区间</w:t>
      </w:r>
      <w:r w:rsidR="00640F8B">
        <w:rPr>
          <w:rFonts w:ascii="Times New Roman" w:eastAsia="楷体" w:hAnsi="Times New Roman" w:cs="Times New Roman" w:hint="eastAsia"/>
          <w:color w:val="000000" w:themeColor="text1"/>
        </w:rPr>
        <w:t>。</w:t>
      </w:r>
    </w:p>
    <w:p w14:paraId="6261E9A8" w14:textId="79CAA49F" w:rsidR="007E1695" w:rsidRPr="00515BC0" w:rsidRDefault="007378A4" w:rsidP="00515BC0">
      <w:pPr>
        <w:pStyle w:val="3"/>
        <w:rPr>
          <w:rFonts w:ascii="Times New Roman" w:eastAsia="楷体" w:hAnsi="Times New Roman" w:cs="Times New Roman"/>
          <w:sz w:val="24"/>
        </w:rPr>
      </w:pPr>
      <w:r w:rsidRPr="00006470">
        <w:rPr>
          <w:rFonts w:ascii="Times New Roman" w:eastAsia="楷体" w:hAnsi="Times New Roman" w:cs="Times New Roman"/>
          <w:sz w:val="28"/>
        </w:rPr>
        <w:t>二、上周市场回顾</w:t>
      </w:r>
    </w:p>
    <w:p w14:paraId="0A9AF66E" w14:textId="7E00AE62"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BB0F2C">
        <w:rPr>
          <w:rFonts w:ascii="Times New Roman" w:eastAsia="楷体" w:hAnsi="Times New Roman" w:cs="Times New Roman" w:hint="eastAsia"/>
          <w:color w:val="000000" w:themeColor="text1"/>
        </w:rPr>
        <w:t>NYMEX</w:t>
      </w:r>
      <w:r w:rsidR="00BB0F2C">
        <w:rPr>
          <w:rFonts w:ascii="Times New Roman" w:eastAsia="楷体" w:hAnsi="Times New Roman" w:cs="Times New Roman" w:hint="eastAsia"/>
          <w:color w:val="000000" w:themeColor="text1"/>
        </w:rPr>
        <w:t>原油</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2.75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LME</w:t>
      </w:r>
      <w:r w:rsidR="00B46791">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1.51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英国富时</w:t>
      </w:r>
      <w:r w:rsidR="00B46791">
        <w:rPr>
          <w:rFonts w:ascii="Times New Roman" w:eastAsia="楷体" w:hAnsi="Times New Roman" w:cs="Times New Roman" w:hint="eastAsia"/>
          <w:color w:val="000000" w:themeColor="text1"/>
        </w:rPr>
        <w:t>100</w:t>
      </w:r>
      <w:r w:rsidR="0080434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1.26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B46791">
        <w:rPr>
          <w:rFonts w:ascii="Times New Roman" w:eastAsia="楷体" w:hAnsi="Times New Roman" w:cs="Times New Roman" w:hint="eastAsia"/>
          <w:color w:val="000000" w:themeColor="text1"/>
        </w:rPr>
        <w:t>万得全</w:t>
      </w:r>
      <w:r w:rsidR="00B46791">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-0.37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日经</w:t>
      </w:r>
      <w:r w:rsidR="00B46791">
        <w:rPr>
          <w:rFonts w:ascii="Times New Roman" w:eastAsia="楷体" w:hAnsi="Times New Roman" w:cs="Times New Roman" w:hint="eastAsia"/>
          <w:color w:val="000000" w:themeColor="text1"/>
        </w:rPr>
        <w:t>225</w:t>
      </w:r>
      <w:r w:rsidR="00B46791">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0.82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B0F2C">
        <w:rPr>
          <w:rFonts w:ascii="Times New Roman" w:eastAsia="楷体" w:hAnsi="Times New Roman" w:cs="Times New Roman" w:hint="eastAsia"/>
          <w:color w:val="000000" w:themeColor="text1"/>
        </w:rPr>
        <w:t>恒生</w:t>
      </w:r>
      <w:r w:rsidR="0080434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2.92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B46791">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B46791">
        <w:rPr>
          <w:rFonts w:ascii="Times New Roman" w:eastAsia="楷体" w:hAnsi="Times New Roman" w:cs="Times New Roman" w:hint="eastAsia"/>
          <w:color w:val="000000" w:themeColor="text1"/>
        </w:rPr>
        <w:t>+1.26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+0.27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+1.04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6079B">
        <w:rPr>
          <w:rFonts w:ascii="Times New Roman" w:eastAsia="楷体" w:hAnsi="Times New Roman" w:cs="Times New Roman" w:hint="eastAsia"/>
          <w:color w:val="000000" w:themeColor="text1"/>
        </w:rPr>
        <w:t>微涨</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B46791">
        <w:rPr>
          <w:rFonts w:ascii="Times New Roman" w:eastAsia="楷体" w:hAnsi="Times New Roman" w:cs="Times New Roman" w:hint="eastAsia"/>
          <w:color w:val="000000" w:themeColor="text1"/>
        </w:rPr>
        <w:t>+0.02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B46791">
        <w:rPr>
          <w:rFonts w:ascii="Times New Roman" w:eastAsia="楷体" w:hAnsi="Times New Roman" w:cs="Times New Roman" w:hint="eastAsia"/>
          <w:color w:val="000000" w:themeColor="text1"/>
        </w:rPr>
        <w:t>+0.51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B46791">
        <w:rPr>
          <w:rFonts w:ascii="Times New Roman" w:eastAsia="楷体" w:hAnsi="Times New Roman" w:cs="Times New Roman" w:hint="eastAsia"/>
          <w:color w:val="000000" w:themeColor="text1"/>
        </w:rPr>
        <w:t>+0.62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537E46DA"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w:t>
      </w:r>
      <w:r w:rsidR="00B46791">
        <w:rPr>
          <w:rFonts w:ascii="Times New Roman" w:eastAsia="楷体" w:hAnsi="Times New Roman" w:cs="Times New Roman" w:hint="eastAsia"/>
          <w:color w:val="000000" w:themeColor="text1"/>
        </w:rPr>
        <w:t>呈差异化走势</w:t>
      </w:r>
      <w:r w:rsidRPr="00D127E3">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创业板指领涨</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+0.46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BB0F2C">
        <w:rPr>
          <w:rFonts w:ascii="Times New Roman" w:eastAsia="楷体" w:hAnsi="Times New Roman" w:cs="Times New Roman" w:hint="eastAsia"/>
          <w:color w:val="000000" w:themeColor="text1"/>
        </w:rPr>
        <w:t>下跌</w:t>
      </w:r>
      <w:r w:rsidR="00B46791">
        <w:rPr>
          <w:rFonts w:ascii="Times New Roman" w:eastAsia="楷体" w:hAnsi="Times New Roman" w:cs="Times New Roman" w:hint="eastAsia"/>
          <w:color w:val="000000" w:themeColor="text1"/>
        </w:rPr>
        <w:t>0.02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A73F6C">
        <w:rPr>
          <w:rFonts w:ascii="Times New Roman" w:eastAsia="楷体" w:hAnsi="Times New Roman" w:cs="Times New Roman" w:hint="eastAsia"/>
          <w:color w:val="000000" w:themeColor="text1"/>
        </w:rPr>
        <w:t>3</w:t>
      </w:r>
      <w:r w:rsidR="00ED318B">
        <w:rPr>
          <w:rFonts w:ascii="Times New Roman" w:eastAsia="楷体" w:hAnsi="Times New Roman" w:cs="Times New Roman" w:hint="eastAsia"/>
          <w:color w:val="000000" w:themeColor="text1"/>
        </w:rPr>
        <w:t>613.</w:t>
      </w:r>
      <w:r w:rsidR="00B46791">
        <w:rPr>
          <w:rFonts w:ascii="Times New Roman" w:eastAsia="楷体" w:hAnsi="Times New Roman" w:cs="Times New Roman" w:hint="eastAsia"/>
          <w:color w:val="000000" w:themeColor="text1"/>
        </w:rPr>
        <w:t>07</w:t>
      </w:r>
      <w:r w:rsidRPr="00D127E3">
        <w:rPr>
          <w:rFonts w:ascii="Times New Roman" w:eastAsia="楷体" w:hAnsi="Times New Roman" w:cs="Times New Roman" w:hint="eastAsia"/>
          <w:color w:val="000000" w:themeColor="text1"/>
        </w:rPr>
        <w:t>点；深证成指周内</w:t>
      </w:r>
      <w:r w:rsidR="00ED318B">
        <w:rPr>
          <w:rFonts w:ascii="Times New Roman" w:eastAsia="楷体" w:hAnsi="Times New Roman" w:cs="Times New Roman" w:hint="eastAsia"/>
          <w:color w:val="000000" w:themeColor="text1"/>
        </w:rPr>
        <w:t>下跌</w:t>
      </w:r>
      <w:r w:rsidR="00B46791">
        <w:rPr>
          <w:rFonts w:ascii="Times New Roman" w:eastAsia="楷体" w:hAnsi="Times New Roman" w:cs="Times New Roman" w:hint="eastAsia"/>
          <w:color w:val="000000" w:themeColor="text1"/>
        </w:rPr>
        <w:t>0.01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ED318B">
        <w:rPr>
          <w:rFonts w:ascii="Times New Roman" w:eastAsia="楷体" w:hAnsi="Times New Roman" w:cs="Times New Roman" w:hint="eastAsia"/>
          <w:color w:val="000000" w:themeColor="text1"/>
        </w:rPr>
        <w:t>1435</w:t>
      </w:r>
      <w:r w:rsidR="00B46791">
        <w:rPr>
          <w:rFonts w:ascii="Times New Roman" w:eastAsia="楷体" w:hAnsi="Times New Roman" w:cs="Times New Roman" w:hint="eastAsia"/>
          <w:color w:val="000000" w:themeColor="text1"/>
        </w:rPr>
        <w:t>7.85</w:t>
      </w:r>
      <w:r w:rsidRPr="00D127E3">
        <w:rPr>
          <w:rFonts w:ascii="Times New Roman" w:eastAsia="楷体" w:hAnsi="Times New Roman" w:cs="Times New Roman" w:hint="eastAsia"/>
          <w:color w:val="000000" w:themeColor="text1"/>
        </w:rPr>
        <w:t>点；创业板指周内</w:t>
      </w:r>
      <w:r w:rsidR="00B46791">
        <w:rPr>
          <w:rFonts w:ascii="Times New Roman" w:eastAsia="楷体" w:hAnsi="Times New Roman" w:cs="Times New Roman" w:hint="eastAsia"/>
          <w:color w:val="000000" w:themeColor="text1"/>
        </w:rPr>
        <w:t>上涨</w:t>
      </w:r>
      <w:r w:rsidR="00B46791">
        <w:rPr>
          <w:rFonts w:ascii="Times New Roman" w:eastAsia="楷体" w:hAnsi="Times New Roman" w:cs="Times New Roman" w:hint="eastAsia"/>
          <w:color w:val="000000" w:themeColor="text1"/>
        </w:rPr>
        <w:t>0.46</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B46791">
        <w:rPr>
          <w:rFonts w:ascii="Times New Roman" w:eastAsia="楷体" w:hAnsi="Times New Roman" w:cs="Times New Roman" w:hint="eastAsia"/>
          <w:color w:val="000000" w:themeColor="text1"/>
        </w:rPr>
        <w:t>3207.82</w:t>
      </w:r>
      <w:r w:rsidRPr="00D127E3">
        <w:rPr>
          <w:rFonts w:ascii="Times New Roman" w:eastAsia="楷体" w:hAnsi="Times New Roman" w:cs="Times New Roman" w:hint="eastAsia"/>
          <w:color w:val="000000" w:themeColor="text1"/>
        </w:rPr>
        <w:t>点。两市周内日均成交</w:t>
      </w:r>
      <w:r w:rsidR="00B46791">
        <w:rPr>
          <w:rFonts w:ascii="Times New Roman" w:eastAsia="楷体" w:hAnsi="Times New Roman" w:cs="Times New Roman" w:hint="eastAsia"/>
          <w:color w:val="000000" w:themeColor="text1"/>
        </w:rPr>
        <w:t>12525.01</w:t>
      </w:r>
      <w:r w:rsidRPr="00D127E3">
        <w:rPr>
          <w:rFonts w:ascii="Times New Roman" w:eastAsia="楷体" w:hAnsi="Times New Roman" w:cs="Times New Roman" w:hint="eastAsia"/>
          <w:color w:val="000000" w:themeColor="text1"/>
        </w:rPr>
        <w:t>亿元，较上</w:t>
      </w:r>
      <w:r w:rsidR="0046079B">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A73F6C">
        <w:rPr>
          <w:rFonts w:ascii="Times New Roman" w:eastAsia="楷体" w:hAnsi="Times New Roman" w:cs="Times New Roman" w:hint="eastAsia"/>
          <w:color w:val="000000" w:themeColor="text1"/>
        </w:rPr>
        <w:t>减少</w:t>
      </w:r>
      <w:r w:rsidR="00B46791">
        <w:rPr>
          <w:rFonts w:ascii="Times New Roman" w:eastAsia="楷体" w:hAnsi="Times New Roman" w:cs="Times New Roman" w:hint="eastAsia"/>
          <w:color w:val="000000" w:themeColor="text1"/>
        </w:rPr>
        <w:t>1780.23</w:t>
      </w:r>
      <w:r w:rsidRPr="00D127E3">
        <w:rPr>
          <w:rFonts w:ascii="Times New Roman" w:eastAsia="楷体" w:hAnsi="Times New Roman" w:cs="Times New Roman" w:hint="eastAsia"/>
          <w:color w:val="000000" w:themeColor="text1"/>
        </w:rPr>
        <w:t>亿元。两市个股周内</w:t>
      </w:r>
      <w:r w:rsidR="00ED318B">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1247</w:t>
      </w:r>
      <w:r w:rsidRPr="00D127E3">
        <w:rPr>
          <w:rFonts w:ascii="Times New Roman" w:eastAsia="楷体" w:hAnsi="Times New Roman" w:cs="Times New Roman" w:hint="eastAsia"/>
          <w:color w:val="000000" w:themeColor="text1"/>
        </w:rPr>
        <w:t>家上涨，</w:t>
      </w:r>
      <w:r w:rsidR="00B46791">
        <w:rPr>
          <w:rFonts w:ascii="Times New Roman" w:eastAsia="楷体" w:hAnsi="Times New Roman" w:cs="Times New Roman" w:hint="eastAsia"/>
          <w:color w:val="000000" w:themeColor="text1"/>
        </w:rPr>
        <w:t>44</w:t>
      </w:r>
      <w:r w:rsidRPr="00D127E3">
        <w:rPr>
          <w:rFonts w:ascii="Times New Roman" w:eastAsia="楷体" w:hAnsi="Times New Roman" w:cs="Times New Roman" w:hint="eastAsia"/>
          <w:color w:val="000000" w:themeColor="text1"/>
        </w:rPr>
        <w:t>家平盘，</w:t>
      </w:r>
      <w:r w:rsidR="00B46791">
        <w:rPr>
          <w:rFonts w:ascii="Times New Roman" w:eastAsia="楷体" w:hAnsi="Times New Roman" w:cs="Times New Roman" w:hint="eastAsia"/>
          <w:color w:val="000000" w:themeColor="text1"/>
        </w:rPr>
        <w:t>3193</w:t>
      </w:r>
      <w:r w:rsidRPr="00D127E3">
        <w:rPr>
          <w:rFonts w:ascii="Times New Roman" w:eastAsia="楷体" w:hAnsi="Times New Roman" w:cs="Times New Roman" w:hint="eastAsia"/>
          <w:color w:val="000000" w:themeColor="text1"/>
        </w:rPr>
        <w:t>家下跌；全市场</w:t>
      </w:r>
      <w:r w:rsidR="0046079B">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B46791">
        <w:rPr>
          <w:rFonts w:ascii="Times New Roman" w:eastAsia="楷体" w:hAnsi="Times New Roman" w:cs="Times New Roman" w:hint="eastAsia"/>
          <w:color w:val="000000" w:themeColor="text1"/>
        </w:rPr>
        <w:t>269</w:t>
      </w:r>
      <w:r w:rsidRPr="00D127E3">
        <w:rPr>
          <w:rFonts w:ascii="Times New Roman" w:eastAsia="楷体" w:hAnsi="Times New Roman" w:cs="Times New Roman" w:hint="eastAsia"/>
          <w:color w:val="000000" w:themeColor="text1"/>
        </w:rPr>
        <w:t>家，累计跌停</w:t>
      </w:r>
      <w:r w:rsidR="00B46791">
        <w:rPr>
          <w:rFonts w:ascii="Times New Roman" w:eastAsia="楷体" w:hAnsi="Times New Roman" w:cs="Times New Roman" w:hint="eastAsia"/>
          <w:color w:val="000000" w:themeColor="text1"/>
        </w:rPr>
        <w:t>114</w:t>
      </w:r>
      <w:r w:rsidRPr="00D127E3">
        <w:rPr>
          <w:rFonts w:ascii="Times New Roman" w:eastAsia="楷体" w:hAnsi="Times New Roman" w:cs="Times New Roman" w:hint="eastAsia"/>
          <w:color w:val="000000" w:themeColor="text1"/>
        </w:rPr>
        <w:t>家。</w:t>
      </w:r>
    </w:p>
    <w:bookmarkEnd w:id="1"/>
    <w:p w14:paraId="001A09E6" w14:textId="71B34240"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B46791">
        <w:rPr>
          <w:rFonts w:ascii="Times New Roman" w:eastAsia="楷体" w:hAnsi="Times New Roman" w:cs="Times New Roman" w:hint="eastAsia"/>
          <w:b/>
        </w:rPr>
        <w:t>创业</w:t>
      </w:r>
      <w:proofErr w:type="gramStart"/>
      <w:r w:rsidR="00B46791">
        <w:rPr>
          <w:rFonts w:ascii="Times New Roman" w:eastAsia="楷体" w:hAnsi="Times New Roman" w:cs="Times New Roman" w:hint="eastAsia"/>
          <w:b/>
        </w:rPr>
        <w:t>板</w:t>
      </w:r>
      <w:r w:rsidR="00ED318B">
        <w:rPr>
          <w:rFonts w:ascii="Times New Roman" w:eastAsia="楷体" w:hAnsi="Times New Roman" w:cs="Times New Roman" w:hint="eastAsia"/>
          <w:b/>
        </w:rPr>
        <w:t>指数领</w:t>
      </w:r>
      <w:proofErr w:type="gramEnd"/>
      <w:r w:rsidR="00B46791">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741DE637" w:rsidR="007E1695" w:rsidRPr="00006470" w:rsidRDefault="00B46791">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5E900201" wp14:editId="196FE12B">
            <wp:extent cx="6041390" cy="276161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B9C9C0" w14:textId="53120ED4"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B46791">
        <w:rPr>
          <w:rFonts w:ascii="Times New Roman" w:eastAsia="楷体" w:hAnsi="Times New Roman" w:cs="Times New Roman" w:hint="eastAsia"/>
          <w:color w:val="000000" w:themeColor="text1"/>
        </w:rPr>
        <w:t>公共事业</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5.32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E601C2">
        <w:rPr>
          <w:rFonts w:ascii="Times New Roman" w:eastAsia="楷体" w:hAnsi="Times New Roman" w:cs="Times New Roman" w:hint="eastAsia"/>
          <w:color w:val="000000" w:themeColor="text1"/>
        </w:rPr>
        <w:t>房地产</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3.43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E601C2">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3.34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3849D8">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w:t>
      </w:r>
      <w:r w:rsidR="003849D8">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63.12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61.81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50.20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E601C2">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17.13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18.15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73611">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25.56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6BB9938D"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E601C2">
        <w:rPr>
          <w:rFonts w:ascii="Times New Roman" w:eastAsia="楷体" w:hAnsi="Times New Roman" w:cs="Times New Roman" w:hint="eastAsia"/>
          <w:b/>
        </w:rPr>
        <w:t>公共事业</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1398B32A" w:rsidR="00C13CA5" w:rsidRPr="00006470" w:rsidRDefault="00E601C2"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33941E31" wp14:editId="6C14D118">
            <wp:extent cx="6612007" cy="1580854"/>
            <wp:effectExtent l="0" t="0" r="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31652" cy="1585551"/>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78784095"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ED318B">
        <w:rPr>
          <w:rFonts w:ascii="Times New Roman" w:eastAsia="楷体" w:hAnsi="Times New Roman" w:cs="Times New Roman" w:hint="eastAsia"/>
          <w:color w:val="000000" w:themeColor="text1"/>
        </w:rPr>
        <w:t>流出</w:t>
      </w:r>
      <w:r w:rsidR="00E601C2">
        <w:rPr>
          <w:rFonts w:ascii="Times New Roman" w:eastAsia="楷体" w:hAnsi="Times New Roman" w:cs="Times New Roman" w:hint="eastAsia"/>
          <w:color w:val="000000" w:themeColor="text1"/>
        </w:rPr>
        <w:t>15.79</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E601C2">
        <w:rPr>
          <w:rFonts w:ascii="Times New Roman" w:eastAsia="楷体" w:hAnsi="Times New Roman" w:cs="Times New Roman" w:hint="eastAsia"/>
          <w:color w:val="000000" w:themeColor="text1"/>
        </w:rPr>
        <w:t>275.90</w:t>
      </w:r>
      <w:r w:rsidRPr="00B41C69">
        <w:rPr>
          <w:rFonts w:ascii="Times New Roman" w:eastAsia="楷体" w:hAnsi="Times New Roman" w:cs="Times New Roman" w:hint="eastAsia"/>
          <w:color w:val="000000" w:themeColor="text1"/>
        </w:rPr>
        <w:t>亿份较前一周</w:t>
      </w:r>
      <w:r w:rsidR="00ED318B">
        <w:rPr>
          <w:rFonts w:ascii="Times New Roman" w:eastAsia="楷体" w:hAnsi="Times New Roman" w:cs="Times New Roman" w:hint="eastAsia"/>
          <w:color w:val="000000" w:themeColor="text1"/>
        </w:rPr>
        <w:t>大</w:t>
      </w:r>
      <w:r w:rsidR="0082728B">
        <w:rPr>
          <w:rFonts w:ascii="Times New Roman" w:eastAsia="楷体" w:hAnsi="Times New Roman" w:cs="Times New Roman" w:hint="eastAsia"/>
          <w:color w:val="000000" w:themeColor="text1"/>
        </w:rPr>
        <w:t>幅</w:t>
      </w:r>
      <w:r w:rsidR="00E601C2">
        <w:rPr>
          <w:rFonts w:ascii="Times New Roman" w:eastAsia="楷体" w:hAnsi="Times New Roman" w:cs="Times New Roman" w:hint="eastAsia"/>
          <w:color w:val="000000" w:themeColor="text1"/>
        </w:rPr>
        <w:t>减少</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9</w:t>
      </w:r>
      <w:r w:rsidRPr="00B41C69">
        <w:rPr>
          <w:rFonts w:ascii="Times New Roman" w:eastAsia="楷体" w:hAnsi="Times New Roman" w:cs="Times New Roman" w:hint="eastAsia"/>
          <w:color w:val="000000" w:themeColor="text1"/>
        </w:rPr>
        <w:t>月最新募资合计</w:t>
      </w:r>
      <w:r w:rsidR="00E601C2">
        <w:rPr>
          <w:rFonts w:ascii="Times New Roman" w:eastAsia="楷体" w:hAnsi="Times New Roman" w:cs="Times New Roman" w:hint="eastAsia"/>
          <w:color w:val="000000" w:themeColor="text1"/>
        </w:rPr>
        <w:t>923.64</w:t>
      </w:r>
      <w:r w:rsidRPr="00B41C69">
        <w:rPr>
          <w:rFonts w:ascii="Times New Roman" w:eastAsia="楷体" w:hAnsi="Times New Roman" w:cs="Times New Roman" w:hint="eastAsia"/>
          <w:color w:val="000000" w:themeColor="text1"/>
        </w:rPr>
        <w:t>亿元；本周限售解禁市值约</w:t>
      </w:r>
      <w:r w:rsidR="00E601C2">
        <w:rPr>
          <w:rFonts w:ascii="Times New Roman" w:eastAsia="楷体" w:hAnsi="Times New Roman" w:cs="Times New Roman" w:hint="eastAsia"/>
          <w:color w:val="000000" w:themeColor="text1"/>
        </w:rPr>
        <w:t>1003.24</w:t>
      </w:r>
      <w:r w:rsidRPr="00B41C69">
        <w:rPr>
          <w:rFonts w:ascii="Times New Roman" w:eastAsia="楷体" w:hAnsi="Times New Roman" w:cs="Times New Roman" w:hint="eastAsia"/>
          <w:color w:val="000000" w:themeColor="text1"/>
        </w:rPr>
        <w:t>亿元，与上周相比</w:t>
      </w:r>
      <w:r w:rsidR="00E601C2">
        <w:rPr>
          <w:rFonts w:ascii="Times New Roman" w:eastAsia="楷体" w:hAnsi="Times New Roman" w:cs="Times New Roman" w:hint="eastAsia"/>
          <w:color w:val="000000" w:themeColor="text1"/>
        </w:rPr>
        <w:t>小幅减少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29324A91" w:rsidR="0052683C" w:rsidRPr="00006470" w:rsidRDefault="001A7BCD"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1A7BCD">
        <w:rPr>
          <w:rFonts w:ascii="Times New Roman" w:eastAsia="楷体" w:hAnsi="Times New Roman" w:cs="Times New Roman" w:hint="eastAsia"/>
          <w:color w:val="000000"/>
          <w:shd w:val="clear" w:color="auto" w:fill="FFFFFF"/>
        </w:rPr>
        <w:t>周市场在外盘利空背景下整体表现相对强势，</w:t>
      </w:r>
      <w:r w:rsidR="0046079B">
        <w:rPr>
          <w:rFonts w:ascii="Times New Roman" w:eastAsia="楷体" w:hAnsi="Times New Roman" w:cs="Times New Roman" w:hint="eastAsia"/>
          <w:color w:val="000000"/>
          <w:shd w:val="clear" w:color="auto" w:fill="FFFFFF"/>
        </w:rPr>
        <w:t>本</w:t>
      </w:r>
      <w:r w:rsidRPr="001A7BCD">
        <w:rPr>
          <w:rFonts w:ascii="Times New Roman" w:eastAsia="楷体" w:hAnsi="Times New Roman" w:cs="Times New Roman" w:hint="eastAsia"/>
          <w:color w:val="000000"/>
          <w:shd w:val="clear" w:color="auto" w:fill="FFFFFF"/>
        </w:rPr>
        <w:t>周市场</w:t>
      </w:r>
      <w:r w:rsidR="0046079B">
        <w:rPr>
          <w:rFonts w:ascii="Times New Roman" w:eastAsia="楷体" w:hAnsi="Times New Roman" w:cs="Times New Roman" w:hint="eastAsia"/>
          <w:color w:val="000000"/>
          <w:shd w:val="clear" w:color="auto" w:fill="FFFFFF"/>
        </w:rPr>
        <w:t>临近</w:t>
      </w:r>
      <w:r w:rsidRPr="001A7BCD">
        <w:rPr>
          <w:rFonts w:ascii="Times New Roman" w:eastAsia="楷体" w:hAnsi="Times New Roman" w:cs="Times New Roman" w:hint="eastAsia"/>
          <w:color w:val="000000"/>
          <w:shd w:val="clear" w:color="auto" w:fill="FFFFFF"/>
        </w:rPr>
        <w:t>国庆小长假预计风险偏好趋于平</w:t>
      </w:r>
      <w:r w:rsidRPr="001A7BCD">
        <w:rPr>
          <w:rFonts w:ascii="Times New Roman" w:eastAsia="楷体" w:hAnsi="Times New Roman" w:cs="Times New Roman" w:hint="eastAsia"/>
          <w:color w:val="000000"/>
          <w:shd w:val="clear" w:color="auto" w:fill="FFFFFF"/>
        </w:rPr>
        <w:lastRenderedPageBreak/>
        <w:t>稳以震荡为主。基本面上</w:t>
      </w:r>
      <w:r w:rsidR="0046079B">
        <w:rPr>
          <w:rFonts w:ascii="Times New Roman" w:eastAsia="楷体" w:hAnsi="Times New Roman" w:cs="Times New Roman" w:hint="eastAsia"/>
          <w:color w:val="000000"/>
          <w:shd w:val="clear" w:color="auto" w:fill="FFFFFF"/>
        </w:rPr>
        <w:t>，</w:t>
      </w:r>
      <w:r w:rsidRPr="001A7BCD">
        <w:rPr>
          <w:rFonts w:ascii="Times New Roman" w:eastAsia="楷体" w:hAnsi="Times New Roman" w:cs="Times New Roman" w:hint="eastAsia"/>
          <w:color w:val="000000"/>
          <w:shd w:val="clear" w:color="auto" w:fill="FFFFFF"/>
        </w:rPr>
        <w:t>能耗双控约束下的限电限产在各地铺开，市场预期需求端下行</w:t>
      </w:r>
      <w:r w:rsidR="0046079B">
        <w:rPr>
          <w:rFonts w:ascii="Times New Roman" w:eastAsia="楷体" w:hAnsi="Times New Roman" w:cs="Times New Roman" w:hint="eastAsia"/>
          <w:color w:val="000000"/>
          <w:shd w:val="clear" w:color="auto" w:fill="FFFFFF"/>
        </w:rPr>
        <w:t>，</w:t>
      </w:r>
      <w:r w:rsidRPr="001A7BCD">
        <w:rPr>
          <w:rFonts w:ascii="Times New Roman" w:eastAsia="楷体" w:hAnsi="Times New Roman" w:cs="Times New Roman" w:hint="eastAsia"/>
          <w:color w:val="000000"/>
          <w:shd w:val="clear" w:color="auto" w:fill="FFFFFF"/>
        </w:rPr>
        <w:t>对周期板块供需紧缺预期形成冲击引发板块较大幅度的调整，后续政策大概率对“一刀切式”的限电限产进行一定的纠偏，但周期板块股价高位下我们认为短期以高位震荡为主。</w:t>
      </w:r>
      <w:proofErr w:type="gramStart"/>
      <w:r w:rsidRPr="001A7BCD">
        <w:rPr>
          <w:rFonts w:ascii="Times New Roman" w:eastAsia="楷体" w:hAnsi="Times New Roman" w:cs="Times New Roman" w:hint="eastAsia"/>
          <w:color w:val="000000"/>
          <w:shd w:val="clear" w:color="auto" w:fill="FFFFFF"/>
        </w:rPr>
        <w:t>周六华为孟晚舟</w:t>
      </w:r>
      <w:proofErr w:type="gramEnd"/>
      <w:r w:rsidRPr="001A7BCD">
        <w:rPr>
          <w:rFonts w:ascii="Times New Roman" w:eastAsia="楷体" w:hAnsi="Times New Roman" w:cs="Times New Roman" w:hint="eastAsia"/>
          <w:color w:val="000000"/>
          <w:shd w:val="clear" w:color="auto" w:fill="FFFFFF"/>
        </w:rPr>
        <w:t>回国一定程度</w:t>
      </w:r>
      <w:r w:rsidR="0046079B">
        <w:rPr>
          <w:rFonts w:ascii="Times New Roman" w:eastAsia="楷体" w:hAnsi="Times New Roman" w:cs="Times New Roman" w:hint="eastAsia"/>
          <w:color w:val="000000"/>
          <w:shd w:val="clear" w:color="auto" w:fill="FFFFFF"/>
        </w:rPr>
        <w:t>上</w:t>
      </w:r>
      <w:r w:rsidRPr="001A7BCD">
        <w:rPr>
          <w:rFonts w:ascii="Times New Roman" w:eastAsia="楷体" w:hAnsi="Times New Roman" w:cs="Times New Roman" w:hint="eastAsia"/>
          <w:color w:val="000000"/>
          <w:shd w:val="clear" w:color="auto" w:fill="FFFFFF"/>
        </w:rPr>
        <w:t>提升科技板块风险偏好，利好</w:t>
      </w:r>
      <w:r w:rsidRPr="001A7BCD">
        <w:rPr>
          <w:rFonts w:ascii="Times New Roman" w:eastAsia="楷体" w:hAnsi="Times New Roman" w:cs="Times New Roman" w:hint="eastAsia"/>
          <w:color w:val="000000"/>
          <w:shd w:val="clear" w:color="auto" w:fill="FFFFFF"/>
        </w:rPr>
        <w:t>5G</w:t>
      </w:r>
      <w:r w:rsidRPr="001A7BCD">
        <w:rPr>
          <w:rFonts w:ascii="Times New Roman" w:eastAsia="楷体" w:hAnsi="Times New Roman" w:cs="Times New Roman" w:hint="eastAsia"/>
          <w:color w:val="000000"/>
          <w:shd w:val="clear" w:color="auto" w:fill="FFFFFF"/>
        </w:rPr>
        <w:t>、消费电子等产业链的估值修复，但大概率美国对华为</w:t>
      </w:r>
      <w:proofErr w:type="gramStart"/>
      <w:r w:rsidRPr="001A7BCD">
        <w:rPr>
          <w:rFonts w:ascii="Times New Roman" w:eastAsia="楷体" w:hAnsi="Times New Roman" w:cs="Times New Roman" w:hint="eastAsia"/>
          <w:color w:val="000000"/>
          <w:shd w:val="clear" w:color="auto" w:fill="FFFFFF"/>
        </w:rPr>
        <w:t>高端制程芯片</w:t>
      </w:r>
      <w:proofErr w:type="gramEnd"/>
      <w:r w:rsidRPr="001A7BCD">
        <w:rPr>
          <w:rFonts w:ascii="Times New Roman" w:eastAsia="楷体" w:hAnsi="Times New Roman" w:cs="Times New Roman" w:hint="eastAsia"/>
          <w:color w:val="000000"/>
          <w:shd w:val="clear" w:color="auto" w:fill="FFFFFF"/>
        </w:rPr>
        <w:t>不会放松</w:t>
      </w:r>
      <w:r w:rsidR="0046079B">
        <w:rPr>
          <w:rFonts w:ascii="Times New Roman" w:eastAsia="楷体" w:hAnsi="Times New Roman" w:cs="Times New Roman" w:hint="eastAsia"/>
          <w:color w:val="000000"/>
          <w:shd w:val="clear" w:color="auto" w:fill="FFFFFF"/>
        </w:rPr>
        <w:t>，</w:t>
      </w:r>
      <w:r w:rsidRPr="001A7BCD">
        <w:rPr>
          <w:rFonts w:ascii="Times New Roman" w:eastAsia="楷体" w:hAnsi="Times New Roman" w:cs="Times New Roman" w:hint="eastAsia"/>
          <w:color w:val="000000"/>
          <w:shd w:val="clear" w:color="auto" w:fill="FFFFFF"/>
        </w:rPr>
        <w:t>对题材</w:t>
      </w:r>
      <w:proofErr w:type="gramStart"/>
      <w:r w:rsidRPr="001A7BCD">
        <w:rPr>
          <w:rFonts w:ascii="Times New Roman" w:eastAsia="楷体" w:hAnsi="Times New Roman" w:cs="Times New Roman" w:hint="eastAsia"/>
          <w:color w:val="000000"/>
          <w:shd w:val="clear" w:color="auto" w:fill="FFFFFF"/>
        </w:rPr>
        <w:t>炒作需</w:t>
      </w:r>
      <w:proofErr w:type="gramEnd"/>
      <w:r w:rsidRPr="001A7BCD">
        <w:rPr>
          <w:rFonts w:ascii="Times New Roman" w:eastAsia="楷体" w:hAnsi="Times New Roman" w:cs="Times New Roman" w:hint="eastAsia"/>
          <w:color w:val="000000"/>
          <w:shd w:val="clear" w:color="auto" w:fill="FFFFFF"/>
        </w:rPr>
        <w:t>保持警惕。</w:t>
      </w:r>
      <w:r w:rsidRPr="001A7BCD">
        <w:rPr>
          <w:rFonts w:ascii="Times New Roman" w:eastAsia="楷体" w:hAnsi="Times New Roman" w:cs="Times New Roman" w:hint="eastAsia"/>
          <w:color w:val="000000"/>
          <w:shd w:val="clear" w:color="auto" w:fill="FFFFFF"/>
        </w:rPr>
        <w:t>10</w:t>
      </w:r>
      <w:r w:rsidRPr="001A7BCD">
        <w:rPr>
          <w:rFonts w:ascii="Times New Roman" w:eastAsia="楷体" w:hAnsi="Times New Roman" w:cs="Times New Roman" w:hint="eastAsia"/>
          <w:color w:val="000000"/>
          <w:shd w:val="clear" w:color="auto" w:fill="FFFFFF"/>
        </w:rPr>
        <w:t>月国庆后三季报行情预计也将开启，业绩端景气行业新能源、军工、电子仍值得重点关注，最后我们认为四季度市场整体趋于均衡结构行情为主，宏观经济预期可能边际下行</w:t>
      </w:r>
      <w:r w:rsidR="0046079B">
        <w:rPr>
          <w:rFonts w:ascii="Times New Roman" w:eastAsia="楷体" w:hAnsi="Times New Roman" w:cs="Times New Roman" w:hint="eastAsia"/>
          <w:color w:val="000000"/>
          <w:shd w:val="clear" w:color="auto" w:fill="FFFFFF"/>
        </w:rPr>
        <w:t>，</w:t>
      </w:r>
      <w:r w:rsidRPr="001A7BCD">
        <w:rPr>
          <w:rFonts w:ascii="Times New Roman" w:eastAsia="楷体" w:hAnsi="Times New Roman" w:cs="Times New Roman" w:hint="eastAsia"/>
          <w:color w:val="000000"/>
          <w:shd w:val="clear" w:color="auto" w:fill="FFFFFF"/>
        </w:rPr>
        <w:t>流动性更多以“托底式”宽松为主，美联储</w:t>
      </w:r>
      <w:r w:rsidRPr="001A7BCD">
        <w:rPr>
          <w:rFonts w:ascii="Times New Roman" w:eastAsia="楷体" w:hAnsi="Times New Roman" w:cs="Times New Roman" w:hint="eastAsia"/>
          <w:color w:val="000000"/>
          <w:shd w:val="clear" w:color="auto" w:fill="FFFFFF"/>
        </w:rPr>
        <w:t>11</w:t>
      </w:r>
      <w:r w:rsidRPr="001A7BCD">
        <w:rPr>
          <w:rFonts w:ascii="Times New Roman" w:eastAsia="楷体" w:hAnsi="Times New Roman" w:cs="Times New Roman" w:hint="eastAsia"/>
          <w:color w:val="000000"/>
          <w:shd w:val="clear" w:color="auto" w:fill="FFFFFF"/>
        </w:rPr>
        <w:t>月</w:t>
      </w:r>
      <w:r w:rsidRPr="001A7BCD">
        <w:rPr>
          <w:rFonts w:ascii="Times New Roman" w:eastAsia="楷体" w:hAnsi="Times New Roman" w:cs="Times New Roman" w:hint="eastAsia"/>
          <w:color w:val="000000"/>
          <w:shd w:val="clear" w:color="auto" w:fill="FFFFFF"/>
        </w:rPr>
        <w:t>Taper</w:t>
      </w:r>
      <w:r w:rsidRPr="001A7BCD">
        <w:rPr>
          <w:rFonts w:ascii="Times New Roman" w:eastAsia="楷体" w:hAnsi="Times New Roman" w:cs="Times New Roman" w:hint="eastAsia"/>
          <w:color w:val="000000"/>
          <w:shd w:val="clear" w:color="auto" w:fill="FFFFFF"/>
        </w:rPr>
        <w:t>概率较大但市场已形成一定预期影响更多偏</w:t>
      </w:r>
      <w:r>
        <w:rPr>
          <w:rFonts w:ascii="Times New Roman" w:eastAsia="楷体" w:hAnsi="Times New Roman" w:cs="Times New Roman" w:hint="eastAsia"/>
          <w:color w:val="000000"/>
          <w:shd w:val="clear" w:color="auto" w:fill="FFFFFF"/>
        </w:rPr>
        <w:t>短期，关注公用事业及消费板块在四季度的估值切换行情</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27E251E"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1A7BCD">
        <w:rPr>
          <w:rFonts w:ascii="Times New Roman" w:eastAsia="楷体" w:hAnsi="Times New Roman" w:cs="Times New Roman"/>
          <w:color w:val="000000" w:themeColor="text1"/>
        </w:rPr>
        <w:t>景气行业</w:t>
      </w:r>
      <w:r w:rsidR="001A7BCD">
        <w:rPr>
          <w:rFonts w:ascii="Times New Roman" w:eastAsia="楷体" w:hAnsi="Times New Roman" w:cs="Times New Roman" w:hint="eastAsia"/>
          <w:color w:val="000000" w:themeColor="text1"/>
        </w:rPr>
        <w:t>：</w:t>
      </w:r>
      <w:r w:rsidR="001A7BCD">
        <w:rPr>
          <w:rFonts w:ascii="Times New Roman" w:eastAsia="楷体" w:hAnsi="Times New Roman" w:cs="Times New Roman"/>
          <w:color w:val="000000" w:themeColor="text1"/>
        </w:rPr>
        <w:t>新能源</w:t>
      </w:r>
      <w:r w:rsidR="001A7BCD">
        <w:rPr>
          <w:rFonts w:ascii="Times New Roman" w:eastAsia="楷体" w:hAnsi="Times New Roman" w:cs="Times New Roman" w:hint="eastAsia"/>
          <w:color w:val="000000" w:themeColor="text1"/>
        </w:rPr>
        <w:t>、</w:t>
      </w:r>
      <w:r w:rsidR="001A7BCD">
        <w:rPr>
          <w:rFonts w:ascii="Times New Roman" w:eastAsia="楷体" w:hAnsi="Times New Roman" w:cs="Times New Roman"/>
          <w:color w:val="000000" w:themeColor="text1"/>
        </w:rPr>
        <w:t>军工</w:t>
      </w:r>
      <w:r w:rsidR="001A7BCD">
        <w:rPr>
          <w:rFonts w:ascii="Times New Roman" w:eastAsia="楷体" w:hAnsi="Times New Roman" w:cs="Times New Roman" w:hint="eastAsia"/>
          <w:color w:val="000000" w:themeColor="text1"/>
        </w:rPr>
        <w:t>、</w:t>
      </w:r>
      <w:r w:rsidR="001A7BCD">
        <w:rPr>
          <w:rFonts w:ascii="Times New Roman" w:eastAsia="楷体" w:hAnsi="Times New Roman" w:cs="Times New Roman"/>
          <w:color w:val="000000" w:themeColor="text1"/>
        </w:rPr>
        <w:t>电子</w:t>
      </w:r>
      <w:r w:rsidRPr="00006470">
        <w:rPr>
          <w:rFonts w:ascii="Times New Roman" w:eastAsia="楷体" w:hAnsi="Times New Roman" w:cs="Times New Roman"/>
          <w:color w:val="000000" w:themeColor="text1"/>
        </w:rPr>
        <w:t>；</w:t>
      </w:r>
    </w:p>
    <w:p w14:paraId="1F660E1A" w14:textId="42B819B8"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w:t>
      </w:r>
      <w:r w:rsidR="001A7BCD">
        <w:rPr>
          <w:rFonts w:ascii="Times New Roman" w:eastAsia="楷体" w:hAnsi="Times New Roman" w:cs="Times New Roman" w:hint="eastAsia"/>
          <w:color w:val="000000" w:themeColor="text1"/>
        </w:rPr>
        <w:t>低估值</w:t>
      </w:r>
      <w:r w:rsidR="001A7BCD">
        <w:rPr>
          <w:rFonts w:ascii="Times New Roman" w:eastAsia="楷体" w:hAnsi="Times New Roman" w:cs="Times New Roman"/>
          <w:color w:val="000000" w:themeColor="text1"/>
        </w:rPr>
        <w:t>公用事业</w:t>
      </w:r>
      <w:r w:rsidR="001A7BCD">
        <w:rPr>
          <w:rFonts w:ascii="Times New Roman" w:eastAsia="楷体" w:hAnsi="Times New Roman" w:cs="Times New Roman" w:hint="eastAsia"/>
          <w:color w:val="000000" w:themeColor="text1"/>
        </w:rPr>
        <w:t>、</w:t>
      </w:r>
      <w:r w:rsidR="001A7BCD">
        <w:rPr>
          <w:rFonts w:ascii="Times New Roman" w:eastAsia="楷体" w:hAnsi="Times New Roman" w:cs="Times New Roman"/>
          <w:color w:val="000000" w:themeColor="text1"/>
        </w:rPr>
        <w:t>消费</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66B22747"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3B5689">
        <w:rPr>
          <w:rFonts w:ascii="Times New Roman" w:eastAsia="楷体" w:hAnsi="Times New Roman" w:cs="Times New Roman" w:hint="eastAsia"/>
          <w:b/>
        </w:rPr>
        <w:t>NYMEX</w:t>
      </w:r>
      <w:r w:rsidR="003B5689">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w:t>
      </w:r>
      <w:r w:rsidR="003B5689">
        <w:rPr>
          <w:rFonts w:ascii="Times New Roman" w:eastAsia="楷体" w:hAnsi="Times New Roman" w:cs="Times New Roman" w:hint="eastAsia"/>
          <w:b/>
        </w:rPr>
        <w:t>恒生</w:t>
      </w:r>
      <w:r w:rsidR="00273611">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E601C2"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619F8820"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76057082"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2.75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45EB310A"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52.41</w:t>
            </w:r>
          </w:p>
        </w:tc>
      </w:tr>
      <w:tr w:rsidR="00E601C2"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074EBF0F"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LME铝</w:t>
            </w:r>
          </w:p>
        </w:tc>
        <w:tc>
          <w:tcPr>
            <w:tcW w:w="1875" w:type="dxa"/>
            <w:noWrap/>
          </w:tcPr>
          <w:p w14:paraId="6CBF5955" w14:textId="06B4EA0B"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1.51</w:t>
            </w:r>
          </w:p>
        </w:tc>
        <w:tc>
          <w:tcPr>
            <w:tcW w:w="2293" w:type="dxa"/>
            <w:noWrap/>
          </w:tcPr>
          <w:p w14:paraId="03D306C5" w14:textId="709CEB65"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47.97</w:t>
            </w:r>
          </w:p>
        </w:tc>
      </w:tr>
      <w:tr w:rsidR="00E601C2"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7B5342E2"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0B8AF65" w14:textId="7B56ECA1"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1.26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7C116E37"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9.15</w:t>
            </w:r>
          </w:p>
        </w:tc>
      </w:tr>
      <w:tr w:rsidR="00E601C2"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11DC6441"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道琼斯工业指数</w:t>
            </w:r>
          </w:p>
        </w:tc>
        <w:tc>
          <w:tcPr>
            <w:tcW w:w="1875" w:type="dxa"/>
            <w:noWrap/>
          </w:tcPr>
          <w:p w14:paraId="6E1624BD" w14:textId="217F56A3"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0.62</w:t>
            </w:r>
          </w:p>
        </w:tc>
        <w:tc>
          <w:tcPr>
            <w:tcW w:w="2293" w:type="dxa"/>
            <w:noWrap/>
          </w:tcPr>
          <w:p w14:paraId="628C5028" w14:textId="6F5F1BA8"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13.69</w:t>
            </w:r>
          </w:p>
        </w:tc>
      </w:tr>
      <w:tr w:rsidR="00E601C2"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7823ACB2"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301BF87B" w14:textId="5A76BA76"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0.46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F27DD21"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20.46</w:t>
            </w:r>
          </w:p>
        </w:tc>
      </w:tr>
      <w:tr w:rsidR="00E601C2"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72190200" w:rsidR="00E601C2" w:rsidRPr="00D60997" w:rsidRDefault="00E601C2" w:rsidP="00E601C2">
            <w:pPr>
              <w:jc w:val="center"/>
              <w:rPr>
                <w:rFonts w:ascii="楷体" w:eastAsia="楷体" w:hAnsi="楷体" w:cs="Times New Roman"/>
                <w:color w:val="000000"/>
              </w:rPr>
            </w:pPr>
            <w:proofErr w:type="gramStart"/>
            <w:r w:rsidRPr="00E601C2">
              <w:rPr>
                <w:rFonts w:ascii="楷体" w:eastAsia="楷体" w:hAnsi="楷体" w:cs="Times New Roman" w:hint="eastAsia"/>
                <w:color w:val="000000"/>
              </w:rPr>
              <w:t>中债总指数</w:t>
            </w:r>
            <w:proofErr w:type="gramEnd"/>
          </w:p>
        </w:tc>
        <w:tc>
          <w:tcPr>
            <w:tcW w:w="1875" w:type="dxa"/>
            <w:noWrap/>
          </w:tcPr>
          <w:p w14:paraId="3F2524D6" w14:textId="65CD9B5D"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0.11</w:t>
            </w:r>
          </w:p>
        </w:tc>
        <w:tc>
          <w:tcPr>
            <w:tcW w:w="2293" w:type="dxa"/>
            <w:noWrap/>
          </w:tcPr>
          <w:p w14:paraId="0F02F0AC" w14:textId="5C75429A"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4.10</w:t>
            </w:r>
          </w:p>
        </w:tc>
      </w:tr>
      <w:tr w:rsidR="00E601C2"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50287A8B"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0C654950" w14:textId="4C68A768"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0.03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4E2AD36E"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3.70</w:t>
            </w:r>
          </w:p>
        </w:tc>
      </w:tr>
      <w:tr w:rsidR="00E601C2"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96BA04A"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螺纹指数</w:t>
            </w:r>
          </w:p>
        </w:tc>
        <w:tc>
          <w:tcPr>
            <w:tcW w:w="1875" w:type="dxa"/>
            <w:noWrap/>
          </w:tcPr>
          <w:p w14:paraId="5DA062AB" w14:textId="33FA0D00"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0.03</w:t>
            </w:r>
          </w:p>
        </w:tc>
        <w:tc>
          <w:tcPr>
            <w:tcW w:w="2293" w:type="dxa"/>
            <w:noWrap/>
          </w:tcPr>
          <w:p w14:paraId="6CF61D40" w14:textId="17E3B6EA"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24.77</w:t>
            </w:r>
          </w:p>
        </w:tc>
      </w:tr>
      <w:tr w:rsidR="00E601C2"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762331F5"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B52684A" w14:textId="251ED4F1"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0.02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71F76337"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16.75</w:t>
            </w:r>
          </w:p>
        </w:tc>
      </w:tr>
      <w:tr w:rsidR="00E601C2"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0120D7F"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COMEX黄金</w:t>
            </w:r>
          </w:p>
        </w:tc>
        <w:tc>
          <w:tcPr>
            <w:tcW w:w="1875" w:type="dxa"/>
            <w:noWrap/>
          </w:tcPr>
          <w:p w14:paraId="07AD02DE" w14:textId="1781C885"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-0.25</w:t>
            </w:r>
          </w:p>
        </w:tc>
        <w:tc>
          <w:tcPr>
            <w:tcW w:w="2293" w:type="dxa"/>
            <w:noWrap/>
          </w:tcPr>
          <w:p w14:paraId="1353B161" w14:textId="4F17ECBE"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-7.82</w:t>
            </w:r>
          </w:p>
        </w:tc>
      </w:tr>
      <w:tr w:rsidR="00E601C2"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4BCD1EAB"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495D9432" w14:textId="02995A73"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-0.37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585BC314"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6.07</w:t>
            </w:r>
          </w:p>
        </w:tc>
      </w:tr>
      <w:tr w:rsidR="00E601C2"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4E1EEE3A"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日经225</w:t>
            </w:r>
          </w:p>
        </w:tc>
        <w:tc>
          <w:tcPr>
            <w:tcW w:w="1875" w:type="dxa"/>
            <w:noWrap/>
          </w:tcPr>
          <w:p w14:paraId="0528E8CE" w14:textId="63A2EF20"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-0.82</w:t>
            </w:r>
          </w:p>
        </w:tc>
        <w:tc>
          <w:tcPr>
            <w:tcW w:w="2293" w:type="dxa"/>
            <w:noWrap/>
          </w:tcPr>
          <w:p w14:paraId="0D77D093" w14:textId="17B9335F"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10.22</w:t>
            </w:r>
          </w:p>
        </w:tc>
      </w:tr>
      <w:tr w:rsidR="00E601C2"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5943CD5" w:rsidR="00E601C2" w:rsidRPr="00D60997" w:rsidRDefault="00E601C2" w:rsidP="00E601C2">
            <w:pPr>
              <w:jc w:val="center"/>
              <w:rPr>
                <w:rFonts w:ascii="楷体" w:eastAsia="楷体" w:hAnsi="楷体" w:cs="Times New Roman"/>
                <w:color w:val="000000"/>
              </w:rPr>
            </w:pPr>
            <w:r w:rsidRPr="00E601C2">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F4244CE" w14:textId="16D850EA" w:rsidR="00E601C2" w:rsidRPr="00D60997"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E601C2">
              <w:rPr>
                <w:rFonts w:ascii="楷体" w:eastAsia="楷体" w:hAnsi="楷体" w:cs="Times New Roman" w:hint="eastAsia"/>
                <w:color w:val="000000"/>
              </w:rPr>
              <w:t>-2.92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1A5B88E9" w:rsidR="00E601C2" w:rsidRPr="00075E3A" w:rsidRDefault="00E601C2" w:rsidP="00E601C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-11.16</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19626EB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3B5689">
        <w:rPr>
          <w:rFonts w:ascii="Times New Roman" w:eastAsia="楷体" w:hAnsi="Times New Roman" w:cs="Times New Roman" w:hint="eastAsia"/>
          <w:b/>
        </w:rPr>
        <w:t>印度</w:t>
      </w:r>
      <w:r w:rsidR="003B5689">
        <w:rPr>
          <w:rFonts w:ascii="Times New Roman" w:eastAsia="楷体" w:hAnsi="Times New Roman" w:cs="Times New Roman" w:hint="eastAsia"/>
          <w:b/>
        </w:rPr>
        <w:t>SENSEX30</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35273095" w:rsidR="007E1695" w:rsidRPr="00006470" w:rsidRDefault="00E601C2">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70CAF13" wp14:editId="53DF35FE">
            <wp:extent cx="5688330" cy="2700655"/>
            <wp:effectExtent l="0" t="0" r="762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7A7D5CA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E601C2">
        <w:rPr>
          <w:rFonts w:ascii="Times New Roman" w:eastAsia="楷体" w:hAnsi="Times New Roman" w:cs="Times New Roman" w:hint="eastAsia"/>
          <w:b/>
        </w:rPr>
        <w:t>上涨</w:t>
      </w:r>
    </w:p>
    <w:p w14:paraId="3AD41BC7" w14:textId="38B80581" w:rsidR="007E1695" w:rsidRPr="00006470" w:rsidRDefault="00E601C2">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F4999F8" wp14:editId="578F8A43">
            <wp:extent cx="6273165" cy="275590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96C168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B5689">
        <w:rPr>
          <w:rFonts w:ascii="Times New Roman" w:eastAsia="楷体" w:hAnsi="Times New Roman" w:cs="Times New Roman" w:hint="eastAsia"/>
          <w:b/>
        </w:rPr>
        <w:t>流出</w:t>
      </w:r>
      <w:r w:rsidR="00E601C2">
        <w:rPr>
          <w:rFonts w:ascii="Times New Roman" w:eastAsia="楷体" w:hAnsi="Times New Roman" w:cs="Times New Roman" w:hint="eastAsia"/>
          <w:b/>
        </w:rPr>
        <w:t>15.79</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38E11DF7" w:rsidR="007E1695" w:rsidRPr="00006470" w:rsidRDefault="00E601C2">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3D1B0CC" wp14:editId="7748A4A4">
            <wp:extent cx="5913755" cy="298704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1D1F32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E601C2">
        <w:rPr>
          <w:rFonts w:ascii="Times New Roman" w:eastAsia="楷体" w:hAnsi="Times New Roman" w:cs="Times New Roman" w:hint="eastAsia"/>
          <w:b/>
          <w:color w:val="000000" w:themeColor="text1"/>
        </w:rPr>
        <w:t>19054.58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405A57">
        <w:rPr>
          <w:rFonts w:ascii="Times New Roman" w:eastAsia="楷体" w:hAnsi="Times New Roman" w:cs="Times New Roman" w:hint="eastAsia"/>
          <w:b/>
        </w:rPr>
        <w:t>小幅</w:t>
      </w:r>
      <w:r w:rsidR="00E601C2">
        <w:rPr>
          <w:rFonts w:ascii="Times New Roman" w:eastAsia="楷体" w:hAnsi="Times New Roman" w:cs="Times New Roman" w:hint="eastAsia"/>
          <w:b/>
        </w:rPr>
        <w:t>增加</w:t>
      </w:r>
    </w:p>
    <w:p w14:paraId="3ABC9C3D" w14:textId="134D267B" w:rsidR="007E1695" w:rsidRPr="00006470" w:rsidRDefault="00E601C2"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5DCBDF0E" wp14:editId="579BE92C">
            <wp:extent cx="5895340" cy="2932430"/>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70D07DA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E601C2">
        <w:rPr>
          <w:rFonts w:ascii="Times New Roman" w:eastAsia="楷体" w:hAnsi="Times New Roman" w:cs="Times New Roman" w:hint="eastAsia"/>
          <w:b/>
        </w:rPr>
        <w:t>1003.24</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E601C2">
        <w:rPr>
          <w:rFonts w:ascii="Times New Roman" w:eastAsia="楷体" w:hAnsi="Times New Roman" w:cs="Times New Roman" w:hint="eastAsia"/>
          <w:b/>
        </w:rPr>
        <w:t>小</w:t>
      </w:r>
      <w:r w:rsidR="003F7DFF">
        <w:rPr>
          <w:rFonts w:ascii="Times New Roman" w:eastAsia="楷体" w:hAnsi="Times New Roman" w:cs="Times New Roman" w:hint="eastAsia"/>
          <w:b/>
        </w:rPr>
        <w:t>幅</w:t>
      </w:r>
      <w:r w:rsidR="003849D8">
        <w:rPr>
          <w:rFonts w:ascii="Times New Roman" w:eastAsia="楷体" w:hAnsi="Times New Roman" w:cs="Times New Roman" w:hint="eastAsia"/>
          <w:b/>
        </w:rPr>
        <w:t>减少</w:t>
      </w:r>
    </w:p>
    <w:p w14:paraId="45E40DB6" w14:textId="5A628673" w:rsidR="007E1695" w:rsidRPr="00006470" w:rsidRDefault="00E601C2"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7E9434B" wp14:editId="43CAE93C">
            <wp:extent cx="6309995" cy="2682240"/>
            <wp:effectExtent l="0" t="0" r="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20926DB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9</w:t>
      </w:r>
      <w:r w:rsidRPr="00006470">
        <w:rPr>
          <w:rFonts w:ascii="Times New Roman" w:eastAsia="楷体" w:hAnsi="Times New Roman" w:cs="Times New Roman"/>
          <w:b/>
        </w:rPr>
        <w:t>月最新募资合计</w:t>
      </w:r>
      <w:r w:rsidR="00E601C2">
        <w:rPr>
          <w:rFonts w:ascii="Times New Roman" w:eastAsia="楷体" w:hAnsi="Times New Roman" w:cs="Times New Roman" w:hint="eastAsia"/>
          <w:b/>
        </w:rPr>
        <w:t>923.64</w:t>
      </w:r>
      <w:r w:rsidRPr="00006470">
        <w:rPr>
          <w:rFonts w:ascii="Times New Roman" w:eastAsia="楷体" w:hAnsi="Times New Roman" w:cs="Times New Roman"/>
          <w:b/>
        </w:rPr>
        <w:t>亿元</w:t>
      </w:r>
    </w:p>
    <w:p w14:paraId="09F800D5" w14:textId="7639F79F" w:rsidR="007E1695" w:rsidRPr="00006470" w:rsidRDefault="00E601C2">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259F29B" wp14:editId="5DBB51B2">
            <wp:extent cx="6383020" cy="3347085"/>
            <wp:effectExtent l="0" t="0" r="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5FBC599B"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E601C2">
        <w:rPr>
          <w:rFonts w:ascii="Times New Roman" w:eastAsia="楷体" w:hAnsi="Times New Roman" w:cs="Times New Roman" w:hint="eastAsia"/>
          <w:b/>
        </w:rPr>
        <w:t>275.90</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405A57">
        <w:rPr>
          <w:rFonts w:ascii="Times New Roman" w:eastAsia="楷体" w:hAnsi="Times New Roman" w:cs="Times New Roman" w:hint="eastAsia"/>
          <w:b/>
        </w:rPr>
        <w:t>大幅</w:t>
      </w:r>
      <w:r w:rsidR="00E601C2">
        <w:rPr>
          <w:rFonts w:ascii="Times New Roman" w:eastAsia="楷体" w:hAnsi="Times New Roman" w:cs="Times New Roman" w:hint="eastAsia"/>
          <w:b/>
        </w:rPr>
        <w:t>减少</w:t>
      </w:r>
    </w:p>
    <w:p w14:paraId="110691E2" w14:textId="1A96E70D" w:rsidR="00051381" w:rsidRPr="00006470" w:rsidRDefault="00E601C2"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E7404E4" wp14:editId="2A2CFA9B">
            <wp:extent cx="5993130" cy="3347085"/>
            <wp:effectExtent l="0" t="0" r="762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567AD65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832209">
        <w:rPr>
          <w:rFonts w:ascii="Times New Roman" w:eastAsia="楷体" w:hAnsi="Times New Roman" w:cs="Times New Roman" w:hint="eastAsia"/>
          <w:b/>
        </w:rPr>
        <w:t>0.80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48D95CB" w:rsidR="007E1695" w:rsidRPr="00006470" w:rsidRDefault="0083220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67410AD" wp14:editId="6392DF4E">
            <wp:extent cx="5761355" cy="2585085"/>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57033A4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AD7359">
        <w:rPr>
          <w:rFonts w:ascii="Times New Roman" w:eastAsia="楷体" w:hAnsi="Times New Roman" w:cs="Times New Roman" w:hint="eastAsia"/>
          <w:b/>
        </w:rPr>
        <w:t>9.</w:t>
      </w:r>
      <w:r w:rsidR="00832209">
        <w:rPr>
          <w:rFonts w:ascii="Times New Roman" w:eastAsia="楷体" w:hAnsi="Times New Roman" w:cs="Times New Roman" w:hint="eastAsia"/>
          <w:b/>
        </w:rPr>
        <w:t>5</w:t>
      </w:r>
      <w:r w:rsidR="00AD7359">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1679C5DE" w:rsidR="007E1695" w:rsidRPr="00006470" w:rsidRDefault="0083220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1F52E5D" wp14:editId="0CE3B3EA">
            <wp:extent cx="5761355" cy="25908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5D673A9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60681">
        <w:rPr>
          <w:rFonts w:ascii="Times New Roman" w:eastAsia="楷体" w:hAnsi="Times New Roman" w:cs="Times New Roman" w:hint="eastAsia"/>
          <w:b/>
        </w:rPr>
        <w:t>8</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AD7359">
        <w:rPr>
          <w:rFonts w:ascii="Times New Roman" w:eastAsia="楷体" w:hAnsi="Times New Roman" w:cs="Times New Roman" w:hint="eastAsia"/>
          <w:b/>
        </w:rPr>
        <w:t>50.</w:t>
      </w:r>
      <w:r w:rsidR="00560681">
        <w:rPr>
          <w:rFonts w:ascii="Times New Roman" w:eastAsia="楷体" w:hAnsi="Times New Roman" w:cs="Times New Roman" w:hint="eastAsia"/>
          <w:b/>
        </w:rPr>
        <w:t>1</w:t>
      </w:r>
      <w:r w:rsidR="00AD735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304FBC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月社会融资规模</w:t>
      </w:r>
      <w:r w:rsidR="00832209">
        <w:rPr>
          <w:rFonts w:ascii="Times New Roman" w:eastAsia="楷体" w:hAnsi="Times New Roman" w:cs="Times New Roman" w:hint="eastAsia"/>
          <w:b/>
        </w:rPr>
        <w:t>2.96</w:t>
      </w:r>
      <w:proofErr w:type="gramStart"/>
      <w:r w:rsidRPr="00006470">
        <w:rPr>
          <w:rFonts w:ascii="Times New Roman" w:eastAsia="楷体" w:hAnsi="Times New Roman" w:cs="Times New Roman"/>
          <w:b/>
        </w:rPr>
        <w:t>万亿</w:t>
      </w:r>
      <w:proofErr w:type="gramEnd"/>
    </w:p>
    <w:p w14:paraId="6F8BF5F3" w14:textId="412970C0" w:rsidR="007E1695" w:rsidRPr="00006470" w:rsidRDefault="00832209">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4217958" wp14:editId="39385534">
            <wp:extent cx="5767070" cy="2578735"/>
            <wp:effectExtent l="0" t="0" r="508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8A0361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405A57">
        <w:rPr>
          <w:rFonts w:ascii="Times New Roman" w:eastAsia="楷体" w:hAnsi="Times New Roman" w:cs="Times New Roman" w:hint="eastAsia"/>
          <w:b/>
        </w:rPr>
        <w:t>13.10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14A7960C" w:rsidR="007E1695" w:rsidRPr="00006470" w:rsidRDefault="00405A57">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9C6DA6" wp14:editId="4364FF6B">
            <wp:extent cx="5834380" cy="25908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44C76DF9"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405A57">
        <w:rPr>
          <w:rFonts w:ascii="Times New Roman" w:eastAsia="楷体" w:hAnsi="Times New Roman" w:cs="Times New Roman" w:hint="eastAsia"/>
          <w:b/>
        </w:rPr>
        <w:t>8.90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2A797DD1" w:rsidR="00971387" w:rsidRPr="00006470" w:rsidRDefault="00405A57"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1C3CC83" wp14:editId="2CB15793">
            <wp:extent cx="5876925" cy="267652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791CE39"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05A57">
        <w:rPr>
          <w:rFonts w:ascii="Times New Roman" w:eastAsia="楷体" w:hAnsi="Times New Roman" w:cs="Times New Roman" w:hint="eastAsia"/>
          <w:b/>
        </w:rPr>
        <w:t>2.50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05B3938B" w:rsidR="00AD4FF0" w:rsidRPr="00006470" w:rsidRDefault="00405A57"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7AF72B2" wp14:editId="3D79D37F">
            <wp:extent cx="5876925" cy="2682240"/>
            <wp:effectExtent l="0" t="0" r="9525"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7F6D0B" w14:textId="77777777" w:rsidR="007E1695" w:rsidRPr="0046079B" w:rsidRDefault="007E1695">
      <w:pPr>
        <w:pStyle w:val="af"/>
        <w:ind w:firstLine="440"/>
        <w:jc w:val="center"/>
        <w:rPr>
          <w:rFonts w:ascii="Times New Roman" w:hAnsi="Times New Roman" w:cs="Times New Roman"/>
          <w:sz w:val="22"/>
        </w:rPr>
      </w:pPr>
    </w:p>
    <w:p w14:paraId="1A193836" w14:textId="28AEBF80" w:rsidR="007E1695" w:rsidRPr="0046079B" w:rsidRDefault="0046079B" w:rsidP="0046079B">
      <w:pPr>
        <w:pStyle w:val="af"/>
        <w:ind w:firstLine="440"/>
        <w:rPr>
          <w:rFonts w:ascii="Times New Roman" w:hAnsi="Times New Roman" w:cs="Times New Roman"/>
          <w:sz w:val="22"/>
        </w:rPr>
      </w:pPr>
      <w:r w:rsidRPr="0046079B">
        <w:rPr>
          <w:rFonts w:ascii="Times New Roman" w:hAnsi="Times New Roman" w:cs="Times New Roman" w:hint="eastAsia"/>
          <w:sz w:val="22"/>
        </w:rPr>
        <w:t>风险提示：</w:t>
      </w:r>
      <w:r w:rsidRPr="0046079B">
        <w:rPr>
          <w:rFonts w:ascii="Times New Roman" w:hAnsi="Times New Roman" w:cs="Times New Roman" w:hint="eastAsia"/>
          <w:sz w:val="22"/>
        </w:rPr>
        <w:t>1</w:t>
      </w:r>
      <w:r w:rsidRPr="0046079B">
        <w:rPr>
          <w:rFonts w:ascii="Times New Roman" w:hAnsi="Times New Roman" w:cs="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w:t>
      </w:r>
      <w:bookmarkStart w:id="4" w:name="_GoBack"/>
      <w:bookmarkEnd w:id="4"/>
      <w:r w:rsidRPr="0046079B">
        <w:rPr>
          <w:rFonts w:ascii="Times New Roman" w:hAnsi="Times New Roman" w:cs="Times New Roman" w:hint="eastAsia"/>
          <w:sz w:val="22"/>
        </w:rPr>
        <w:t>和预测，可能在随后会</w:t>
      </w:r>
      <w:proofErr w:type="gramStart"/>
      <w:r w:rsidRPr="0046079B">
        <w:rPr>
          <w:rFonts w:ascii="Times New Roman" w:hAnsi="Times New Roman" w:cs="Times New Roman" w:hint="eastAsia"/>
          <w:sz w:val="22"/>
        </w:rPr>
        <w:t>作出</w:t>
      </w:r>
      <w:proofErr w:type="gramEnd"/>
      <w:r w:rsidRPr="0046079B">
        <w:rPr>
          <w:rFonts w:ascii="Times New Roman" w:hAnsi="Times New Roman" w:cs="Times New Roman" w:hint="eastAsia"/>
          <w:sz w:val="22"/>
        </w:rPr>
        <w:t>调整。</w:t>
      </w:r>
      <w:r w:rsidRPr="0046079B">
        <w:rPr>
          <w:rFonts w:ascii="Times New Roman" w:hAnsi="Times New Roman" w:cs="Times New Roman" w:hint="eastAsia"/>
          <w:sz w:val="22"/>
        </w:rPr>
        <w:t>2</w:t>
      </w:r>
      <w:r w:rsidRPr="0046079B">
        <w:rPr>
          <w:rFonts w:ascii="Times New Roman" w:hAnsi="Times New Roman" w:cs="Times New Roman" w:hint="eastAsia"/>
          <w:sz w:val="22"/>
        </w:rPr>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53018C" w14:textId="77777777" w:rsidR="003C4EEB" w:rsidRDefault="003C4EEB">
      <w:pPr>
        <w:spacing w:line="240" w:lineRule="auto"/>
      </w:pPr>
      <w:r>
        <w:separator/>
      </w:r>
    </w:p>
  </w:endnote>
  <w:endnote w:type="continuationSeparator" w:id="0">
    <w:p w14:paraId="03BC4C4A" w14:textId="77777777" w:rsidR="003C4EEB" w:rsidRDefault="003C4E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46079B">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6079B">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5A2809" w14:textId="77777777" w:rsidR="003C4EEB" w:rsidRDefault="003C4EEB">
      <w:pPr>
        <w:spacing w:line="240" w:lineRule="auto"/>
      </w:pPr>
      <w:r>
        <w:separator/>
      </w:r>
    </w:p>
  </w:footnote>
  <w:footnote w:type="continuationSeparator" w:id="0">
    <w:p w14:paraId="07E909AA" w14:textId="77777777" w:rsidR="003C4EEB" w:rsidRDefault="003C4EE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82F"/>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A7BCD"/>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E7157"/>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17C0E"/>
    <w:rsid w:val="00220518"/>
    <w:rsid w:val="00220871"/>
    <w:rsid w:val="00220B0D"/>
    <w:rsid w:val="0022132A"/>
    <w:rsid w:val="00221597"/>
    <w:rsid w:val="00221664"/>
    <w:rsid w:val="00221665"/>
    <w:rsid w:val="00221709"/>
    <w:rsid w:val="00221800"/>
    <w:rsid w:val="00221D1D"/>
    <w:rsid w:val="00223075"/>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6E8D"/>
    <w:rsid w:val="003A785E"/>
    <w:rsid w:val="003A7C7A"/>
    <w:rsid w:val="003A7C85"/>
    <w:rsid w:val="003A7D41"/>
    <w:rsid w:val="003B03E3"/>
    <w:rsid w:val="003B06E9"/>
    <w:rsid w:val="003B0E30"/>
    <w:rsid w:val="003B1AD3"/>
    <w:rsid w:val="003B1D92"/>
    <w:rsid w:val="003B2694"/>
    <w:rsid w:val="003B335C"/>
    <w:rsid w:val="003B33EC"/>
    <w:rsid w:val="003B433E"/>
    <w:rsid w:val="003B5689"/>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4EEB"/>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A57"/>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79B"/>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48"/>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3E3"/>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4D82"/>
    <w:rsid w:val="005A53E3"/>
    <w:rsid w:val="005A5AD1"/>
    <w:rsid w:val="005A5CC0"/>
    <w:rsid w:val="005A6392"/>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0F8B"/>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4FE9"/>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A38"/>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4A"/>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28B"/>
    <w:rsid w:val="008276A6"/>
    <w:rsid w:val="0082786E"/>
    <w:rsid w:val="00827C33"/>
    <w:rsid w:val="00827FC8"/>
    <w:rsid w:val="00830087"/>
    <w:rsid w:val="00830675"/>
    <w:rsid w:val="00830EB2"/>
    <w:rsid w:val="008311E8"/>
    <w:rsid w:val="008314BA"/>
    <w:rsid w:val="00831580"/>
    <w:rsid w:val="008316B0"/>
    <w:rsid w:val="00832007"/>
    <w:rsid w:val="00832209"/>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6A9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3F6C"/>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791"/>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0F2C"/>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01C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18B"/>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A53"/>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3AF"/>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36805A-8A7F-44A6-A826-06110A0454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440</Words>
  <Characters>2513</Characters>
  <Application>Microsoft Office Word</Application>
  <DocSecurity>0</DocSecurity>
  <Lines>20</Lines>
  <Paragraphs>5</Paragraphs>
  <ScaleCrop>false</ScaleCrop>
  <LinksUpToDate>false</LinksUpToDate>
  <CharactersWithSpaces>2948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lastPrinted>2018-05-20T14:50:00Z</cp:lastPrinted>
  <dcterms:created xsi:type="dcterms:W3CDTF">2021-09-27T06:43:00Z</dcterms:created>
  <dcterms:modified xsi:type="dcterms:W3CDTF">2021-09-27T06:43:00Z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