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Pr="004C3E2B" w:rsidRDefault="001357FD" w:rsidP="009A2BA0">
      <w:pPr>
        <w:spacing w:beforeLines="100" w:before="312"/>
        <w:jc w:val="center"/>
        <w:rPr>
          <w:rFonts w:ascii="楷体" w:eastAsia="楷体" w:hAnsi="楷体"/>
          <w:b/>
          <w:sz w:val="44"/>
          <w:szCs w:val="44"/>
        </w:rPr>
      </w:pPr>
      <w:r w:rsidRPr="004C3E2B">
        <w:rPr>
          <w:rFonts w:ascii="楷体" w:eastAsia="楷体" w:hAnsi="楷体" w:hint="eastAsia"/>
          <w:b/>
          <w:sz w:val="44"/>
          <w:szCs w:val="44"/>
        </w:rPr>
        <w:t>富</w:t>
      </w:r>
      <w:proofErr w:type="gramStart"/>
      <w:r w:rsidRPr="004C3E2B">
        <w:rPr>
          <w:rFonts w:ascii="楷体" w:eastAsia="楷体" w:hAnsi="楷体" w:hint="eastAsia"/>
          <w:b/>
          <w:sz w:val="44"/>
          <w:szCs w:val="44"/>
        </w:rPr>
        <w:t>荣基金</w:t>
      </w:r>
      <w:proofErr w:type="gramEnd"/>
      <w:r w:rsidR="00960960" w:rsidRPr="004C3E2B">
        <w:rPr>
          <w:rFonts w:ascii="楷体" w:eastAsia="楷体" w:hAnsi="楷体" w:hint="eastAsia"/>
          <w:b/>
          <w:sz w:val="44"/>
          <w:szCs w:val="44"/>
        </w:rPr>
        <w:t>固定收益</w:t>
      </w:r>
      <w:r w:rsidR="00F24889" w:rsidRPr="004C3E2B">
        <w:rPr>
          <w:rFonts w:ascii="楷体" w:eastAsia="楷体" w:hAnsi="楷体" w:hint="eastAsia"/>
          <w:b/>
          <w:sz w:val="44"/>
          <w:szCs w:val="44"/>
        </w:rPr>
        <w:t>周报</w:t>
      </w:r>
    </w:p>
    <w:p w14:paraId="08CBB8BB" w14:textId="52868465" w:rsidR="00832986" w:rsidRPr="00C67176" w:rsidRDefault="00832986" w:rsidP="00E543BE">
      <w:pPr>
        <w:widowControl/>
        <w:jc w:val="center"/>
        <w:rPr>
          <w:rFonts w:ascii="楷体" w:eastAsia="楷体" w:hAnsi="楷体"/>
          <w:sz w:val="28"/>
          <w:szCs w:val="28"/>
        </w:rPr>
      </w:pPr>
      <w:r w:rsidRPr="00C67176">
        <w:rPr>
          <w:rFonts w:ascii="楷体" w:eastAsia="楷体" w:hAnsi="楷体" w:hint="eastAsia"/>
          <w:sz w:val="28"/>
          <w:szCs w:val="28"/>
        </w:rPr>
        <w:t>——</w:t>
      </w:r>
      <w:r w:rsidR="00A146F9">
        <w:rPr>
          <w:rFonts w:ascii="楷体" w:eastAsia="楷体" w:hAnsi="楷体" w:hint="eastAsia"/>
          <w:sz w:val="28"/>
          <w:szCs w:val="28"/>
        </w:rPr>
        <w:t>经济明显回落</w:t>
      </w:r>
      <w:r w:rsidR="00CD02EA" w:rsidRPr="00C67176">
        <w:rPr>
          <w:rFonts w:ascii="楷体" w:eastAsia="楷体" w:hAnsi="楷体" w:hint="eastAsia"/>
          <w:sz w:val="28"/>
          <w:szCs w:val="28"/>
        </w:rPr>
        <w:t>，</w:t>
      </w:r>
      <w:r w:rsidR="00A146F9">
        <w:rPr>
          <w:rFonts w:ascii="楷体" w:eastAsia="楷体" w:hAnsi="楷体" w:hint="eastAsia"/>
          <w:sz w:val="28"/>
          <w:szCs w:val="28"/>
        </w:rPr>
        <w:t>能源价格冲高</w:t>
      </w:r>
    </w:p>
    <w:p w14:paraId="7014E14C" w14:textId="77777777" w:rsidR="00F67104" w:rsidRDefault="00F67104" w:rsidP="009A2BA0">
      <w:pPr>
        <w:pStyle w:val="Header1"/>
        <w:spacing w:before="240"/>
        <w:rPr>
          <w:color w:val="C45911" w:themeColor="accent2" w:themeShade="BF"/>
        </w:rPr>
      </w:pPr>
    </w:p>
    <w:p w14:paraId="782ED204" w14:textId="0A0F3009" w:rsidR="003E4A57" w:rsidRDefault="005E5CB1" w:rsidP="009A2BA0">
      <w:pPr>
        <w:pStyle w:val="Header1"/>
        <w:spacing w:before="240"/>
        <w:rPr>
          <w:rFonts w:ascii="华文楷体" w:hAnsi="华文楷体"/>
          <w:b w:val="0"/>
          <w:color w:val="auto"/>
          <w:sz w:val="24"/>
          <w:szCs w:val="24"/>
        </w:rPr>
      </w:pPr>
      <w:r w:rsidRPr="003B6164">
        <w:rPr>
          <w:rFonts w:hint="eastAsia"/>
          <w:color w:val="C45911" w:themeColor="accent2" w:themeShade="BF"/>
        </w:rPr>
        <w:t>一、</w:t>
      </w:r>
      <w:r w:rsidR="00B76849">
        <w:rPr>
          <w:rFonts w:hint="eastAsia"/>
          <w:color w:val="C45911" w:themeColor="accent2" w:themeShade="BF"/>
        </w:rPr>
        <w:t>本周专题</w:t>
      </w:r>
    </w:p>
    <w:p w14:paraId="3DED0752" w14:textId="31EDC198" w:rsidR="008A575D" w:rsidRPr="008A575D" w:rsidRDefault="008A575D" w:rsidP="008A575D">
      <w:pPr>
        <w:pStyle w:val="Header1"/>
        <w:spacing w:before="240"/>
        <w:ind w:firstLineChars="200" w:firstLine="480"/>
        <w:rPr>
          <w:rFonts w:ascii="华文楷体" w:hAnsi="华文楷体"/>
          <w:bCs/>
          <w:color w:val="auto"/>
          <w:sz w:val="24"/>
          <w:szCs w:val="24"/>
        </w:rPr>
      </w:pPr>
      <w:r w:rsidRPr="008A575D">
        <w:rPr>
          <w:rFonts w:ascii="华文楷体" w:hAnsi="华文楷体" w:hint="eastAsia"/>
          <w:bCs/>
          <w:color w:val="auto"/>
          <w:sz w:val="24"/>
          <w:szCs w:val="24"/>
        </w:rPr>
        <w:t>近期我国的宏观数据呈现出明显的经济回落，国内上游大宗商品价格维持高位，引发了对滞涨的进一步讨论。</w:t>
      </w:r>
    </w:p>
    <w:p w14:paraId="02936120" w14:textId="6C141AE4" w:rsidR="008A575D" w:rsidRPr="008A575D" w:rsidRDefault="008A575D" w:rsidP="008A575D">
      <w:pPr>
        <w:pStyle w:val="Header1"/>
        <w:spacing w:before="240"/>
        <w:ind w:firstLineChars="200" w:firstLine="480"/>
        <w:rPr>
          <w:rFonts w:ascii="华文楷体" w:hAnsi="华文楷体"/>
          <w:b w:val="0"/>
          <w:color w:val="auto"/>
          <w:sz w:val="24"/>
          <w:szCs w:val="24"/>
        </w:rPr>
      </w:pPr>
      <w:r w:rsidRPr="008A575D">
        <w:rPr>
          <w:rFonts w:ascii="华文楷体" w:hAnsi="华文楷体" w:hint="eastAsia"/>
          <w:b w:val="0"/>
          <w:color w:val="auto"/>
          <w:sz w:val="24"/>
          <w:szCs w:val="24"/>
        </w:rPr>
        <w:t>1）本轮滞胀的传导主要集中于上游原料端和中游制造业之间，表现为PPI数据高企，PPI并未如以往一样对CPI形成快速的传导，主要原因在于疫情影响仍在持续，经济处于一个弱复苏的状态，总需求并没有完全恢复到疫情前；国内货币供应整体偏常态化，也并未出现居民收入和消费品价格叠加增长的态势</w:t>
      </w:r>
      <w:r w:rsidR="00F67104">
        <w:rPr>
          <w:rFonts w:ascii="华文楷体" w:hAnsi="华文楷体" w:hint="eastAsia"/>
          <w:b w:val="0"/>
          <w:color w:val="auto"/>
          <w:sz w:val="24"/>
          <w:szCs w:val="24"/>
        </w:rPr>
        <w:t>。</w:t>
      </w:r>
    </w:p>
    <w:p w14:paraId="6B01B162" w14:textId="328D5E57" w:rsidR="008A575D" w:rsidRPr="008A575D" w:rsidRDefault="008A575D" w:rsidP="008A575D">
      <w:pPr>
        <w:pStyle w:val="Header1"/>
        <w:spacing w:before="240"/>
        <w:ind w:firstLineChars="200" w:firstLine="480"/>
        <w:rPr>
          <w:rFonts w:ascii="华文楷体" w:hAnsi="华文楷体"/>
          <w:b w:val="0"/>
          <w:color w:val="auto"/>
          <w:sz w:val="24"/>
          <w:szCs w:val="24"/>
        </w:rPr>
      </w:pPr>
      <w:r w:rsidRPr="008A575D">
        <w:rPr>
          <w:rFonts w:ascii="华文楷体" w:hAnsi="华文楷体" w:hint="eastAsia"/>
          <w:b w:val="0"/>
          <w:color w:val="auto"/>
          <w:sz w:val="24"/>
          <w:szCs w:val="24"/>
        </w:rPr>
        <w:t>2） 若类比70年代的大滞涨：相同地方在于都有成本推动型通胀的特点，石油危机和当前全球性的供应链短缺</w:t>
      </w:r>
      <w:proofErr w:type="gramStart"/>
      <w:r w:rsidRPr="008A575D">
        <w:rPr>
          <w:rFonts w:ascii="华文楷体" w:hAnsi="华文楷体" w:hint="eastAsia"/>
          <w:b w:val="0"/>
          <w:color w:val="auto"/>
          <w:sz w:val="24"/>
          <w:szCs w:val="24"/>
        </w:rPr>
        <w:t>和双碳要求</w:t>
      </w:r>
      <w:proofErr w:type="gramEnd"/>
      <w:r w:rsidRPr="008A575D">
        <w:rPr>
          <w:rFonts w:ascii="华文楷体" w:hAnsi="华文楷体" w:hint="eastAsia"/>
          <w:b w:val="0"/>
          <w:color w:val="auto"/>
          <w:sz w:val="24"/>
          <w:szCs w:val="24"/>
        </w:rPr>
        <w:t>。不同之处在于，一是相比70年代当下的人口结构、全球产业链等格局促使需求没有强回升只有</w:t>
      </w:r>
      <w:proofErr w:type="gramStart"/>
      <w:r w:rsidRPr="008A575D">
        <w:rPr>
          <w:rFonts w:ascii="华文楷体" w:hAnsi="华文楷体" w:hint="eastAsia"/>
          <w:b w:val="0"/>
          <w:color w:val="auto"/>
          <w:sz w:val="24"/>
          <w:szCs w:val="24"/>
        </w:rPr>
        <w:t>弱增长</w:t>
      </w:r>
      <w:proofErr w:type="gramEnd"/>
      <w:r w:rsidRPr="008A575D">
        <w:rPr>
          <w:rFonts w:ascii="华文楷体" w:hAnsi="华文楷体" w:hint="eastAsia"/>
          <w:b w:val="0"/>
          <w:color w:val="auto"/>
          <w:sz w:val="24"/>
          <w:szCs w:val="24"/>
        </w:rPr>
        <w:t>的基础；二是70年代美联储起初有意地过</w:t>
      </w:r>
      <w:r w:rsidR="00F67104">
        <w:rPr>
          <w:rFonts w:ascii="华文楷体" w:hAnsi="华文楷体" w:hint="eastAsia"/>
          <w:b w:val="0"/>
          <w:color w:val="auto"/>
          <w:sz w:val="24"/>
          <w:szCs w:val="24"/>
        </w:rPr>
        <w:t>度宽松政策导致了通胀的加速而本轮有理由相信央行会更有经验；三是</w:t>
      </w:r>
      <w:r w:rsidRPr="008A575D">
        <w:rPr>
          <w:rFonts w:ascii="华文楷体" w:hAnsi="华文楷体" w:hint="eastAsia"/>
          <w:b w:val="0"/>
          <w:color w:val="auto"/>
          <w:sz w:val="24"/>
          <w:szCs w:val="24"/>
        </w:rPr>
        <w:t>石油危机更多有地缘政治因素短期得到了缓解，本轮欧洲脱碳、</w:t>
      </w:r>
      <w:proofErr w:type="gramStart"/>
      <w:r w:rsidRPr="008A575D">
        <w:rPr>
          <w:rFonts w:ascii="华文楷体" w:hAnsi="华文楷体" w:hint="eastAsia"/>
          <w:b w:val="0"/>
          <w:color w:val="auto"/>
          <w:sz w:val="24"/>
          <w:szCs w:val="24"/>
        </w:rPr>
        <w:t>拜登鼓励</w:t>
      </w:r>
      <w:proofErr w:type="gramEnd"/>
      <w:r w:rsidRPr="008A575D">
        <w:rPr>
          <w:rFonts w:ascii="华文楷体" w:hAnsi="华文楷体" w:hint="eastAsia"/>
          <w:b w:val="0"/>
          <w:color w:val="auto"/>
          <w:sz w:val="24"/>
          <w:szCs w:val="24"/>
        </w:rPr>
        <w:t>新能源</w:t>
      </w:r>
      <w:r w:rsidR="00F67104">
        <w:rPr>
          <w:rFonts w:ascii="华文楷体" w:hAnsi="华文楷体" w:hint="eastAsia"/>
          <w:b w:val="0"/>
          <w:color w:val="auto"/>
          <w:sz w:val="24"/>
          <w:szCs w:val="24"/>
        </w:rPr>
        <w:t>、</w:t>
      </w:r>
      <w:r w:rsidRPr="008A575D">
        <w:rPr>
          <w:rFonts w:ascii="华文楷体" w:hAnsi="华文楷体" w:hint="eastAsia"/>
          <w:b w:val="0"/>
          <w:color w:val="auto"/>
          <w:sz w:val="24"/>
          <w:szCs w:val="24"/>
        </w:rPr>
        <w:t>约束页岩油、国内从严</w:t>
      </w:r>
      <w:proofErr w:type="gramStart"/>
      <w:r w:rsidRPr="008A575D">
        <w:rPr>
          <w:rFonts w:ascii="华文楷体" w:hAnsi="华文楷体" w:hint="eastAsia"/>
          <w:b w:val="0"/>
          <w:color w:val="auto"/>
          <w:sz w:val="24"/>
          <w:szCs w:val="24"/>
        </w:rPr>
        <w:t>要求双碳约束</w:t>
      </w:r>
      <w:proofErr w:type="gramEnd"/>
      <w:r w:rsidRPr="008A575D">
        <w:rPr>
          <w:rFonts w:ascii="华文楷体" w:hAnsi="华文楷体" w:hint="eastAsia"/>
          <w:b w:val="0"/>
          <w:color w:val="auto"/>
          <w:sz w:val="24"/>
          <w:szCs w:val="24"/>
        </w:rPr>
        <w:t>，能源转型是长期问题，或将使得能源价格中枢有所提升。</w:t>
      </w:r>
    </w:p>
    <w:p w14:paraId="3AFEF59D" w14:textId="5BE50F13" w:rsidR="008A575D" w:rsidRPr="008A575D" w:rsidRDefault="008A575D" w:rsidP="008A575D">
      <w:pPr>
        <w:pStyle w:val="Header1"/>
        <w:spacing w:before="240"/>
        <w:ind w:firstLineChars="200" w:firstLine="480"/>
        <w:rPr>
          <w:rFonts w:ascii="华文楷体" w:hAnsi="华文楷体"/>
          <w:b w:val="0"/>
          <w:color w:val="auto"/>
          <w:sz w:val="24"/>
          <w:szCs w:val="24"/>
        </w:rPr>
      </w:pPr>
      <w:r w:rsidRPr="008A575D">
        <w:rPr>
          <w:rFonts w:ascii="华文楷体" w:hAnsi="华文楷体" w:hint="eastAsia"/>
          <w:b w:val="0"/>
          <w:color w:val="auto"/>
          <w:sz w:val="24"/>
          <w:szCs w:val="24"/>
        </w:rPr>
        <w:t>3）对债市的影响：历史上滞胀对于债券市场更多的是负面影响，但中间的关键链条仍在货币政策。目前疫情影响仍未消散、经济下行压力加大，不能简单依靠以往提高利率抑制通胀的手段解决滞胀问题，当下主流货币政策保持对通胀的观察但尚未纳入核心矛盾。除通胀压力加大外，美债上行、利率供给节奏加快、潜在的宽信用等会对利率造成短期冲击，理财业务调整也持续对信用债利差有所影响，但经济内需下行和</w:t>
      </w:r>
      <w:proofErr w:type="gramStart"/>
      <w:r w:rsidRPr="008A575D">
        <w:rPr>
          <w:rFonts w:ascii="华文楷体" w:hAnsi="华文楷体" w:hint="eastAsia"/>
          <w:b w:val="0"/>
          <w:color w:val="auto"/>
          <w:sz w:val="24"/>
          <w:szCs w:val="24"/>
        </w:rPr>
        <w:t>货币维稳是</w:t>
      </w:r>
      <w:proofErr w:type="gramEnd"/>
      <w:r w:rsidRPr="008A575D">
        <w:rPr>
          <w:rFonts w:ascii="华文楷体" w:hAnsi="华文楷体" w:hint="eastAsia"/>
          <w:b w:val="0"/>
          <w:color w:val="auto"/>
          <w:sz w:val="24"/>
          <w:szCs w:val="24"/>
        </w:rPr>
        <w:t>主要定心剂，预计利率维持窄幅震荡</w:t>
      </w:r>
      <w:r w:rsidR="008467DB">
        <w:rPr>
          <w:rFonts w:ascii="华文楷体" w:hAnsi="华文楷体" w:hint="eastAsia"/>
          <w:b w:val="0"/>
          <w:color w:val="auto"/>
          <w:sz w:val="24"/>
          <w:szCs w:val="24"/>
        </w:rPr>
        <w:t>，</w:t>
      </w:r>
      <w:r w:rsidRPr="008A575D">
        <w:rPr>
          <w:rFonts w:ascii="华文楷体" w:hAnsi="华文楷体" w:hint="eastAsia"/>
          <w:b w:val="0"/>
          <w:color w:val="auto"/>
          <w:sz w:val="24"/>
          <w:szCs w:val="24"/>
        </w:rPr>
        <w:t>短期略有调整。继续建议保持哑铃型组合形态，更偏短端，长端等待</w:t>
      </w:r>
      <w:r w:rsidR="008467DB" w:rsidRPr="008A575D">
        <w:rPr>
          <w:rFonts w:ascii="华文楷体" w:hAnsi="华文楷体" w:hint="eastAsia"/>
          <w:b w:val="0"/>
          <w:color w:val="auto"/>
          <w:sz w:val="24"/>
          <w:szCs w:val="24"/>
        </w:rPr>
        <w:t>逐步</w:t>
      </w:r>
      <w:r w:rsidRPr="008A575D">
        <w:rPr>
          <w:rFonts w:ascii="华文楷体" w:hAnsi="华文楷体" w:hint="eastAsia"/>
          <w:b w:val="0"/>
          <w:color w:val="auto"/>
          <w:sz w:val="24"/>
          <w:szCs w:val="24"/>
        </w:rPr>
        <w:t>调整后更好的买点。</w:t>
      </w:r>
    </w:p>
    <w:p w14:paraId="7EEDEF05" w14:textId="07D2C6E3" w:rsidR="00E0626C" w:rsidRPr="003E4A57" w:rsidRDefault="003E4A57" w:rsidP="003E4A57">
      <w:pPr>
        <w:pStyle w:val="Header1"/>
        <w:spacing w:before="240"/>
        <w:ind w:firstLineChars="200" w:firstLine="480"/>
        <w:rPr>
          <w:rFonts w:ascii="华文楷体" w:hAnsi="华文楷体"/>
          <w:b w:val="0"/>
          <w:color w:val="auto"/>
          <w:sz w:val="24"/>
          <w:szCs w:val="24"/>
        </w:rPr>
      </w:pPr>
      <w:r w:rsidRPr="003E4A57">
        <w:rPr>
          <w:rFonts w:ascii="华文楷体" w:hAnsi="华文楷体"/>
          <w:b w:val="0"/>
          <w:color w:val="auto"/>
          <w:sz w:val="24"/>
          <w:szCs w:val="24"/>
        </w:rPr>
        <w:cr/>
      </w:r>
      <w:r w:rsidR="005E5CB1" w:rsidRPr="007353FF">
        <w:rPr>
          <w:rFonts w:hint="eastAsia"/>
          <w:color w:val="C45911" w:themeColor="accent2" w:themeShade="BF"/>
        </w:rPr>
        <w:t>二</w:t>
      </w:r>
      <w:r w:rsidR="00E0626C" w:rsidRPr="007353FF">
        <w:rPr>
          <w:rFonts w:hint="eastAsia"/>
          <w:color w:val="C45911" w:themeColor="accent2" w:themeShade="BF"/>
        </w:rPr>
        <w:t>、上周回顾</w:t>
      </w:r>
    </w:p>
    <w:p w14:paraId="704BC20A" w14:textId="651144BD" w:rsidR="00E0626C" w:rsidRPr="007A1586" w:rsidRDefault="00E0626C" w:rsidP="009A2BA0">
      <w:pPr>
        <w:pStyle w:val="Header2"/>
        <w:rPr>
          <w:sz w:val="28"/>
          <w:szCs w:val="21"/>
        </w:rPr>
      </w:pPr>
      <w:r w:rsidRPr="00500BB1">
        <w:rPr>
          <w:rFonts w:hint="eastAsia"/>
          <w:sz w:val="28"/>
          <w:szCs w:val="21"/>
          <w:lang w:eastAsia="zh-CN"/>
        </w:rPr>
        <w:t>1</w:t>
      </w:r>
      <w:r w:rsidRPr="00500BB1">
        <w:rPr>
          <w:rFonts w:hint="eastAsia"/>
          <w:sz w:val="28"/>
          <w:szCs w:val="21"/>
          <w:lang w:eastAsia="zh-CN"/>
        </w:rPr>
        <w:t>、</w:t>
      </w:r>
      <w:r w:rsidRPr="00CD2B4D">
        <w:rPr>
          <w:rFonts w:hint="eastAsia"/>
          <w:sz w:val="28"/>
          <w:szCs w:val="21"/>
        </w:rPr>
        <w:t>利率债</w:t>
      </w:r>
    </w:p>
    <w:p w14:paraId="33F356F9" w14:textId="29BD5319" w:rsidR="00A917BC" w:rsidRPr="00500BB1" w:rsidRDefault="008A575D" w:rsidP="007A1586">
      <w:pPr>
        <w:pStyle w:val="Header1"/>
        <w:spacing w:before="240"/>
        <w:ind w:firstLine="480"/>
        <w:rPr>
          <w:rFonts w:ascii="华文楷体" w:hAnsi="华文楷体"/>
          <w:sz w:val="24"/>
          <w:szCs w:val="24"/>
          <w:highlight w:val="yellow"/>
        </w:rPr>
      </w:pPr>
      <w:r w:rsidRPr="008A575D">
        <w:rPr>
          <w:rFonts w:ascii="华文楷体" w:hAnsi="华文楷体" w:hint="eastAsia"/>
          <w:b w:val="0"/>
          <w:color w:val="auto"/>
          <w:sz w:val="24"/>
          <w:szCs w:val="24"/>
        </w:rPr>
        <w:t>9月PMI制造业数据跌破荣枯线、易纲发文称“中国将尽可能地延长实施正常货币政策的空间”、消息称“专项债需在11月底前发行完毕，不再为12月预留额度”，多空影响下节前几个交易日长</w:t>
      </w:r>
      <w:proofErr w:type="gramStart"/>
      <w:r w:rsidRPr="008A575D">
        <w:rPr>
          <w:rFonts w:ascii="华文楷体" w:hAnsi="华文楷体" w:hint="eastAsia"/>
          <w:b w:val="0"/>
          <w:color w:val="auto"/>
          <w:sz w:val="24"/>
          <w:szCs w:val="24"/>
        </w:rPr>
        <w:t>端利率窄幅</w:t>
      </w:r>
      <w:proofErr w:type="gramEnd"/>
      <w:r w:rsidRPr="008A575D">
        <w:rPr>
          <w:rFonts w:ascii="华文楷体" w:hAnsi="华文楷体" w:hint="eastAsia"/>
          <w:b w:val="0"/>
          <w:color w:val="auto"/>
          <w:sz w:val="24"/>
          <w:szCs w:val="24"/>
        </w:rPr>
        <w:t>震荡，短端</w:t>
      </w:r>
      <w:proofErr w:type="gramStart"/>
      <w:r w:rsidRPr="008A575D">
        <w:rPr>
          <w:rFonts w:ascii="华文楷体" w:hAnsi="华文楷体" w:hint="eastAsia"/>
          <w:b w:val="0"/>
          <w:color w:val="auto"/>
          <w:sz w:val="24"/>
          <w:szCs w:val="24"/>
        </w:rPr>
        <w:t>受跨节资金</w:t>
      </w:r>
      <w:proofErr w:type="gramEnd"/>
      <w:r w:rsidRPr="008A575D">
        <w:rPr>
          <w:rFonts w:ascii="华文楷体" w:hAnsi="华文楷体" w:hint="eastAsia"/>
          <w:b w:val="0"/>
          <w:color w:val="auto"/>
          <w:sz w:val="24"/>
          <w:szCs w:val="24"/>
        </w:rPr>
        <w:t>宽松影响有所回落，10-1Y国债利差上行3.38BP。回顾9月资产价格变化，全月1Y、5Y、10Y国债中债估值分别变动+2.2BP、+3.2BP和+3.3BP，10-1Y国债利差上行1.1bp。</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B41E24" w14:paraId="26C17AB1" w14:textId="77777777" w:rsidTr="00202D86">
        <w:trPr>
          <w:jc w:val="center"/>
        </w:trPr>
        <w:tc>
          <w:tcPr>
            <w:tcW w:w="4939" w:type="dxa"/>
            <w:vAlign w:val="center"/>
          </w:tcPr>
          <w:p w14:paraId="6C73AA55" w14:textId="11937E54" w:rsidR="00E0626C" w:rsidRPr="00B41E24" w:rsidRDefault="00E0626C" w:rsidP="00BA168E">
            <w:pPr>
              <w:pStyle w:val="ChartHeading"/>
              <w:jc w:val="both"/>
            </w:pPr>
            <w:r w:rsidRPr="00B41E24">
              <w:rPr>
                <w:rFonts w:hint="eastAsia"/>
              </w:rPr>
              <w:lastRenderedPageBreak/>
              <w:t>图表</w:t>
            </w:r>
            <w:r w:rsidRPr="00B41E24">
              <w:t xml:space="preserve">. </w:t>
            </w:r>
            <w:r w:rsidRPr="00B41E24">
              <w:rPr>
                <w:rFonts w:hint="eastAsia"/>
              </w:rPr>
              <w:t>国债收益率曲线和变化</w:t>
            </w:r>
          </w:p>
        </w:tc>
        <w:tc>
          <w:tcPr>
            <w:tcW w:w="4938" w:type="dxa"/>
            <w:vAlign w:val="center"/>
          </w:tcPr>
          <w:p w14:paraId="2C5A7EDC" w14:textId="7D7F9BC1" w:rsidR="00E0626C" w:rsidRPr="00B41E24" w:rsidRDefault="00E0626C" w:rsidP="009A2BA0">
            <w:pPr>
              <w:pStyle w:val="ChartHeading"/>
              <w:jc w:val="both"/>
            </w:pPr>
            <w:r w:rsidRPr="00B41E24">
              <w:rPr>
                <w:rFonts w:hint="eastAsia"/>
              </w:rPr>
              <w:t>图表</w:t>
            </w:r>
            <w:r w:rsidRPr="00B41E24">
              <w:t xml:space="preserve">. </w:t>
            </w:r>
            <w:proofErr w:type="gramStart"/>
            <w:r w:rsidRPr="00B41E24">
              <w:rPr>
                <w:rFonts w:hint="eastAsia"/>
              </w:rPr>
              <w:t>国开债收益率曲线</w:t>
            </w:r>
            <w:proofErr w:type="gramEnd"/>
            <w:r w:rsidRPr="00B41E24">
              <w:rPr>
                <w:rFonts w:hint="eastAsia"/>
              </w:rPr>
              <w:t>和变化</w:t>
            </w:r>
          </w:p>
        </w:tc>
      </w:tr>
      <w:tr w:rsidR="00E0626C" w:rsidRPr="00B41E24" w14:paraId="1094FBBD" w14:textId="77777777" w:rsidTr="008A575D">
        <w:tblPrEx>
          <w:tblCellMar>
            <w:left w:w="108" w:type="dxa"/>
            <w:right w:w="108" w:type="dxa"/>
          </w:tblCellMar>
        </w:tblPrEx>
        <w:trPr>
          <w:trHeight w:val="2854"/>
          <w:jc w:val="center"/>
        </w:trPr>
        <w:tc>
          <w:tcPr>
            <w:tcW w:w="4939" w:type="dxa"/>
            <w:vAlign w:val="center"/>
          </w:tcPr>
          <w:p w14:paraId="678C97B0" w14:textId="267092B6" w:rsidR="00E0626C" w:rsidRPr="00B41E24" w:rsidRDefault="008A575D" w:rsidP="002104B2">
            <w:pPr>
              <w:rPr>
                <w:noProof/>
              </w:rPr>
            </w:pPr>
            <w:r>
              <w:rPr>
                <w:noProof/>
              </w:rPr>
              <w:drawing>
                <wp:inline distT="0" distB="0" distL="0" distR="0" wp14:anchorId="47B918B9" wp14:editId="738A129D">
                  <wp:extent cx="2999105" cy="1770380"/>
                  <wp:effectExtent l="0" t="0" r="0" b="1270"/>
                  <wp:docPr id="4" name="图表 4">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00000000-0008-0000-00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938" w:type="dxa"/>
            <w:vAlign w:val="center"/>
          </w:tcPr>
          <w:p w14:paraId="17A42E68" w14:textId="6F44C9BD" w:rsidR="00E0626C" w:rsidRPr="00B41E24" w:rsidRDefault="008A575D" w:rsidP="009A2BA0">
            <w:pPr>
              <w:jc w:val="center"/>
              <w:rPr>
                <w:noProof/>
                <w:szCs w:val="18"/>
              </w:rPr>
            </w:pPr>
            <w:r>
              <w:rPr>
                <w:noProof/>
              </w:rPr>
              <w:drawing>
                <wp:inline distT="0" distB="0" distL="0" distR="0" wp14:anchorId="3CFC48E1" wp14:editId="3C9498AE">
                  <wp:extent cx="2998470" cy="1805940"/>
                  <wp:effectExtent l="0" t="0" r="0" b="3810"/>
                  <wp:docPr id="7" name="图表 7">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00000000-0008-0000-0000-000005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rsidR="00E0626C" w:rsidRPr="00500BB1" w14:paraId="70E50E5B" w14:textId="77777777" w:rsidTr="00202D86">
        <w:trPr>
          <w:trHeight w:val="64"/>
          <w:jc w:val="center"/>
        </w:trPr>
        <w:tc>
          <w:tcPr>
            <w:tcW w:w="4939" w:type="dxa"/>
            <w:vAlign w:val="center"/>
          </w:tcPr>
          <w:p w14:paraId="3E8A3EBA" w14:textId="77777777" w:rsidR="00E0626C" w:rsidRPr="00B41E24" w:rsidRDefault="00E0626C" w:rsidP="009A2BA0">
            <w:pPr>
              <w:pStyle w:val="Source"/>
              <w:jc w:val="both"/>
              <w:rPr>
                <w:kern w:val="0"/>
              </w:rPr>
            </w:pPr>
            <w:r w:rsidRPr="00B41E24">
              <w:rPr>
                <w:rFonts w:hint="eastAsia"/>
                <w:kern w:val="0"/>
              </w:rPr>
              <w:t>资料来源：万得，富</w:t>
            </w:r>
            <w:proofErr w:type="gramStart"/>
            <w:r w:rsidRPr="00B41E24">
              <w:rPr>
                <w:rFonts w:hint="eastAsia"/>
                <w:kern w:val="0"/>
              </w:rPr>
              <w:t>荣基金</w:t>
            </w:r>
            <w:proofErr w:type="gramEnd"/>
          </w:p>
        </w:tc>
        <w:tc>
          <w:tcPr>
            <w:tcW w:w="4938" w:type="dxa"/>
            <w:vAlign w:val="center"/>
          </w:tcPr>
          <w:p w14:paraId="589540D5" w14:textId="77777777" w:rsidR="00E0626C" w:rsidRPr="00B41E24" w:rsidRDefault="00E0626C" w:rsidP="009A2BA0">
            <w:pPr>
              <w:pStyle w:val="Source"/>
              <w:jc w:val="both"/>
              <w:rPr>
                <w:kern w:val="0"/>
              </w:rPr>
            </w:pPr>
            <w:r w:rsidRPr="00B41E24">
              <w:rPr>
                <w:rFonts w:hint="eastAsia"/>
                <w:kern w:val="0"/>
              </w:rPr>
              <w:t>资料来源：万得，富</w:t>
            </w:r>
            <w:proofErr w:type="gramStart"/>
            <w:r w:rsidRPr="00B41E24">
              <w:rPr>
                <w:rFonts w:hint="eastAsia"/>
                <w:kern w:val="0"/>
              </w:rPr>
              <w:t>荣基金</w:t>
            </w:r>
            <w:proofErr w:type="gramEnd"/>
          </w:p>
        </w:tc>
      </w:tr>
    </w:tbl>
    <w:p w14:paraId="548449F9" w14:textId="77777777" w:rsidR="00A314E6" w:rsidRDefault="00A314E6" w:rsidP="00A314E6">
      <w:pPr>
        <w:pStyle w:val="Header2"/>
        <w:rPr>
          <w:rFonts w:ascii="华文楷体" w:eastAsia="PMingLiU" w:hAnsi="华文楷体"/>
          <w:b w:val="0"/>
          <w:szCs w:val="24"/>
        </w:rPr>
      </w:pPr>
    </w:p>
    <w:p w14:paraId="65C5336B" w14:textId="77777777" w:rsidR="00A314E6" w:rsidRDefault="00A314E6" w:rsidP="00A314E6">
      <w:pPr>
        <w:pStyle w:val="Header2"/>
        <w:rPr>
          <w:rFonts w:ascii="华文楷体" w:eastAsia="PMingLiU" w:hAnsi="华文楷体"/>
          <w:b w:val="0"/>
          <w:szCs w:val="24"/>
        </w:rPr>
      </w:pPr>
    </w:p>
    <w:p w14:paraId="18D67482" w14:textId="428AE6CE" w:rsidR="00E0626C" w:rsidRPr="00CD2B4D" w:rsidRDefault="00A314E6" w:rsidP="00A314E6">
      <w:pPr>
        <w:pStyle w:val="Header2"/>
        <w:rPr>
          <w:rFonts w:eastAsia="PMingLiU"/>
          <w:sz w:val="28"/>
          <w:szCs w:val="21"/>
        </w:rPr>
      </w:pPr>
      <w:r w:rsidRPr="003E4A57">
        <w:rPr>
          <w:rFonts w:ascii="华文楷体" w:hAnsi="华文楷体"/>
          <w:b w:val="0"/>
          <w:szCs w:val="24"/>
        </w:rPr>
        <w:cr/>
      </w:r>
      <w:r w:rsidR="007A1586">
        <w:rPr>
          <w:sz w:val="28"/>
          <w:szCs w:val="21"/>
          <w:lang w:eastAsia="zh-CN"/>
        </w:rPr>
        <w:t>2</w:t>
      </w:r>
      <w:r w:rsidR="00E0626C" w:rsidRPr="00CD2B4D">
        <w:rPr>
          <w:rFonts w:hint="eastAsia"/>
          <w:sz w:val="28"/>
          <w:szCs w:val="21"/>
          <w:lang w:eastAsia="zh-CN"/>
        </w:rPr>
        <w:t>、</w:t>
      </w:r>
      <w:r w:rsidR="00E0626C" w:rsidRPr="00CD2B4D">
        <w:rPr>
          <w:rFonts w:hint="eastAsia"/>
          <w:sz w:val="28"/>
          <w:szCs w:val="21"/>
        </w:rPr>
        <w:t>信用债</w:t>
      </w:r>
    </w:p>
    <w:p w14:paraId="65D1F2BE" w14:textId="31E81045" w:rsidR="00CD1AE8" w:rsidRPr="003E4A57" w:rsidRDefault="008A575D" w:rsidP="008A575D">
      <w:pPr>
        <w:pStyle w:val="Body-text"/>
        <w:spacing w:after="240"/>
        <w:ind w:firstLineChars="200" w:firstLine="480"/>
        <w:rPr>
          <w:rFonts w:ascii="华文楷体" w:hAnsi="华文楷体"/>
          <w:sz w:val="24"/>
          <w:szCs w:val="24"/>
          <w:highlight w:val="yellow"/>
          <w:lang w:eastAsia="zh-CN"/>
        </w:rPr>
      </w:pPr>
      <w:r w:rsidRPr="008A575D">
        <w:rPr>
          <w:rFonts w:ascii="华文楷体" w:hAnsi="华文楷体" w:hint="eastAsia"/>
          <w:sz w:val="24"/>
          <w:szCs w:val="24"/>
        </w:rPr>
        <w:t>信用债9月</w:t>
      </w:r>
      <w:r w:rsidR="0047204C">
        <w:rPr>
          <w:rFonts w:ascii="华文楷体" w:hAnsi="华文楷体" w:hint="eastAsia"/>
          <w:sz w:val="24"/>
          <w:szCs w:val="24"/>
          <w:lang w:eastAsia="zh-CN"/>
        </w:rPr>
        <w:t>出现</w:t>
      </w:r>
      <w:r w:rsidRPr="008A575D">
        <w:rPr>
          <w:rFonts w:ascii="华文楷体" w:hAnsi="华文楷体" w:hint="eastAsia"/>
          <w:sz w:val="24"/>
          <w:szCs w:val="24"/>
        </w:rPr>
        <w:t>调整</w:t>
      </w:r>
      <w:r w:rsidR="007A78CB" w:rsidRPr="007A78CB">
        <w:rPr>
          <w:rFonts w:ascii="华文楷体" w:hAnsi="华文楷体" w:hint="eastAsia"/>
          <w:sz w:val="24"/>
          <w:szCs w:val="24"/>
          <w:lang w:eastAsia="zh-CN"/>
        </w:rPr>
        <w:t>。</w:t>
      </w:r>
      <w:r w:rsidRPr="008A575D">
        <w:rPr>
          <w:rFonts w:ascii="华文楷体" w:hAnsi="华文楷体" w:hint="eastAsia"/>
          <w:sz w:val="24"/>
          <w:szCs w:val="24"/>
          <w:lang w:eastAsia="zh-CN"/>
        </w:rPr>
        <w:t>1Y期限</w:t>
      </w:r>
      <w:proofErr w:type="gramStart"/>
      <w:r w:rsidRPr="008A575D">
        <w:rPr>
          <w:rFonts w:ascii="华文楷体" w:hAnsi="华文楷体" w:hint="eastAsia"/>
          <w:sz w:val="24"/>
          <w:szCs w:val="24"/>
          <w:lang w:eastAsia="zh-CN"/>
        </w:rPr>
        <w:t>短融变化</w:t>
      </w:r>
      <w:proofErr w:type="gramEnd"/>
      <w:r w:rsidRPr="008A575D">
        <w:rPr>
          <w:rFonts w:ascii="华文楷体" w:hAnsi="华文楷体" w:hint="eastAsia"/>
          <w:sz w:val="24"/>
          <w:szCs w:val="24"/>
          <w:lang w:eastAsia="zh-CN"/>
        </w:rPr>
        <w:t>16~20BP，3年AAA企业</w:t>
      </w:r>
      <w:proofErr w:type="gramStart"/>
      <w:r w:rsidRPr="008A575D">
        <w:rPr>
          <w:rFonts w:ascii="华文楷体" w:hAnsi="华文楷体" w:hint="eastAsia"/>
          <w:sz w:val="24"/>
          <w:szCs w:val="24"/>
          <w:lang w:eastAsia="zh-CN"/>
        </w:rPr>
        <w:t>债变化</w:t>
      </w:r>
      <w:proofErr w:type="gramEnd"/>
      <w:r w:rsidRPr="008A575D">
        <w:rPr>
          <w:rFonts w:ascii="华文楷体" w:hAnsi="华文楷体" w:hint="eastAsia"/>
          <w:sz w:val="24"/>
          <w:szCs w:val="24"/>
          <w:lang w:eastAsia="zh-CN"/>
        </w:rPr>
        <w:t>7~17BP，5Y企业</w:t>
      </w:r>
      <w:proofErr w:type="gramStart"/>
      <w:r w:rsidRPr="008A575D">
        <w:rPr>
          <w:rFonts w:ascii="华文楷体" w:hAnsi="华文楷体" w:hint="eastAsia"/>
          <w:sz w:val="24"/>
          <w:szCs w:val="24"/>
          <w:lang w:eastAsia="zh-CN"/>
        </w:rPr>
        <w:t>债变化</w:t>
      </w:r>
      <w:proofErr w:type="gramEnd"/>
      <w:r w:rsidRPr="008A575D">
        <w:rPr>
          <w:rFonts w:ascii="华文楷体" w:hAnsi="华文楷体" w:hint="eastAsia"/>
          <w:sz w:val="24"/>
          <w:szCs w:val="24"/>
          <w:lang w:eastAsia="zh-CN"/>
        </w:rPr>
        <w:t xml:space="preserve">8~15BP左右， </w:t>
      </w:r>
      <w:proofErr w:type="gramStart"/>
      <w:r w:rsidRPr="008A575D">
        <w:rPr>
          <w:rFonts w:ascii="华文楷体" w:hAnsi="华文楷体" w:hint="eastAsia"/>
          <w:sz w:val="24"/>
          <w:szCs w:val="24"/>
          <w:lang w:eastAsia="zh-CN"/>
        </w:rPr>
        <w:t>城投债</w:t>
      </w:r>
      <w:proofErr w:type="gramEnd"/>
      <w:r w:rsidRPr="008A575D">
        <w:rPr>
          <w:rFonts w:ascii="华文楷体" w:hAnsi="华文楷体" w:hint="eastAsia"/>
          <w:sz w:val="24"/>
          <w:szCs w:val="24"/>
          <w:lang w:eastAsia="zh-CN"/>
        </w:rPr>
        <w:t>3Y期限品种变化11~20BP，5Y品种变化-12~20BP，7Y品种变化-14~18BP左右。具体来看收益率分位数，1Y品种收益率分位数在17%~20%以内</w:t>
      </w:r>
      <w:r w:rsidR="0047204C">
        <w:rPr>
          <w:rFonts w:ascii="华文楷体" w:hAnsi="华文楷体" w:hint="eastAsia"/>
          <w:sz w:val="24"/>
          <w:szCs w:val="24"/>
          <w:lang w:eastAsia="zh-CN"/>
        </w:rPr>
        <w:t>，</w:t>
      </w:r>
      <w:r w:rsidRPr="008A575D">
        <w:rPr>
          <w:rFonts w:ascii="华文楷体" w:hAnsi="华文楷体" w:hint="eastAsia"/>
          <w:sz w:val="24"/>
          <w:szCs w:val="24"/>
          <w:lang w:eastAsia="zh-CN"/>
        </w:rPr>
        <w:t>3Y品种收益率分位数在9%~18%区间</w:t>
      </w:r>
      <w:r w:rsidR="0047204C">
        <w:rPr>
          <w:rFonts w:ascii="华文楷体" w:hAnsi="华文楷体" w:hint="eastAsia"/>
          <w:sz w:val="24"/>
          <w:szCs w:val="24"/>
          <w:lang w:eastAsia="zh-CN"/>
        </w:rPr>
        <w:t>，</w:t>
      </w:r>
      <w:r w:rsidRPr="008A575D">
        <w:rPr>
          <w:rFonts w:ascii="华文楷体" w:hAnsi="华文楷体" w:hint="eastAsia"/>
          <w:sz w:val="24"/>
          <w:szCs w:val="24"/>
          <w:lang w:eastAsia="zh-CN"/>
        </w:rPr>
        <w:t>5Y及7Y等中长期</w:t>
      </w:r>
      <w:proofErr w:type="gramStart"/>
      <w:r w:rsidRPr="008A575D">
        <w:rPr>
          <w:rFonts w:ascii="华文楷体" w:hAnsi="华文楷体" w:hint="eastAsia"/>
          <w:sz w:val="24"/>
          <w:szCs w:val="24"/>
          <w:lang w:eastAsia="zh-CN"/>
        </w:rPr>
        <w:t>限品种</w:t>
      </w:r>
      <w:proofErr w:type="gramEnd"/>
      <w:r w:rsidRPr="008A575D">
        <w:rPr>
          <w:rFonts w:ascii="华文楷体" w:hAnsi="华文楷体" w:hint="eastAsia"/>
          <w:sz w:val="24"/>
          <w:szCs w:val="24"/>
          <w:lang w:eastAsia="zh-CN"/>
        </w:rPr>
        <w:t>处于6%~13%分位数。</w:t>
      </w:r>
      <w:r w:rsidRPr="008A575D">
        <w:rPr>
          <w:rFonts w:ascii="华文楷体" w:hAnsi="华文楷体" w:hint="eastAsia"/>
          <w:sz w:val="24"/>
          <w:szCs w:val="24"/>
          <w:lang w:eastAsia="zh-CN"/>
        </w:rPr>
        <w:tab/>
      </w:r>
    </w:p>
    <w:tbl>
      <w:tblPr>
        <w:tblW w:w="9713" w:type="dxa"/>
        <w:jc w:val="center"/>
        <w:tblCellMar>
          <w:left w:w="0" w:type="dxa"/>
          <w:right w:w="0" w:type="dxa"/>
        </w:tblCellMar>
        <w:tblLook w:val="01E0" w:firstRow="1" w:lastRow="1" w:firstColumn="1" w:lastColumn="1" w:noHBand="0" w:noVBand="0"/>
      </w:tblPr>
      <w:tblGrid>
        <w:gridCol w:w="9864"/>
      </w:tblGrid>
      <w:tr w:rsidR="00E0626C" w:rsidRPr="00B41E24" w14:paraId="5602CC82" w14:textId="77777777" w:rsidTr="00220902">
        <w:trPr>
          <w:trHeight w:val="360"/>
          <w:jc w:val="center"/>
        </w:trPr>
        <w:tc>
          <w:tcPr>
            <w:tcW w:w="9713" w:type="dxa"/>
            <w:vAlign w:val="center"/>
          </w:tcPr>
          <w:p w14:paraId="1C0DBC70" w14:textId="4A8BBE5E" w:rsidR="00E0626C" w:rsidRPr="00B41E24" w:rsidRDefault="00E0626C" w:rsidP="009A2BA0">
            <w:pPr>
              <w:pStyle w:val="ChartHeading"/>
              <w:jc w:val="both"/>
            </w:pPr>
            <w:r w:rsidRPr="00B41E24">
              <w:rPr>
                <w:rFonts w:hint="eastAsia"/>
              </w:rPr>
              <w:t>图表</w:t>
            </w:r>
            <w:r w:rsidRPr="00B41E24">
              <w:t xml:space="preserve">. </w:t>
            </w:r>
            <w:r w:rsidR="00F966B6" w:rsidRPr="00B41E24">
              <w:rPr>
                <w:rFonts w:hint="eastAsia"/>
              </w:rPr>
              <w:t>信用债收益率、利差变化情况</w:t>
            </w:r>
          </w:p>
        </w:tc>
      </w:tr>
      <w:tr w:rsidR="00E0626C" w:rsidRPr="00B41E24" w14:paraId="1114B583" w14:textId="77777777" w:rsidTr="007A1586">
        <w:tblPrEx>
          <w:tblCellMar>
            <w:left w:w="108" w:type="dxa"/>
            <w:right w:w="108" w:type="dxa"/>
          </w:tblCellMar>
        </w:tblPrEx>
        <w:trPr>
          <w:trHeight w:val="74"/>
          <w:jc w:val="center"/>
        </w:trPr>
        <w:tc>
          <w:tcPr>
            <w:tcW w:w="9713" w:type="dxa"/>
            <w:vAlign w:val="center"/>
          </w:tcPr>
          <w:tbl>
            <w:tblPr>
              <w:tblW w:w="9638" w:type="dxa"/>
              <w:tblLook w:val="04A0" w:firstRow="1" w:lastRow="0" w:firstColumn="1" w:lastColumn="0" w:noHBand="0" w:noVBand="1"/>
            </w:tblPr>
            <w:tblGrid>
              <w:gridCol w:w="1309"/>
              <w:gridCol w:w="740"/>
              <w:gridCol w:w="920"/>
              <w:gridCol w:w="920"/>
              <w:gridCol w:w="920"/>
              <w:gridCol w:w="1149"/>
              <w:gridCol w:w="920"/>
              <w:gridCol w:w="920"/>
              <w:gridCol w:w="920"/>
              <w:gridCol w:w="920"/>
            </w:tblGrid>
            <w:tr w:rsidR="008A575D" w:rsidRPr="003F4793" w14:paraId="15070232" w14:textId="77777777" w:rsidTr="00416E34">
              <w:trPr>
                <w:trHeight w:val="310"/>
              </w:trPr>
              <w:tc>
                <w:tcPr>
                  <w:tcW w:w="1309" w:type="dxa"/>
                  <w:tcBorders>
                    <w:top w:val="nil"/>
                    <w:left w:val="nil"/>
                    <w:bottom w:val="single" w:sz="12" w:space="0" w:color="FFFFFF"/>
                    <w:right w:val="single" w:sz="8" w:space="0" w:color="FFFFFF"/>
                  </w:tcBorders>
                  <w:shd w:val="clear" w:color="000000" w:fill="F79646"/>
                  <w:noWrap/>
                  <w:hideMark/>
                </w:tcPr>
                <w:p w14:paraId="413AFE14" w14:textId="103E4EF5"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收益率</w:t>
                  </w:r>
                  <w:r w:rsidRPr="00B73352">
                    <w:rPr>
                      <w:rFonts w:hint="eastAsia"/>
                    </w:rPr>
                    <w:t>(%)</w:t>
                  </w:r>
                </w:p>
              </w:tc>
              <w:tc>
                <w:tcPr>
                  <w:tcW w:w="740" w:type="dxa"/>
                  <w:tcBorders>
                    <w:top w:val="nil"/>
                    <w:left w:val="nil"/>
                    <w:bottom w:val="single" w:sz="12" w:space="0" w:color="FFFFFF"/>
                    <w:right w:val="single" w:sz="8" w:space="0" w:color="FFFFFF"/>
                  </w:tcBorders>
                  <w:shd w:val="clear" w:color="000000" w:fill="F79646"/>
                  <w:noWrap/>
                  <w:hideMark/>
                </w:tcPr>
                <w:p w14:paraId="0F3218AA" w14:textId="47C83865"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AAA</w:t>
                  </w:r>
                </w:p>
              </w:tc>
              <w:tc>
                <w:tcPr>
                  <w:tcW w:w="920" w:type="dxa"/>
                  <w:tcBorders>
                    <w:top w:val="nil"/>
                    <w:left w:val="nil"/>
                    <w:bottom w:val="single" w:sz="12" w:space="0" w:color="FFFFFF"/>
                    <w:right w:val="single" w:sz="8" w:space="0" w:color="FFFFFF"/>
                  </w:tcBorders>
                  <w:shd w:val="clear" w:color="000000" w:fill="F79646"/>
                  <w:noWrap/>
                  <w:hideMark/>
                </w:tcPr>
                <w:p w14:paraId="0FE8EB9B" w14:textId="1011E4A9"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75A35579" w14:textId="0DCC3CF8"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1612FDB1" w14:textId="4644A5BC"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w:t>
                  </w:r>
                </w:p>
              </w:tc>
              <w:tc>
                <w:tcPr>
                  <w:tcW w:w="1149" w:type="dxa"/>
                  <w:tcBorders>
                    <w:top w:val="nil"/>
                    <w:left w:val="nil"/>
                    <w:bottom w:val="single" w:sz="12" w:space="0" w:color="FFFFFF"/>
                    <w:right w:val="single" w:sz="8" w:space="0" w:color="FFFFFF"/>
                  </w:tcBorders>
                  <w:shd w:val="clear" w:color="000000" w:fill="F79646"/>
                  <w:noWrap/>
                  <w:hideMark/>
                </w:tcPr>
                <w:p w14:paraId="719B3728" w14:textId="04EA0783"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息差</w:t>
                  </w:r>
                </w:p>
              </w:tc>
              <w:tc>
                <w:tcPr>
                  <w:tcW w:w="920" w:type="dxa"/>
                  <w:tcBorders>
                    <w:top w:val="nil"/>
                    <w:left w:val="nil"/>
                    <w:bottom w:val="single" w:sz="12" w:space="0" w:color="FFFFFF"/>
                    <w:right w:val="single" w:sz="8" w:space="0" w:color="FFFFFF"/>
                  </w:tcBorders>
                  <w:shd w:val="clear" w:color="000000" w:fill="F79646"/>
                  <w:noWrap/>
                  <w:hideMark/>
                </w:tcPr>
                <w:p w14:paraId="6A9FDAC9" w14:textId="1CFDCD5F"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AAA</w:t>
                  </w:r>
                </w:p>
              </w:tc>
              <w:tc>
                <w:tcPr>
                  <w:tcW w:w="920" w:type="dxa"/>
                  <w:tcBorders>
                    <w:top w:val="nil"/>
                    <w:left w:val="nil"/>
                    <w:bottom w:val="single" w:sz="12" w:space="0" w:color="FFFFFF"/>
                    <w:right w:val="single" w:sz="8" w:space="0" w:color="FFFFFF"/>
                  </w:tcBorders>
                  <w:shd w:val="clear" w:color="000000" w:fill="F79646"/>
                  <w:noWrap/>
                  <w:hideMark/>
                </w:tcPr>
                <w:p w14:paraId="11994889" w14:textId="09624B9B"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40805862" w14:textId="2EEC83F9"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16CB6C50" w14:textId="1C14BF08"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w:t>
                  </w:r>
                </w:p>
              </w:tc>
            </w:tr>
            <w:tr w:rsidR="008A575D" w:rsidRPr="003F4793" w14:paraId="759A3C98" w14:textId="77777777" w:rsidTr="00416E34">
              <w:trPr>
                <w:trHeight w:val="321"/>
              </w:trPr>
              <w:tc>
                <w:tcPr>
                  <w:tcW w:w="1309" w:type="dxa"/>
                  <w:tcBorders>
                    <w:top w:val="nil"/>
                    <w:left w:val="nil"/>
                    <w:bottom w:val="single" w:sz="8" w:space="0" w:color="FFFFFF"/>
                    <w:right w:val="single" w:sz="8" w:space="0" w:color="FFFFFF"/>
                  </w:tcBorders>
                  <w:shd w:val="clear" w:color="000000" w:fill="FCD5B4"/>
                  <w:noWrap/>
                  <w:hideMark/>
                </w:tcPr>
                <w:p w14:paraId="48EBF66E" w14:textId="5E7EFBED" w:rsidR="008A575D" w:rsidRPr="003F4793" w:rsidRDefault="008A575D" w:rsidP="008A575D">
                  <w:pPr>
                    <w:widowControl/>
                    <w:jc w:val="center"/>
                    <w:rPr>
                      <w:rFonts w:ascii="KaiTi" w:eastAsia="KaiTi" w:hAnsi="KaiTi" w:cs="宋体"/>
                      <w:color w:val="000000"/>
                      <w:kern w:val="0"/>
                      <w:sz w:val="20"/>
                      <w:szCs w:val="20"/>
                    </w:rPr>
                  </w:pPr>
                  <w:r w:rsidRPr="00B73352">
                    <w:t>CP</w:t>
                  </w:r>
                </w:p>
              </w:tc>
              <w:tc>
                <w:tcPr>
                  <w:tcW w:w="740" w:type="dxa"/>
                  <w:tcBorders>
                    <w:top w:val="nil"/>
                    <w:left w:val="nil"/>
                    <w:bottom w:val="single" w:sz="8" w:space="0" w:color="FFFFFF"/>
                    <w:right w:val="single" w:sz="8" w:space="0" w:color="FFFFFF"/>
                  </w:tcBorders>
                  <w:shd w:val="clear" w:color="000000" w:fill="FCD5B4"/>
                  <w:noWrap/>
                  <w:hideMark/>
                </w:tcPr>
                <w:p w14:paraId="1F59B1A1" w14:textId="61D74ABC" w:rsidR="008A575D" w:rsidRPr="003F4793" w:rsidRDefault="008A575D" w:rsidP="008A575D">
                  <w:pPr>
                    <w:widowControl/>
                    <w:jc w:val="center"/>
                    <w:rPr>
                      <w:rFonts w:ascii="KaiTi" w:eastAsia="KaiTi" w:hAnsi="KaiTi" w:cs="Calibri"/>
                      <w:color w:val="000000"/>
                      <w:kern w:val="0"/>
                      <w:szCs w:val="21"/>
                    </w:rPr>
                  </w:pPr>
                  <w:r w:rsidRPr="00B73352">
                    <w:t xml:space="preserve">2.85 </w:t>
                  </w:r>
                </w:p>
              </w:tc>
              <w:tc>
                <w:tcPr>
                  <w:tcW w:w="920" w:type="dxa"/>
                  <w:tcBorders>
                    <w:top w:val="nil"/>
                    <w:left w:val="nil"/>
                    <w:bottom w:val="single" w:sz="8" w:space="0" w:color="FFFFFF"/>
                    <w:right w:val="single" w:sz="8" w:space="0" w:color="FFFFFF"/>
                  </w:tcBorders>
                  <w:shd w:val="clear" w:color="000000" w:fill="FCD5B4"/>
                  <w:noWrap/>
                  <w:hideMark/>
                </w:tcPr>
                <w:p w14:paraId="4F0034E5" w14:textId="0B31C540" w:rsidR="008A575D" w:rsidRPr="003F4793" w:rsidRDefault="008A575D" w:rsidP="008A575D">
                  <w:pPr>
                    <w:widowControl/>
                    <w:jc w:val="center"/>
                    <w:rPr>
                      <w:rFonts w:ascii="KaiTi" w:eastAsia="KaiTi" w:hAnsi="KaiTi" w:cs="Calibri"/>
                      <w:color w:val="000000"/>
                      <w:kern w:val="0"/>
                      <w:szCs w:val="21"/>
                    </w:rPr>
                  </w:pPr>
                  <w:r w:rsidRPr="00B73352">
                    <w:t xml:space="preserve">2.99 </w:t>
                  </w:r>
                </w:p>
              </w:tc>
              <w:tc>
                <w:tcPr>
                  <w:tcW w:w="920" w:type="dxa"/>
                  <w:tcBorders>
                    <w:top w:val="nil"/>
                    <w:left w:val="nil"/>
                    <w:bottom w:val="single" w:sz="8" w:space="0" w:color="FFFFFF"/>
                    <w:right w:val="single" w:sz="8" w:space="0" w:color="FFFFFF"/>
                  </w:tcBorders>
                  <w:shd w:val="clear" w:color="000000" w:fill="FCD5B4"/>
                  <w:noWrap/>
                  <w:hideMark/>
                </w:tcPr>
                <w:p w14:paraId="55FA1300" w14:textId="45467A4B" w:rsidR="008A575D" w:rsidRPr="003F4793" w:rsidRDefault="008A575D" w:rsidP="008A575D">
                  <w:pPr>
                    <w:widowControl/>
                    <w:jc w:val="center"/>
                    <w:rPr>
                      <w:rFonts w:ascii="KaiTi" w:eastAsia="KaiTi" w:hAnsi="KaiTi" w:cs="Calibri"/>
                      <w:color w:val="000000"/>
                      <w:kern w:val="0"/>
                      <w:szCs w:val="21"/>
                    </w:rPr>
                  </w:pPr>
                  <w:r w:rsidRPr="00B73352">
                    <w:t xml:space="preserve">3.15 </w:t>
                  </w:r>
                </w:p>
              </w:tc>
              <w:tc>
                <w:tcPr>
                  <w:tcW w:w="920" w:type="dxa"/>
                  <w:tcBorders>
                    <w:top w:val="nil"/>
                    <w:left w:val="nil"/>
                    <w:bottom w:val="single" w:sz="8" w:space="0" w:color="FFFFFF"/>
                    <w:right w:val="single" w:sz="8" w:space="0" w:color="FFFFFF"/>
                  </w:tcBorders>
                  <w:shd w:val="clear" w:color="000000" w:fill="FCD5B4"/>
                  <w:noWrap/>
                  <w:hideMark/>
                </w:tcPr>
                <w:p w14:paraId="75B7D0B9" w14:textId="78E73F8F" w:rsidR="008A575D" w:rsidRPr="003F4793" w:rsidRDefault="008A575D" w:rsidP="008A575D">
                  <w:pPr>
                    <w:widowControl/>
                    <w:jc w:val="center"/>
                    <w:rPr>
                      <w:rFonts w:ascii="KaiTi" w:eastAsia="KaiTi" w:hAnsi="KaiTi" w:cs="Calibri"/>
                      <w:color w:val="000000"/>
                      <w:kern w:val="0"/>
                      <w:szCs w:val="21"/>
                    </w:rPr>
                  </w:pPr>
                  <w:r w:rsidRPr="00B73352">
                    <w:t xml:space="preserve">5.48 </w:t>
                  </w:r>
                </w:p>
              </w:tc>
              <w:tc>
                <w:tcPr>
                  <w:tcW w:w="1149" w:type="dxa"/>
                  <w:tcBorders>
                    <w:top w:val="nil"/>
                    <w:left w:val="nil"/>
                    <w:bottom w:val="single" w:sz="8" w:space="0" w:color="FFFFFF"/>
                    <w:right w:val="single" w:sz="8" w:space="0" w:color="FFFFFF"/>
                  </w:tcBorders>
                  <w:shd w:val="clear" w:color="000000" w:fill="FCD5B4"/>
                  <w:noWrap/>
                  <w:hideMark/>
                </w:tcPr>
                <w:p w14:paraId="27CF2E5D" w14:textId="3797FDF9" w:rsidR="008A575D" w:rsidRPr="003F4793" w:rsidRDefault="008A575D" w:rsidP="008A575D">
                  <w:pPr>
                    <w:widowControl/>
                    <w:jc w:val="center"/>
                    <w:rPr>
                      <w:rFonts w:ascii="KaiTi" w:eastAsia="KaiTi" w:hAnsi="KaiTi" w:cs="宋体"/>
                      <w:color w:val="000000"/>
                      <w:kern w:val="0"/>
                      <w:sz w:val="20"/>
                      <w:szCs w:val="20"/>
                    </w:rPr>
                  </w:pPr>
                  <w:r w:rsidRPr="00B73352">
                    <w:t>CP</w:t>
                  </w:r>
                </w:p>
              </w:tc>
              <w:tc>
                <w:tcPr>
                  <w:tcW w:w="920" w:type="dxa"/>
                  <w:tcBorders>
                    <w:top w:val="nil"/>
                    <w:left w:val="nil"/>
                    <w:bottom w:val="single" w:sz="8" w:space="0" w:color="FFFFFF"/>
                    <w:right w:val="single" w:sz="8" w:space="0" w:color="FFFFFF"/>
                  </w:tcBorders>
                  <w:shd w:val="clear" w:color="000000" w:fill="FCD5B4"/>
                  <w:noWrap/>
                  <w:hideMark/>
                </w:tcPr>
                <w:p w14:paraId="523261A7" w14:textId="0B701605" w:rsidR="008A575D" w:rsidRPr="003F4793" w:rsidRDefault="008A575D" w:rsidP="008A575D">
                  <w:pPr>
                    <w:widowControl/>
                    <w:jc w:val="center"/>
                    <w:rPr>
                      <w:rFonts w:ascii="KaiTi" w:eastAsia="KaiTi" w:hAnsi="KaiTi" w:cs="Calibri"/>
                      <w:color w:val="000000"/>
                      <w:kern w:val="0"/>
                      <w:szCs w:val="21"/>
                    </w:rPr>
                  </w:pPr>
                  <w:r w:rsidRPr="00B73352">
                    <w:t xml:space="preserve">0.52 </w:t>
                  </w:r>
                </w:p>
              </w:tc>
              <w:tc>
                <w:tcPr>
                  <w:tcW w:w="920" w:type="dxa"/>
                  <w:tcBorders>
                    <w:top w:val="nil"/>
                    <w:left w:val="nil"/>
                    <w:bottom w:val="single" w:sz="8" w:space="0" w:color="FFFFFF"/>
                    <w:right w:val="single" w:sz="8" w:space="0" w:color="FFFFFF"/>
                  </w:tcBorders>
                  <w:shd w:val="clear" w:color="000000" w:fill="FCD5B4"/>
                  <w:noWrap/>
                  <w:hideMark/>
                </w:tcPr>
                <w:p w14:paraId="71D92286" w14:textId="1565A3BD" w:rsidR="008A575D" w:rsidRPr="003F4793" w:rsidRDefault="008A575D" w:rsidP="008A575D">
                  <w:pPr>
                    <w:widowControl/>
                    <w:jc w:val="center"/>
                    <w:rPr>
                      <w:rFonts w:ascii="KaiTi" w:eastAsia="KaiTi" w:hAnsi="KaiTi" w:cs="Calibri"/>
                      <w:color w:val="000000"/>
                      <w:kern w:val="0"/>
                      <w:szCs w:val="21"/>
                    </w:rPr>
                  </w:pPr>
                  <w:r w:rsidRPr="00B73352">
                    <w:t xml:space="preserve">0.65 </w:t>
                  </w:r>
                </w:p>
              </w:tc>
              <w:tc>
                <w:tcPr>
                  <w:tcW w:w="920" w:type="dxa"/>
                  <w:tcBorders>
                    <w:top w:val="nil"/>
                    <w:left w:val="nil"/>
                    <w:bottom w:val="single" w:sz="8" w:space="0" w:color="FFFFFF"/>
                    <w:right w:val="single" w:sz="8" w:space="0" w:color="FFFFFF"/>
                  </w:tcBorders>
                  <w:shd w:val="clear" w:color="000000" w:fill="FCD5B4"/>
                  <w:noWrap/>
                  <w:hideMark/>
                </w:tcPr>
                <w:p w14:paraId="320E6D3C" w14:textId="026E9FFD" w:rsidR="008A575D" w:rsidRPr="003F4793" w:rsidRDefault="008A575D" w:rsidP="008A575D">
                  <w:pPr>
                    <w:widowControl/>
                    <w:jc w:val="center"/>
                    <w:rPr>
                      <w:rFonts w:ascii="KaiTi" w:eastAsia="KaiTi" w:hAnsi="KaiTi" w:cs="Calibri"/>
                      <w:color w:val="000000"/>
                      <w:kern w:val="0"/>
                      <w:szCs w:val="21"/>
                    </w:rPr>
                  </w:pPr>
                  <w:r w:rsidRPr="00B73352">
                    <w:t xml:space="preserve">0.81 </w:t>
                  </w:r>
                </w:p>
              </w:tc>
              <w:tc>
                <w:tcPr>
                  <w:tcW w:w="920" w:type="dxa"/>
                  <w:tcBorders>
                    <w:top w:val="nil"/>
                    <w:left w:val="nil"/>
                    <w:bottom w:val="single" w:sz="8" w:space="0" w:color="FFFFFF"/>
                    <w:right w:val="single" w:sz="8" w:space="0" w:color="FFFFFF"/>
                  </w:tcBorders>
                  <w:shd w:val="clear" w:color="000000" w:fill="FCD5B4"/>
                  <w:noWrap/>
                  <w:hideMark/>
                </w:tcPr>
                <w:p w14:paraId="6E8168B1" w14:textId="31FCAAD1" w:rsidR="008A575D" w:rsidRPr="003F4793" w:rsidRDefault="008A575D" w:rsidP="008A575D">
                  <w:pPr>
                    <w:widowControl/>
                    <w:jc w:val="center"/>
                    <w:rPr>
                      <w:rFonts w:ascii="KaiTi" w:eastAsia="KaiTi" w:hAnsi="KaiTi" w:cs="Calibri"/>
                      <w:color w:val="000000"/>
                      <w:kern w:val="0"/>
                      <w:szCs w:val="21"/>
                    </w:rPr>
                  </w:pPr>
                  <w:r w:rsidRPr="00B73352">
                    <w:t xml:space="preserve">3.14 </w:t>
                  </w:r>
                </w:p>
              </w:tc>
            </w:tr>
            <w:tr w:rsidR="008A575D" w:rsidRPr="003F4793" w14:paraId="3A66D0A6" w14:textId="77777777" w:rsidTr="00416E34">
              <w:trPr>
                <w:trHeight w:val="310"/>
              </w:trPr>
              <w:tc>
                <w:tcPr>
                  <w:tcW w:w="1309" w:type="dxa"/>
                  <w:tcBorders>
                    <w:top w:val="nil"/>
                    <w:left w:val="nil"/>
                    <w:bottom w:val="single" w:sz="8" w:space="0" w:color="FFFFFF"/>
                    <w:right w:val="single" w:sz="8" w:space="0" w:color="FFFFFF"/>
                  </w:tcBorders>
                  <w:shd w:val="clear" w:color="000000" w:fill="FDE9D9"/>
                  <w:noWrap/>
                  <w:hideMark/>
                </w:tcPr>
                <w:p w14:paraId="39137B72" w14:textId="265EB6AE" w:rsidR="008A575D" w:rsidRPr="003F4793" w:rsidRDefault="008A575D" w:rsidP="008A575D">
                  <w:pPr>
                    <w:widowControl/>
                    <w:jc w:val="center"/>
                    <w:rPr>
                      <w:rFonts w:ascii="KaiTi" w:eastAsia="KaiTi" w:hAnsi="KaiTi" w:cs="宋体"/>
                      <w:color w:val="000000"/>
                      <w:kern w:val="0"/>
                      <w:sz w:val="20"/>
                      <w:szCs w:val="20"/>
                    </w:rPr>
                  </w:pPr>
                  <w:r w:rsidRPr="00B73352">
                    <w:t>MTN3Y</w:t>
                  </w:r>
                </w:p>
              </w:tc>
              <w:tc>
                <w:tcPr>
                  <w:tcW w:w="740" w:type="dxa"/>
                  <w:tcBorders>
                    <w:top w:val="nil"/>
                    <w:left w:val="nil"/>
                    <w:bottom w:val="single" w:sz="8" w:space="0" w:color="FFFFFF"/>
                    <w:right w:val="single" w:sz="8" w:space="0" w:color="FFFFFF"/>
                  </w:tcBorders>
                  <w:shd w:val="clear" w:color="000000" w:fill="FDE9D9"/>
                  <w:noWrap/>
                  <w:hideMark/>
                </w:tcPr>
                <w:p w14:paraId="3B73915E" w14:textId="13F0FC5B" w:rsidR="008A575D" w:rsidRPr="003F4793" w:rsidRDefault="008A575D" w:rsidP="008A575D">
                  <w:pPr>
                    <w:widowControl/>
                    <w:jc w:val="center"/>
                    <w:rPr>
                      <w:rFonts w:ascii="KaiTi" w:eastAsia="KaiTi" w:hAnsi="KaiTi" w:cs="Calibri"/>
                      <w:color w:val="000000"/>
                      <w:kern w:val="0"/>
                      <w:szCs w:val="21"/>
                    </w:rPr>
                  </w:pPr>
                  <w:r w:rsidRPr="00B73352">
                    <w:t xml:space="preserve">3.19 </w:t>
                  </w:r>
                </w:p>
              </w:tc>
              <w:tc>
                <w:tcPr>
                  <w:tcW w:w="920" w:type="dxa"/>
                  <w:tcBorders>
                    <w:top w:val="nil"/>
                    <w:left w:val="nil"/>
                    <w:bottom w:val="single" w:sz="8" w:space="0" w:color="FFFFFF"/>
                    <w:right w:val="single" w:sz="8" w:space="0" w:color="FFFFFF"/>
                  </w:tcBorders>
                  <w:shd w:val="clear" w:color="000000" w:fill="FDE9D9"/>
                  <w:noWrap/>
                  <w:hideMark/>
                </w:tcPr>
                <w:p w14:paraId="5B9C8B87" w14:textId="76DD23B8" w:rsidR="008A575D" w:rsidRPr="003F4793" w:rsidRDefault="008A575D" w:rsidP="008A575D">
                  <w:pPr>
                    <w:widowControl/>
                    <w:jc w:val="center"/>
                    <w:rPr>
                      <w:rFonts w:ascii="KaiTi" w:eastAsia="KaiTi" w:hAnsi="KaiTi" w:cs="Calibri"/>
                      <w:color w:val="000000"/>
                      <w:kern w:val="0"/>
                      <w:szCs w:val="21"/>
                    </w:rPr>
                  </w:pPr>
                  <w:r w:rsidRPr="00B73352">
                    <w:t xml:space="preserve">3.38 </w:t>
                  </w:r>
                </w:p>
              </w:tc>
              <w:tc>
                <w:tcPr>
                  <w:tcW w:w="920" w:type="dxa"/>
                  <w:tcBorders>
                    <w:top w:val="nil"/>
                    <w:left w:val="nil"/>
                    <w:bottom w:val="single" w:sz="8" w:space="0" w:color="FFFFFF"/>
                    <w:right w:val="single" w:sz="8" w:space="0" w:color="FFFFFF"/>
                  </w:tcBorders>
                  <w:shd w:val="clear" w:color="000000" w:fill="FDE9D9"/>
                  <w:noWrap/>
                  <w:hideMark/>
                </w:tcPr>
                <w:p w14:paraId="1FA1A5B8" w14:textId="2E584B3F" w:rsidR="008A575D" w:rsidRPr="003F4793" w:rsidRDefault="008A575D" w:rsidP="008A575D">
                  <w:pPr>
                    <w:widowControl/>
                    <w:jc w:val="center"/>
                    <w:rPr>
                      <w:rFonts w:ascii="KaiTi" w:eastAsia="KaiTi" w:hAnsi="KaiTi" w:cs="Calibri"/>
                      <w:color w:val="000000"/>
                      <w:kern w:val="0"/>
                      <w:szCs w:val="21"/>
                    </w:rPr>
                  </w:pPr>
                  <w:r w:rsidRPr="00B73352">
                    <w:t xml:space="preserve">3.90 </w:t>
                  </w:r>
                </w:p>
              </w:tc>
              <w:tc>
                <w:tcPr>
                  <w:tcW w:w="920" w:type="dxa"/>
                  <w:tcBorders>
                    <w:top w:val="nil"/>
                    <w:left w:val="nil"/>
                    <w:bottom w:val="single" w:sz="8" w:space="0" w:color="FFFFFF"/>
                    <w:right w:val="single" w:sz="8" w:space="0" w:color="FFFFFF"/>
                  </w:tcBorders>
                  <w:shd w:val="clear" w:color="000000" w:fill="FDE9D9"/>
                  <w:noWrap/>
                  <w:hideMark/>
                </w:tcPr>
                <w:p w14:paraId="175F37FF" w14:textId="49A48E18" w:rsidR="008A575D" w:rsidRPr="003F4793" w:rsidRDefault="008A575D" w:rsidP="008A575D">
                  <w:pPr>
                    <w:widowControl/>
                    <w:jc w:val="center"/>
                    <w:rPr>
                      <w:rFonts w:ascii="KaiTi" w:eastAsia="KaiTi" w:hAnsi="KaiTi" w:cs="Calibri"/>
                      <w:color w:val="000000"/>
                      <w:kern w:val="0"/>
                      <w:szCs w:val="21"/>
                    </w:rPr>
                  </w:pPr>
                  <w:r w:rsidRPr="00B73352">
                    <w:t xml:space="preserve">6.24 </w:t>
                  </w:r>
                </w:p>
              </w:tc>
              <w:tc>
                <w:tcPr>
                  <w:tcW w:w="1149" w:type="dxa"/>
                  <w:tcBorders>
                    <w:top w:val="nil"/>
                    <w:left w:val="nil"/>
                    <w:bottom w:val="single" w:sz="8" w:space="0" w:color="FFFFFF"/>
                    <w:right w:val="single" w:sz="8" w:space="0" w:color="FFFFFF"/>
                  </w:tcBorders>
                  <w:shd w:val="clear" w:color="000000" w:fill="FDE9D9"/>
                  <w:noWrap/>
                  <w:hideMark/>
                </w:tcPr>
                <w:p w14:paraId="3AF3F54C" w14:textId="2355F902" w:rsidR="008A575D" w:rsidRPr="003F4793" w:rsidRDefault="008A575D" w:rsidP="008A575D">
                  <w:pPr>
                    <w:widowControl/>
                    <w:jc w:val="center"/>
                    <w:rPr>
                      <w:rFonts w:ascii="KaiTi" w:eastAsia="KaiTi" w:hAnsi="KaiTi" w:cs="宋体"/>
                      <w:color w:val="000000"/>
                      <w:kern w:val="0"/>
                      <w:sz w:val="20"/>
                      <w:szCs w:val="20"/>
                    </w:rPr>
                  </w:pPr>
                  <w:r w:rsidRPr="00B73352">
                    <w:t>MTN3Y</w:t>
                  </w:r>
                </w:p>
              </w:tc>
              <w:tc>
                <w:tcPr>
                  <w:tcW w:w="920" w:type="dxa"/>
                  <w:tcBorders>
                    <w:top w:val="nil"/>
                    <w:left w:val="nil"/>
                    <w:bottom w:val="single" w:sz="8" w:space="0" w:color="FFFFFF"/>
                    <w:right w:val="single" w:sz="8" w:space="0" w:color="FFFFFF"/>
                  </w:tcBorders>
                  <w:shd w:val="clear" w:color="000000" w:fill="FDE9D9"/>
                  <w:noWrap/>
                  <w:hideMark/>
                </w:tcPr>
                <w:p w14:paraId="3C163F46" w14:textId="6005854E" w:rsidR="008A575D" w:rsidRPr="003F4793" w:rsidRDefault="008A575D" w:rsidP="008A575D">
                  <w:pPr>
                    <w:widowControl/>
                    <w:jc w:val="center"/>
                    <w:rPr>
                      <w:rFonts w:ascii="KaiTi" w:eastAsia="KaiTi" w:hAnsi="KaiTi" w:cs="Calibri"/>
                      <w:color w:val="000000"/>
                      <w:kern w:val="0"/>
                      <w:szCs w:val="21"/>
                    </w:rPr>
                  </w:pPr>
                  <w:r w:rsidRPr="00B73352">
                    <w:t xml:space="preserve">0.68 </w:t>
                  </w:r>
                </w:p>
              </w:tc>
              <w:tc>
                <w:tcPr>
                  <w:tcW w:w="920" w:type="dxa"/>
                  <w:tcBorders>
                    <w:top w:val="nil"/>
                    <w:left w:val="nil"/>
                    <w:bottom w:val="single" w:sz="8" w:space="0" w:color="FFFFFF"/>
                    <w:right w:val="single" w:sz="8" w:space="0" w:color="FFFFFF"/>
                  </w:tcBorders>
                  <w:shd w:val="clear" w:color="000000" w:fill="FDE9D9"/>
                  <w:noWrap/>
                  <w:hideMark/>
                </w:tcPr>
                <w:p w14:paraId="3C863207" w14:textId="4B7E6DD2" w:rsidR="008A575D" w:rsidRPr="003F4793" w:rsidRDefault="008A575D" w:rsidP="008A575D">
                  <w:pPr>
                    <w:widowControl/>
                    <w:jc w:val="center"/>
                    <w:rPr>
                      <w:rFonts w:ascii="KaiTi" w:eastAsia="KaiTi" w:hAnsi="KaiTi" w:cs="Calibri"/>
                      <w:color w:val="000000"/>
                      <w:kern w:val="0"/>
                      <w:szCs w:val="21"/>
                    </w:rPr>
                  </w:pPr>
                  <w:r w:rsidRPr="00B73352">
                    <w:t xml:space="preserve">0.86 </w:t>
                  </w:r>
                </w:p>
              </w:tc>
              <w:tc>
                <w:tcPr>
                  <w:tcW w:w="920" w:type="dxa"/>
                  <w:tcBorders>
                    <w:top w:val="nil"/>
                    <w:left w:val="nil"/>
                    <w:bottom w:val="single" w:sz="8" w:space="0" w:color="FFFFFF"/>
                    <w:right w:val="single" w:sz="8" w:space="0" w:color="FFFFFF"/>
                  </w:tcBorders>
                  <w:shd w:val="clear" w:color="000000" w:fill="FDE9D9"/>
                  <w:noWrap/>
                  <w:hideMark/>
                </w:tcPr>
                <w:p w14:paraId="033A08F8" w14:textId="7C5C5672" w:rsidR="008A575D" w:rsidRPr="003F4793" w:rsidRDefault="008A575D" w:rsidP="008A575D">
                  <w:pPr>
                    <w:widowControl/>
                    <w:jc w:val="center"/>
                    <w:rPr>
                      <w:rFonts w:ascii="KaiTi" w:eastAsia="KaiTi" w:hAnsi="KaiTi" w:cs="Calibri"/>
                      <w:color w:val="000000"/>
                      <w:kern w:val="0"/>
                      <w:szCs w:val="21"/>
                    </w:rPr>
                  </w:pPr>
                  <w:r w:rsidRPr="00B73352">
                    <w:t xml:space="preserve">1.38 </w:t>
                  </w:r>
                </w:p>
              </w:tc>
              <w:tc>
                <w:tcPr>
                  <w:tcW w:w="920" w:type="dxa"/>
                  <w:tcBorders>
                    <w:top w:val="nil"/>
                    <w:left w:val="nil"/>
                    <w:bottom w:val="single" w:sz="8" w:space="0" w:color="FFFFFF"/>
                    <w:right w:val="single" w:sz="8" w:space="0" w:color="FFFFFF"/>
                  </w:tcBorders>
                  <w:shd w:val="clear" w:color="000000" w:fill="FDE9D9"/>
                  <w:noWrap/>
                  <w:hideMark/>
                </w:tcPr>
                <w:p w14:paraId="6476BE13" w14:textId="62DDAC38" w:rsidR="008A575D" w:rsidRPr="003F4793" w:rsidRDefault="008A575D" w:rsidP="008A575D">
                  <w:pPr>
                    <w:widowControl/>
                    <w:jc w:val="center"/>
                    <w:rPr>
                      <w:rFonts w:ascii="KaiTi" w:eastAsia="KaiTi" w:hAnsi="KaiTi" w:cs="Calibri"/>
                      <w:color w:val="000000"/>
                      <w:kern w:val="0"/>
                      <w:szCs w:val="21"/>
                    </w:rPr>
                  </w:pPr>
                  <w:r w:rsidRPr="00B73352">
                    <w:t xml:space="preserve">3.72 </w:t>
                  </w:r>
                </w:p>
              </w:tc>
            </w:tr>
            <w:tr w:rsidR="008A575D" w:rsidRPr="003F4793" w14:paraId="1D6AAB92" w14:textId="77777777" w:rsidTr="00416E34">
              <w:trPr>
                <w:trHeight w:val="310"/>
              </w:trPr>
              <w:tc>
                <w:tcPr>
                  <w:tcW w:w="1309" w:type="dxa"/>
                  <w:tcBorders>
                    <w:top w:val="nil"/>
                    <w:left w:val="nil"/>
                    <w:bottom w:val="single" w:sz="8" w:space="0" w:color="FFFFFF"/>
                    <w:right w:val="single" w:sz="8" w:space="0" w:color="FFFFFF"/>
                  </w:tcBorders>
                  <w:shd w:val="clear" w:color="000000" w:fill="FCD5B4"/>
                  <w:noWrap/>
                  <w:hideMark/>
                </w:tcPr>
                <w:p w14:paraId="155F3072" w14:textId="38EFC1BE" w:rsidR="008A575D" w:rsidRPr="003F4793" w:rsidRDefault="008A575D" w:rsidP="008A575D">
                  <w:pPr>
                    <w:widowControl/>
                    <w:jc w:val="center"/>
                    <w:rPr>
                      <w:rFonts w:ascii="KaiTi" w:eastAsia="KaiTi" w:hAnsi="KaiTi" w:cs="宋体"/>
                      <w:color w:val="000000"/>
                      <w:kern w:val="0"/>
                      <w:sz w:val="20"/>
                      <w:szCs w:val="20"/>
                    </w:rPr>
                  </w:pPr>
                  <w:r w:rsidRPr="00B73352">
                    <w:t>MTN5Y</w:t>
                  </w:r>
                </w:p>
              </w:tc>
              <w:tc>
                <w:tcPr>
                  <w:tcW w:w="740" w:type="dxa"/>
                  <w:tcBorders>
                    <w:top w:val="nil"/>
                    <w:left w:val="nil"/>
                    <w:bottom w:val="single" w:sz="8" w:space="0" w:color="FFFFFF"/>
                    <w:right w:val="single" w:sz="8" w:space="0" w:color="FFFFFF"/>
                  </w:tcBorders>
                  <w:shd w:val="clear" w:color="000000" w:fill="FCD5B4"/>
                  <w:noWrap/>
                  <w:hideMark/>
                </w:tcPr>
                <w:p w14:paraId="7FD24B78" w14:textId="4DD95CD2" w:rsidR="008A575D" w:rsidRPr="003F4793" w:rsidRDefault="008A575D" w:rsidP="008A575D">
                  <w:pPr>
                    <w:widowControl/>
                    <w:jc w:val="center"/>
                    <w:rPr>
                      <w:rFonts w:ascii="KaiTi" w:eastAsia="KaiTi" w:hAnsi="KaiTi" w:cs="Calibri"/>
                      <w:color w:val="000000"/>
                      <w:kern w:val="0"/>
                      <w:szCs w:val="21"/>
                    </w:rPr>
                  </w:pPr>
                  <w:r w:rsidRPr="00B73352">
                    <w:t xml:space="preserve">3.52 </w:t>
                  </w:r>
                </w:p>
              </w:tc>
              <w:tc>
                <w:tcPr>
                  <w:tcW w:w="920" w:type="dxa"/>
                  <w:tcBorders>
                    <w:top w:val="nil"/>
                    <w:left w:val="nil"/>
                    <w:bottom w:val="single" w:sz="8" w:space="0" w:color="FFFFFF"/>
                    <w:right w:val="single" w:sz="8" w:space="0" w:color="FFFFFF"/>
                  </w:tcBorders>
                  <w:shd w:val="clear" w:color="000000" w:fill="FCD5B4"/>
                  <w:noWrap/>
                  <w:hideMark/>
                </w:tcPr>
                <w:p w14:paraId="41A6346D" w14:textId="4DA46A5D" w:rsidR="008A575D" w:rsidRPr="003F4793" w:rsidRDefault="008A575D" w:rsidP="008A575D">
                  <w:pPr>
                    <w:widowControl/>
                    <w:jc w:val="center"/>
                    <w:rPr>
                      <w:rFonts w:ascii="KaiTi" w:eastAsia="KaiTi" w:hAnsi="KaiTi" w:cs="Calibri"/>
                      <w:color w:val="000000"/>
                      <w:kern w:val="0"/>
                      <w:szCs w:val="21"/>
                    </w:rPr>
                  </w:pPr>
                  <w:r w:rsidRPr="00B73352">
                    <w:t xml:space="preserve">3.74 </w:t>
                  </w:r>
                </w:p>
              </w:tc>
              <w:tc>
                <w:tcPr>
                  <w:tcW w:w="920" w:type="dxa"/>
                  <w:tcBorders>
                    <w:top w:val="nil"/>
                    <w:left w:val="nil"/>
                    <w:bottom w:val="single" w:sz="8" w:space="0" w:color="FFFFFF"/>
                    <w:right w:val="single" w:sz="8" w:space="0" w:color="FFFFFF"/>
                  </w:tcBorders>
                  <w:shd w:val="clear" w:color="000000" w:fill="FCD5B4"/>
                  <w:noWrap/>
                  <w:hideMark/>
                </w:tcPr>
                <w:p w14:paraId="203620ED" w14:textId="5C038B50" w:rsidR="008A575D" w:rsidRPr="003F4793" w:rsidRDefault="008A575D" w:rsidP="008A575D">
                  <w:pPr>
                    <w:widowControl/>
                    <w:jc w:val="center"/>
                    <w:rPr>
                      <w:rFonts w:ascii="KaiTi" w:eastAsia="KaiTi" w:hAnsi="KaiTi" w:cs="Calibri"/>
                      <w:color w:val="000000"/>
                      <w:kern w:val="0"/>
                      <w:szCs w:val="21"/>
                    </w:rPr>
                  </w:pPr>
                  <w:r w:rsidRPr="00B73352">
                    <w:t xml:space="preserve">4.37 </w:t>
                  </w:r>
                </w:p>
              </w:tc>
              <w:tc>
                <w:tcPr>
                  <w:tcW w:w="920" w:type="dxa"/>
                  <w:tcBorders>
                    <w:top w:val="nil"/>
                    <w:left w:val="nil"/>
                    <w:bottom w:val="single" w:sz="8" w:space="0" w:color="FFFFFF"/>
                    <w:right w:val="single" w:sz="8" w:space="0" w:color="FFFFFF"/>
                  </w:tcBorders>
                  <w:shd w:val="clear" w:color="000000" w:fill="FCD5B4"/>
                  <w:noWrap/>
                  <w:hideMark/>
                </w:tcPr>
                <w:p w14:paraId="5799EA14" w14:textId="36C774EA" w:rsidR="008A575D" w:rsidRPr="003F4793" w:rsidRDefault="008A575D" w:rsidP="008A575D">
                  <w:pPr>
                    <w:widowControl/>
                    <w:jc w:val="center"/>
                    <w:rPr>
                      <w:rFonts w:ascii="KaiTi" w:eastAsia="KaiTi" w:hAnsi="KaiTi" w:cs="Calibri"/>
                      <w:color w:val="000000"/>
                      <w:kern w:val="0"/>
                      <w:szCs w:val="21"/>
                    </w:rPr>
                  </w:pPr>
                  <w:r w:rsidRPr="00B73352">
                    <w:t xml:space="preserve">6.71 </w:t>
                  </w:r>
                </w:p>
              </w:tc>
              <w:tc>
                <w:tcPr>
                  <w:tcW w:w="1149" w:type="dxa"/>
                  <w:tcBorders>
                    <w:top w:val="nil"/>
                    <w:left w:val="nil"/>
                    <w:bottom w:val="single" w:sz="8" w:space="0" w:color="FFFFFF"/>
                    <w:right w:val="single" w:sz="8" w:space="0" w:color="FFFFFF"/>
                  </w:tcBorders>
                  <w:shd w:val="clear" w:color="000000" w:fill="FCD5B4"/>
                  <w:noWrap/>
                  <w:hideMark/>
                </w:tcPr>
                <w:p w14:paraId="46B5F421" w14:textId="678F6C80" w:rsidR="008A575D" w:rsidRPr="003F4793" w:rsidRDefault="008A575D" w:rsidP="008A575D">
                  <w:pPr>
                    <w:widowControl/>
                    <w:jc w:val="center"/>
                    <w:rPr>
                      <w:rFonts w:ascii="KaiTi" w:eastAsia="KaiTi" w:hAnsi="KaiTi" w:cs="宋体"/>
                      <w:color w:val="000000"/>
                      <w:kern w:val="0"/>
                      <w:sz w:val="20"/>
                      <w:szCs w:val="20"/>
                    </w:rPr>
                  </w:pPr>
                  <w:r w:rsidRPr="00B73352">
                    <w:t>MTN5Y</w:t>
                  </w:r>
                </w:p>
              </w:tc>
              <w:tc>
                <w:tcPr>
                  <w:tcW w:w="920" w:type="dxa"/>
                  <w:tcBorders>
                    <w:top w:val="nil"/>
                    <w:left w:val="nil"/>
                    <w:bottom w:val="single" w:sz="8" w:space="0" w:color="FFFFFF"/>
                    <w:right w:val="single" w:sz="8" w:space="0" w:color="FFFFFF"/>
                  </w:tcBorders>
                  <w:shd w:val="clear" w:color="000000" w:fill="FCD5B4"/>
                  <w:noWrap/>
                  <w:hideMark/>
                </w:tcPr>
                <w:p w14:paraId="4D638149" w14:textId="02F30DD8" w:rsidR="008A575D" w:rsidRPr="003F4793" w:rsidRDefault="008A575D" w:rsidP="008A575D">
                  <w:pPr>
                    <w:widowControl/>
                    <w:jc w:val="center"/>
                    <w:rPr>
                      <w:rFonts w:ascii="KaiTi" w:eastAsia="KaiTi" w:hAnsi="KaiTi" w:cs="Calibri"/>
                      <w:color w:val="000000"/>
                      <w:kern w:val="0"/>
                      <w:szCs w:val="21"/>
                    </w:rPr>
                  </w:pPr>
                  <w:r w:rsidRPr="00B73352">
                    <w:t xml:space="preserve">0.81 </w:t>
                  </w:r>
                </w:p>
              </w:tc>
              <w:tc>
                <w:tcPr>
                  <w:tcW w:w="920" w:type="dxa"/>
                  <w:tcBorders>
                    <w:top w:val="nil"/>
                    <w:left w:val="nil"/>
                    <w:bottom w:val="single" w:sz="8" w:space="0" w:color="FFFFFF"/>
                    <w:right w:val="single" w:sz="8" w:space="0" w:color="FFFFFF"/>
                  </w:tcBorders>
                  <w:shd w:val="clear" w:color="000000" w:fill="FCD5B4"/>
                  <w:noWrap/>
                  <w:hideMark/>
                </w:tcPr>
                <w:p w14:paraId="7D63AB8D" w14:textId="1D680FE7" w:rsidR="008A575D" w:rsidRPr="003F4793" w:rsidRDefault="008A575D" w:rsidP="008A575D">
                  <w:pPr>
                    <w:widowControl/>
                    <w:jc w:val="center"/>
                    <w:rPr>
                      <w:rFonts w:ascii="KaiTi" w:eastAsia="KaiTi" w:hAnsi="KaiTi" w:cs="Calibri"/>
                      <w:color w:val="000000"/>
                      <w:kern w:val="0"/>
                      <w:szCs w:val="21"/>
                    </w:rPr>
                  </w:pPr>
                  <w:r w:rsidRPr="00B73352">
                    <w:t xml:space="preserve">1.03 </w:t>
                  </w:r>
                </w:p>
              </w:tc>
              <w:tc>
                <w:tcPr>
                  <w:tcW w:w="920" w:type="dxa"/>
                  <w:tcBorders>
                    <w:top w:val="nil"/>
                    <w:left w:val="nil"/>
                    <w:bottom w:val="single" w:sz="8" w:space="0" w:color="FFFFFF"/>
                    <w:right w:val="single" w:sz="8" w:space="0" w:color="FFFFFF"/>
                  </w:tcBorders>
                  <w:shd w:val="clear" w:color="000000" w:fill="FCD5B4"/>
                  <w:noWrap/>
                  <w:hideMark/>
                </w:tcPr>
                <w:p w14:paraId="73B93ED9" w14:textId="2099D481" w:rsidR="008A575D" w:rsidRPr="003F4793" w:rsidRDefault="008A575D" w:rsidP="008A575D">
                  <w:pPr>
                    <w:widowControl/>
                    <w:jc w:val="center"/>
                    <w:rPr>
                      <w:rFonts w:ascii="KaiTi" w:eastAsia="KaiTi" w:hAnsi="KaiTi" w:cs="Calibri"/>
                      <w:color w:val="000000"/>
                      <w:kern w:val="0"/>
                      <w:szCs w:val="21"/>
                    </w:rPr>
                  </w:pPr>
                  <w:r w:rsidRPr="00B73352">
                    <w:t xml:space="preserve">1.66 </w:t>
                  </w:r>
                </w:p>
              </w:tc>
              <w:tc>
                <w:tcPr>
                  <w:tcW w:w="920" w:type="dxa"/>
                  <w:tcBorders>
                    <w:top w:val="nil"/>
                    <w:left w:val="nil"/>
                    <w:bottom w:val="single" w:sz="8" w:space="0" w:color="FFFFFF"/>
                    <w:right w:val="single" w:sz="8" w:space="0" w:color="FFFFFF"/>
                  </w:tcBorders>
                  <w:shd w:val="clear" w:color="000000" w:fill="FCD5B4"/>
                  <w:noWrap/>
                  <w:hideMark/>
                </w:tcPr>
                <w:p w14:paraId="24AD0A23" w14:textId="12769AE3" w:rsidR="008A575D" w:rsidRPr="003F4793" w:rsidRDefault="008A575D" w:rsidP="008A575D">
                  <w:pPr>
                    <w:widowControl/>
                    <w:jc w:val="center"/>
                    <w:rPr>
                      <w:rFonts w:ascii="KaiTi" w:eastAsia="KaiTi" w:hAnsi="KaiTi" w:cs="Calibri"/>
                      <w:color w:val="000000"/>
                      <w:kern w:val="0"/>
                      <w:szCs w:val="21"/>
                    </w:rPr>
                  </w:pPr>
                  <w:r w:rsidRPr="00B73352">
                    <w:t xml:space="preserve">4.00 </w:t>
                  </w:r>
                </w:p>
              </w:tc>
            </w:tr>
            <w:tr w:rsidR="008A575D" w:rsidRPr="003F4793" w14:paraId="3DB9FAE2" w14:textId="77777777" w:rsidTr="00416E34">
              <w:trPr>
                <w:trHeight w:val="310"/>
              </w:trPr>
              <w:tc>
                <w:tcPr>
                  <w:tcW w:w="1309" w:type="dxa"/>
                  <w:tcBorders>
                    <w:top w:val="nil"/>
                    <w:left w:val="nil"/>
                    <w:bottom w:val="single" w:sz="8" w:space="0" w:color="FFFFFF"/>
                    <w:right w:val="single" w:sz="8" w:space="0" w:color="FFFFFF"/>
                  </w:tcBorders>
                  <w:shd w:val="clear" w:color="000000" w:fill="FDE9D9"/>
                  <w:noWrap/>
                  <w:hideMark/>
                </w:tcPr>
                <w:p w14:paraId="2044C520" w14:textId="5E1EBFFD" w:rsidR="008A575D" w:rsidRPr="003F4793" w:rsidRDefault="008A575D" w:rsidP="008A575D">
                  <w:pPr>
                    <w:widowControl/>
                    <w:jc w:val="center"/>
                    <w:rPr>
                      <w:rFonts w:ascii="KaiTi" w:eastAsia="KaiTi" w:hAnsi="KaiTi" w:cs="宋体"/>
                      <w:color w:val="000000"/>
                      <w:kern w:val="0"/>
                      <w:sz w:val="20"/>
                      <w:szCs w:val="20"/>
                    </w:rPr>
                  </w:pPr>
                  <w:r w:rsidRPr="00B73352">
                    <w:rPr>
                      <w:rFonts w:hint="eastAsia"/>
                    </w:rPr>
                    <w:t>企业债</w:t>
                  </w:r>
                  <w:r w:rsidRPr="00B73352">
                    <w:rPr>
                      <w:rFonts w:hint="eastAsia"/>
                    </w:rPr>
                    <w:t>3Y</w:t>
                  </w:r>
                </w:p>
              </w:tc>
              <w:tc>
                <w:tcPr>
                  <w:tcW w:w="740" w:type="dxa"/>
                  <w:tcBorders>
                    <w:top w:val="nil"/>
                    <w:left w:val="nil"/>
                    <w:bottom w:val="single" w:sz="8" w:space="0" w:color="FFFFFF"/>
                    <w:right w:val="single" w:sz="8" w:space="0" w:color="FFFFFF"/>
                  </w:tcBorders>
                  <w:shd w:val="clear" w:color="000000" w:fill="FDE9D9"/>
                  <w:noWrap/>
                  <w:hideMark/>
                </w:tcPr>
                <w:p w14:paraId="094B223D" w14:textId="241A32BA"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3.16 </w:t>
                  </w:r>
                </w:p>
              </w:tc>
              <w:tc>
                <w:tcPr>
                  <w:tcW w:w="920" w:type="dxa"/>
                  <w:tcBorders>
                    <w:top w:val="nil"/>
                    <w:left w:val="nil"/>
                    <w:bottom w:val="single" w:sz="8" w:space="0" w:color="FFFFFF"/>
                    <w:right w:val="single" w:sz="8" w:space="0" w:color="FFFFFF"/>
                  </w:tcBorders>
                  <w:shd w:val="clear" w:color="000000" w:fill="FDE9D9"/>
                  <w:noWrap/>
                  <w:hideMark/>
                </w:tcPr>
                <w:p w14:paraId="226D27D3" w14:textId="0126CCD7"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3.34 </w:t>
                  </w:r>
                </w:p>
              </w:tc>
              <w:tc>
                <w:tcPr>
                  <w:tcW w:w="920" w:type="dxa"/>
                  <w:tcBorders>
                    <w:top w:val="nil"/>
                    <w:left w:val="nil"/>
                    <w:bottom w:val="single" w:sz="8" w:space="0" w:color="FFFFFF"/>
                    <w:right w:val="single" w:sz="8" w:space="0" w:color="FFFFFF"/>
                  </w:tcBorders>
                  <w:shd w:val="clear" w:color="000000" w:fill="FDE9D9"/>
                  <w:noWrap/>
                  <w:hideMark/>
                </w:tcPr>
                <w:p w14:paraId="509D7CD4" w14:textId="63634814"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3.99 </w:t>
                  </w:r>
                </w:p>
              </w:tc>
              <w:tc>
                <w:tcPr>
                  <w:tcW w:w="920" w:type="dxa"/>
                  <w:tcBorders>
                    <w:top w:val="nil"/>
                    <w:left w:val="nil"/>
                    <w:bottom w:val="single" w:sz="8" w:space="0" w:color="FFFFFF"/>
                    <w:right w:val="single" w:sz="8" w:space="0" w:color="FFFFFF"/>
                  </w:tcBorders>
                  <w:shd w:val="clear" w:color="000000" w:fill="FDE9D9"/>
                  <w:noWrap/>
                  <w:hideMark/>
                </w:tcPr>
                <w:p w14:paraId="44CAAD2D" w14:textId="5AB93139"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6.33 </w:t>
                  </w:r>
                </w:p>
              </w:tc>
              <w:tc>
                <w:tcPr>
                  <w:tcW w:w="1149" w:type="dxa"/>
                  <w:tcBorders>
                    <w:top w:val="nil"/>
                    <w:left w:val="nil"/>
                    <w:bottom w:val="single" w:sz="8" w:space="0" w:color="FFFFFF"/>
                    <w:right w:val="single" w:sz="8" w:space="0" w:color="FFFFFF"/>
                  </w:tcBorders>
                  <w:shd w:val="clear" w:color="000000" w:fill="FDE9D9"/>
                  <w:noWrap/>
                  <w:hideMark/>
                </w:tcPr>
                <w:p w14:paraId="2E628139" w14:textId="267B29AF" w:rsidR="008A575D" w:rsidRPr="003F4793" w:rsidRDefault="008A575D" w:rsidP="008A575D">
                  <w:pPr>
                    <w:widowControl/>
                    <w:jc w:val="center"/>
                    <w:rPr>
                      <w:rFonts w:ascii="KaiTi" w:eastAsia="KaiTi" w:hAnsi="KaiTi" w:cs="宋体"/>
                      <w:color w:val="000000"/>
                      <w:kern w:val="0"/>
                      <w:sz w:val="20"/>
                      <w:szCs w:val="20"/>
                    </w:rPr>
                  </w:pPr>
                  <w:r w:rsidRPr="00B73352">
                    <w:rPr>
                      <w:rFonts w:hint="eastAsia"/>
                    </w:rPr>
                    <w:t>企业债</w:t>
                  </w:r>
                  <w:r w:rsidRPr="00B73352">
                    <w:rPr>
                      <w:rFonts w:hint="eastAsia"/>
                    </w:rPr>
                    <w:t>3Y</w:t>
                  </w:r>
                </w:p>
              </w:tc>
              <w:tc>
                <w:tcPr>
                  <w:tcW w:w="920" w:type="dxa"/>
                  <w:tcBorders>
                    <w:top w:val="nil"/>
                    <w:left w:val="nil"/>
                    <w:bottom w:val="single" w:sz="8" w:space="0" w:color="FFFFFF"/>
                    <w:right w:val="single" w:sz="8" w:space="0" w:color="FFFFFF"/>
                  </w:tcBorders>
                  <w:shd w:val="clear" w:color="000000" w:fill="FDE9D9"/>
                  <w:noWrap/>
                  <w:hideMark/>
                </w:tcPr>
                <w:p w14:paraId="14043470" w14:textId="7BBD7E5B"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0.64 </w:t>
                  </w:r>
                </w:p>
              </w:tc>
              <w:tc>
                <w:tcPr>
                  <w:tcW w:w="920" w:type="dxa"/>
                  <w:tcBorders>
                    <w:top w:val="nil"/>
                    <w:left w:val="nil"/>
                    <w:bottom w:val="single" w:sz="8" w:space="0" w:color="FFFFFF"/>
                    <w:right w:val="single" w:sz="8" w:space="0" w:color="FFFFFF"/>
                  </w:tcBorders>
                  <w:shd w:val="clear" w:color="000000" w:fill="FDE9D9"/>
                  <w:noWrap/>
                  <w:hideMark/>
                </w:tcPr>
                <w:p w14:paraId="005C602B" w14:textId="75DB5712"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0.82 </w:t>
                  </w:r>
                </w:p>
              </w:tc>
              <w:tc>
                <w:tcPr>
                  <w:tcW w:w="920" w:type="dxa"/>
                  <w:tcBorders>
                    <w:top w:val="nil"/>
                    <w:left w:val="nil"/>
                    <w:bottom w:val="single" w:sz="8" w:space="0" w:color="FFFFFF"/>
                    <w:right w:val="single" w:sz="8" w:space="0" w:color="FFFFFF"/>
                  </w:tcBorders>
                  <w:shd w:val="clear" w:color="000000" w:fill="FDE9D9"/>
                  <w:noWrap/>
                  <w:hideMark/>
                </w:tcPr>
                <w:p w14:paraId="72E1FCED" w14:textId="2276C955"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1.47 </w:t>
                  </w:r>
                </w:p>
              </w:tc>
              <w:tc>
                <w:tcPr>
                  <w:tcW w:w="920" w:type="dxa"/>
                  <w:tcBorders>
                    <w:top w:val="nil"/>
                    <w:left w:val="nil"/>
                    <w:bottom w:val="single" w:sz="8" w:space="0" w:color="FFFFFF"/>
                    <w:right w:val="single" w:sz="8" w:space="0" w:color="FFFFFF"/>
                  </w:tcBorders>
                  <w:shd w:val="clear" w:color="000000" w:fill="FDE9D9"/>
                  <w:noWrap/>
                  <w:hideMark/>
                </w:tcPr>
                <w:p w14:paraId="62B10FDA" w14:textId="7410E52D"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3.81 </w:t>
                  </w:r>
                </w:p>
              </w:tc>
            </w:tr>
            <w:tr w:rsidR="008A575D" w:rsidRPr="003F4793" w14:paraId="6E6959B5" w14:textId="77777777" w:rsidTr="00416E34">
              <w:trPr>
                <w:trHeight w:val="310"/>
              </w:trPr>
              <w:tc>
                <w:tcPr>
                  <w:tcW w:w="1309" w:type="dxa"/>
                  <w:tcBorders>
                    <w:top w:val="nil"/>
                    <w:left w:val="nil"/>
                    <w:bottom w:val="single" w:sz="8" w:space="0" w:color="FFFFFF"/>
                    <w:right w:val="single" w:sz="8" w:space="0" w:color="FFFFFF"/>
                  </w:tcBorders>
                  <w:shd w:val="clear" w:color="000000" w:fill="FCD5B4"/>
                  <w:noWrap/>
                  <w:hideMark/>
                </w:tcPr>
                <w:p w14:paraId="22DA7E07" w14:textId="5075B868" w:rsidR="008A575D" w:rsidRPr="003F4793" w:rsidRDefault="008A575D" w:rsidP="008A575D">
                  <w:pPr>
                    <w:widowControl/>
                    <w:jc w:val="center"/>
                    <w:rPr>
                      <w:rFonts w:ascii="KaiTi" w:eastAsia="KaiTi" w:hAnsi="KaiTi" w:cs="宋体"/>
                      <w:color w:val="000000"/>
                      <w:kern w:val="0"/>
                      <w:sz w:val="20"/>
                      <w:szCs w:val="20"/>
                    </w:rPr>
                  </w:pPr>
                  <w:r w:rsidRPr="00B73352">
                    <w:rPr>
                      <w:rFonts w:hint="eastAsia"/>
                    </w:rPr>
                    <w:t>企业债</w:t>
                  </w:r>
                  <w:r w:rsidRPr="00B73352">
                    <w:rPr>
                      <w:rFonts w:hint="eastAsia"/>
                    </w:rPr>
                    <w:t>5Y</w:t>
                  </w:r>
                </w:p>
              </w:tc>
              <w:tc>
                <w:tcPr>
                  <w:tcW w:w="740" w:type="dxa"/>
                  <w:tcBorders>
                    <w:top w:val="nil"/>
                    <w:left w:val="nil"/>
                    <w:bottom w:val="single" w:sz="8" w:space="0" w:color="FFFFFF"/>
                    <w:right w:val="single" w:sz="8" w:space="0" w:color="FFFFFF"/>
                  </w:tcBorders>
                  <w:shd w:val="clear" w:color="000000" w:fill="FCD5B4"/>
                  <w:noWrap/>
                  <w:hideMark/>
                </w:tcPr>
                <w:p w14:paraId="3321A8C9" w14:textId="0A974C2B"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3.50 </w:t>
                  </w:r>
                </w:p>
              </w:tc>
              <w:tc>
                <w:tcPr>
                  <w:tcW w:w="920" w:type="dxa"/>
                  <w:tcBorders>
                    <w:top w:val="nil"/>
                    <w:left w:val="nil"/>
                    <w:bottom w:val="single" w:sz="8" w:space="0" w:color="FFFFFF"/>
                    <w:right w:val="single" w:sz="8" w:space="0" w:color="FFFFFF"/>
                  </w:tcBorders>
                  <w:shd w:val="clear" w:color="000000" w:fill="FCD5B4"/>
                  <w:noWrap/>
                  <w:hideMark/>
                </w:tcPr>
                <w:p w14:paraId="2D55037C" w14:textId="02F63067"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3.68 </w:t>
                  </w:r>
                </w:p>
              </w:tc>
              <w:tc>
                <w:tcPr>
                  <w:tcW w:w="920" w:type="dxa"/>
                  <w:tcBorders>
                    <w:top w:val="nil"/>
                    <w:left w:val="nil"/>
                    <w:bottom w:val="single" w:sz="8" w:space="0" w:color="FFFFFF"/>
                    <w:right w:val="single" w:sz="8" w:space="0" w:color="FFFFFF"/>
                  </w:tcBorders>
                  <w:shd w:val="clear" w:color="000000" w:fill="FCD5B4"/>
                  <w:noWrap/>
                  <w:hideMark/>
                </w:tcPr>
                <w:p w14:paraId="31736512" w14:textId="03E7A71F"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4.40 </w:t>
                  </w:r>
                </w:p>
              </w:tc>
              <w:tc>
                <w:tcPr>
                  <w:tcW w:w="920" w:type="dxa"/>
                  <w:tcBorders>
                    <w:top w:val="nil"/>
                    <w:left w:val="nil"/>
                    <w:bottom w:val="single" w:sz="8" w:space="0" w:color="FFFFFF"/>
                    <w:right w:val="single" w:sz="8" w:space="0" w:color="FFFFFF"/>
                  </w:tcBorders>
                  <w:shd w:val="clear" w:color="000000" w:fill="FCD5B4"/>
                  <w:noWrap/>
                  <w:hideMark/>
                </w:tcPr>
                <w:p w14:paraId="32F91FC8" w14:textId="35F7E136"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6.75 </w:t>
                  </w:r>
                </w:p>
              </w:tc>
              <w:tc>
                <w:tcPr>
                  <w:tcW w:w="1149" w:type="dxa"/>
                  <w:tcBorders>
                    <w:top w:val="nil"/>
                    <w:left w:val="nil"/>
                    <w:bottom w:val="single" w:sz="8" w:space="0" w:color="FFFFFF"/>
                    <w:right w:val="single" w:sz="8" w:space="0" w:color="FFFFFF"/>
                  </w:tcBorders>
                  <w:shd w:val="clear" w:color="000000" w:fill="FCD5B4"/>
                  <w:noWrap/>
                  <w:hideMark/>
                </w:tcPr>
                <w:p w14:paraId="1A4516FF" w14:textId="49263F40" w:rsidR="008A575D" w:rsidRPr="003F4793" w:rsidRDefault="008A575D" w:rsidP="008A575D">
                  <w:pPr>
                    <w:widowControl/>
                    <w:jc w:val="center"/>
                    <w:rPr>
                      <w:rFonts w:ascii="KaiTi" w:eastAsia="KaiTi" w:hAnsi="KaiTi" w:cs="宋体"/>
                      <w:color w:val="000000"/>
                      <w:kern w:val="0"/>
                      <w:sz w:val="20"/>
                      <w:szCs w:val="20"/>
                    </w:rPr>
                  </w:pPr>
                  <w:r w:rsidRPr="00B73352">
                    <w:rPr>
                      <w:rFonts w:hint="eastAsia"/>
                    </w:rPr>
                    <w:t>企业债</w:t>
                  </w:r>
                  <w:r w:rsidRPr="00B73352">
                    <w:rPr>
                      <w:rFonts w:hint="eastAsia"/>
                    </w:rPr>
                    <w:t>5Y</w:t>
                  </w:r>
                </w:p>
              </w:tc>
              <w:tc>
                <w:tcPr>
                  <w:tcW w:w="920" w:type="dxa"/>
                  <w:tcBorders>
                    <w:top w:val="nil"/>
                    <w:left w:val="nil"/>
                    <w:bottom w:val="single" w:sz="8" w:space="0" w:color="FFFFFF"/>
                    <w:right w:val="single" w:sz="8" w:space="0" w:color="FFFFFF"/>
                  </w:tcBorders>
                  <w:shd w:val="clear" w:color="000000" w:fill="FCD5B4"/>
                  <w:noWrap/>
                  <w:hideMark/>
                </w:tcPr>
                <w:p w14:paraId="678FF838" w14:textId="740C0D8A"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0.79 </w:t>
                  </w:r>
                </w:p>
              </w:tc>
              <w:tc>
                <w:tcPr>
                  <w:tcW w:w="920" w:type="dxa"/>
                  <w:tcBorders>
                    <w:top w:val="nil"/>
                    <w:left w:val="nil"/>
                    <w:bottom w:val="single" w:sz="8" w:space="0" w:color="FFFFFF"/>
                    <w:right w:val="single" w:sz="8" w:space="0" w:color="FFFFFF"/>
                  </w:tcBorders>
                  <w:shd w:val="clear" w:color="000000" w:fill="FCD5B4"/>
                  <w:noWrap/>
                  <w:hideMark/>
                </w:tcPr>
                <w:p w14:paraId="19327668" w14:textId="2B4A8AA6"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0.97 </w:t>
                  </w:r>
                </w:p>
              </w:tc>
              <w:tc>
                <w:tcPr>
                  <w:tcW w:w="920" w:type="dxa"/>
                  <w:tcBorders>
                    <w:top w:val="nil"/>
                    <w:left w:val="nil"/>
                    <w:bottom w:val="single" w:sz="8" w:space="0" w:color="FFFFFF"/>
                    <w:right w:val="single" w:sz="8" w:space="0" w:color="FFFFFF"/>
                  </w:tcBorders>
                  <w:shd w:val="clear" w:color="000000" w:fill="FCD5B4"/>
                  <w:noWrap/>
                  <w:hideMark/>
                </w:tcPr>
                <w:p w14:paraId="3FF52323" w14:textId="0C3E6F74"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1.69 </w:t>
                  </w:r>
                </w:p>
              </w:tc>
              <w:tc>
                <w:tcPr>
                  <w:tcW w:w="920" w:type="dxa"/>
                  <w:tcBorders>
                    <w:top w:val="nil"/>
                    <w:left w:val="nil"/>
                    <w:bottom w:val="single" w:sz="8" w:space="0" w:color="FFFFFF"/>
                    <w:right w:val="single" w:sz="8" w:space="0" w:color="FFFFFF"/>
                  </w:tcBorders>
                  <w:shd w:val="clear" w:color="000000" w:fill="FCD5B4"/>
                  <w:noWrap/>
                  <w:hideMark/>
                </w:tcPr>
                <w:p w14:paraId="3A51C7C3" w14:textId="739B1662"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4.04 </w:t>
                  </w:r>
                </w:p>
              </w:tc>
            </w:tr>
            <w:tr w:rsidR="008A575D" w:rsidRPr="003F4793" w14:paraId="10282E85" w14:textId="77777777" w:rsidTr="00416E34">
              <w:trPr>
                <w:trHeight w:val="310"/>
              </w:trPr>
              <w:tc>
                <w:tcPr>
                  <w:tcW w:w="1309" w:type="dxa"/>
                  <w:tcBorders>
                    <w:top w:val="nil"/>
                    <w:left w:val="nil"/>
                    <w:bottom w:val="single" w:sz="8" w:space="0" w:color="FFFFFF"/>
                    <w:right w:val="single" w:sz="8" w:space="0" w:color="FFFFFF"/>
                  </w:tcBorders>
                  <w:shd w:val="clear" w:color="000000" w:fill="FDE9D9"/>
                  <w:noWrap/>
                  <w:hideMark/>
                </w:tcPr>
                <w:p w14:paraId="5AA354BC" w14:textId="3EF720FE" w:rsidR="008A575D" w:rsidRPr="003F4793" w:rsidRDefault="008A575D" w:rsidP="008A575D">
                  <w:pPr>
                    <w:widowControl/>
                    <w:jc w:val="center"/>
                    <w:rPr>
                      <w:rFonts w:ascii="KaiTi" w:eastAsia="KaiTi" w:hAnsi="KaiTi" w:cs="宋体"/>
                      <w:color w:val="000000"/>
                      <w:kern w:val="0"/>
                      <w:sz w:val="20"/>
                      <w:szCs w:val="20"/>
                    </w:rPr>
                  </w:pPr>
                  <w:r w:rsidRPr="00B73352">
                    <w:rPr>
                      <w:rFonts w:hint="eastAsia"/>
                    </w:rPr>
                    <w:t>企业债</w:t>
                  </w:r>
                  <w:r w:rsidRPr="00B73352">
                    <w:rPr>
                      <w:rFonts w:hint="eastAsia"/>
                    </w:rPr>
                    <w:t>7Y</w:t>
                  </w:r>
                </w:p>
              </w:tc>
              <w:tc>
                <w:tcPr>
                  <w:tcW w:w="740" w:type="dxa"/>
                  <w:tcBorders>
                    <w:top w:val="nil"/>
                    <w:left w:val="nil"/>
                    <w:bottom w:val="single" w:sz="8" w:space="0" w:color="FFFFFF"/>
                    <w:right w:val="single" w:sz="8" w:space="0" w:color="FFFFFF"/>
                  </w:tcBorders>
                  <w:shd w:val="clear" w:color="000000" w:fill="FDE9D9"/>
                  <w:noWrap/>
                  <w:hideMark/>
                </w:tcPr>
                <w:p w14:paraId="46F6A45C" w14:textId="4ED761FD"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3.70 </w:t>
                  </w:r>
                </w:p>
              </w:tc>
              <w:tc>
                <w:tcPr>
                  <w:tcW w:w="920" w:type="dxa"/>
                  <w:tcBorders>
                    <w:top w:val="nil"/>
                    <w:left w:val="nil"/>
                    <w:bottom w:val="single" w:sz="8" w:space="0" w:color="FFFFFF"/>
                    <w:right w:val="single" w:sz="8" w:space="0" w:color="FFFFFF"/>
                  </w:tcBorders>
                  <w:shd w:val="clear" w:color="000000" w:fill="FDE9D9"/>
                  <w:noWrap/>
                  <w:hideMark/>
                </w:tcPr>
                <w:p w14:paraId="7F0C451E" w14:textId="5127562F"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3.89 </w:t>
                  </w:r>
                </w:p>
              </w:tc>
              <w:tc>
                <w:tcPr>
                  <w:tcW w:w="920" w:type="dxa"/>
                  <w:tcBorders>
                    <w:top w:val="nil"/>
                    <w:left w:val="nil"/>
                    <w:bottom w:val="single" w:sz="8" w:space="0" w:color="FFFFFF"/>
                    <w:right w:val="single" w:sz="8" w:space="0" w:color="FFFFFF"/>
                  </w:tcBorders>
                  <w:shd w:val="clear" w:color="000000" w:fill="FDE9D9"/>
                  <w:noWrap/>
                  <w:hideMark/>
                </w:tcPr>
                <w:p w14:paraId="14C49F17" w14:textId="53D2C376"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4.61 </w:t>
                  </w:r>
                </w:p>
              </w:tc>
              <w:tc>
                <w:tcPr>
                  <w:tcW w:w="920" w:type="dxa"/>
                  <w:tcBorders>
                    <w:top w:val="nil"/>
                    <w:left w:val="nil"/>
                    <w:bottom w:val="single" w:sz="8" w:space="0" w:color="FFFFFF"/>
                    <w:right w:val="single" w:sz="8" w:space="0" w:color="FFFFFF"/>
                  </w:tcBorders>
                  <w:shd w:val="clear" w:color="000000" w:fill="FDE9D9"/>
                  <w:noWrap/>
                  <w:hideMark/>
                </w:tcPr>
                <w:p w14:paraId="5617ED53" w14:textId="6520B194"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6.95 </w:t>
                  </w:r>
                </w:p>
              </w:tc>
              <w:tc>
                <w:tcPr>
                  <w:tcW w:w="1149" w:type="dxa"/>
                  <w:tcBorders>
                    <w:top w:val="nil"/>
                    <w:left w:val="nil"/>
                    <w:bottom w:val="single" w:sz="8" w:space="0" w:color="FFFFFF"/>
                    <w:right w:val="single" w:sz="8" w:space="0" w:color="FFFFFF"/>
                  </w:tcBorders>
                  <w:shd w:val="clear" w:color="000000" w:fill="FDE9D9"/>
                  <w:noWrap/>
                  <w:hideMark/>
                </w:tcPr>
                <w:p w14:paraId="6EF87D4A" w14:textId="45D76699" w:rsidR="008A575D" w:rsidRPr="003F4793" w:rsidRDefault="008A575D" w:rsidP="008A575D">
                  <w:pPr>
                    <w:widowControl/>
                    <w:jc w:val="center"/>
                    <w:rPr>
                      <w:rFonts w:ascii="KaiTi" w:eastAsia="KaiTi" w:hAnsi="KaiTi" w:cs="宋体"/>
                      <w:color w:val="000000"/>
                      <w:kern w:val="0"/>
                      <w:sz w:val="20"/>
                      <w:szCs w:val="20"/>
                    </w:rPr>
                  </w:pPr>
                  <w:r w:rsidRPr="00B73352">
                    <w:rPr>
                      <w:rFonts w:hint="eastAsia"/>
                    </w:rPr>
                    <w:t>企业债</w:t>
                  </w:r>
                  <w:r w:rsidRPr="00B73352">
                    <w:rPr>
                      <w:rFonts w:hint="eastAsia"/>
                    </w:rPr>
                    <w:t>7Y</w:t>
                  </w:r>
                </w:p>
              </w:tc>
              <w:tc>
                <w:tcPr>
                  <w:tcW w:w="920" w:type="dxa"/>
                  <w:tcBorders>
                    <w:top w:val="nil"/>
                    <w:left w:val="nil"/>
                    <w:bottom w:val="single" w:sz="8" w:space="0" w:color="FFFFFF"/>
                    <w:right w:val="single" w:sz="8" w:space="0" w:color="FFFFFF"/>
                  </w:tcBorders>
                  <w:shd w:val="clear" w:color="000000" w:fill="FDE9D9"/>
                  <w:noWrap/>
                  <w:hideMark/>
                </w:tcPr>
                <w:p w14:paraId="4DEB6E8D" w14:textId="3ADA3B83"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0.85 </w:t>
                  </w:r>
                </w:p>
              </w:tc>
              <w:tc>
                <w:tcPr>
                  <w:tcW w:w="920" w:type="dxa"/>
                  <w:tcBorders>
                    <w:top w:val="nil"/>
                    <w:left w:val="nil"/>
                    <w:bottom w:val="single" w:sz="8" w:space="0" w:color="FFFFFF"/>
                    <w:right w:val="single" w:sz="8" w:space="0" w:color="FFFFFF"/>
                  </w:tcBorders>
                  <w:shd w:val="clear" w:color="000000" w:fill="FDE9D9"/>
                  <w:noWrap/>
                  <w:hideMark/>
                </w:tcPr>
                <w:p w14:paraId="5BFCFC00" w14:textId="218EBE90"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1.04 </w:t>
                  </w:r>
                </w:p>
              </w:tc>
              <w:tc>
                <w:tcPr>
                  <w:tcW w:w="920" w:type="dxa"/>
                  <w:tcBorders>
                    <w:top w:val="nil"/>
                    <w:left w:val="nil"/>
                    <w:bottom w:val="single" w:sz="8" w:space="0" w:color="FFFFFF"/>
                    <w:right w:val="single" w:sz="8" w:space="0" w:color="FFFFFF"/>
                  </w:tcBorders>
                  <w:shd w:val="clear" w:color="000000" w:fill="FDE9D9"/>
                  <w:noWrap/>
                  <w:hideMark/>
                </w:tcPr>
                <w:p w14:paraId="135C719B" w14:textId="0F281A84"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1.76 </w:t>
                  </w:r>
                </w:p>
              </w:tc>
              <w:tc>
                <w:tcPr>
                  <w:tcW w:w="920" w:type="dxa"/>
                  <w:tcBorders>
                    <w:top w:val="nil"/>
                    <w:left w:val="nil"/>
                    <w:bottom w:val="single" w:sz="8" w:space="0" w:color="FFFFFF"/>
                    <w:right w:val="single" w:sz="8" w:space="0" w:color="FFFFFF"/>
                  </w:tcBorders>
                  <w:shd w:val="clear" w:color="000000" w:fill="FDE9D9"/>
                  <w:noWrap/>
                  <w:hideMark/>
                </w:tcPr>
                <w:p w14:paraId="5C7F0679" w14:textId="32D1447E"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4.10 </w:t>
                  </w:r>
                </w:p>
              </w:tc>
            </w:tr>
            <w:tr w:rsidR="008A575D" w:rsidRPr="003F4793" w14:paraId="4B34B1BF" w14:textId="77777777" w:rsidTr="00416E34">
              <w:trPr>
                <w:trHeight w:val="310"/>
              </w:trPr>
              <w:tc>
                <w:tcPr>
                  <w:tcW w:w="1309" w:type="dxa"/>
                  <w:tcBorders>
                    <w:top w:val="nil"/>
                    <w:left w:val="nil"/>
                    <w:bottom w:val="single" w:sz="8" w:space="0" w:color="FFFFFF"/>
                    <w:right w:val="single" w:sz="8" w:space="0" w:color="FFFFFF"/>
                  </w:tcBorders>
                  <w:shd w:val="clear" w:color="000000" w:fill="FCD5B4"/>
                  <w:noWrap/>
                  <w:hideMark/>
                </w:tcPr>
                <w:p w14:paraId="708D60A2" w14:textId="4ACD8447" w:rsidR="008A575D" w:rsidRPr="003F4793" w:rsidRDefault="008A575D" w:rsidP="008A575D">
                  <w:pPr>
                    <w:widowControl/>
                    <w:jc w:val="center"/>
                    <w:rPr>
                      <w:rFonts w:ascii="KaiTi" w:eastAsia="KaiTi" w:hAnsi="KaiTi" w:cs="宋体"/>
                      <w:color w:val="000000"/>
                      <w:kern w:val="0"/>
                      <w:sz w:val="20"/>
                      <w:szCs w:val="20"/>
                    </w:rPr>
                  </w:pPr>
                  <w:proofErr w:type="gramStart"/>
                  <w:r w:rsidRPr="00B73352">
                    <w:rPr>
                      <w:rFonts w:hint="eastAsia"/>
                    </w:rPr>
                    <w:t>城投债</w:t>
                  </w:r>
                  <w:proofErr w:type="gramEnd"/>
                  <w:r w:rsidRPr="00B73352">
                    <w:rPr>
                      <w:rFonts w:hint="eastAsia"/>
                    </w:rPr>
                    <w:t>3Y</w:t>
                  </w:r>
                </w:p>
              </w:tc>
              <w:tc>
                <w:tcPr>
                  <w:tcW w:w="740" w:type="dxa"/>
                  <w:tcBorders>
                    <w:top w:val="nil"/>
                    <w:left w:val="nil"/>
                    <w:bottom w:val="single" w:sz="8" w:space="0" w:color="FFFFFF"/>
                    <w:right w:val="single" w:sz="8" w:space="0" w:color="FFFFFF"/>
                  </w:tcBorders>
                  <w:shd w:val="clear" w:color="000000" w:fill="FCD5B4"/>
                  <w:noWrap/>
                  <w:hideMark/>
                </w:tcPr>
                <w:p w14:paraId="7AC10927" w14:textId="63568B24"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3.19 </w:t>
                  </w:r>
                </w:p>
              </w:tc>
              <w:tc>
                <w:tcPr>
                  <w:tcW w:w="920" w:type="dxa"/>
                  <w:tcBorders>
                    <w:top w:val="nil"/>
                    <w:left w:val="nil"/>
                    <w:bottom w:val="single" w:sz="8" w:space="0" w:color="FFFFFF"/>
                    <w:right w:val="single" w:sz="8" w:space="0" w:color="FFFFFF"/>
                  </w:tcBorders>
                  <w:shd w:val="clear" w:color="000000" w:fill="FCD5B4"/>
                  <w:noWrap/>
                  <w:hideMark/>
                </w:tcPr>
                <w:p w14:paraId="5A89295C" w14:textId="3F03ED21"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3.36 </w:t>
                  </w:r>
                </w:p>
              </w:tc>
              <w:tc>
                <w:tcPr>
                  <w:tcW w:w="920" w:type="dxa"/>
                  <w:tcBorders>
                    <w:top w:val="nil"/>
                    <w:left w:val="nil"/>
                    <w:bottom w:val="single" w:sz="8" w:space="0" w:color="FFFFFF"/>
                    <w:right w:val="single" w:sz="8" w:space="0" w:color="FFFFFF"/>
                  </w:tcBorders>
                  <w:shd w:val="clear" w:color="000000" w:fill="FCD5B4"/>
                  <w:noWrap/>
                  <w:hideMark/>
                </w:tcPr>
                <w:p w14:paraId="5B048291" w14:textId="474970E5"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3.56 </w:t>
                  </w:r>
                </w:p>
              </w:tc>
              <w:tc>
                <w:tcPr>
                  <w:tcW w:w="920" w:type="dxa"/>
                  <w:tcBorders>
                    <w:top w:val="nil"/>
                    <w:left w:val="nil"/>
                    <w:bottom w:val="single" w:sz="8" w:space="0" w:color="FFFFFF"/>
                    <w:right w:val="single" w:sz="8" w:space="0" w:color="FFFFFF"/>
                  </w:tcBorders>
                  <w:shd w:val="clear" w:color="000000" w:fill="FCD5B4"/>
                  <w:noWrap/>
                  <w:hideMark/>
                </w:tcPr>
                <w:p w14:paraId="5711CDD7" w14:textId="3CC04A02"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6.05 </w:t>
                  </w:r>
                </w:p>
              </w:tc>
              <w:tc>
                <w:tcPr>
                  <w:tcW w:w="1149" w:type="dxa"/>
                  <w:tcBorders>
                    <w:top w:val="nil"/>
                    <w:left w:val="nil"/>
                    <w:bottom w:val="single" w:sz="8" w:space="0" w:color="FFFFFF"/>
                    <w:right w:val="single" w:sz="8" w:space="0" w:color="FFFFFF"/>
                  </w:tcBorders>
                  <w:shd w:val="clear" w:color="000000" w:fill="FCD5B4"/>
                  <w:noWrap/>
                  <w:hideMark/>
                </w:tcPr>
                <w:p w14:paraId="611290CA" w14:textId="4262F1C3" w:rsidR="008A575D" w:rsidRPr="003F4793" w:rsidRDefault="008A575D" w:rsidP="008A575D">
                  <w:pPr>
                    <w:widowControl/>
                    <w:jc w:val="center"/>
                    <w:rPr>
                      <w:rFonts w:ascii="KaiTi" w:eastAsia="KaiTi" w:hAnsi="KaiTi" w:cs="宋体"/>
                      <w:color w:val="000000"/>
                      <w:kern w:val="0"/>
                      <w:sz w:val="20"/>
                      <w:szCs w:val="20"/>
                    </w:rPr>
                  </w:pPr>
                  <w:proofErr w:type="gramStart"/>
                  <w:r w:rsidRPr="00B73352">
                    <w:rPr>
                      <w:rFonts w:hint="eastAsia"/>
                    </w:rPr>
                    <w:t>城投债</w:t>
                  </w:r>
                  <w:proofErr w:type="gramEnd"/>
                  <w:r w:rsidRPr="00B73352">
                    <w:rPr>
                      <w:rFonts w:hint="eastAsia"/>
                    </w:rPr>
                    <w:t>3Y</w:t>
                  </w:r>
                </w:p>
              </w:tc>
              <w:tc>
                <w:tcPr>
                  <w:tcW w:w="920" w:type="dxa"/>
                  <w:tcBorders>
                    <w:top w:val="nil"/>
                    <w:left w:val="nil"/>
                    <w:bottom w:val="single" w:sz="8" w:space="0" w:color="FFFFFF"/>
                    <w:right w:val="single" w:sz="8" w:space="0" w:color="FFFFFF"/>
                  </w:tcBorders>
                  <w:shd w:val="clear" w:color="000000" w:fill="FCD5B4"/>
                  <w:noWrap/>
                  <w:hideMark/>
                </w:tcPr>
                <w:p w14:paraId="20496D80" w14:textId="31CBF27D"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0.68 </w:t>
                  </w:r>
                </w:p>
              </w:tc>
              <w:tc>
                <w:tcPr>
                  <w:tcW w:w="920" w:type="dxa"/>
                  <w:tcBorders>
                    <w:top w:val="nil"/>
                    <w:left w:val="nil"/>
                    <w:bottom w:val="single" w:sz="8" w:space="0" w:color="FFFFFF"/>
                    <w:right w:val="single" w:sz="8" w:space="0" w:color="FFFFFF"/>
                  </w:tcBorders>
                  <w:shd w:val="clear" w:color="000000" w:fill="FCD5B4"/>
                  <w:noWrap/>
                  <w:hideMark/>
                </w:tcPr>
                <w:p w14:paraId="3BFA925B" w14:textId="5D4D995F"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0.85 </w:t>
                  </w:r>
                </w:p>
              </w:tc>
              <w:tc>
                <w:tcPr>
                  <w:tcW w:w="920" w:type="dxa"/>
                  <w:tcBorders>
                    <w:top w:val="nil"/>
                    <w:left w:val="nil"/>
                    <w:bottom w:val="single" w:sz="8" w:space="0" w:color="FFFFFF"/>
                    <w:right w:val="single" w:sz="8" w:space="0" w:color="FFFFFF"/>
                  </w:tcBorders>
                  <w:shd w:val="clear" w:color="000000" w:fill="FCD5B4"/>
                  <w:noWrap/>
                  <w:hideMark/>
                </w:tcPr>
                <w:p w14:paraId="16CD7225" w14:textId="2D08E281"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1.05 </w:t>
                  </w:r>
                </w:p>
              </w:tc>
              <w:tc>
                <w:tcPr>
                  <w:tcW w:w="920" w:type="dxa"/>
                  <w:tcBorders>
                    <w:top w:val="nil"/>
                    <w:left w:val="nil"/>
                    <w:bottom w:val="single" w:sz="8" w:space="0" w:color="FFFFFF"/>
                    <w:right w:val="single" w:sz="8" w:space="0" w:color="FFFFFF"/>
                  </w:tcBorders>
                  <w:shd w:val="clear" w:color="000000" w:fill="FCD5B4"/>
                  <w:noWrap/>
                  <w:hideMark/>
                </w:tcPr>
                <w:p w14:paraId="62A0BB0C" w14:textId="454C3564"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3.54 </w:t>
                  </w:r>
                </w:p>
              </w:tc>
            </w:tr>
            <w:tr w:rsidR="008A575D" w:rsidRPr="003F4793" w14:paraId="410B429A" w14:textId="77777777" w:rsidTr="00416E34">
              <w:trPr>
                <w:trHeight w:val="310"/>
              </w:trPr>
              <w:tc>
                <w:tcPr>
                  <w:tcW w:w="1309" w:type="dxa"/>
                  <w:tcBorders>
                    <w:top w:val="nil"/>
                    <w:left w:val="nil"/>
                    <w:bottom w:val="single" w:sz="8" w:space="0" w:color="FFFFFF"/>
                    <w:right w:val="single" w:sz="8" w:space="0" w:color="FFFFFF"/>
                  </w:tcBorders>
                  <w:shd w:val="clear" w:color="000000" w:fill="FDE9D9"/>
                  <w:noWrap/>
                  <w:hideMark/>
                </w:tcPr>
                <w:p w14:paraId="3F93C5ED" w14:textId="4C77A377" w:rsidR="008A575D" w:rsidRPr="003F4793" w:rsidRDefault="008A575D" w:rsidP="008A575D">
                  <w:pPr>
                    <w:widowControl/>
                    <w:jc w:val="center"/>
                    <w:rPr>
                      <w:rFonts w:ascii="KaiTi" w:eastAsia="KaiTi" w:hAnsi="KaiTi" w:cs="宋体"/>
                      <w:color w:val="000000"/>
                      <w:kern w:val="0"/>
                      <w:sz w:val="20"/>
                      <w:szCs w:val="20"/>
                    </w:rPr>
                  </w:pPr>
                  <w:proofErr w:type="gramStart"/>
                  <w:r w:rsidRPr="00B73352">
                    <w:rPr>
                      <w:rFonts w:hint="eastAsia"/>
                    </w:rPr>
                    <w:t>城投债</w:t>
                  </w:r>
                  <w:proofErr w:type="gramEnd"/>
                  <w:r w:rsidRPr="00B73352">
                    <w:rPr>
                      <w:rFonts w:hint="eastAsia"/>
                    </w:rPr>
                    <w:t>5Y</w:t>
                  </w:r>
                </w:p>
              </w:tc>
              <w:tc>
                <w:tcPr>
                  <w:tcW w:w="740" w:type="dxa"/>
                  <w:tcBorders>
                    <w:top w:val="nil"/>
                    <w:left w:val="nil"/>
                    <w:bottom w:val="single" w:sz="8" w:space="0" w:color="FFFFFF"/>
                    <w:right w:val="single" w:sz="8" w:space="0" w:color="FFFFFF"/>
                  </w:tcBorders>
                  <w:shd w:val="clear" w:color="000000" w:fill="FDE9D9"/>
                  <w:noWrap/>
                  <w:hideMark/>
                </w:tcPr>
                <w:p w14:paraId="231CF143" w14:textId="7F18BF53"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3.53 </w:t>
                  </w:r>
                </w:p>
              </w:tc>
              <w:tc>
                <w:tcPr>
                  <w:tcW w:w="920" w:type="dxa"/>
                  <w:tcBorders>
                    <w:top w:val="nil"/>
                    <w:left w:val="nil"/>
                    <w:bottom w:val="single" w:sz="8" w:space="0" w:color="FFFFFF"/>
                    <w:right w:val="single" w:sz="8" w:space="0" w:color="FFFFFF"/>
                  </w:tcBorders>
                  <w:shd w:val="clear" w:color="000000" w:fill="FDE9D9"/>
                  <w:noWrap/>
                  <w:hideMark/>
                </w:tcPr>
                <w:p w14:paraId="28605ADA" w14:textId="4C2987A1"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3.78 </w:t>
                  </w:r>
                </w:p>
              </w:tc>
              <w:tc>
                <w:tcPr>
                  <w:tcW w:w="920" w:type="dxa"/>
                  <w:tcBorders>
                    <w:top w:val="nil"/>
                    <w:left w:val="nil"/>
                    <w:bottom w:val="single" w:sz="8" w:space="0" w:color="FFFFFF"/>
                    <w:right w:val="single" w:sz="8" w:space="0" w:color="FFFFFF"/>
                  </w:tcBorders>
                  <w:shd w:val="clear" w:color="000000" w:fill="FDE9D9"/>
                  <w:noWrap/>
                  <w:hideMark/>
                </w:tcPr>
                <w:p w14:paraId="138A29ED" w14:textId="254B9DC6"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4.08 </w:t>
                  </w:r>
                </w:p>
              </w:tc>
              <w:tc>
                <w:tcPr>
                  <w:tcW w:w="920" w:type="dxa"/>
                  <w:tcBorders>
                    <w:top w:val="nil"/>
                    <w:left w:val="nil"/>
                    <w:bottom w:val="single" w:sz="8" w:space="0" w:color="FFFFFF"/>
                    <w:right w:val="single" w:sz="8" w:space="0" w:color="FFFFFF"/>
                  </w:tcBorders>
                  <w:shd w:val="clear" w:color="000000" w:fill="FDE9D9"/>
                  <w:noWrap/>
                  <w:hideMark/>
                </w:tcPr>
                <w:p w14:paraId="36771C93" w14:textId="032420F9"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6.72 </w:t>
                  </w:r>
                </w:p>
              </w:tc>
              <w:tc>
                <w:tcPr>
                  <w:tcW w:w="1149" w:type="dxa"/>
                  <w:tcBorders>
                    <w:top w:val="nil"/>
                    <w:left w:val="nil"/>
                    <w:bottom w:val="single" w:sz="8" w:space="0" w:color="FFFFFF"/>
                    <w:right w:val="single" w:sz="8" w:space="0" w:color="FFFFFF"/>
                  </w:tcBorders>
                  <w:shd w:val="clear" w:color="000000" w:fill="FDE9D9"/>
                  <w:noWrap/>
                  <w:hideMark/>
                </w:tcPr>
                <w:p w14:paraId="12900514" w14:textId="6B8B9C57" w:rsidR="008A575D" w:rsidRPr="003F4793" w:rsidRDefault="008A575D" w:rsidP="008A575D">
                  <w:pPr>
                    <w:widowControl/>
                    <w:jc w:val="center"/>
                    <w:rPr>
                      <w:rFonts w:ascii="KaiTi" w:eastAsia="KaiTi" w:hAnsi="KaiTi" w:cs="宋体"/>
                      <w:color w:val="000000"/>
                      <w:kern w:val="0"/>
                      <w:sz w:val="20"/>
                      <w:szCs w:val="20"/>
                    </w:rPr>
                  </w:pPr>
                  <w:proofErr w:type="gramStart"/>
                  <w:r w:rsidRPr="00B73352">
                    <w:rPr>
                      <w:rFonts w:hint="eastAsia"/>
                    </w:rPr>
                    <w:t>城投债</w:t>
                  </w:r>
                  <w:proofErr w:type="gramEnd"/>
                  <w:r w:rsidRPr="00B73352">
                    <w:rPr>
                      <w:rFonts w:hint="eastAsia"/>
                    </w:rPr>
                    <w:t>5Y</w:t>
                  </w:r>
                </w:p>
              </w:tc>
              <w:tc>
                <w:tcPr>
                  <w:tcW w:w="920" w:type="dxa"/>
                  <w:tcBorders>
                    <w:top w:val="nil"/>
                    <w:left w:val="nil"/>
                    <w:bottom w:val="single" w:sz="8" w:space="0" w:color="FFFFFF"/>
                    <w:right w:val="single" w:sz="8" w:space="0" w:color="FFFFFF"/>
                  </w:tcBorders>
                  <w:shd w:val="clear" w:color="000000" w:fill="FDE9D9"/>
                  <w:noWrap/>
                  <w:hideMark/>
                </w:tcPr>
                <w:p w14:paraId="3A1F834B" w14:textId="3778BB41"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0.82 </w:t>
                  </w:r>
                </w:p>
              </w:tc>
              <w:tc>
                <w:tcPr>
                  <w:tcW w:w="920" w:type="dxa"/>
                  <w:tcBorders>
                    <w:top w:val="nil"/>
                    <w:left w:val="nil"/>
                    <w:bottom w:val="single" w:sz="8" w:space="0" w:color="FFFFFF"/>
                    <w:right w:val="single" w:sz="8" w:space="0" w:color="FFFFFF"/>
                  </w:tcBorders>
                  <w:shd w:val="clear" w:color="000000" w:fill="FDE9D9"/>
                  <w:noWrap/>
                  <w:hideMark/>
                </w:tcPr>
                <w:p w14:paraId="65FCA278" w14:textId="01CD7F5C"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1.07 </w:t>
                  </w:r>
                </w:p>
              </w:tc>
              <w:tc>
                <w:tcPr>
                  <w:tcW w:w="920" w:type="dxa"/>
                  <w:tcBorders>
                    <w:top w:val="nil"/>
                    <w:left w:val="nil"/>
                    <w:bottom w:val="single" w:sz="8" w:space="0" w:color="FFFFFF"/>
                    <w:right w:val="single" w:sz="8" w:space="0" w:color="FFFFFF"/>
                  </w:tcBorders>
                  <w:shd w:val="clear" w:color="000000" w:fill="FDE9D9"/>
                  <w:noWrap/>
                  <w:hideMark/>
                </w:tcPr>
                <w:p w14:paraId="27F1C7B6" w14:textId="44046FB9"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1.37 </w:t>
                  </w:r>
                </w:p>
              </w:tc>
              <w:tc>
                <w:tcPr>
                  <w:tcW w:w="920" w:type="dxa"/>
                  <w:tcBorders>
                    <w:top w:val="nil"/>
                    <w:left w:val="nil"/>
                    <w:bottom w:val="single" w:sz="8" w:space="0" w:color="FFFFFF"/>
                    <w:right w:val="single" w:sz="8" w:space="0" w:color="FFFFFF"/>
                  </w:tcBorders>
                  <w:shd w:val="clear" w:color="000000" w:fill="FDE9D9"/>
                  <w:noWrap/>
                  <w:hideMark/>
                </w:tcPr>
                <w:p w14:paraId="01875D19" w14:textId="7A1B0DE9"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4.01 </w:t>
                  </w:r>
                </w:p>
              </w:tc>
            </w:tr>
            <w:tr w:rsidR="008A575D" w:rsidRPr="003F4793" w14:paraId="3E035994" w14:textId="77777777" w:rsidTr="00416E34">
              <w:trPr>
                <w:trHeight w:val="310"/>
              </w:trPr>
              <w:tc>
                <w:tcPr>
                  <w:tcW w:w="1309" w:type="dxa"/>
                  <w:tcBorders>
                    <w:top w:val="nil"/>
                    <w:left w:val="nil"/>
                    <w:bottom w:val="nil"/>
                    <w:right w:val="nil"/>
                  </w:tcBorders>
                  <w:shd w:val="clear" w:color="000000" w:fill="FCD5B4"/>
                  <w:noWrap/>
                  <w:hideMark/>
                </w:tcPr>
                <w:p w14:paraId="6806E277" w14:textId="23EB04C9" w:rsidR="008A575D" w:rsidRPr="003F4793" w:rsidRDefault="008A575D" w:rsidP="008A575D">
                  <w:pPr>
                    <w:widowControl/>
                    <w:jc w:val="center"/>
                    <w:rPr>
                      <w:rFonts w:ascii="KaiTi" w:eastAsia="KaiTi" w:hAnsi="KaiTi" w:cs="宋体"/>
                      <w:color w:val="000000"/>
                      <w:kern w:val="0"/>
                      <w:sz w:val="20"/>
                      <w:szCs w:val="20"/>
                    </w:rPr>
                  </w:pPr>
                  <w:proofErr w:type="gramStart"/>
                  <w:r w:rsidRPr="00B73352">
                    <w:rPr>
                      <w:rFonts w:hint="eastAsia"/>
                    </w:rPr>
                    <w:t>城投债</w:t>
                  </w:r>
                  <w:proofErr w:type="gramEnd"/>
                  <w:r w:rsidRPr="00B73352">
                    <w:rPr>
                      <w:rFonts w:hint="eastAsia"/>
                    </w:rPr>
                    <w:t>7Y</w:t>
                  </w:r>
                </w:p>
              </w:tc>
              <w:tc>
                <w:tcPr>
                  <w:tcW w:w="740" w:type="dxa"/>
                  <w:tcBorders>
                    <w:top w:val="nil"/>
                    <w:left w:val="nil"/>
                    <w:bottom w:val="single" w:sz="8" w:space="0" w:color="FFFFFF"/>
                    <w:right w:val="single" w:sz="8" w:space="0" w:color="FFFFFF"/>
                  </w:tcBorders>
                  <w:shd w:val="clear" w:color="000000" w:fill="FCD5B4"/>
                  <w:noWrap/>
                  <w:hideMark/>
                </w:tcPr>
                <w:p w14:paraId="6B2AD056" w14:textId="0B508E64"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3.76 </w:t>
                  </w:r>
                </w:p>
              </w:tc>
              <w:tc>
                <w:tcPr>
                  <w:tcW w:w="920" w:type="dxa"/>
                  <w:tcBorders>
                    <w:top w:val="nil"/>
                    <w:left w:val="nil"/>
                    <w:bottom w:val="single" w:sz="8" w:space="0" w:color="FFFFFF"/>
                    <w:right w:val="single" w:sz="8" w:space="0" w:color="FFFFFF"/>
                  </w:tcBorders>
                  <w:shd w:val="clear" w:color="000000" w:fill="FCD5B4"/>
                  <w:noWrap/>
                  <w:hideMark/>
                </w:tcPr>
                <w:p w14:paraId="64875CAA" w14:textId="5EF8EE1B"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4.01 </w:t>
                  </w:r>
                </w:p>
              </w:tc>
              <w:tc>
                <w:tcPr>
                  <w:tcW w:w="920" w:type="dxa"/>
                  <w:tcBorders>
                    <w:top w:val="nil"/>
                    <w:left w:val="nil"/>
                    <w:bottom w:val="single" w:sz="8" w:space="0" w:color="FFFFFF"/>
                    <w:right w:val="single" w:sz="8" w:space="0" w:color="FFFFFF"/>
                  </w:tcBorders>
                  <w:shd w:val="clear" w:color="000000" w:fill="FCD5B4"/>
                  <w:noWrap/>
                  <w:hideMark/>
                </w:tcPr>
                <w:p w14:paraId="37FAD57A" w14:textId="62778709"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4.41 </w:t>
                  </w:r>
                </w:p>
              </w:tc>
              <w:tc>
                <w:tcPr>
                  <w:tcW w:w="920" w:type="dxa"/>
                  <w:tcBorders>
                    <w:top w:val="nil"/>
                    <w:left w:val="nil"/>
                    <w:bottom w:val="single" w:sz="8" w:space="0" w:color="FFFFFF"/>
                    <w:right w:val="single" w:sz="8" w:space="0" w:color="FFFFFF"/>
                  </w:tcBorders>
                  <w:shd w:val="clear" w:color="000000" w:fill="FCD5B4"/>
                  <w:noWrap/>
                  <w:hideMark/>
                </w:tcPr>
                <w:p w14:paraId="2CDC7C7E" w14:textId="574610AE"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7.10 </w:t>
                  </w:r>
                </w:p>
              </w:tc>
              <w:tc>
                <w:tcPr>
                  <w:tcW w:w="1149" w:type="dxa"/>
                  <w:tcBorders>
                    <w:top w:val="nil"/>
                    <w:left w:val="nil"/>
                    <w:bottom w:val="nil"/>
                    <w:right w:val="nil"/>
                  </w:tcBorders>
                  <w:shd w:val="clear" w:color="000000" w:fill="FCD5B4"/>
                  <w:noWrap/>
                  <w:hideMark/>
                </w:tcPr>
                <w:p w14:paraId="21A0B914" w14:textId="721ECBC4" w:rsidR="008A575D" w:rsidRPr="003F4793" w:rsidRDefault="008A575D" w:rsidP="008A575D">
                  <w:pPr>
                    <w:widowControl/>
                    <w:jc w:val="center"/>
                    <w:rPr>
                      <w:rFonts w:ascii="KaiTi" w:eastAsia="KaiTi" w:hAnsi="KaiTi" w:cs="宋体"/>
                      <w:color w:val="000000"/>
                      <w:kern w:val="0"/>
                      <w:sz w:val="20"/>
                      <w:szCs w:val="20"/>
                    </w:rPr>
                  </w:pPr>
                  <w:proofErr w:type="gramStart"/>
                  <w:r w:rsidRPr="00B73352">
                    <w:rPr>
                      <w:rFonts w:hint="eastAsia"/>
                    </w:rPr>
                    <w:t>城投债</w:t>
                  </w:r>
                  <w:proofErr w:type="gramEnd"/>
                  <w:r w:rsidRPr="00B73352">
                    <w:rPr>
                      <w:rFonts w:hint="eastAsia"/>
                    </w:rPr>
                    <w:t>7Y</w:t>
                  </w:r>
                </w:p>
              </w:tc>
              <w:tc>
                <w:tcPr>
                  <w:tcW w:w="920" w:type="dxa"/>
                  <w:tcBorders>
                    <w:top w:val="nil"/>
                    <w:left w:val="nil"/>
                    <w:bottom w:val="single" w:sz="8" w:space="0" w:color="FFFFFF"/>
                    <w:right w:val="single" w:sz="8" w:space="0" w:color="FFFFFF"/>
                  </w:tcBorders>
                  <w:shd w:val="clear" w:color="000000" w:fill="FCD5B4"/>
                  <w:noWrap/>
                  <w:hideMark/>
                </w:tcPr>
                <w:p w14:paraId="2DE8FCCC" w14:textId="0EFD89A7"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0.90 </w:t>
                  </w:r>
                </w:p>
              </w:tc>
              <w:tc>
                <w:tcPr>
                  <w:tcW w:w="920" w:type="dxa"/>
                  <w:tcBorders>
                    <w:top w:val="nil"/>
                    <w:left w:val="nil"/>
                    <w:bottom w:val="single" w:sz="8" w:space="0" w:color="FFFFFF"/>
                    <w:right w:val="single" w:sz="8" w:space="0" w:color="FFFFFF"/>
                  </w:tcBorders>
                  <w:shd w:val="clear" w:color="000000" w:fill="FCD5B4"/>
                  <w:noWrap/>
                  <w:hideMark/>
                </w:tcPr>
                <w:p w14:paraId="5E36F15A" w14:textId="3B4AE39B"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1.15 </w:t>
                  </w:r>
                </w:p>
              </w:tc>
              <w:tc>
                <w:tcPr>
                  <w:tcW w:w="920" w:type="dxa"/>
                  <w:tcBorders>
                    <w:top w:val="nil"/>
                    <w:left w:val="nil"/>
                    <w:bottom w:val="single" w:sz="8" w:space="0" w:color="FFFFFF"/>
                    <w:right w:val="single" w:sz="8" w:space="0" w:color="FFFFFF"/>
                  </w:tcBorders>
                  <w:shd w:val="clear" w:color="000000" w:fill="FCD5B4"/>
                  <w:noWrap/>
                  <w:hideMark/>
                </w:tcPr>
                <w:p w14:paraId="7CD60254" w14:textId="05E529DA"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1.55 </w:t>
                  </w:r>
                </w:p>
              </w:tc>
              <w:tc>
                <w:tcPr>
                  <w:tcW w:w="920" w:type="dxa"/>
                  <w:tcBorders>
                    <w:top w:val="nil"/>
                    <w:left w:val="nil"/>
                    <w:bottom w:val="single" w:sz="8" w:space="0" w:color="FFFFFF"/>
                    <w:right w:val="single" w:sz="8" w:space="0" w:color="FFFFFF"/>
                  </w:tcBorders>
                  <w:shd w:val="clear" w:color="000000" w:fill="FCD5B4"/>
                  <w:noWrap/>
                  <w:hideMark/>
                </w:tcPr>
                <w:p w14:paraId="39243B4A" w14:textId="1E6BC7C9"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4.24 </w:t>
                  </w:r>
                </w:p>
              </w:tc>
            </w:tr>
            <w:tr w:rsidR="008A575D" w:rsidRPr="003F4793" w14:paraId="7406B1F6" w14:textId="77777777" w:rsidTr="00416E34">
              <w:trPr>
                <w:trHeight w:val="160"/>
              </w:trPr>
              <w:tc>
                <w:tcPr>
                  <w:tcW w:w="1309" w:type="dxa"/>
                  <w:tcBorders>
                    <w:top w:val="nil"/>
                    <w:left w:val="nil"/>
                    <w:bottom w:val="nil"/>
                    <w:right w:val="nil"/>
                  </w:tcBorders>
                  <w:shd w:val="clear" w:color="auto" w:fill="auto"/>
                  <w:noWrap/>
                  <w:hideMark/>
                </w:tcPr>
                <w:p w14:paraId="2190587C" w14:textId="77777777" w:rsidR="008A575D" w:rsidRPr="003F4793" w:rsidRDefault="008A575D" w:rsidP="008A575D">
                  <w:pPr>
                    <w:widowControl/>
                    <w:jc w:val="center"/>
                    <w:rPr>
                      <w:rFonts w:ascii="KaiTi" w:eastAsia="KaiTi" w:hAnsi="KaiTi" w:cs="Calibri"/>
                      <w:color w:val="000000"/>
                      <w:kern w:val="0"/>
                      <w:szCs w:val="21"/>
                    </w:rPr>
                  </w:pPr>
                </w:p>
              </w:tc>
              <w:tc>
                <w:tcPr>
                  <w:tcW w:w="740" w:type="dxa"/>
                  <w:tcBorders>
                    <w:top w:val="nil"/>
                    <w:left w:val="nil"/>
                    <w:bottom w:val="nil"/>
                    <w:right w:val="nil"/>
                  </w:tcBorders>
                  <w:shd w:val="clear" w:color="auto" w:fill="auto"/>
                  <w:noWrap/>
                  <w:hideMark/>
                </w:tcPr>
                <w:p w14:paraId="399F5F18" w14:textId="77777777" w:rsidR="008A575D" w:rsidRPr="003F4793" w:rsidRDefault="008A575D" w:rsidP="008A575D">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320FF196" w14:textId="77777777" w:rsidR="008A575D" w:rsidRPr="003F4793" w:rsidRDefault="008A575D" w:rsidP="008A575D">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28B3E77A" w14:textId="77777777" w:rsidR="008A575D" w:rsidRPr="003F4793" w:rsidRDefault="008A575D" w:rsidP="008A575D">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18C400F3" w14:textId="77777777" w:rsidR="008A575D" w:rsidRPr="003F4793" w:rsidRDefault="008A575D" w:rsidP="008A575D">
                  <w:pPr>
                    <w:widowControl/>
                    <w:jc w:val="center"/>
                    <w:rPr>
                      <w:rFonts w:ascii="KaiTi" w:eastAsia="KaiTi" w:hAnsi="KaiTi"/>
                      <w:kern w:val="0"/>
                      <w:sz w:val="20"/>
                      <w:szCs w:val="20"/>
                    </w:rPr>
                  </w:pPr>
                </w:p>
              </w:tc>
              <w:tc>
                <w:tcPr>
                  <w:tcW w:w="1149" w:type="dxa"/>
                  <w:tcBorders>
                    <w:top w:val="nil"/>
                    <w:left w:val="nil"/>
                    <w:bottom w:val="nil"/>
                    <w:right w:val="nil"/>
                  </w:tcBorders>
                  <w:shd w:val="clear" w:color="auto" w:fill="auto"/>
                  <w:noWrap/>
                  <w:hideMark/>
                </w:tcPr>
                <w:p w14:paraId="326524A6" w14:textId="77777777" w:rsidR="008A575D" w:rsidRPr="003F4793" w:rsidRDefault="008A575D" w:rsidP="008A575D">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6D3BBAE2" w14:textId="77777777" w:rsidR="008A575D" w:rsidRPr="003F4793" w:rsidRDefault="008A575D" w:rsidP="008A575D">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277D745A" w14:textId="77777777" w:rsidR="008A575D" w:rsidRPr="003F4793" w:rsidRDefault="008A575D" w:rsidP="008A575D">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12E56B1A" w14:textId="77777777" w:rsidR="008A575D" w:rsidRPr="003F4793" w:rsidRDefault="008A575D" w:rsidP="008A575D">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064A8616" w14:textId="77777777" w:rsidR="008A575D" w:rsidRPr="003F4793" w:rsidRDefault="008A575D" w:rsidP="008A575D">
                  <w:pPr>
                    <w:widowControl/>
                    <w:jc w:val="center"/>
                    <w:rPr>
                      <w:rFonts w:ascii="KaiTi" w:eastAsia="KaiTi" w:hAnsi="KaiTi"/>
                      <w:kern w:val="0"/>
                      <w:sz w:val="20"/>
                      <w:szCs w:val="20"/>
                    </w:rPr>
                  </w:pPr>
                </w:p>
              </w:tc>
            </w:tr>
            <w:tr w:rsidR="008A575D" w:rsidRPr="003F4793" w14:paraId="67AF4F87" w14:textId="77777777" w:rsidTr="00416E34">
              <w:trPr>
                <w:trHeight w:val="74"/>
              </w:trPr>
              <w:tc>
                <w:tcPr>
                  <w:tcW w:w="1309" w:type="dxa"/>
                  <w:tcBorders>
                    <w:top w:val="nil"/>
                    <w:left w:val="nil"/>
                    <w:bottom w:val="single" w:sz="12" w:space="0" w:color="FFFFFF"/>
                    <w:right w:val="single" w:sz="8" w:space="0" w:color="FFFFFF"/>
                  </w:tcBorders>
                  <w:shd w:val="clear" w:color="000000" w:fill="F79646"/>
                  <w:noWrap/>
                  <w:hideMark/>
                </w:tcPr>
                <w:p w14:paraId="3FE61E82" w14:textId="475DC984" w:rsidR="008A575D" w:rsidRPr="003F4793" w:rsidRDefault="008A575D" w:rsidP="008A575D">
                  <w:pPr>
                    <w:widowControl/>
                    <w:jc w:val="center"/>
                    <w:rPr>
                      <w:rFonts w:ascii="KaiTi" w:eastAsia="KaiTi" w:hAnsi="KaiTi" w:cs="宋体"/>
                      <w:b/>
                      <w:bCs/>
                      <w:color w:val="FFFFFF"/>
                      <w:kern w:val="0"/>
                      <w:sz w:val="20"/>
                      <w:szCs w:val="20"/>
                    </w:rPr>
                  </w:pPr>
                  <w:proofErr w:type="gramStart"/>
                  <w:r w:rsidRPr="00B73352">
                    <w:rPr>
                      <w:rFonts w:hint="eastAsia"/>
                    </w:rPr>
                    <w:t>周变化</w:t>
                  </w:r>
                  <w:proofErr w:type="gramEnd"/>
                  <w:r w:rsidRPr="00B73352">
                    <w:rPr>
                      <w:rFonts w:hint="eastAsia"/>
                    </w:rPr>
                    <w:t>(BP)</w:t>
                  </w:r>
                </w:p>
              </w:tc>
              <w:tc>
                <w:tcPr>
                  <w:tcW w:w="740" w:type="dxa"/>
                  <w:tcBorders>
                    <w:top w:val="nil"/>
                    <w:left w:val="nil"/>
                    <w:bottom w:val="single" w:sz="12" w:space="0" w:color="FFFFFF"/>
                    <w:right w:val="single" w:sz="8" w:space="0" w:color="FFFFFF"/>
                  </w:tcBorders>
                  <w:shd w:val="clear" w:color="000000" w:fill="F79646"/>
                  <w:noWrap/>
                  <w:hideMark/>
                </w:tcPr>
                <w:p w14:paraId="7A2D29AE" w14:textId="0D40D0E9"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AAA</w:t>
                  </w:r>
                </w:p>
              </w:tc>
              <w:tc>
                <w:tcPr>
                  <w:tcW w:w="920" w:type="dxa"/>
                  <w:tcBorders>
                    <w:top w:val="nil"/>
                    <w:left w:val="nil"/>
                    <w:bottom w:val="single" w:sz="12" w:space="0" w:color="FFFFFF"/>
                    <w:right w:val="single" w:sz="8" w:space="0" w:color="FFFFFF"/>
                  </w:tcBorders>
                  <w:shd w:val="clear" w:color="000000" w:fill="F79646"/>
                  <w:noWrap/>
                  <w:hideMark/>
                </w:tcPr>
                <w:p w14:paraId="31A4EADA" w14:textId="7E172F00"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1ED283BD" w14:textId="0A05570A"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0D14BBA3" w14:textId="44D8A717"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w:t>
                  </w:r>
                </w:p>
              </w:tc>
              <w:tc>
                <w:tcPr>
                  <w:tcW w:w="1149" w:type="dxa"/>
                  <w:tcBorders>
                    <w:top w:val="nil"/>
                    <w:left w:val="nil"/>
                    <w:bottom w:val="single" w:sz="12" w:space="0" w:color="FFFFFF"/>
                    <w:right w:val="single" w:sz="8" w:space="0" w:color="FFFFFF"/>
                  </w:tcBorders>
                  <w:shd w:val="clear" w:color="000000" w:fill="F79646"/>
                  <w:noWrap/>
                  <w:hideMark/>
                </w:tcPr>
                <w:p w14:paraId="6F6F04C0" w14:textId="780C8F8C"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息差</w:t>
                  </w:r>
                </w:p>
              </w:tc>
              <w:tc>
                <w:tcPr>
                  <w:tcW w:w="920" w:type="dxa"/>
                  <w:tcBorders>
                    <w:top w:val="nil"/>
                    <w:left w:val="nil"/>
                    <w:bottom w:val="single" w:sz="12" w:space="0" w:color="FFFFFF"/>
                    <w:right w:val="single" w:sz="8" w:space="0" w:color="FFFFFF"/>
                  </w:tcBorders>
                  <w:shd w:val="clear" w:color="000000" w:fill="F79646"/>
                  <w:noWrap/>
                  <w:hideMark/>
                </w:tcPr>
                <w:p w14:paraId="11161DDB" w14:textId="36333A5D"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AAA</w:t>
                  </w:r>
                </w:p>
              </w:tc>
              <w:tc>
                <w:tcPr>
                  <w:tcW w:w="920" w:type="dxa"/>
                  <w:tcBorders>
                    <w:top w:val="nil"/>
                    <w:left w:val="nil"/>
                    <w:bottom w:val="single" w:sz="12" w:space="0" w:color="FFFFFF"/>
                    <w:right w:val="single" w:sz="8" w:space="0" w:color="FFFFFF"/>
                  </w:tcBorders>
                  <w:shd w:val="clear" w:color="000000" w:fill="F79646"/>
                  <w:noWrap/>
                  <w:hideMark/>
                </w:tcPr>
                <w:p w14:paraId="188427D0" w14:textId="0F84AB8E"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20F81475" w14:textId="3ADE6948"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68358154" w14:textId="39852046"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w:t>
                  </w:r>
                </w:p>
              </w:tc>
            </w:tr>
            <w:tr w:rsidR="008A575D" w:rsidRPr="003F4793" w14:paraId="691FA2FB" w14:textId="77777777" w:rsidTr="00416E34">
              <w:trPr>
                <w:trHeight w:val="321"/>
              </w:trPr>
              <w:tc>
                <w:tcPr>
                  <w:tcW w:w="1309" w:type="dxa"/>
                  <w:tcBorders>
                    <w:top w:val="nil"/>
                    <w:left w:val="nil"/>
                    <w:bottom w:val="single" w:sz="8" w:space="0" w:color="FFFFFF"/>
                    <w:right w:val="single" w:sz="8" w:space="0" w:color="FFFFFF"/>
                  </w:tcBorders>
                  <w:shd w:val="clear" w:color="000000" w:fill="FCD5B4"/>
                  <w:noWrap/>
                  <w:hideMark/>
                </w:tcPr>
                <w:p w14:paraId="4B8AC9FB" w14:textId="39B94530" w:rsidR="008A575D" w:rsidRPr="003F4793" w:rsidRDefault="008A575D" w:rsidP="008A575D">
                  <w:pPr>
                    <w:widowControl/>
                    <w:jc w:val="center"/>
                    <w:rPr>
                      <w:rFonts w:ascii="KaiTi" w:eastAsia="KaiTi" w:hAnsi="KaiTi" w:cs="宋体"/>
                      <w:color w:val="000000"/>
                      <w:kern w:val="0"/>
                      <w:sz w:val="20"/>
                      <w:szCs w:val="20"/>
                    </w:rPr>
                  </w:pPr>
                  <w:r w:rsidRPr="00B73352">
                    <w:t>CP</w:t>
                  </w:r>
                </w:p>
              </w:tc>
              <w:tc>
                <w:tcPr>
                  <w:tcW w:w="740" w:type="dxa"/>
                  <w:tcBorders>
                    <w:top w:val="nil"/>
                    <w:left w:val="nil"/>
                    <w:bottom w:val="single" w:sz="8" w:space="0" w:color="FFFFFF"/>
                    <w:right w:val="single" w:sz="8" w:space="0" w:color="FFFFFF"/>
                  </w:tcBorders>
                  <w:shd w:val="clear" w:color="000000" w:fill="FCD5B4"/>
                  <w:noWrap/>
                  <w:hideMark/>
                </w:tcPr>
                <w:p w14:paraId="26737727" w14:textId="00A5FEC1" w:rsidR="008A575D" w:rsidRPr="003F4793" w:rsidRDefault="008A575D" w:rsidP="008A575D">
                  <w:pPr>
                    <w:widowControl/>
                    <w:jc w:val="center"/>
                    <w:rPr>
                      <w:rFonts w:ascii="KaiTi" w:eastAsia="KaiTi" w:hAnsi="KaiTi" w:cs="Calibri"/>
                      <w:color w:val="000000"/>
                      <w:kern w:val="0"/>
                      <w:szCs w:val="21"/>
                    </w:rPr>
                  </w:pPr>
                  <w:r w:rsidRPr="00B73352">
                    <w:t xml:space="preserve">15.8 </w:t>
                  </w:r>
                </w:p>
              </w:tc>
              <w:tc>
                <w:tcPr>
                  <w:tcW w:w="920" w:type="dxa"/>
                  <w:tcBorders>
                    <w:top w:val="nil"/>
                    <w:left w:val="nil"/>
                    <w:bottom w:val="single" w:sz="8" w:space="0" w:color="FFFFFF"/>
                    <w:right w:val="single" w:sz="8" w:space="0" w:color="FFFFFF"/>
                  </w:tcBorders>
                  <w:shd w:val="clear" w:color="000000" w:fill="FCD5B4"/>
                  <w:noWrap/>
                  <w:hideMark/>
                </w:tcPr>
                <w:p w14:paraId="36AEEC42" w14:textId="362CD53F" w:rsidR="008A575D" w:rsidRPr="003F4793" w:rsidRDefault="008A575D" w:rsidP="008A575D">
                  <w:pPr>
                    <w:widowControl/>
                    <w:jc w:val="center"/>
                    <w:rPr>
                      <w:rFonts w:ascii="KaiTi" w:eastAsia="KaiTi" w:hAnsi="KaiTi" w:cs="Calibri"/>
                      <w:color w:val="000000"/>
                      <w:kern w:val="0"/>
                      <w:szCs w:val="21"/>
                    </w:rPr>
                  </w:pPr>
                  <w:r w:rsidRPr="00B73352">
                    <w:t xml:space="preserve">19.8 </w:t>
                  </w:r>
                </w:p>
              </w:tc>
              <w:tc>
                <w:tcPr>
                  <w:tcW w:w="920" w:type="dxa"/>
                  <w:tcBorders>
                    <w:top w:val="nil"/>
                    <w:left w:val="nil"/>
                    <w:bottom w:val="single" w:sz="8" w:space="0" w:color="FFFFFF"/>
                    <w:right w:val="single" w:sz="8" w:space="0" w:color="FFFFFF"/>
                  </w:tcBorders>
                  <w:shd w:val="clear" w:color="000000" w:fill="FCD5B4"/>
                  <w:noWrap/>
                  <w:hideMark/>
                </w:tcPr>
                <w:p w14:paraId="6FAA78B0" w14:textId="4EBD4FB9" w:rsidR="008A575D" w:rsidRPr="003F4793" w:rsidRDefault="008A575D" w:rsidP="008A575D">
                  <w:pPr>
                    <w:widowControl/>
                    <w:jc w:val="center"/>
                    <w:rPr>
                      <w:rFonts w:ascii="KaiTi" w:eastAsia="KaiTi" w:hAnsi="KaiTi" w:cs="Calibri"/>
                      <w:color w:val="000000"/>
                      <w:kern w:val="0"/>
                      <w:szCs w:val="21"/>
                    </w:rPr>
                  </w:pPr>
                  <w:r w:rsidRPr="00B73352">
                    <w:t xml:space="preserve">16.8 </w:t>
                  </w:r>
                </w:p>
              </w:tc>
              <w:tc>
                <w:tcPr>
                  <w:tcW w:w="920" w:type="dxa"/>
                  <w:tcBorders>
                    <w:top w:val="nil"/>
                    <w:left w:val="nil"/>
                    <w:bottom w:val="single" w:sz="8" w:space="0" w:color="FFFFFF"/>
                    <w:right w:val="single" w:sz="8" w:space="0" w:color="FFFFFF"/>
                  </w:tcBorders>
                  <w:shd w:val="clear" w:color="000000" w:fill="FCD5B4"/>
                  <w:noWrap/>
                  <w:hideMark/>
                </w:tcPr>
                <w:p w14:paraId="79E4FA89" w14:textId="08CFE6CA" w:rsidR="008A575D" w:rsidRPr="003F4793" w:rsidRDefault="008A575D" w:rsidP="008A575D">
                  <w:pPr>
                    <w:widowControl/>
                    <w:jc w:val="center"/>
                    <w:rPr>
                      <w:rFonts w:ascii="KaiTi" w:eastAsia="KaiTi" w:hAnsi="KaiTi" w:cs="Calibri"/>
                      <w:color w:val="000000"/>
                      <w:kern w:val="0"/>
                      <w:szCs w:val="21"/>
                    </w:rPr>
                  </w:pPr>
                  <w:r w:rsidRPr="00B73352">
                    <w:t xml:space="preserve">15.8 </w:t>
                  </w:r>
                </w:p>
              </w:tc>
              <w:tc>
                <w:tcPr>
                  <w:tcW w:w="1149" w:type="dxa"/>
                  <w:tcBorders>
                    <w:top w:val="nil"/>
                    <w:left w:val="nil"/>
                    <w:bottom w:val="single" w:sz="8" w:space="0" w:color="FFFFFF"/>
                    <w:right w:val="single" w:sz="8" w:space="0" w:color="FFFFFF"/>
                  </w:tcBorders>
                  <w:shd w:val="clear" w:color="000000" w:fill="FCD5B4"/>
                  <w:noWrap/>
                  <w:hideMark/>
                </w:tcPr>
                <w:p w14:paraId="606C4AAF" w14:textId="5CEE343B" w:rsidR="008A575D" w:rsidRPr="003F4793" w:rsidRDefault="008A575D" w:rsidP="008A575D">
                  <w:pPr>
                    <w:widowControl/>
                    <w:jc w:val="center"/>
                    <w:rPr>
                      <w:rFonts w:ascii="KaiTi" w:eastAsia="KaiTi" w:hAnsi="KaiTi" w:cs="宋体"/>
                      <w:color w:val="000000"/>
                      <w:kern w:val="0"/>
                      <w:sz w:val="20"/>
                      <w:szCs w:val="20"/>
                    </w:rPr>
                  </w:pPr>
                  <w:r w:rsidRPr="00B73352">
                    <w:t>CP</w:t>
                  </w:r>
                </w:p>
              </w:tc>
              <w:tc>
                <w:tcPr>
                  <w:tcW w:w="920" w:type="dxa"/>
                  <w:tcBorders>
                    <w:top w:val="nil"/>
                    <w:left w:val="nil"/>
                    <w:bottom w:val="single" w:sz="8" w:space="0" w:color="FFFFFF"/>
                    <w:right w:val="single" w:sz="8" w:space="0" w:color="FFFFFF"/>
                  </w:tcBorders>
                  <w:shd w:val="clear" w:color="000000" w:fill="FCD5B4"/>
                  <w:noWrap/>
                  <w:hideMark/>
                </w:tcPr>
                <w:p w14:paraId="357A1196" w14:textId="4AC8E32B" w:rsidR="008A575D" w:rsidRPr="003F4793" w:rsidRDefault="008A575D" w:rsidP="008A575D">
                  <w:pPr>
                    <w:widowControl/>
                    <w:jc w:val="center"/>
                    <w:rPr>
                      <w:rFonts w:ascii="KaiTi" w:eastAsia="KaiTi" w:hAnsi="KaiTi" w:cs="Calibri"/>
                      <w:color w:val="000000"/>
                      <w:kern w:val="0"/>
                      <w:szCs w:val="21"/>
                    </w:rPr>
                  </w:pPr>
                  <w:r w:rsidRPr="00B73352">
                    <w:t xml:space="preserve">14.9 </w:t>
                  </w:r>
                </w:p>
              </w:tc>
              <w:tc>
                <w:tcPr>
                  <w:tcW w:w="920" w:type="dxa"/>
                  <w:tcBorders>
                    <w:top w:val="nil"/>
                    <w:left w:val="nil"/>
                    <w:bottom w:val="single" w:sz="8" w:space="0" w:color="FFFFFF"/>
                    <w:right w:val="single" w:sz="8" w:space="0" w:color="FFFFFF"/>
                  </w:tcBorders>
                  <w:shd w:val="clear" w:color="000000" w:fill="FCD5B4"/>
                  <w:noWrap/>
                  <w:hideMark/>
                </w:tcPr>
                <w:p w14:paraId="2701848E" w14:textId="33FE2A3F" w:rsidR="008A575D" w:rsidRPr="003F4793" w:rsidRDefault="008A575D" w:rsidP="008A575D">
                  <w:pPr>
                    <w:widowControl/>
                    <w:jc w:val="center"/>
                    <w:rPr>
                      <w:rFonts w:ascii="KaiTi" w:eastAsia="KaiTi" w:hAnsi="KaiTi" w:cs="Calibri"/>
                      <w:color w:val="000000"/>
                      <w:kern w:val="0"/>
                      <w:szCs w:val="21"/>
                    </w:rPr>
                  </w:pPr>
                  <w:r w:rsidRPr="00B73352">
                    <w:t xml:space="preserve">18.9 </w:t>
                  </w:r>
                </w:p>
              </w:tc>
              <w:tc>
                <w:tcPr>
                  <w:tcW w:w="920" w:type="dxa"/>
                  <w:tcBorders>
                    <w:top w:val="nil"/>
                    <w:left w:val="nil"/>
                    <w:bottom w:val="single" w:sz="8" w:space="0" w:color="FFFFFF"/>
                    <w:right w:val="single" w:sz="8" w:space="0" w:color="FFFFFF"/>
                  </w:tcBorders>
                  <w:shd w:val="clear" w:color="000000" w:fill="FCD5B4"/>
                  <w:noWrap/>
                  <w:hideMark/>
                </w:tcPr>
                <w:p w14:paraId="004705FE" w14:textId="0BA9B175" w:rsidR="008A575D" w:rsidRPr="003F4793" w:rsidRDefault="008A575D" w:rsidP="008A575D">
                  <w:pPr>
                    <w:widowControl/>
                    <w:jc w:val="center"/>
                    <w:rPr>
                      <w:rFonts w:ascii="KaiTi" w:eastAsia="KaiTi" w:hAnsi="KaiTi" w:cs="Calibri"/>
                      <w:color w:val="000000"/>
                      <w:kern w:val="0"/>
                      <w:szCs w:val="21"/>
                    </w:rPr>
                  </w:pPr>
                  <w:r w:rsidRPr="00B73352">
                    <w:t xml:space="preserve">15.9 </w:t>
                  </w:r>
                </w:p>
              </w:tc>
              <w:tc>
                <w:tcPr>
                  <w:tcW w:w="920" w:type="dxa"/>
                  <w:tcBorders>
                    <w:top w:val="nil"/>
                    <w:left w:val="nil"/>
                    <w:bottom w:val="single" w:sz="8" w:space="0" w:color="FFFFFF"/>
                    <w:right w:val="single" w:sz="8" w:space="0" w:color="FFFFFF"/>
                  </w:tcBorders>
                  <w:shd w:val="clear" w:color="000000" w:fill="FCD5B4"/>
                  <w:noWrap/>
                  <w:hideMark/>
                </w:tcPr>
                <w:p w14:paraId="3FBDA2E9" w14:textId="713A9275" w:rsidR="008A575D" w:rsidRPr="003F4793" w:rsidRDefault="008A575D" w:rsidP="008A575D">
                  <w:pPr>
                    <w:widowControl/>
                    <w:jc w:val="center"/>
                    <w:rPr>
                      <w:rFonts w:ascii="KaiTi" w:eastAsia="KaiTi" w:hAnsi="KaiTi" w:cs="Calibri"/>
                      <w:color w:val="000000"/>
                      <w:kern w:val="0"/>
                      <w:szCs w:val="21"/>
                    </w:rPr>
                  </w:pPr>
                  <w:r w:rsidRPr="00B73352">
                    <w:t xml:space="preserve">14.9 </w:t>
                  </w:r>
                </w:p>
              </w:tc>
            </w:tr>
            <w:tr w:rsidR="008A575D" w:rsidRPr="003F4793" w14:paraId="497D4922" w14:textId="77777777" w:rsidTr="00416E34">
              <w:trPr>
                <w:trHeight w:val="310"/>
              </w:trPr>
              <w:tc>
                <w:tcPr>
                  <w:tcW w:w="1309" w:type="dxa"/>
                  <w:tcBorders>
                    <w:top w:val="nil"/>
                    <w:left w:val="nil"/>
                    <w:bottom w:val="single" w:sz="8" w:space="0" w:color="FFFFFF"/>
                    <w:right w:val="single" w:sz="8" w:space="0" w:color="FFFFFF"/>
                  </w:tcBorders>
                  <w:shd w:val="clear" w:color="000000" w:fill="FDE9D9"/>
                  <w:noWrap/>
                  <w:hideMark/>
                </w:tcPr>
                <w:p w14:paraId="7DBC5358" w14:textId="0C64A77A" w:rsidR="008A575D" w:rsidRPr="003F4793" w:rsidRDefault="008A575D" w:rsidP="008A575D">
                  <w:pPr>
                    <w:widowControl/>
                    <w:jc w:val="center"/>
                    <w:rPr>
                      <w:rFonts w:ascii="KaiTi" w:eastAsia="KaiTi" w:hAnsi="KaiTi" w:cs="宋体"/>
                      <w:color w:val="000000"/>
                      <w:kern w:val="0"/>
                      <w:sz w:val="20"/>
                      <w:szCs w:val="20"/>
                    </w:rPr>
                  </w:pPr>
                  <w:r w:rsidRPr="00B73352">
                    <w:t>MTN3Y</w:t>
                  </w:r>
                </w:p>
              </w:tc>
              <w:tc>
                <w:tcPr>
                  <w:tcW w:w="740" w:type="dxa"/>
                  <w:tcBorders>
                    <w:top w:val="nil"/>
                    <w:left w:val="nil"/>
                    <w:bottom w:val="single" w:sz="8" w:space="0" w:color="FFFFFF"/>
                    <w:right w:val="single" w:sz="8" w:space="0" w:color="FFFFFF"/>
                  </w:tcBorders>
                  <w:shd w:val="clear" w:color="000000" w:fill="FDE9D9"/>
                  <w:noWrap/>
                  <w:hideMark/>
                </w:tcPr>
                <w:p w14:paraId="3CD640D8" w14:textId="304045F5" w:rsidR="008A575D" w:rsidRPr="003F4793" w:rsidRDefault="008A575D" w:rsidP="008A575D">
                  <w:pPr>
                    <w:widowControl/>
                    <w:jc w:val="center"/>
                    <w:rPr>
                      <w:rFonts w:ascii="KaiTi" w:eastAsia="KaiTi" w:hAnsi="KaiTi" w:cs="Calibri"/>
                      <w:color w:val="000000"/>
                      <w:kern w:val="0"/>
                      <w:szCs w:val="21"/>
                    </w:rPr>
                  </w:pPr>
                  <w:r w:rsidRPr="00B73352">
                    <w:t xml:space="preserve">9.4 </w:t>
                  </w:r>
                </w:p>
              </w:tc>
              <w:tc>
                <w:tcPr>
                  <w:tcW w:w="920" w:type="dxa"/>
                  <w:tcBorders>
                    <w:top w:val="nil"/>
                    <w:left w:val="nil"/>
                    <w:bottom w:val="single" w:sz="8" w:space="0" w:color="FFFFFF"/>
                    <w:right w:val="single" w:sz="8" w:space="0" w:color="FFFFFF"/>
                  </w:tcBorders>
                  <w:shd w:val="clear" w:color="000000" w:fill="FDE9D9"/>
                  <w:noWrap/>
                  <w:hideMark/>
                </w:tcPr>
                <w:p w14:paraId="02826B46" w14:textId="267FFDF4" w:rsidR="008A575D" w:rsidRPr="003F4793" w:rsidRDefault="008A575D" w:rsidP="008A575D">
                  <w:pPr>
                    <w:widowControl/>
                    <w:jc w:val="center"/>
                    <w:rPr>
                      <w:rFonts w:ascii="KaiTi" w:eastAsia="KaiTi" w:hAnsi="KaiTi" w:cs="Calibri"/>
                      <w:color w:val="000000"/>
                      <w:kern w:val="0"/>
                      <w:szCs w:val="21"/>
                    </w:rPr>
                  </w:pPr>
                  <w:r w:rsidRPr="00B73352">
                    <w:t xml:space="preserve">11.4 </w:t>
                  </w:r>
                </w:p>
              </w:tc>
              <w:tc>
                <w:tcPr>
                  <w:tcW w:w="920" w:type="dxa"/>
                  <w:tcBorders>
                    <w:top w:val="nil"/>
                    <w:left w:val="nil"/>
                    <w:bottom w:val="single" w:sz="8" w:space="0" w:color="FFFFFF"/>
                    <w:right w:val="single" w:sz="8" w:space="0" w:color="FFFFFF"/>
                  </w:tcBorders>
                  <w:shd w:val="clear" w:color="000000" w:fill="FDE9D9"/>
                  <w:noWrap/>
                  <w:hideMark/>
                </w:tcPr>
                <w:p w14:paraId="605A16DF" w14:textId="4CD06A75" w:rsidR="008A575D" w:rsidRPr="003F4793" w:rsidRDefault="008A575D" w:rsidP="008A575D">
                  <w:pPr>
                    <w:widowControl/>
                    <w:jc w:val="center"/>
                    <w:rPr>
                      <w:rFonts w:ascii="KaiTi" w:eastAsia="KaiTi" w:hAnsi="KaiTi" w:cs="Calibri"/>
                      <w:color w:val="000000"/>
                      <w:kern w:val="0"/>
                      <w:szCs w:val="21"/>
                    </w:rPr>
                  </w:pPr>
                  <w:r w:rsidRPr="00B73352">
                    <w:t xml:space="preserve">11.4 </w:t>
                  </w:r>
                </w:p>
              </w:tc>
              <w:tc>
                <w:tcPr>
                  <w:tcW w:w="920" w:type="dxa"/>
                  <w:tcBorders>
                    <w:top w:val="nil"/>
                    <w:left w:val="nil"/>
                    <w:bottom w:val="single" w:sz="8" w:space="0" w:color="FFFFFF"/>
                    <w:right w:val="single" w:sz="8" w:space="0" w:color="FFFFFF"/>
                  </w:tcBorders>
                  <w:shd w:val="clear" w:color="000000" w:fill="FDE9D9"/>
                  <w:noWrap/>
                  <w:hideMark/>
                </w:tcPr>
                <w:p w14:paraId="7B2C5CED" w14:textId="3ED67023" w:rsidR="008A575D" w:rsidRPr="003F4793" w:rsidRDefault="008A575D" w:rsidP="008A575D">
                  <w:pPr>
                    <w:widowControl/>
                    <w:jc w:val="center"/>
                    <w:rPr>
                      <w:rFonts w:ascii="KaiTi" w:eastAsia="KaiTi" w:hAnsi="KaiTi" w:cs="Calibri"/>
                      <w:color w:val="000000"/>
                      <w:kern w:val="0"/>
                      <w:szCs w:val="21"/>
                    </w:rPr>
                  </w:pPr>
                  <w:r w:rsidRPr="00B73352">
                    <w:t xml:space="preserve">12.4 </w:t>
                  </w:r>
                </w:p>
              </w:tc>
              <w:tc>
                <w:tcPr>
                  <w:tcW w:w="1149" w:type="dxa"/>
                  <w:tcBorders>
                    <w:top w:val="nil"/>
                    <w:left w:val="nil"/>
                    <w:bottom w:val="single" w:sz="8" w:space="0" w:color="FFFFFF"/>
                    <w:right w:val="single" w:sz="8" w:space="0" w:color="FFFFFF"/>
                  </w:tcBorders>
                  <w:shd w:val="clear" w:color="000000" w:fill="FDE9D9"/>
                  <w:noWrap/>
                  <w:hideMark/>
                </w:tcPr>
                <w:p w14:paraId="6FF5E0DD" w14:textId="56614C1F" w:rsidR="008A575D" w:rsidRPr="003F4793" w:rsidRDefault="008A575D" w:rsidP="008A575D">
                  <w:pPr>
                    <w:widowControl/>
                    <w:jc w:val="center"/>
                    <w:rPr>
                      <w:rFonts w:ascii="KaiTi" w:eastAsia="KaiTi" w:hAnsi="KaiTi" w:cs="宋体"/>
                      <w:color w:val="000000"/>
                      <w:kern w:val="0"/>
                      <w:sz w:val="20"/>
                      <w:szCs w:val="20"/>
                    </w:rPr>
                  </w:pPr>
                  <w:r w:rsidRPr="00B73352">
                    <w:t>MTN3Y</w:t>
                  </w:r>
                </w:p>
              </w:tc>
              <w:tc>
                <w:tcPr>
                  <w:tcW w:w="920" w:type="dxa"/>
                  <w:tcBorders>
                    <w:top w:val="nil"/>
                    <w:left w:val="nil"/>
                    <w:bottom w:val="single" w:sz="8" w:space="0" w:color="FFFFFF"/>
                    <w:right w:val="single" w:sz="8" w:space="0" w:color="FFFFFF"/>
                  </w:tcBorders>
                  <w:shd w:val="clear" w:color="000000" w:fill="FDE9D9"/>
                  <w:noWrap/>
                  <w:hideMark/>
                </w:tcPr>
                <w:p w14:paraId="46C0665C" w14:textId="64D7C557" w:rsidR="008A575D" w:rsidRPr="003F4793" w:rsidRDefault="008A575D" w:rsidP="008A575D">
                  <w:pPr>
                    <w:widowControl/>
                    <w:jc w:val="center"/>
                    <w:rPr>
                      <w:rFonts w:ascii="KaiTi" w:eastAsia="KaiTi" w:hAnsi="KaiTi" w:cs="Calibri"/>
                      <w:color w:val="000000"/>
                      <w:kern w:val="0"/>
                      <w:szCs w:val="21"/>
                    </w:rPr>
                  </w:pPr>
                  <w:r w:rsidRPr="00B73352">
                    <w:t xml:space="preserve">14.5 </w:t>
                  </w:r>
                </w:p>
              </w:tc>
              <w:tc>
                <w:tcPr>
                  <w:tcW w:w="920" w:type="dxa"/>
                  <w:tcBorders>
                    <w:top w:val="nil"/>
                    <w:left w:val="nil"/>
                    <w:bottom w:val="single" w:sz="8" w:space="0" w:color="FFFFFF"/>
                    <w:right w:val="single" w:sz="8" w:space="0" w:color="FFFFFF"/>
                  </w:tcBorders>
                  <w:shd w:val="clear" w:color="000000" w:fill="FDE9D9"/>
                  <w:noWrap/>
                  <w:hideMark/>
                </w:tcPr>
                <w:p w14:paraId="5E23BCCC" w14:textId="420BF453" w:rsidR="008A575D" w:rsidRPr="003F4793" w:rsidRDefault="008A575D" w:rsidP="008A575D">
                  <w:pPr>
                    <w:widowControl/>
                    <w:jc w:val="center"/>
                    <w:rPr>
                      <w:rFonts w:ascii="KaiTi" w:eastAsia="KaiTi" w:hAnsi="KaiTi" w:cs="Calibri"/>
                      <w:color w:val="000000"/>
                      <w:kern w:val="0"/>
                      <w:szCs w:val="21"/>
                    </w:rPr>
                  </w:pPr>
                  <w:r w:rsidRPr="00B73352">
                    <w:t xml:space="preserve">16.5 </w:t>
                  </w:r>
                </w:p>
              </w:tc>
              <w:tc>
                <w:tcPr>
                  <w:tcW w:w="920" w:type="dxa"/>
                  <w:tcBorders>
                    <w:top w:val="nil"/>
                    <w:left w:val="nil"/>
                    <w:bottom w:val="single" w:sz="8" w:space="0" w:color="FFFFFF"/>
                    <w:right w:val="single" w:sz="8" w:space="0" w:color="FFFFFF"/>
                  </w:tcBorders>
                  <w:shd w:val="clear" w:color="000000" w:fill="FDE9D9"/>
                  <w:noWrap/>
                  <w:hideMark/>
                </w:tcPr>
                <w:p w14:paraId="1C0ED519" w14:textId="6F37B583" w:rsidR="008A575D" w:rsidRPr="003F4793" w:rsidRDefault="008A575D" w:rsidP="008A575D">
                  <w:pPr>
                    <w:widowControl/>
                    <w:jc w:val="center"/>
                    <w:rPr>
                      <w:rFonts w:ascii="KaiTi" w:eastAsia="KaiTi" w:hAnsi="KaiTi" w:cs="Calibri"/>
                      <w:color w:val="000000"/>
                      <w:kern w:val="0"/>
                      <w:szCs w:val="21"/>
                    </w:rPr>
                  </w:pPr>
                  <w:r w:rsidRPr="00B73352">
                    <w:t xml:space="preserve">16.5 </w:t>
                  </w:r>
                </w:p>
              </w:tc>
              <w:tc>
                <w:tcPr>
                  <w:tcW w:w="920" w:type="dxa"/>
                  <w:tcBorders>
                    <w:top w:val="nil"/>
                    <w:left w:val="nil"/>
                    <w:bottom w:val="single" w:sz="8" w:space="0" w:color="FFFFFF"/>
                    <w:right w:val="single" w:sz="8" w:space="0" w:color="FFFFFF"/>
                  </w:tcBorders>
                  <w:shd w:val="clear" w:color="000000" w:fill="FDE9D9"/>
                  <w:noWrap/>
                  <w:hideMark/>
                </w:tcPr>
                <w:p w14:paraId="0011E4A5" w14:textId="49477A27" w:rsidR="008A575D" w:rsidRPr="003F4793" w:rsidRDefault="008A575D" w:rsidP="008A575D">
                  <w:pPr>
                    <w:widowControl/>
                    <w:jc w:val="center"/>
                    <w:rPr>
                      <w:rFonts w:ascii="KaiTi" w:eastAsia="KaiTi" w:hAnsi="KaiTi" w:cs="Calibri"/>
                      <w:color w:val="000000"/>
                      <w:kern w:val="0"/>
                      <w:szCs w:val="21"/>
                    </w:rPr>
                  </w:pPr>
                  <w:r w:rsidRPr="00B73352">
                    <w:t xml:space="preserve">17.5 </w:t>
                  </w:r>
                </w:p>
              </w:tc>
            </w:tr>
            <w:tr w:rsidR="008A575D" w:rsidRPr="003F4793" w14:paraId="0CE9EDD9" w14:textId="77777777" w:rsidTr="00416E34">
              <w:trPr>
                <w:trHeight w:val="310"/>
              </w:trPr>
              <w:tc>
                <w:tcPr>
                  <w:tcW w:w="1309" w:type="dxa"/>
                  <w:tcBorders>
                    <w:top w:val="nil"/>
                    <w:left w:val="nil"/>
                    <w:bottom w:val="single" w:sz="8" w:space="0" w:color="FFFFFF"/>
                    <w:right w:val="single" w:sz="8" w:space="0" w:color="FFFFFF"/>
                  </w:tcBorders>
                  <w:shd w:val="clear" w:color="000000" w:fill="FCD5B4"/>
                  <w:noWrap/>
                  <w:hideMark/>
                </w:tcPr>
                <w:p w14:paraId="666B8A39" w14:textId="0B38351E" w:rsidR="008A575D" w:rsidRPr="003F4793" w:rsidRDefault="008A575D" w:rsidP="008A575D">
                  <w:pPr>
                    <w:widowControl/>
                    <w:jc w:val="center"/>
                    <w:rPr>
                      <w:rFonts w:ascii="KaiTi" w:eastAsia="KaiTi" w:hAnsi="KaiTi" w:cs="宋体"/>
                      <w:color w:val="000000"/>
                      <w:kern w:val="0"/>
                      <w:sz w:val="20"/>
                      <w:szCs w:val="20"/>
                    </w:rPr>
                  </w:pPr>
                  <w:r w:rsidRPr="00B73352">
                    <w:t>MTN5Y</w:t>
                  </w:r>
                </w:p>
              </w:tc>
              <w:tc>
                <w:tcPr>
                  <w:tcW w:w="740" w:type="dxa"/>
                  <w:tcBorders>
                    <w:top w:val="nil"/>
                    <w:left w:val="nil"/>
                    <w:bottom w:val="single" w:sz="8" w:space="0" w:color="FFFFFF"/>
                    <w:right w:val="single" w:sz="8" w:space="0" w:color="FFFFFF"/>
                  </w:tcBorders>
                  <w:shd w:val="clear" w:color="000000" w:fill="FCD5B4"/>
                  <w:noWrap/>
                  <w:hideMark/>
                </w:tcPr>
                <w:p w14:paraId="46A29143" w14:textId="58704B61" w:rsidR="008A575D" w:rsidRPr="003F4793" w:rsidRDefault="008A575D" w:rsidP="008A575D">
                  <w:pPr>
                    <w:widowControl/>
                    <w:jc w:val="center"/>
                    <w:rPr>
                      <w:rFonts w:ascii="KaiTi" w:eastAsia="KaiTi" w:hAnsi="KaiTi" w:cs="Calibri"/>
                      <w:color w:val="000000"/>
                      <w:kern w:val="0"/>
                      <w:szCs w:val="21"/>
                    </w:rPr>
                  </w:pPr>
                  <w:r w:rsidRPr="00B73352">
                    <w:t xml:space="preserve">10.8 </w:t>
                  </w:r>
                </w:p>
              </w:tc>
              <w:tc>
                <w:tcPr>
                  <w:tcW w:w="920" w:type="dxa"/>
                  <w:tcBorders>
                    <w:top w:val="nil"/>
                    <w:left w:val="nil"/>
                    <w:bottom w:val="single" w:sz="8" w:space="0" w:color="FFFFFF"/>
                    <w:right w:val="single" w:sz="8" w:space="0" w:color="FFFFFF"/>
                  </w:tcBorders>
                  <w:shd w:val="clear" w:color="000000" w:fill="FCD5B4"/>
                  <w:noWrap/>
                  <w:hideMark/>
                </w:tcPr>
                <w:p w14:paraId="65AB8809" w14:textId="5477A5D2" w:rsidR="008A575D" w:rsidRPr="003F4793" w:rsidRDefault="008A575D" w:rsidP="008A575D">
                  <w:pPr>
                    <w:widowControl/>
                    <w:jc w:val="center"/>
                    <w:rPr>
                      <w:rFonts w:ascii="KaiTi" w:eastAsia="KaiTi" w:hAnsi="KaiTi" w:cs="Calibri"/>
                      <w:color w:val="000000"/>
                      <w:kern w:val="0"/>
                      <w:szCs w:val="21"/>
                    </w:rPr>
                  </w:pPr>
                  <w:r w:rsidRPr="00B73352">
                    <w:t xml:space="preserve">9.8 </w:t>
                  </w:r>
                </w:p>
              </w:tc>
              <w:tc>
                <w:tcPr>
                  <w:tcW w:w="920" w:type="dxa"/>
                  <w:tcBorders>
                    <w:top w:val="nil"/>
                    <w:left w:val="nil"/>
                    <w:bottom w:val="single" w:sz="8" w:space="0" w:color="FFFFFF"/>
                    <w:right w:val="single" w:sz="8" w:space="0" w:color="FFFFFF"/>
                  </w:tcBorders>
                  <w:shd w:val="clear" w:color="000000" w:fill="FCD5B4"/>
                  <w:noWrap/>
                  <w:hideMark/>
                </w:tcPr>
                <w:p w14:paraId="008EB32A" w14:textId="5101F02F" w:rsidR="008A575D" w:rsidRPr="003F4793" w:rsidRDefault="008A575D" w:rsidP="008A575D">
                  <w:pPr>
                    <w:widowControl/>
                    <w:jc w:val="center"/>
                    <w:rPr>
                      <w:rFonts w:ascii="KaiTi" w:eastAsia="KaiTi" w:hAnsi="KaiTi" w:cs="Calibri"/>
                      <w:color w:val="000000"/>
                      <w:kern w:val="0"/>
                      <w:szCs w:val="21"/>
                    </w:rPr>
                  </w:pPr>
                  <w:r w:rsidRPr="00B73352">
                    <w:t xml:space="preserve">9.8 </w:t>
                  </w:r>
                </w:p>
              </w:tc>
              <w:tc>
                <w:tcPr>
                  <w:tcW w:w="920" w:type="dxa"/>
                  <w:tcBorders>
                    <w:top w:val="nil"/>
                    <w:left w:val="nil"/>
                    <w:bottom w:val="single" w:sz="8" w:space="0" w:color="FFFFFF"/>
                    <w:right w:val="single" w:sz="8" w:space="0" w:color="FFFFFF"/>
                  </w:tcBorders>
                  <w:shd w:val="clear" w:color="000000" w:fill="FCD5B4"/>
                  <w:noWrap/>
                  <w:hideMark/>
                </w:tcPr>
                <w:p w14:paraId="7D7C0954" w14:textId="7F9DB3AA" w:rsidR="008A575D" w:rsidRPr="003F4793" w:rsidRDefault="008A575D" w:rsidP="008A575D">
                  <w:pPr>
                    <w:widowControl/>
                    <w:jc w:val="center"/>
                    <w:rPr>
                      <w:rFonts w:ascii="KaiTi" w:eastAsia="KaiTi" w:hAnsi="KaiTi" w:cs="Calibri"/>
                      <w:color w:val="000000"/>
                      <w:kern w:val="0"/>
                      <w:szCs w:val="21"/>
                    </w:rPr>
                  </w:pPr>
                  <w:r w:rsidRPr="00B73352">
                    <w:t xml:space="preserve">10.8 </w:t>
                  </w:r>
                </w:p>
              </w:tc>
              <w:tc>
                <w:tcPr>
                  <w:tcW w:w="1149" w:type="dxa"/>
                  <w:tcBorders>
                    <w:top w:val="nil"/>
                    <w:left w:val="nil"/>
                    <w:bottom w:val="single" w:sz="8" w:space="0" w:color="FFFFFF"/>
                    <w:right w:val="single" w:sz="8" w:space="0" w:color="FFFFFF"/>
                  </w:tcBorders>
                  <w:shd w:val="clear" w:color="000000" w:fill="FCD5B4"/>
                  <w:noWrap/>
                  <w:hideMark/>
                </w:tcPr>
                <w:p w14:paraId="1A7EC8C4" w14:textId="5C3C81FA" w:rsidR="008A575D" w:rsidRPr="003F4793" w:rsidRDefault="008A575D" w:rsidP="008A575D">
                  <w:pPr>
                    <w:widowControl/>
                    <w:jc w:val="center"/>
                    <w:rPr>
                      <w:rFonts w:ascii="KaiTi" w:eastAsia="KaiTi" w:hAnsi="KaiTi" w:cs="宋体"/>
                      <w:color w:val="000000"/>
                      <w:kern w:val="0"/>
                      <w:sz w:val="20"/>
                      <w:szCs w:val="20"/>
                    </w:rPr>
                  </w:pPr>
                  <w:r w:rsidRPr="00B73352">
                    <w:t>MTN5Y</w:t>
                  </w:r>
                </w:p>
              </w:tc>
              <w:tc>
                <w:tcPr>
                  <w:tcW w:w="920" w:type="dxa"/>
                  <w:tcBorders>
                    <w:top w:val="nil"/>
                    <w:left w:val="nil"/>
                    <w:bottom w:val="single" w:sz="8" w:space="0" w:color="FFFFFF"/>
                    <w:right w:val="single" w:sz="8" w:space="0" w:color="FFFFFF"/>
                  </w:tcBorders>
                  <w:shd w:val="clear" w:color="000000" w:fill="FCD5B4"/>
                  <w:noWrap/>
                  <w:hideMark/>
                </w:tcPr>
                <w:p w14:paraId="0CE8BFC7" w14:textId="4AD794E2" w:rsidR="008A575D" w:rsidRPr="003F4793" w:rsidRDefault="008A575D" w:rsidP="008A575D">
                  <w:pPr>
                    <w:widowControl/>
                    <w:jc w:val="center"/>
                    <w:rPr>
                      <w:rFonts w:ascii="KaiTi" w:eastAsia="KaiTi" w:hAnsi="KaiTi" w:cs="Calibri"/>
                      <w:color w:val="000000"/>
                      <w:kern w:val="0"/>
                      <w:szCs w:val="21"/>
                    </w:rPr>
                  </w:pPr>
                  <w:r w:rsidRPr="00B73352">
                    <w:t xml:space="preserve">10.8 </w:t>
                  </w:r>
                </w:p>
              </w:tc>
              <w:tc>
                <w:tcPr>
                  <w:tcW w:w="920" w:type="dxa"/>
                  <w:tcBorders>
                    <w:top w:val="nil"/>
                    <w:left w:val="nil"/>
                    <w:bottom w:val="single" w:sz="8" w:space="0" w:color="FFFFFF"/>
                    <w:right w:val="single" w:sz="8" w:space="0" w:color="FFFFFF"/>
                  </w:tcBorders>
                  <w:shd w:val="clear" w:color="000000" w:fill="FCD5B4"/>
                  <w:noWrap/>
                  <w:hideMark/>
                </w:tcPr>
                <w:p w14:paraId="5811EE16" w14:textId="43EE664C" w:rsidR="008A575D" w:rsidRPr="003F4793" w:rsidRDefault="008A575D" w:rsidP="008A575D">
                  <w:pPr>
                    <w:widowControl/>
                    <w:jc w:val="center"/>
                    <w:rPr>
                      <w:rFonts w:ascii="KaiTi" w:eastAsia="KaiTi" w:hAnsi="KaiTi" w:cs="Calibri"/>
                      <w:color w:val="000000"/>
                      <w:kern w:val="0"/>
                      <w:szCs w:val="21"/>
                    </w:rPr>
                  </w:pPr>
                  <w:r w:rsidRPr="00B73352">
                    <w:t xml:space="preserve">9.8 </w:t>
                  </w:r>
                </w:p>
              </w:tc>
              <w:tc>
                <w:tcPr>
                  <w:tcW w:w="920" w:type="dxa"/>
                  <w:tcBorders>
                    <w:top w:val="nil"/>
                    <w:left w:val="nil"/>
                    <w:bottom w:val="single" w:sz="8" w:space="0" w:color="FFFFFF"/>
                    <w:right w:val="single" w:sz="8" w:space="0" w:color="FFFFFF"/>
                  </w:tcBorders>
                  <w:shd w:val="clear" w:color="000000" w:fill="FCD5B4"/>
                  <w:noWrap/>
                  <w:hideMark/>
                </w:tcPr>
                <w:p w14:paraId="42E7B60E" w14:textId="7E1FE4D1" w:rsidR="008A575D" w:rsidRPr="003F4793" w:rsidRDefault="008A575D" w:rsidP="008A575D">
                  <w:pPr>
                    <w:widowControl/>
                    <w:jc w:val="center"/>
                    <w:rPr>
                      <w:rFonts w:ascii="KaiTi" w:eastAsia="KaiTi" w:hAnsi="KaiTi" w:cs="Calibri"/>
                      <w:color w:val="000000"/>
                      <w:kern w:val="0"/>
                      <w:szCs w:val="21"/>
                    </w:rPr>
                  </w:pPr>
                  <w:r w:rsidRPr="00B73352">
                    <w:t xml:space="preserve">9.8 </w:t>
                  </w:r>
                </w:p>
              </w:tc>
              <w:tc>
                <w:tcPr>
                  <w:tcW w:w="920" w:type="dxa"/>
                  <w:tcBorders>
                    <w:top w:val="nil"/>
                    <w:left w:val="nil"/>
                    <w:bottom w:val="single" w:sz="8" w:space="0" w:color="FFFFFF"/>
                    <w:right w:val="single" w:sz="8" w:space="0" w:color="FFFFFF"/>
                  </w:tcBorders>
                  <w:shd w:val="clear" w:color="000000" w:fill="FCD5B4"/>
                  <w:noWrap/>
                  <w:hideMark/>
                </w:tcPr>
                <w:p w14:paraId="4E401EC9" w14:textId="3AB308CF" w:rsidR="008A575D" w:rsidRPr="003F4793" w:rsidRDefault="008A575D" w:rsidP="008A575D">
                  <w:pPr>
                    <w:widowControl/>
                    <w:jc w:val="center"/>
                    <w:rPr>
                      <w:rFonts w:ascii="KaiTi" w:eastAsia="KaiTi" w:hAnsi="KaiTi" w:cs="Calibri"/>
                      <w:color w:val="000000"/>
                      <w:kern w:val="0"/>
                      <w:szCs w:val="21"/>
                    </w:rPr>
                  </w:pPr>
                  <w:r w:rsidRPr="00B73352">
                    <w:t xml:space="preserve">10.8 </w:t>
                  </w:r>
                </w:p>
              </w:tc>
            </w:tr>
            <w:tr w:rsidR="008A575D" w:rsidRPr="003F4793" w14:paraId="4B96FC1F" w14:textId="77777777" w:rsidTr="00416E34">
              <w:trPr>
                <w:trHeight w:val="310"/>
              </w:trPr>
              <w:tc>
                <w:tcPr>
                  <w:tcW w:w="1309" w:type="dxa"/>
                  <w:tcBorders>
                    <w:top w:val="nil"/>
                    <w:left w:val="nil"/>
                    <w:bottom w:val="single" w:sz="8" w:space="0" w:color="FFFFFF"/>
                    <w:right w:val="single" w:sz="8" w:space="0" w:color="FFFFFF"/>
                  </w:tcBorders>
                  <w:shd w:val="clear" w:color="000000" w:fill="FDE9D9"/>
                  <w:noWrap/>
                  <w:hideMark/>
                </w:tcPr>
                <w:p w14:paraId="055655BC" w14:textId="39D0ADF3" w:rsidR="008A575D" w:rsidRPr="003F4793" w:rsidRDefault="008A575D" w:rsidP="008A575D">
                  <w:pPr>
                    <w:widowControl/>
                    <w:jc w:val="center"/>
                    <w:rPr>
                      <w:rFonts w:ascii="KaiTi" w:eastAsia="KaiTi" w:hAnsi="KaiTi" w:cs="宋体"/>
                      <w:color w:val="000000"/>
                      <w:kern w:val="0"/>
                      <w:sz w:val="20"/>
                      <w:szCs w:val="20"/>
                    </w:rPr>
                  </w:pPr>
                  <w:r w:rsidRPr="00B73352">
                    <w:rPr>
                      <w:rFonts w:hint="eastAsia"/>
                    </w:rPr>
                    <w:t>企业债</w:t>
                  </w:r>
                  <w:r w:rsidRPr="00B73352">
                    <w:rPr>
                      <w:rFonts w:hint="eastAsia"/>
                    </w:rPr>
                    <w:t>3Y</w:t>
                  </w:r>
                </w:p>
              </w:tc>
              <w:tc>
                <w:tcPr>
                  <w:tcW w:w="740" w:type="dxa"/>
                  <w:tcBorders>
                    <w:top w:val="nil"/>
                    <w:left w:val="nil"/>
                    <w:bottom w:val="single" w:sz="8" w:space="0" w:color="FFFFFF"/>
                    <w:right w:val="single" w:sz="8" w:space="0" w:color="FFFFFF"/>
                  </w:tcBorders>
                  <w:shd w:val="clear" w:color="000000" w:fill="FDE9D9"/>
                  <w:noWrap/>
                  <w:hideMark/>
                </w:tcPr>
                <w:p w14:paraId="5C23ADBD" w14:textId="53FEC0C4"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7.3 </w:t>
                  </w:r>
                </w:p>
              </w:tc>
              <w:tc>
                <w:tcPr>
                  <w:tcW w:w="920" w:type="dxa"/>
                  <w:tcBorders>
                    <w:top w:val="nil"/>
                    <w:left w:val="nil"/>
                    <w:bottom w:val="single" w:sz="8" w:space="0" w:color="FFFFFF"/>
                    <w:right w:val="single" w:sz="8" w:space="0" w:color="FFFFFF"/>
                  </w:tcBorders>
                  <w:shd w:val="clear" w:color="000000" w:fill="FDE9D9"/>
                  <w:noWrap/>
                  <w:hideMark/>
                </w:tcPr>
                <w:p w14:paraId="5FCD1E73" w14:textId="05F8DD27"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10.3 </w:t>
                  </w:r>
                </w:p>
              </w:tc>
              <w:tc>
                <w:tcPr>
                  <w:tcW w:w="920" w:type="dxa"/>
                  <w:tcBorders>
                    <w:top w:val="nil"/>
                    <w:left w:val="nil"/>
                    <w:bottom w:val="single" w:sz="8" w:space="0" w:color="FFFFFF"/>
                    <w:right w:val="single" w:sz="8" w:space="0" w:color="FFFFFF"/>
                  </w:tcBorders>
                  <w:shd w:val="clear" w:color="000000" w:fill="FDE9D9"/>
                  <w:noWrap/>
                  <w:hideMark/>
                </w:tcPr>
                <w:p w14:paraId="5B16061B" w14:textId="00A808E4"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16.3 </w:t>
                  </w:r>
                </w:p>
              </w:tc>
              <w:tc>
                <w:tcPr>
                  <w:tcW w:w="920" w:type="dxa"/>
                  <w:tcBorders>
                    <w:top w:val="nil"/>
                    <w:left w:val="nil"/>
                    <w:bottom w:val="single" w:sz="8" w:space="0" w:color="FFFFFF"/>
                    <w:right w:val="single" w:sz="8" w:space="0" w:color="FFFFFF"/>
                  </w:tcBorders>
                  <w:shd w:val="clear" w:color="000000" w:fill="FDE9D9"/>
                  <w:noWrap/>
                  <w:hideMark/>
                </w:tcPr>
                <w:p w14:paraId="76F51BF6" w14:textId="7C39955D"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17.3 </w:t>
                  </w:r>
                </w:p>
              </w:tc>
              <w:tc>
                <w:tcPr>
                  <w:tcW w:w="1149" w:type="dxa"/>
                  <w:tcBorders>
                    <w:top w:val="nil"/>
                    <w:left w:val="nil"/>
                    <w:bottom w:val="single" w:sz="8" w:space="0" w:color="FFFFFF"/>
                    <w:right w:val="single" w:sz="8" w:space="0" w:color="FFFFFF"/>
                  </w:tcBorders>
                  <w:shd w:val="clear" w:color="000000" w:fill="FDE9D9"/>
                  <w:noWrap/>
                  <w:hideMark/>
                </w:tcPr>
                <w:p w14:paraId="343EAA9F" w14:textId="2B95611C" w:rsidR="008A575D" w:rsidRPr="003F4793" w:rsidRDefault="008A575D" w:rsidP="008A575D">
                  <w:pPr>
                    <w:widowControl/>
                    <w:jc w:val="center"/>
                    <w:rPr>
                      <w:rFonts w:ascii="KaiTi" w:eastAsia="KaiTi" w:hAnsi="KaiTi" w:cs="宋体"/>
                      <w:color w:val="000000"/>
                      <w:kern w:val="0"/>
                      <w:sz w:val="20"/>
                      <w:szCs w:val="20"/>
                    </w:rPr>
                  </w:pPr>
                  <w:r w:rsidRPr="00B73352">
                    <w:rPr>
                      <w:rFonts w:hint="eastAsia"/>
                    </w:rPr>
                    <w:t>企业债</w:t>
                  </w:r>
                  <w:r w:rsidRPr="00B73352">
                    <w:rPr>
                      <w:rFonts w:hint="eastAsia"/>
                    </w:rPr>
                    <w:t>3Y</w:t>
                  </w:r>
                </w:p>
              </w:tc>
              <w:tc>
                <w:tcPr>
                  <w:tcW w:w="920" w:type="dxa"/>
                  <w:tcBorders>
                    <w:top w:val="nil"/>
                    <w:left w:val="nil"/>
                    <w:bottom w:val="single" w:sz="8" w:space="0" w:color="FFFFFF"/>
                    <w:right w:val="single" w:sz="8" w:space="0" w:color="FFFFFF"/>
                  </w:tcBorders>
                  <w:shd w:val="clear" w:color="000000" w:fill="FDE9D9"/>
                  <w:noWrap/>
                  <w:hideMark/>
                </w:tcPr>
                <w:p w14:paraId="63247225" w14:textId="53D398F7"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12.4 </w:t>
                  </w:r>
                </w:p>
              </w:tc>
              <w:tc>
                <w:tcPr>
                  <w:tcW w:w="920" w:type="dxa"/>
                  <w:tcBorders>
                    <w:top w:val="nil"/>
                    <w:left w:val="nil"/>
                    <w:bottom w:val="single" w:sz="8" w:space="0" w:color="FFFFFF"/>
                    <w:right w:val="single" w:sz="8" w:space="0" w:color="FFFFFF"/>
                  </w:tcBorders>
                  <w:shd w:val="clear" w:color="000000" w:fill="FDE9D9"/>
                  <w:noWrap/>
                  <w:hideMark/>
                </w:tcPr>
                <w:p w14:paraId="083BF439" w14:textId="548AA6A6"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15.4 </w:t>
                  </w:r>
                </w:p>
              </w:tc>
              <w:tc>
                <w:tcPr>
                  <w:tcW w:w="920" w:type="dxa"/>
                  <w:tcBorders>
                    <w:top w:val="nil"/>
                    <w:left w:val="nil"/>
                    <w:bottom w:val="single" w:sz="8" w:space="0" w:color="FFFFFF"/>
                    <w:right w:val="single" w:sz="8" w:space="0" w:color="FFFFFF"/>
                  </w:tcBorders>
                  <w:shd w:val="clear" w:color="000000" w:fill="FDE9D9"/>
                  <w:noWrap/>
                  <w:hideMark/>
                </w:tcPr>
                <w:p w14:paraId="7F14EF11" w14:textId="299C3BCE"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21.4 </w:t>
                  </w:r>
                </w:p>
              </w:tc>
              <w:tc>
                <w:tcPr>
                  <w:tcW w:w="920" w:type="dxa"/>
                  <w:tcBorders>
                    <w:top w:val="nil"/>
                    <w:left w:val="nil"/>
                    <w:bottom w:val="single" w:sz="8" w:space="0" w:color="FFFFFF"/>
                    <w:right w:val="single" w:sz="8" w:space="0" w:color="FFFFFF"/>
                  </w:tcBorders>
                  <w:shd w:val="clear" w:color="000000" w:fill="FDE9D9"/>
                  <w:noWrap/>
                  <w:hideMark/>
                </w:tcPr>
                <w:p w14:paraId="61246080" w14:textId="7B47DAEB"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22.4 </w:t>
                  </w:r>
                </w:p>
              </w:tc>
            </w:tr>
            <w:tr w:rsidR="008A575D" w:rsidRPr="003F4793" w14:paraId="445C2E7B" w14:textId="77777777" w:rsidTr="00416E34">
              <w:trPr>
                <w:trHeight w:val="310"/>
              </w:trPr>
              <w:tc>
                <w:tcPr>
                  <w:tcW w:w="1309" w:type="dxa"/>
                  <w:tcBorders>
                    <w:top w:val="nil"/>
                    <w:left w:val="nil"/>
                    <w:bottom w:val="single" w:sz="8" w:space="0" w:color="FFFFFF"/>
                    <w:right w:val="single" w:sz="8" w:space="0" w:color="FFFFFF"/>
                  </w:tcBorders>
                  <w:shd w:val="clear" w:color="000000" w:fill="FCD5B4"/>
                  <w:noWrap/>
                  <w:hideMark/>
                </w:tcPr>
                <w:p w14:paraId="7A530122" w14:textId="214F7C99" w:rsidR="008A575D" w:rsidRPr="003F4793" w:rsidRDefault="008A575D" w:rsidP="008A575D">
                  <w:pPr>
                    <w:widowControl/>
                    <w:jc w:val="center"/>
                    <w:rPr>
                      <w:rFonts w:ascii="KaiTi" w:eastAsia="KaiTi" w:hAnsi="KaiTi" w:cs="宋体"/>
                      <w:color w:val="000000"/>
                      <w:kern w:val="0"/>
                      <w:sz w:val="20"/>
                      <w:szCs w:val="20"/>
                    </w:rPr>
                  </w:pPr>
                  <w:r w:rsidRPr="00B73352">
                    <w:rPr>
                      <w:rFonts w:hint="eastAsia"/>
                    </w:rPr>
                    <w:t>企业债</w:t>
                  </w:r>
                  <w:r w:rsidRPr="00B73352">
                    <w:rPr>
                      <w:rFonts w:hint="eastAsia"/>
                    </w:rPr>
                    <w:t>5Y</w:t>
                  </w:r>
                </w:p>
              </w:tc>
              <w:tc>
                <w:tcPr>
                  <w:tcW w:w="740" w:type="dxa"/>
                  <w:tcBorders>
                    <w:top w:val="nil"/>
                    <w:left w:val="nil"/>
                    <w:bottom w:val="single" w:sz="8" w:space="0" w:color="FFFFFF"/>
                    <w:right w:val="single" w:sz="8" w:space="0" w:color="FFFFFF"/>
                  </w:tcBorders>
                  <w:shd w:val="clear" w:color="000000" w:fill="FCD5B4"/>
                  <w:noWrap/>
                  <w:hideMark/>
                </w:tcPr>
                <w:p w14:paraId="5D5F6751" w14:textId="1FEB4FCC"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12.3 </w:t>
                  </w:r>
                </w:p>
              </w:tc>
              <w:tc>
                <w:tcPr>
                  <w:tcW w:w="920" w:type="dxa"/>
                  <w:tcBorders>
                    <w:top w:val="nil"/>
                    <w:left w:val="nil"/>
                    <w:bottom w:val="single" w:sz="8" w:space="0" w:color="FFFFFF"/>
                    <w:right w:val="single" w:sz="8" w:space="0" w:color="FFFFFF"/>
                  </w:tcBorders>
                  <w:shd w:val="clear" w:color="000000" w:fill="FCD5B4"/>
                  <w:noWrap/>
                  <w:hideMark/>
                </w:tcPr>
                <w:p w14:paraId="300B72E8" w14:textId="2349ABD8"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8.3 </w:t>
                  </w:r>
                </w:p>
              </w:tc>
              <w:tc>
                <w:tcPr>
                  <w:tcW w:w="920" w:type="dxa"/>
                  <w:tcBorders>
                    <w:top w:val="nil"/>
                    <w:left w:val="nil"/>
                    <w:bottom w:val="single" w:sz="8" w:space="0" w:color="FFFFFF"/>
                    <w:right w:val="single" w:sz="8" w:space="0" w:color="FFFFFF"/>
                  </w:tcBorders>
                  <w:shd w:val="clear" w:color="000000" w:fill="FCD5B4"/>
                  <w:noWrap/>
                  <w:hideMark/>
                </w:tcPr>
                <w:p w14:paraId="4243F803" w14:textId="5BB48CE9"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13.3 </w:t>
                  </w:r>
                </w:p>
              </w:tc>
              <w:tc>
                <w:tcPr>
                  <w:tcW w:w="920" w:type="dxa"/>
                  <w:tcBorders>
                    <w:top w:val="nil"/>
                    <w:left w:val="nil"/>
                    <w:bottom w:val="single" w:sz="8" w:space="0" w:color="FFFFFF"/>
                    <w:right w:val="single" w:sz="8" w:space="0" w:color="FFFFFF"/>
                  </w:tcBorders>
                  <w:shd w:val="clear" w:color="000000" w:fill="FCD5B4"/>
                  <w:noWrap/>
                  <w:hideMark/>
                </w:tcPr>
                <w:p w14:paraId="448E5ABD" w14:textId="56BD3808"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15.3 </w:t>
                  </w:r>
                </w:p>
              </w:tc>
              <w:tc>
                <w:tcPr>
                  <w:tcW w:w="1149" w:type="dxa"/>
                  <w:tcBorders>
                    <w:top w:val="nil"/>
                    <w:left w:val="nil"/>
                    <w:bottom w:val="single" w:sz="8" w:space="0" w:color="FFFFFF"/>
                    <w:right w:val="single" w:sz="8" w:space="0" w:color="FFFFFF"/>
                  </w:tcBorders>
                  <w:shd w:val="clear" w:color="000000" w:fill="FCD5B4"/>
                  <w:noWrap/>
                  <w:hideMark/>
                </w:tcPr>
                <w:p w14:paraId="243BE1B9" w14:textId="1B285739" w:rsidR="008A575D" w:rsidRPr="003F4793" w:rsidRDefault="008A575D" w:rsidP="008A575D">
                  <w:pPr>
                    <w:widowControl/>
                    <w:jc w:val="center"/>
                    <w:rPr>
                      <w:rFonts w:ascii="KaiTi" w:eastAsia="KaiTi" w:hAnsi="KaiTi" w:cs="宋体"/>
                      <w:color w:val="000000"/>
                      <w:kern w:val="0"/>
                      <w:sz w:val="20"/>
                      <w:szCs w:val="20"/>
                    </w:rPr>
                  </w:pPr>
                  <w:r w:rsidRPr="00B73352">
                    <w:rPr>
                      <w:rFonts w:hint="eastAsia"/>
                    </w:rPr>
                    <w:t>企业债</w:t>
                  </w:r>
                  <w:r w:rsidRPr="00B73352">
                    <w:rPr>
                      <w:rFonts w:hint="eastAsia"/>
                    </w:rPr>
                    <w:t>5Y</w:t>
                  </w:r>
                </w:p>
              </w:tc>
              <w:tc>
                <w:tcPr>
                  <w:tcW w:w="920" w:type="dxa"/>
                  <w:tcBorders>
                    <w:top w:val="nil"/>
                    <w:left w:val="nil"/>
                    <w:bottom w:val="single" w:sz="8" w:space="0" w:color="FFFFFF"/>
                    <w:right w:val="single" w:sz="8" w:space="0" w:color="FFFFFF"/>
                  </w:tcBorders>
                  <w:shd w:val="clear" w:color="000000" w:fill="FCD5B4"/>
                  <w:noWrap/>
                  <w:hideMark/>
                </w:tcPr>
                <w:p w14:paraId="284F409D" w14:textId="1FBDF107"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12.3 </w:t>
                  </w:r>
                </w:p>
              </w:tc>
              <w:tc>
                <w:tcPr>
                  <w:tcW w:w="920" w:type="dxa"/>
                  <w:tcBorders>
                    <w:top w:val="nil"/>
                    <w:left w:val="nil"/>
                    <w:bottom w:val="single" w:sz="8" w:space="0" w:color="FFFFFF"/>
                    <w:right w:val="single" w:sz="8" w:space="0" w:color="FFFFFF"/>
                  </w:tcBorders>
                  <w:shd w:val="clear" w:color="000000" w:fill="FCD5B4"/>
                  <w:noWrap/>
                  <w:hideMark/>
                </w:tcPr>
                <w:p w14:paraId="036E88AD" w14:textId="744754B0"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8.3 </w:t>
                  </w:r>
                </w:p>
              </w:tc>
              <w:tc>
                <w:tcPr>
                  <w:tcW w:w="920" w:type="dxa"/>
                  <w:tcBorders>
                    <w:top w:val="nil"/>
                    <w:left w:val="nil"/>
                    <w:bottom w:val="single" w:sz="8" w:space="0" w:color="FFFFFF"/>
                    <w:right w:val="single" w:sz="8" w:space="0" w:color="FFFFFF"/>
                  </w:tcBorders>
                  <w:shd w:val="clear" w:color="000000" w:fill="FCD5B4"/>
                  <w:noWrap/>
                  <w:hideMark/>
                </w:tcPr>
                <w:p w14:paraId="427E0CD2" w14:textId="6D9FF91F"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13.3 </w:t>
                  </w:r>
                </w:p>
              </w:tc>
              <w:tc>
                <w:tcPr>
                  <w:tcW w:w="920" w:type="dxa"/>
                  <w:tcBorders>
                    <w:top w:val="nil"/>
                    <w:left w:val="nil"/>
                    <w:bottom w:val="single" w:sz="8" w:space="0" w:color="FFFFFF"/>
                    <w:right w:val="single" w:sz="8" w:space="0" w:color="FFFFFF"/>
                  </w:tcBorders>
                  <w:shd w:val="clear" w:color="000000" w:fill="FCD5B4"/>
                  <w:noWrap/>
                  <w:hideMark/>
                </w:tcPr>
                <w:p w14:paraId="78BEA210" w14:textId="0152F18E"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15.3 </w:t>
                  </w:r>
                </w:p>
              </w:tc>
            </w:tr>
            <w:tr w:rsidR="008A575D" w:rsidRPr="003F4793" w14:paraId="3191787A" w14:textId="77777777" w:rsidTr="00416E34">
              <w:trPr>
                <w:trHeight w:val="310"/>
              </w:trPr>
              <w:tc>
                <w:tcPr>
                  <w:tcW w:w="1309" w:type="dxa"/>
                  <w:tcBorders>
                    <w:top w:val="nil"/>
                    <w:left w:val="nil"/>
                    <w:bottom w:val="single" w:sz="8" w:space="0" w:color="FFFFFF"/>
                    <w:right w:val="single" w:sz="8" w:space="0" w:color="FFFFFF"/>
                  </w:tcBorders>
                  <w:shd w:val="clear" w:color="000000" w:fill="FDE9D9"/>
                  <w:noWrap/>
                  <w:hideMark/>
                </w:tcPr>
                <w:p w14:paraId="1F700977" w14:textId="144B9B4B" w:rsidR="008A575D" w:rsidRPr="003F4793" w:rsidRDefault="008A575D" w:rsidP="008A575D">
                  <w:pPr>
                    <w:widowControl/>
                    <w:jc w:val="center"/>
                    <w:rPr>
                      <w:rFonts w:ascii="KaiTi" w:eastAsia="KaiTi" w:hAnsi="KaiTi" w:cs="宋体"/>
                      <w:color w:val="000000"/>
                      <w:kern w:val="0"/>
                      <w:sz w:val="20"/>
                      <w:szCs w:val="20"/>
                    </w:rPr>
                  </w:pPr>
                  <w:r w:rsidRPr="00B73352">
                    <w:rPr>
                      <w:rFonts w:hint="eastAsia"/>
                    </w:rPr>
                    <w:t>企业债</w:t>
                  </w:r>
                  <w:r w:rsidRPr="00B73352">
                    <w:rPr>
                      <w:rFonts w:hint="eastAsia"/>
                    </w:rPr>
                    <w:t>7Y</w:t>
                  </w:r>
                </w:p>
              </w:tc>
              <w:tc>
                <w:tcPr>
                  <w:tcW w:w="740" w:type="dxa"/>
                  <w:tcBorders>
                    <w:top w:val="nil"/>
                    <w:left w:val="nil"/>
                    <w:bottom w:val="single" w:sz="8" w:space="0" w:color="FFFFFF"/>
                    <w:right w:val="single" w:sz="8" w:space="0" w:color="FFFFFF"/>
                  </w:tcBorders>
                  <w:shd w:val="clear" w:color="000000" w:fill="FDE9D9"/>
                  <w:noWrap/>
                  <w:hideMark/>
                </w:tcPr>
                <w:p w14:paraId="2827D979" w14:textId="6879D487"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7.9 </w:t>
                  </w:r>
                </w:p>
              </w:tc>
              <w:tc>
                <w:tcPr>
                  <w:tcW w:w="920" w:type="dxa"/>
                  <w:tcBorders>
                    <w:top w:val="nil"/>
                    <w:left w:val="nil"/>
                    <w:bottom w:val="single" w:sz="8" w:space="0" w:color="FFFFFF"/>
                    <w:right w:val="single" w:sz="8" w:space="0" w:color="FFFFFF"/>
                  </w:tcBorders>
                  <w:shd w:val="clear" w:color="000000" w:fill="FDE9D9"/>
                  <w:noWrap/>
                  <w:hideMark/>
                </w:tcPr>
                <w:p w14:paraId="1BCEB620" w14:textId="09B469F6"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4.9 </w:t>
                  </w:r>
                </w:p>
              </w:tc>
              <w:tc>
                <w:tcPr>
                  <w:tcW w:w="920" w:type="dxa"/>
                  <w:tcBorders>
                    <w:top w:val="nil"/>
                    <w:left w:val="nil"/>
                    <w:bottom w:val="single" w:sz="8" w:space="0" w:color="FFFFFF"/>
                    <w:right w:val="single" w:sz="8" w:space="0" w:color="FFFFFF"/>
                  </w:tcBorders>
                  <w:shd w:val="clear" w:color="000000" w:fill="FDE9D9"/>
                  <w:noWrap/>
                  <w:hideMark/>
                </w:tcPr>
                <w:p w14:paraId="642DA1D2" w14:textId="7CA908EF"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9.9 </w:t>
                  </w:r>
                </w:p>
              </w:tc>
              <w:tc>
                <w:tcPr>
                  <w:tcW w:w="920" w:type="dxa"/>
                  <w:tcBorders>
                    <w:top w:val="nil"/>
                    <w:left w:val="nil"/>
                    <w:bottom w:val="single" w:sz="8" w:space="0" w:color="FFFFFF"/>
                    <w:right w:val="single" w:sz="8" w:space="0" w:color="FFFFFF"/>
                  </w:tcBorders>
                  <w:shd w:val="clear" w:color="000000" w:fill="FDE9D9"/>
                  <w:noWrap/>
                  <w:hideMark/>
                </w:tcPr>
                <w:p w14:paraId="45A5D7F8" w14:textId="5D04E395"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10.9 </w:t>
                  </w:r>
                </w:p>
              </w:tc>
              <w:tc>
                <w:tcPr>
                  <w:tcW w:w="1149" w:type="dxa"/>
                  <w:tcBorders>
                    <w:top w:val="nil"/>
                    <w:left w:val="nil"/>
                    <w:bottom w:val="single" w:sz="8" w:space="0" w:color="FFFFFF"/>
                    <w:right w:val="single" w:sz="8" w:space="0" w:color="FFFFFF"/>
                  </w:tcBorders>
                  <w:shd w:val="clear" w:color="000000" w:fill="FDE9D9"/>
                  <w:noWrap/>
                  <w:hideMark/>
                </w:tcPr>
                <w:p w14:paraId="065B2767" w14:textId="352520F3" w:rsidR="008A575D" w:rsidRPr="003F4793" w:rsidRDefault="008A575D" w:rsidP="008A575D">
                  <w:pPr>
                    <w:widowControl/>
                    <w:jc w:val="center"/>
                    <w:rPr>
                      <w:rFonts w:ascii="KaiTi" w:eastAsia="KaiTi" w:hAnsi="KaiTi" w:cs="宋体"/>
                      <w:color w:val="000000"/>
                      <w:kern w:val="0"/>
                      <w:sz w:val="20"/>
                      <w:szCs w:val="20"/>
                    </w:rPr>
                  </w:pPr>
                  <w:r w:rsidRPr="00B73352">
                    <w:rPr>
                      <w:rFonts w:hint="eastAsia"/>
                    </w:rPr>
                    <w:t>企业债</w:t>
                  </w:r>
                  <w:r w:rsidRPr="00B73352">
                    <w:rPr>
                      <w:rFonts w:hint="eastAsia"/>
                    </w:rPr>
                    <w:t>7Y</w:t>
                  </w:r>
                </w:p>
              </w:tc>
              <w:tc>
                <w:tcPr>
                  <w:tcW w:w="920" w:type="dxa"/>
                  <w:tcBorders>
                    <w:top w:val="nil"/>
                    <w:left w:val="nil"/>
                    <w:bottom w:val="single" w:sz="8" w:space="0" w:color="FFFFFF"/>
                    <w:right w:val="single" w:sz="8" w:space="0" w:color="FFFFFF"/>
                  </w:tcBorders>
                  <w:shd w:val="clear" w:color="000000" w:fill="FDE9D9"/>
                  <w:noWrap/>
                  <w:hideMark/>
                </w:tcPr>
                <w:p w14:paraId="720359E1" w14:textId="4F6A9DD8"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10.5 </w:t>
                  </w:r>
                </w:p>
              </w:tc>
              <w:tc>
                <w:tcPr>
                  <w:tcW w:w="920" w:type="dxa"/>
                  <w:tcBorders>
                    <w:top w:val="nil"/>
                    <w:left w:val="nil"/>
                    <w:bottom w:val="single" w:sz="8" w:space="0" w:color="FFFFFF"/>
                    <w:right w:val="single" w:sz="8" w:space="0" w:color="FFFFFF"/>
                  </w:tcBorders>
                  <w:shd w:val="clear" w:color="000000" w:fill="FDE9D9"/>
                  <w:noWrap/>
                  <w:hideMark/>
                </w:tcPr>
                <w:p w14:paraId="059C072D" w14:textId="66CA2A78"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7.5 </w:t>
                  </w:r>
                </w:p>
              </w:tc>
              <w:tc>
                <w:tcPr>
                  <w:tcW w:w="920" w:type="dxa"/>
                  <w:tcBorders>
                    <w:top w:val="nil"/>
                    <w:left w:val="nil"/>
                    <w:bottom w:val="single" w:sz="8" w:space="0" w:color="FFFFFF"/>
                    <w:right w:val="single" w:sz="8" w:space="0" w:color="FFFFFF"/>
                  </w:tcBorders>
                  <w:shd w:val="clear" w:color="000000" w:fill="FDE9D9"/>
                  <w:noWrap/>
                  <w:hideMark/>
                </w:tcPr>
                <w:p w14:paraId="4DCBF554" w14:textId="58606451"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12.5 </w:t>
                  </w:r>
                </w:p>
              </w:tc>
              <w:tc>
                <w:tcPr>
                  <w:tcW w:w="920" w:type="dxa"/>
                  <w:tcBorders>
                    <w:top w:val="nil"/>
                    <w:left w:val="nil"/>
                    <w:bottom w:val="single" w:sz="8" w:space="0" w:color="FFFFFF"/>
                    <w:right w:val="single" w:sz="8" w:space="0" w:color="FFFFFF"/>
                  </w:tcBorders>
                  <w:shd w:val="clear" w:color="000000" w:fill="FDE9D9"/>
                  <w:noWrap/>
                  <w:hideMark/>
                </w:tcPr>
                <w:p w14:paraId="248F8942" w14:textId="5554CBAE"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13.5 </w:t>
                  </w:r>
                </w:p>
              </w:tc>
            </w:tr>
            <w:tr w:rsidR="008A575D" w:rsidRPr="003F4793" w14:paraId="30D8B86F" w14:textId="77777777" w:rsidTr="00416E34">
              <w:trPr>
                <w:trHeight w:val="310"/>
              </w:trPr>
              <w:tc>
                <w:tcPr>
                  <w:tcW w:w="1309" w:type="dxa"/>
                  <w:tcBorders>
                    <w:top w:val="nil"/>
                    <w:left w:val="nil"/>
                    <w:bottom w:val="single" w:sz="8" w:space="0" w:color="FFFFFF"/>
                    <w:right w:val="single" w:sz="8" w:space="0" w:color="FFFFFF"/>
                  </w:tcBorders>
                  <w:shd w:val="clear" w:color="000000" w:fill="FCD5B4"/>
                  <w:noWrap/>
                  <w:hideMark/>
                </w:tcPr>
                <w:p w14:paraId="34C7AF72" w14:textId="4FC769E4" w:rsidR="008A575D" w:rsidRPr="003F4793" w:rsidRDefault="008A575D" w:rsidP="008A575D">
                  <w:pPr>
                    <w:widowControl/>
                    <w:jc w:val="center"/>
                    <w:rPr>
                      <w:rFonts w:ascii="KaiTi" w:eastAsia="KaiTi" w:hAnsi="KaiTi" w:cs="宋体"/>
                      <w:color w:val="000000"/>
                      <w:kern w:val="0"/>
                      <w:sz w:val="20"/>
                      <w:szCs w:val="20"/>
                    </w:rPr>
                  </w:pPr>
                  <w:proofErr w:type="gramStart"/>
                  <w:r w:rsidRPr="00B73352">
                    <w:rPr>
                      <w:rFonts w:hint="eastAsia"/>
                    </w:rPr>
                    <w:t>城投债</w:t>
                  </w:r>
                  <w:proofErr w:type="gramEnd"/>
                  <w:r w:rsidRPr="00B73352">
                    <w:rPr>
                      <w:rFonts w:hint="eastAsia"/>
                    </w:rPr>
                    <w:t>3Y</w:t>
                  </w:r>
                </w:p>
              </w:tc>
              <w:tc>
                <w:tcPr>
                  <w:tcW w:w="740" w:type="dxa"/>
                  <w:tcBorders>
                    <w:top w:val="nil"/>
                    <w:left w:val="nil"/>
                    <w:bottom w:val="single" w:sz="8" w:space="0" w:color="FFFFFF"/>
                    <w:right w:val="single" w:sz="8" w:space="0" w:color="FFFFFF"/>
                  </w:tcBorders>
                  <w:shd w:val="clear" w:color="000000" w:fill="FCD5B4"/>
                  <w:noWrap/>
                  <w:hideMark/>
                </w:tcPr>
                <w:p w14:paraId="6BA27B0F" w14:textId="2A9E4323"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10.8 </w:t>
                  </w:r>
                </w:p>
              </w:tc>
              <w:tc>
                <w:tcPr>
                  <w:tcW w:w="920" w:type="dxa"/>
                  <w:tcBorders>
                    <w:top w:val="nil"/>
                    <w:left w:val="nil"/>
                    <w:bottom w:val="single" w:sz="8" w:space="0" w:color="FFFFFF"/>
                    <w:right w:val="single" w:sz="8" w:space="0" w:color="FFFFFF"/>
                  </w:tcBorders>
                  <w:shd w:val="clear" w:color="000000" w:fill="FCD5B4"/>
                  <w:noWrap/>
                  <w:hideMark/>
                </w:tcPr>
                <w:p w14:paraId="5357D5B3" w14:textId="690A42C2"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14.8 </w:t>
                  </w:r>
                </w:p>
              </w:tc>
              <w:tc>
                <w:tcPr>
                  <w:tcW w:w="920" w:type="dxa"/>
                  <w:tcBorders>
                    <w:top w:val="nil"/>
                    <w:left w:val="nil"/>
                    <w:bottom w:val="single" w:sz="8" w:space="0" w:color="FFFFFF"/>
                    <w:right w:val="single" w:sz="8" w:space="0" w:color="FFFFFF"/>
                  </w:tcBorders>
                  <w:shd w:val="clear" w:color="000000" w:fill="FCD5B4"/>
                  <w:noWrap/>
                  <w:hideMark/>
                </w:tcPr>
                <w:p w14:paraId="6BAE198E" w14:textId="000BD619"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19.8 </w:t>
                  </w:r>
                </w:p>
              </w:tc>
              <w:tc>
                <w:tcPr>
                  <w:tcW w:w="920" w:type="dxa"/>
                  <w:tcBorders>
                    <w:top w:val="nil"/>
                    <w:left w:val="nil"/>
                    <w:bottom w:val="single" w:sz="8" w:space="0" w:color="FFFFFF"/>
                    <w:right w:val="single" w:sz="8" w:space="0" w:color="FFFFFF"/>
                  </w:tcBorders>
                  <w:shd w:val="clear" w:color="000000" w:fill="FCD5B4"/>
                  <w:noWrap/>
                  <w:hideMark/>
                </w:tcPr>
                <w:p w14:paraId="11173B26" w14:textId="4F0C09BF"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10.8 </w:t>
                  </w:r>
                </w:p>
              </w:tc>
              <w:tc>
                <w:tcPr>
                  <w:tcW w:w="1149" w:type="dxa"/>
                  <w:tcBorders>
                    <w:top w:val="nil"/>
                    <w:left w:val="nil"/>
                    <w:bottom w:val="single" w:sz="8" w:space="0" w:color="FFFFFF"/>
                    <w:right w:val="single" w:sz="8" w:space="0" w:color="FFFFFF"/>
                  </w:tcBorders>
                  <w:shd w:val="clear" w:color="000000" w:fill="FCD5B4"/>
                  <w:noWrap/>
                  <w:hideMark/>
                </w:tcPr>
                <w:p w14:paraId="4344DD46" w14:textId="4B73C5E6" w:rsidR="008A575D" w:rsidRPr="003F4793" w:rsidRDefault="008A575D" w:rsidP="008A575D">
                  <w:pPr>
                    <w:widowControl/>
                    <w:jc w:val="center"/>
                    <w:rPr>
                      <w:rFonts w:ascii="KaiTi" w:eastAsia="KaiTi" w:hAnsi="KaiTi" w:cs="宋体"/>
                      <w:color w:val="000000"/>
                      <w:kern w:val="0"/>
                      <w:sz w:val="20"/>
                      <w:szCs w:val="20"/>
                    </w:rPr>
                  </w:pPr>
                  <w:proofErr w:type="gramStart"/>
                  <w:r w:rsidRPr="00B73352">
                    <w:rPr>
                      <w:rFonts w:hint="eastAsia"/>
                    </w:rPr>
                    <w:t>城投债</w:t>
                  </w:r>
                  <w:proofErr w:type="gramEnd"/>
                  <w:r w:rsidRPr="00B73352">
                    <w:rPr>
                      <w:rFonts w:hint="eastAsia"/>
                    </w:rPr>
                    <w:t>3Y</w:t>
                  </w:r>
                </w:p>
              </w:tc>
              <w:tc>
                <w:tcPr>
                  <w:tcW w:w="920" w:type="dxa"/>
                  <w:tcBorders>
                    <w:top w:val="nil"/>
                    <w:left w:val="nil"/>
                    <w:bottom w:val="single" w:sz="8" w:space="0" w:color="FFFFFF"/>
                    <w:right w:val="single" w:sz="8" w:space="0" w:color="FFFFFF"/>
                  </w:tcBorders>
                  <w:shd w:val="clear" w:color="000000" w:fill="FCD5B4"/>
                  <w:noWrap/>
                  <w:hideMark/>
                </w:tcPr>
                <w:p w14:paraId="43E9904F" w14:textId="30812732"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15.9 </w:t>
                  </w:r>
                </w:p>
              </w:tc>
              <w:tc>
                <w:tcPr>
                  <w:tcW w:w="920" w:type="dxa"/>
                  <w:tcBorders>
                    <w:top w:val="nil"/>
                    <w:left w:val="nil"/>
                    <w:bottom w:val="single" w:sz="8" w:space="0" w:color="FFFFFF"/>
                    <w:right w:val="single" w:sz="8" w:space="0" w:color="FFFFFF"/>
                  </w:tcBorders>
                  <w:shd w:val="clear" w:color="000000" w:fill="FCD5B4"/>
                  <w:noWrap/>
                  <w:hideMark/>
                </w:tcPr>
                <w:p w14:paraId="72520448" w14:textId="7C7A68A3"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19.9 </w:t>
                  </w:r>
                </w:p>
              </w:tc>
              <w:tc>
                <w:tcPr>
                  <w:tcW w:w="920" w:type="dxa"/>
                  <w:tcBorders>
                    <w:top w:val="nil"/>
                    <w:left w:val="nil"/>
                    <w:bottom w:val="single" w:sz="8" w:space="0" w:color="FFFFFF"/>
                    <w:right w:val="single" w:sz="8" w:space="0" w:color="FFFFFF"/>
                  </w:tcBorders>
                  <w:shd w:val="clear" w:color="000000" w:fill="FCD5B4"/>
                  <w:noWrap/>
                  <w:hideMark/>
                </w:tcPr>
                <w:p w14:paraId="4F7B3956" w14:textId="3A428A8C"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24.9 </w:t>
                  </w:r>
                </w:p>
              </w:tc>
              <w:tc>
                <w:tcPr>
                  <w:tcW w:w="920" w:type="dxa"/>
                  <w:tcBorders>
                    <w:top w:val="nil"/>
                    <w:left w:val="nil"/>
                    <w:bottom w:val="single" w:sz="8" w:space="0" w:color="FFFFFF"/>
                    <w:right w:val="single" w:sz="8" w:space="0" w:color="FFFFFF"/>
                  </w:tcBorders>
                  <w:shd w:val="clear" w:color="000000" w:fill="FCD5B4"/>
                  <w:noWrap/>
                  <w:hideMark/>
                </w:tcPr>
                <w:p w14:paraId="455389C2" w14:textId="4FFE8337"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15.9 </w:t>
                  </w:r>
                </w:p>
              </w:tc>
            </w:tr>
            <w:tr w:rsidR="008A575D" w:rsidRPr="003F4793" w14:paraId="6A7B0CBC" w14:textId="77777777" w:rsidTr="00416E34">
              <w:trPr>
                <w:trHeight w:val="310"/>
              </w:trPr>
              <w:tc>
                <w:tcPr>
                  <w:tcW w:w="1309" w:type="dxa"/>
                  <w:tcBorders>
                    <w:top w:val="nil"/>
                    <w:left w:val="nil"/>
                    <w:bottom w:val="single" w:sz="8" w:space="0" w:color="FFFFFF"/>
                    <w:right w:val="single" w:sz="8" w:space="0" w:color="FFFFFF"/>
                  </w:tcBorders>
                  <w:shd w:val="clear" w:color="000000" w:fill="FDE9D9"/>
                  <w:noWrap/>
                  <w:hideMark/>
                </w:tcPr>
                <w:p w14:paraId="052855D1" w14:textId="0832A44A" w:rsidR="008A575D" w:rsidRPr="003F4793" w:rsidRDefault="008A575D" w:rsidP="008A575D">
                  <w:pPr>
                    <w:widowControl/>
                    <w:jc w:val="center"/>
                    <w:rPr>
                      <w:rFonts w:ascii="KaiTi" w:eastAsia="KaiTi" w:hAnsi="KaiTi" w:cs="宋体"/>
                      <w:color w:val="000000"/>
                      <w:kern w:val="0"/>
                      <w:sz w:val="20"/>
                      <w:szCs w:val="20"/>
                    </w:rPr>
                  </w:pPr>
                  <w:proofErr w:type="gramStart"/>
                  <w:r w:rsidRPr="00B73352">
                    <w:rPr>
                      <w:rFonts w:hint="eastAsia"/>
                    </w:rPr>
                    <w:t>城投债</w:t>
                  </w:r>
                  <w:proofErr w:type="gramEnd"/>
                  <w:r w:rsidRPr="00B73352">
                    <w:rPr>
                      <w:rFonts w:hint="eastAsia"/>
                    </w:rPr>
                    <w:t>5Y</w:t>
                  </w:r>
                </w:p>
              </w:tc>
              <w:tc>
                <w:tcPr>
                  <w:tcW w:w="740" w:type="dxa"/>
                  <w:tcBorders>
                    <w:top w:val="nil"/>
                    <w:left w:val="nil"/>
                    <w:bottom w:val="single" w:sz="8" w:space="0" w:color="FFFFFF"/>
                    <w:right w:val="single" w:sz="8" w:space="0" w:color="FFFFFF"/>
                  </w:tcBorders>
                  <w:shd w:val="clear" w:color="000000" w:fill="FDE9D9"/>
                  <w:noWrap/>
                  <w:hideMark/>
                </w:tcPr>
                <w:p w14:paraId="7770DE15" w14:textId="2991C118"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11.1 </w:t>
                  </w:r>
                </w:p>
              </w:tc>
              <w:tc>
                <w:tcPr>
                  <w:tcW w:w="920" w:type="dxa"/>
                  <w:tcBorders>
                    <w:top w:val="nil"/>
                    <w:left w:val="nil"/>
                    <w:bottom w:val="single" w:sz="8" w:space="0" w:color="FFFFFF"/>
                    <w:right w:val="single" w:sz="8" w:space="0" w:color="FFFFFF"/>
                  </w:tcBorders>
                  <w:shd w:val="clear" w:color="000000" w:fill="FDE9D9"/>
                  <w:noWrap/>
                  <w:hideMark/>
                </w:tcPr>
                <w:p w14:paraId="4004BD72" w14:textId="1EE3F366"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20.2 </w:t>
                  </w:r>
                </w:p>
              </w:tc>
              <w:tc>
                <w:tcPr>
                  <w:tcW w:w="920" w:type="dxa"/>
                  <w:tcBorders>
                    <w:top w:val="nil"/>
                    <w:left w:val="nil"/>
                    <w:bottom w:val="single" w:sz="8" w:space="0" w:color="FFFFFF"/>
                    <w:right w:val="single" w:sz="8" w:space="0" w:color="FFFFFF"/>
                  </w:tcBorders>
                  <w:shd w:val="clear" w:color="000000" w:fill="FDE9D9"/>
                  <w:noWrap/>
                  <w:hideMark/>
                </w:tcPr>
                <w:p w14:paraId="10E494F6" w14:textId="77B7E02C"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13.2 </w:t>
                  </w:r>
                </w:p>
              </w:tc>
              <w:tc>
                <w:tcPr>
                  <w:tcW w:w="920" w:type="dxa"/>
                  <w:tcBorders>
                    <w:top w:val="nil"/>
                    <w:left w:val="nil"/>
                    <w:bottom w:val="single" w:sz="8" w:space="0" w:color="FFFFFF"/>
                    <w:right w:val="single" w:sz="8" w:space="0" w:color="FFFFFF"/>
                  </w:tcBorders>
                  <w:shd w:val="clear" w:color="000000" w:fill="FDE9D9"/>
                  <w:noWrap/>
                  <w:hideMark/>
                </w:tcPr>
                <w:p w14:paraId="2C334CFA" w14:textId="3A8F4F07"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-11.9 </w:t>
                  </w:r>
                </w:p>
              </w:tc>
              <w:tc>
                <w:tcPr>
                  <w:tcW w:w="1149" w:type="dxa"/>
                  <w:tcBorders>
                    <w:top w:val="nil"/>
                    <w:left w:val="nil"/>
                    <w:bottom w:val="single" w:sz="8" w:space="0" w:color="FFFFFF"/>
                    <w:right w:val="single" w:sz="8" w:space="0" w:color="FFFFFF"/>
                  </w:tcBorders>
                  <w:shd w:val="clear" w:color="000000" w:fill="FDE9D9"/>
                  <w:noWrap/>
                  <w:hideMark/>
                </w:tcPr>
                <w:p w14:paraId="471CE1B8" w14:textId="388E717D" w:rsidR="008A575D" w:rsidRPr="003F4793" w:rsidRDefault="008A575D" w:rsidP="008A575D">
                  <w:pPr>
                    <w:widowControl/>
                    <w:jc w:val="center"/>
                    <w:rPr>
                      <w:rFonts w:ascii="KaiTi" w:eastAsia="KaiTi" w:hAnsi="KaiTi" w:cs="宋体"/>
                      <w:color w:val="000000"/>
                      <w:kern w:val="0"/>
                      <w:sz w:val="20"/>
                      <w:szCs w:val="20"/>
                    </w:rPr>
                  </w:pPr>
                  <w:proofErr w:type="gramStart"/>
                  <w:r w:rsidRPr="00B73352">
                    <w:rPr>
                      <w:rFonts w:hint="eastAsia"/>
                    </w:rPr>
                    <w:t>城投债</w:t>
                  </w:r>
                  <w:proofErr w:type="gramEnd"/>
                  <w:r w:rsidRPr="00B73352">
                    <w:rPr>
                      <w:rFonts w:hint="eastAsia"/>
                    </w:rPr>
                    <w:t>5Y</w:t>
                  </w:r>
                </w:p>
              </w:tc>
              <w:tc>
                <w:tcPr>
                  <w:tcW w:w="920" w:type="dxa"/>
                  <w:tcBorders>
                    <w:top w:val="nil"/>
                    <w:left w:val="nil"/>
                    <w:bottom w:val="single" w:sz="8" w:space="0" w:color="FFFFFF"/>
                    <w:right w:val="single" w:sz="8" w:space="0" w:color="FFFFFF"/>
                  </w:tcBorders>
                  <w:shd w:val="clear" w:color="000000" w:fill="FDE9D9"/>
                  <w:noWrap/>
                  <w:hideMark/>
                </w:tcPr>
                <w:p w14:paraId="3A0C33F3" w14:textId="06056205"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11.1 </w:t>
                  </w:r>
                </w:p>
              </w:tc>
              <w:tc>
                <w:tcPr>
                  <w:tcW w:w="920" w:type="dxa"/>
                  <w:tcBorders>
                    <w:top w:val="nil"/>
                    <w:left w:val="nil"/>
                    <w:bottom w:val="single" w:sz="8" w:space="0" w:color="FFFFFF"/>
                    <w:right w:val="single" w:sz="8" w:space="0" w:color="FFFFFF"/>
                  </w:tcBorders>
                  <w:shd w:val="clear" w:color="000000" w:fill="FDE9D9"/>
                  <w:noWrap/>
                  <w:hideMark/>
                </w:tcPr>
                <w:p w14:paraId="0131BE88" w14:textId="40FC9845"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20.1 </w:t>
                  </w:r>
                </w:p>
              </w:tc>
              <w:tc>
                <w:tcPr>
                  <w:tcW w:w="920" w:type="dxa"/>
                  <w:tcBorders>
                    <w:top w:val="nil"/>
                    <w:left w:val="nil"/>
                    <w:bottom w:val="single" w:sz="8" w:space="0" w:color="FFFFFF"/>
                    <w:right w:val="single" w:sz="8" w:space="0" w:color="FFFFFF"/>
                  </w:tcBorders>
                  <w:shd w:val="clear" w:color="000000" w:fill="FDE9D9"/>
                  <w:noWrap/>
                  <w:hideMark/>
                </w:tcPr>
                <w:p w14:paraId="6C67254B" w14:textId="4E38FE99"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13.1 </w:t>
                  </w:r>
                </w:p>
              </w:tc>
              <w:tc>
                <w:tcPr>
                  <w:tcW w:w="920" w:type="dxa"/>
                  <w:tcBorders>
                    <w:top w:val="nil"/>
                    <w:left w:val="nil"/>
                    <w:bottom w:val="single" w:sz="8" w:space="0" w:color="FFFFFF"/>
                    <w:right w:val="single" w:sz="8" w:space="0" w:color="FFFFFF"/>
                  </w:tcBorders>
                  <w:shd w:val="clear" w:color="000000" w:fill="FDE9D9"/>
                  <w:noWrap/>
                  <w:hideMark/>
                </w:tcPr>
                <w:p w14:paraId="4C0EAFCC" w14:textId="49F0F71E"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-11.9 </w:t>
                  </w:r>
                </w:p>
              </w:tc>
            </w:tr>
            <w:tr w:rsidR="008A575D" w:rsidRPr="003F4793" w14:paraId="3B417DAA" w14:textId="77777777" w:rsidTr="00416E34">
              <w:trPr>
                <w:trHeight w:val="310"/>
              </w:trPr>
              <w:tc>
                <w:tcPr>
                  <w:tcW w:w="1309" w:type="dxa"/>
                  <w:tcBorders>
                    <w:top w:val="nil"/>
                    <w:left w:val="nil"/>
                    <w:bottom w:val="nil"/>
                    <w:right w:val="nil"/>
                  </w:tcBorders>
                  <w:shd w:val="clear" w:color="000000" w:fill="FCD5B4"/>
                  <w:noWrap/>
                  <w:hideMark/>
                </w:tcPr>
                <w:p w14:paraId="0DA46A28" w14:textId="419D0520" w:rsidR="008A575D" w:rsidRPr="003F4793" w:rsidRDefault="008A575D" w:rsidP="008A575D">
                  <w:pPr>
                    <w:widowControl/>
                    <w:jc w:val="center"/>
                    <w:rPr>
                      <w:rFonts w:ascii="KaiTi" w:eastAsia="KaiTi" w:hAnsi="KaiTi" w:cs="宋体"/>
                      <w:color w:val="000000"/>
                      <w:kern w:val="0"/>
                      <w:sz w:val="20"/>
                      <w:szCs w:val="20"/>
                    </w:rPr>
                  </w:pPr>
                  <w:proofErr w:type="gramStart"/>
                  <w:r w:rsidRPr="00B73352">
                    <w:rPr>
                      <w:rFonts w:hint="eastAsia"/>
                    </w:rPr>
                    <w:t>城投债</w:t>
                  </w:r>
                  <w:proofErr w:type="gramEnd"/>
                  <w:r w:rsidRPr="00B73352">
                    <w:rPr>
                      <w:rFonts w:hint="eastAsia"/>
                    </w:rPr>
                    <w:t>7Y</w:t>
                  </w:r>
                </w:p>
              </w:tc>
              <w:tc>
                <w:tcPr>
                  <w:tcW w:w="740" w:type="dxa"/>
                  <w:tcBorders>
                    <w:top w:val="nil"/>
                    <w:left w:val="nil"/>
                    <w:bottom w:val="single" w:sz="8" w:space="0" w:color="FFFFFF"/>
                    <w:right w:val="single" w:sz="8" w:space="0" w:color="FFFFFF"/>
                  </w:tcBorders>
                  <w:shd w:val="clear" w:color="000000" w:fill="FCD5B4"/>
                  <w:noWrap/>
                  <w:hideMark/>
                </w:tcPr>
                <w:p w14:paraId="77893C8C" w14:textId="3A085006"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13.6 </w:t>
                  </w:r>
                </w:p>
              </w:tc>
              <w:tc>
                <w:tcPr>
                  <w:tcW w:w="920" w:type="dxa"/>
                  <w:tcBorders>
                    <w:top w:val="nil"/>
                    <w:left w:val="nil"/>
                    <w:bottom w:val="single" w:sz="8" w:space="0" w:color="FFFFFF"/>
                    <w:right w:val="single" w:sz="8" w:space="0" w:color="FFFFFF"/>
                  </w:tcBorders>
                  <w:shd w:val="clear" w:color="000000" w:fill="FCD5B4"/>
                  <w:noWrap/>
                  <w:hideMark/>
                </w:tcPr>
                <w:p w14:paraId="66E4B3A7" w14:textId="5E70927C"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17.6 </w:t>
                  </w:r>
                </w:p>
              </w:tc>
              <w:tc>
                <w:tcPr>
                  <w:tcW w:w="920" w:type="dxa"/>
                  <w:tcBorders>
                    <w:top w:val="nil"/>
                    <w:left w:val="nil"/>
                    <w:bottom w:val="single" w:sz="8" w:space="0" w:color="FFFFFF"/>
                    <w:right w:val="single" w:sz="8" w:space="0" w:color="FFFFFF"/>
                  </w:tcBorders>
                  <w:shd w:val="clear" w:color="000000" w:fill="FCD5B4"/>
                  <w:noWrap/>
                  <w:hideMark/>
                </w:tcPr>
                <w:p w14:paraId="6ECD03FA" w14:textId="53284AF6"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7.5 </w:t>
                  </w:r>
                </w:p>
              </w:tc>
              <w:tc>
                <w:tcPr>
                  <w:tcW w:w="920" w:type="dxa"/>
                  <w:tcBorders>
                    <w:top w:val="nil"/>
                    <w:left w:val="nil"/>
                    <w:bottom w:val="single" w:sz="8" w:space="0" w:color="FFFFFF"/>
                    <w:right w:val="single" w:sz="8" w:space="0" w:color="FFFFFF"/>
                  </w:tcBorders>
                  <w:shd w:val="clear" w:color="000000" w:fill="FCD5B4"/>
                  <w:noWrap/>
                  <w:hideMark/>
                </w:tcPr>
                <w:p w14:paraId="4A1E86C1" w14:textId="1B3F2730"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-14.5 </w:t>
                  </w:r>
                </w:p>
              </w:tc>
              <w:tc>
                <w:tcPr>
                  <w:tcW w:w="1149" w:type="dxa"/>
                  <w:tcBorders>
                    <w:top w:val="nil"/>
                    <w:left w:val="nil"/>
                    <w:bottom w:val="nil"/>
                    <w:right w:val="nil"/>
                  </w:tcBorders>
                  <w:shd w:val="clear" w:color="000000" w:fill="FCD5B4"/>
                  <w:noWrap/>
                  <w:hideMark/>
                </w:tcPr>
                <w:p w14:paraId="10247A8D" w14:textId="0673A9B6" w:rsidR="008A575D" w:rsidRPr="003F4793" w:rsidRDefault="008A575D" w:rsidP="008A575D">
                  <w:pPr>
                    <w:widowControl/>
                    <w:jc w:val="center"/>
                    <w:rPr>
                      <w:rFonts w:ascii="KaiTi" w:eastAsia="KaiTi" w:hAnsi="KaiTi" w:cs="宋体"/>
                      <w:color w:val="000000"/>
                      <w:kern w:val="0"/>
                      <w:sz w:val="20"/>
                      <w:szCs w:val="20"/>
                    </w:rPr>
                  </w:pPr>
                  <w:proofErr w:type="gramStart"/>
                  <w:r w:rsidRPr="00B73352">
                    <w:rPr>
                      <w:rFonts w:hint="eastAsia"/>
                    </w:rPr>
                    <w:t>城投债</w:t>
                  </w:r>
                  <w:proofErr w:type="gramEnd"/>
                  <w:r w:rsidRPr="00B73352">
                    <w:rPr>
                      <w:rFonts w:hint="eastAsia"/>
                    </w:rPr>
                    <w:t>7Y</w:t>
                  </w:r>
                </w:p>
              </w:tc>
              <w:tc>
                <w:tcPr>
                  <w:tcW w:w="920" w:type="dxa"/>
                  <w:tcBorders>
                    <w:top w:val="nil"/>
                    <w:left w:val="nil"/>
                    <w:bottom w:val="single" w:sz="8" w:space="0" w:color="FFFFFF"/>
                    <w:right w:val="single" w:sz="8" w:space="0" w:color="FFFFFF"/>
                  </w:tcBorders>
                  <w:shd w:val="clear" w:color="000000" w:fill="FCD5B4"/>
                  <w:noWrap/>
                  <w:hideMark/>
                </w:tcPr>
                <w:p w14:paraId="627E1DEE" w14:textId="75DFE01C"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16.1 </w:t>
                  </w:r>
                </w:p>
              </w:tc>
              <w:tc>
                <w:tcPr>
                  <w:tcW w:w="920" w:type="dxa"/>
                  <w:tcBorders>
                    <w:top w:val="nil"/>
                    <w:left w:val="nil"/>
                    <w:bottom w:val="single" w:sz="8" w:space="0" w:color="FFFFFF"/>
                    <w:right w:val="single" w:sz="8" w:space="0" w:color="FFFFFF"/>
                  </w:tcBorders>
                  <w:shd w:val="clear" w:color="000000" w:fill="FCD5B4"/>
                  <w:noWrap/>
                  <w:hideMark/>
                </w:tcPr>
                <w:p w14:paraId="1B4F21D5" w14:textId="6F9A64E6"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20.1 </w:t>
                  </w:r>
                </w:p>
              </w:tc>
              <w:tc>
                <w:tcPr>
                  <w:tcW w:w="920" w:type="dxa"/>
                  <w:tcBorders>
                    <w:top w:val="nil"/>
                    <w:left w:val="nil"/>
                    <w:bottom w:val="single" w:sz="8" w:space="0" w:color="FFFFFF"/>
                    <w:right w:val="single" w:sz="8" w:space="0" w:color="FFFFFF"/>
                  </w:tcBorders>
                  <w:shd w:val="clear" w:color="000000" w:fill="FCD5B4"/>
                  <w:noWrap/>
                  <w:hideMark/>
                </w:tcPr>
                <w:p w14:paraId="45D1B136" w14:textId="3EEDC57F"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10.1 </w:t>
                  </w:r>
                </w:p>
              </w:tc>
              <w:tc>
                <w:tcPr>
                  <w:tcW w:w="920" w:type="dxa"/>
                  <w:tcBorders>
                    <w:top w:val="nil"/>
                    <w:left w:val="nil"/>
                    <w:bottom w:val="single" w:sz="8" w:space="0" w:color="FFFFFF"/>
                    <w:right w:val="single" w:sz="8" w:space="0" w:color="FFFFFF"/>
                  </w:tcBorders>
                  <w:shd w:val="clear" w:color="000000" w:fill="FCD5B4"/>
                  <w:noWrap/>
                  <w:hideMark/>
                </w:tcPr>
                <w:p w14:paraId="18882D60" w14:textId="205346BA" w:rsidR="008A575D" w:rsidRPr="003F4793" w:rsidRDefault="008A575D" w:rsidP="008A575D">
                  <w:pPr>
                    <w:widowControl/>
                    <w:jc w:val="center"/>
                    <w:rPr>
                      <w:rFonts w:ascii="KaiTi" w:eastAsia="KaiTi" w:hAnsi="KaiTi" w:cs="Calibri"/>
                      <w:color w:val="000000"/>
                      <w:kern w:val="0"/>
                      <w:szCs w:val="21"/>
                    </w:rPr>
                  </w:pPr>
                  <w:r w:rsidRPr="00B73352">
                    <w:rPr>
                      <w:rFonts w:hint="eastAsia"/>
                    </w:rPr>
                    <w:t xml:space="preserve">-11.9 </w:t>
                  </w:r>
                </w:p>
              </w:tc>
            </w:tr>
            <w:tr w:rsidR="008A575D" w:rsidRPr="003F4793" w14:paraId="42AE38BD" w14:textId="77777777" w:rsidTr="00416E34">
              <w:trPr>
                <w:trHeight w:val="160"/>
              </w:trPr>
              <w:tc>
                <w:tcPr>
                  <w:tcW w:w="1309" w:type="dxa"/>
                  <w:tcBorders>
                    <w:top w:val="nil"/>
                    <w:left w:val="nil"/>
                    <w:bottom w:val="nil"/>
                    <w:right w:val="nil"/>
                  </w:tcBorders>
                  <w:shd w:val="clear" w:color="auto" w:fill="auto"/>
                  <w:noWrap/>
                  <w:hideMark/>
                </w:tcPr>
                <w:p w14:paraId="5A7EA8AA" w14:textId="77777777" w:rsidR="008A575D" w:rsidRPr="003F4793" w:rsidRDefault="008A575D" w:rsidP="008A575D">
                  <w:pPr>
                    <w:widowControl/>
                    <w:jc w:val="center"/>
                    <w:rPr>
                      <w:rFonts w:ascii="KaiTi" w:eastAsia="KaiTi" w:hAnsi="KaiTi" w:cs="Calibri"/>
                      <w:color w:val="000000"/>
                      <w:kern w:val="0"/>
                      <w:szCs w:val="21"/>
                    </w:rPr>
                  </w:pPr>
                </w:p>
              </w:tc>
              <w:tc>
                <w:tcPr>
                  <w:tcW w:w="740" w:type="dxa"/>
                  <w:tcBorders>
                    <w:top w:val="nil"/>
                    <w:left w:val="nil"/>
                    <w:bottom w:val="nil"/>
                    <w:right w:val="nil"/>
                  </w:tcBorders>
                  <w:shd w:val="clear" w:color="auto" w:fill="auto"/>
                  <w:noWrap/>
                  <w:hideMark/>
                </w:tcPr>
                <w:p w14:paraId="48196DA8" w14:textId="77777777" w:rsidR="008A575D" w:rsidRPr="003F4793" w:rsidRDefault="008A575D" w:rsidP="008A575D">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12908F17" w14:textId="77777777" w:rsidR="008A575D" w:rsidRPr="003F4793" w:rsidRDefault="008A575D" w:rsidP="008A575D">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4ECE1CA7" w14:textId="77777777" w:rsidR="008A575D" w:rsidRPr="003F4793" w:rsidRDefault="008A575D" w:rsidP="008A575D">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542E0E74" w14:textId="77777777" w:rsidR="008A575D" w:rsidRPr="003F4793" w:rsidRDefault="008A575D" w:rsidP="008A575D">
                  <w:pPr>
                    <w:widowControl/>
                    <w:jc w:val="center"/>
                    <w:rPr>
                      <w:rFonts w:ascii="KaiTi" w:eastAsia="KaiTi" w:hAnsi="KaiTi"/>
                      <w:kern w:val="0"/>
                      <w:sz w:val="20"/>
                      <w:szCs w:val="20"/>
                    </w:rPr>
                  </w:pPr>
                </w:p>
              </w:tc>
              <w:tc>
                <w:tcPr>
                  <w:tcW w:w="1149" w:type="dxa"/>
                  <w:tcBorders>
                    <w:top w:val="nil"/>
                    <w:left w:val="nil"/>
                    <w:bottom w:val="nil"/>
                    <w:right w:val="nil"/>
                  </w:tcBorders>
                  <w:shd w:val="clear" w:color="auto" w:fill="auto"/>
                  <w:noWrap/>
                  <w:hideMark/>
                </w:tcPr>
                <w:p w14:paraId="05ED658A" w14:textId="77777777" w:rsidR="008A575D" w:rsidRPr="003F4793" w:rsidRDefault="008A575D" w:rsidP="008A575D">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7F5D1A19" w14:textId="77777777" w:rsidR="008A575D" w:rsidRPr="003F4793" w:rsidRDefault="008A575D" w:rsidP="008A575D">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31BF2F6A" w14:textId="77777777" w:rsidR="008A575D" w:rsidRPr="003F4793" w:rsidRDefault="008A575D" w:rsidP="008A575D">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0E8AB294" w14:textId="77777777" w:rsidR="008A575D" w:rsidRPr="003F4793" w:rsidRDefault="008A575D" w:rsidP="008A575D">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79F18CA9" w14:textId="77777777" w:rsidR="008A575D" w:rsidRPr="003F4793" w:rsidRDefault="008A575D" w:rsidP="008A575D">
                  <w:pPr>
                    <w:widowControl/>
                    <w:jc w:val="center"/>
                    <w:rPr>
                      <w:rFonts w:ascii="KaiTi" w:eastAsia="KaiTi" w:hAnsi="KaiTi"/>
                      <w:kern w:val="0"/>
                      <w:sz w:val="20"/>
                      <w:szCs w:val="20"/>
                    </w:rPr>
                  </w:pPr>
                </w:p>
              </w:tc>
            </w:tr>
            <w:tr w:rsidR="008A575D" w:rsidRPr="003F4793" w14:paraId="2463192E" w14:textId="77777777" w:rsidTr="00416E34">
              <w:trPr>
                <w:trHeight w:val="310"/>
              </w:trPr>
              <w:tc>
                <w:tcPr>
                  <w:tcW w:w="1309" w:type="dxa"/>
                  <w:tcBorders>
                    <w:top w:val="nil"/>
                    <w:left w:val="nil"/>
                    <w:bottom w:val="single" w:sz="12" w:space="0" w:color="FFFFFF"/>
                    <w:right w:val="single" w:sz="8" w:space="0" w:color="FFFFFF"/>
                  </w:tcBorders>
                  <w:shd w:val="clear" w:color="000000" w:fill="F79646"/>
                  <w:noWrap/>
                  <w:hideMark/>
                </w:tcPr>
                <w:p w14:paraId="30C3828D" w14:textId="15E74CF0"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收益率分位</w:t>
                  </w:r>
                </w:p>
              </w:tc>
              <w:tc>
                <w:tcPr>
                  <w:tcW w:w="740" w:type="dxa"/>
                  <w:tcBorders>
                    <w:top w:val="nil"/>
                    <w:left w:val="nil"/>
                    <w:bottom w:val="single" w:sz="12" w:space="0" w:color="FFFFFF"/>
                    <w:right w:val="single" w:sz="8" w:space="0" w:color="FFFFFF"/>
                  </w:tcBorders>
                  <w:shd w:val="clear" w:color="000000" w:fill="F79646"/>
                  <w:noWrap/>
                  <w:hideMark/>
                </w:tcPr>
                <w:p w14:paraId="57743789" w14:textId="6061C6EF"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AAA</w:t>
                  </w:r>
                </w:p>
              </w:tc>
              <w:tc>
                <w:tcPr>
                  <w:tcW w:w="920" w:type="dxa"/>
                  <w:tcBorders>
                    <w:top w:val="nil"/>
                    <w:left w:val="nil"/>
                    <w:bottom w:val="single" w:sz="12" w:space="0" w:color="FFFFFF"/>
                    <w:right w:val="single" w:sz="8" w:space="0" w:color="FFFFFF"/>
                  </w:tcBorders>
                  <w:shd w:val="clear" w:color="000000" w:fill="F79646"/>
                  <w:noWrap/>
                  <w:hideMark/>
                </w:tcPr>
                <w:p w14:paraId="20835438" w14:textId="4E9D39EA"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6942ACD3" w14:textId="6EC09802"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3DED1B9B" w14:textId="70F112E4"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w:t>
                  </w:r>
                </w:p>
              </w:tc>
              <w:tc>
                <w:tcPr>
                  <w:tcW w:w="1149" w:type="dxa"/>
                  <w:tcBorders>
                    <w:top w:val="nil"/>
                    <w:left w:val="nil"/>
                    <w:bottom w:val="single" w:sz="12" w:space="0" w:color="FFFFFF"/>
                    <w:right w:val="single" w:sz="8" w:space="0" w:color="FFFFFF"/>
                  </w:tcBorders>
                  <w:shd w:val="clear" w:color="000000" w:fill="F79646"/>
                  <w:noWrap/>
                  <w:hideMark/>
                </w:tcPr>
                <w:p w14:paraId="4C48D3F0" w14:textId="102C90C7"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息差</w:t>
                  </w:r>
                </w:p>
              </w:tc>
              <w:tc>
                <w:tcPr>
                  <w:tcW w:w="920" w:type="dxa"/>
                  <w:tcBorders>
                    <w:top w:val="nil"/>
                    <w:left w:val="nil"/>
                    <w:bottom w:val="single" w:sz="12" w:space="0" w:color="FFFFFF"/>
                    <w:right w:val="single" w:sz="8" w:space="0" w:color="FFFFFF"/>
                  </w:tcBorders>
                  <w:shd w:val="clear" w:color="000000" w:fill="F79646"/>
                  <w:noWrap/>
                  <w:hideMark/>
                </w:tcPr>
                <w:p w14:paraId="20F774BB" w14:textId="55035D14"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AAA</w:t>
                  </w:r>
                </w:p>
              </w:tc>
              <w:tc>
                <w:tcPr>
                  <w:tcW w:w="920" w:type="dxa"/>
                  <w:tcBorders>
                    <w:top w:val="nil"/>
                    <w:left w:val="nil"/>
                    <w:bottom w:val="single" w:sz="12" w:space="0" w:color="FFFFFF"/>
                    <w:right w:val="single" w:sz="8" w:space="0" w:color="FFFFFF"/>
                  </w:tcBorders>
                  <w:shd w:val="clear" w:color="000000" w:fill="F79646"/>
                  <w:noWrap/>
                  <w:hideMark/>
                </w:tcPr>
                <w:p w14:paraId="5045FBE8" w14:textId="6ACE1B07"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27DDC22F" w14:textId="2C1F2A8E"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016F42D2" w14:textId="00794597" w:rsidR="008A575D" w:rsidRPr="003F4793" w:rsidRDefault="008A575D" w:rsidP="008A575D">
                  <w:pPr>
                    <w:widowControl/>
                    <w:jc w:val="center"/>
                    <w:rPr>
                      <w:rFonts w:ascii="KaiTi" w:eastAsia="KaiTi" w:hAnsi="KaiTi" w:cs="宋体"/>
                      <w:b/>
                      <w:bCs/>
                      <w:color w:val="FFFFFF"/>
                      <w:kern w:val="0"/>
                      <w:sz w:val="20"/>
                      <w:szCs w:val="20"/>
                    </w:rPr>
                  </w:pPr>
                  <w:r w:rsidRPr="00B73352">
                    <w:rPr>
                      <w:rFonts w:hint="eastAsia"/>
                    </w:rPr>
                    <w:t>AA-</w:t>
                  </w:r>
                </w:p>
              </w:tc>
            </w:tr>
            <w:tr w:rsidR="008A575D" w:rsidRPr="003F4793" w14:paraId="6BCEED0C" w14:textId="77777777" w:rsidTr="00416E34">
              <w:trPr>
                <w:trHeight w:val="321"/>
              </w:trPr>
              <w:tc>
                <w:tcPr>
                  <w:tcW w:w="1309" w:type="dxa"/>
                  <w:tcBorders>
                    <w:top w:val="nil"/>
                    <w:left w:val="nil"/>
                    <w:bottom w:val="single" w:sz="8" w:space="0" w:color="FFFFFF"/>
                    <w:right w:val="single" w:sz="8" w:space="0" w:color="FFFFFF"/>
                  </w:tcBorders>
                  <w:shd w:val="clear" w:color="000000" w:fill="FCD5B4"/>
                  <w:noWrap/>
                  <w:hideMark/>
                </w:tcPr>
                <w:p w14:paraId="08C9B79B" w14:textId="15841718" w:rsidR="008A575D" w:rsidRPr="003F4793" w:rsidRDefault="008A575D" w:rsidP="008A575D">
                  <w:pPr>
                    <w:widowControl/>
                    <w:jc w:val="center"/>
                    <w:rPr>
                      <w:rFonts w:ascii="KaiTi" w:eastAsia="KaiTi" w:hAnsi="KaiTi" w:cs="宋体"/>
                      <w:color w:val="000000"/>
                      <w:kern w:val="0"/>
                      <w:sz w:val="20"/>
                      <w:szCs w:val="20"/>
                    </w:rPr>
                  </w:pPr>
                  <w:r w:rsidRPr="00B73352">
                    <w:t>CP</w:t>
                  </w:r>
                </w:p>
              </w:tc>
              <w:tc>
                <w:tcPr>
                  <w:tcW w:w="740" w:type="dxa"/>
                  <w:tcBorders>
                    <w:top w:val="nil"/>
                    <w:left w:val="nil"/>
                    <w:bottom w:val="single" w:sz="8" w:space="0" w:color="FFFFFF"/>
                    <w:right w:val="single" w:sz="8" w:space="0" w:color="FFFFFF"/>
                  </w:tcBorders>
                  <w:shd w:val="clear" w:color="000000" w:fill="FCD5B4"/>
                  <w:noWrap/>
                  <w:hideMark/>
                </w:tcPr>
                <w:p w14:paraId="3D9575A3" w14:textId="6D0A6591" w:rsidR="008A575D" w:rsidRPr="003F4793" w:rsidRDefault="008A575D" w:rsidP="008A575D">
                  <w:pPr>
                    <w:widowControl/>
                    <w:jc w:val="center"/>
                    <w:rPr>
                      <w:rFonts w:ascii="KaiTi" w:eastAsia="KaiTi" w:hAnsi="KaiTi" w:cs="Calibri"/>
                      <w:color w:val="000000"/>
                      <w:kern w:val="0"/>
                      <w:szCs w:val="21"/>
                    </w:rPr>
                  </w:pPr>
                  <w:r w:rsidRPr="00B73352">
                    <w:t>20%</w:t>
                  </w:r>
                </w:p>
              </w:tc>
              <w:tc>
                <w:tcPr>
                  <w:tcW w:w="920" w:type="dxa"/>
                  <w:tcBorders>
                    <w:top w:val="nil"/>
                    <w:left w:val="nil"/>
                    <w:bottom w:val="single" w:sz="8" w:space="0" w:color="FFFFFF"/>
                    <w:right w:val="single" w:sz="8" w:space="0" w:color="FFFFFF"/>
                  </w:tcBorders>
                  <w:shd w:val="clear" w:color="000000" w:fill="FCD5B4"/>
                  <w:noWrap/>
                  <w:hideMark/>
                </w:tcPr>
                <w:p w14:paraId="29CEB283" w14:textId="42958EE6" w:rsidR="008A575D" w:rsidRPr="003F4793" w:rsidRDefault="008A575D" w:rsidP="008A575D">
                  <w:pPr>
                    <w:widowControl/>
                    <w:jc w:val="center"/>
                    <w:rPr>
                      <w:rFonts w:ascii="KaiTi" w:eastAsia="KaiTi" w:hAnsi="KaiTi" w:cs="Calibri"/>
                      <w:color w:val="000000"/>
                      <w:kern w:val="0"/>
                      <w:szCs w:val="21"/>
                    </w:rPr>
                  </w:pPr>
                  <w:r w:rsidRPr="00B73352">
                    <w:t>18%</w:t>
                  </w:r>
                </w:p>
              </w:tc>
              <w:tc>
                <w:tcPr>
                  <w:tcW w:w="920" w:type="dxa"/>
                  <w:tcBorders>
                    <w:top w:val="nil"/>
                    <w:left w:val="nil"/>
                    <w:bottom w:val="single" w:sz="8" w:space="0" w:color="FFFFFF"/>
                    <w:right w:val="single" w:sz="8" w:space="0" w:color="FFFFFF"/>
                  </w:tcBorders>
                  <w:shd w:val="clear" w:color="000000" w:fill="FCD5B4"/>
                  <w:noWrap/>
                  <w:hideMark/>
                </w:tcPr>
                <w:p w14:paraId="79A327E6" w14:textId="225E98D8" w:rsidR="008A575D" w:rsidRPr="003F4793" w:rsidRDefault="008A575D" w:rsidP="008A575D">
                  <w:pPr>
                    <w:widowControl/>
                    <w:jc w:val="center"/>
                    <w:rPr>
                      <w:rFonts w:ascii="KaiTi" w:eastAsia="KaiTi" w:hAnsi="KaiTi" w:cs="Calibri"/>
                      <w:color w:val="000000"/>
                      <w:kern w:val="0"/>
                      <w:szCs w:val="21"/>
                    </w:rPr>
                  </w:pPr>
                  <w:r w:rsidRPr="00B73352">
                    <w:t>17%</w:t>
                  </w:r>
                </w:p>
              </w:tc>
              <w:tc>
                <w:tcPr>
                  <w:tcW w:w="920" w:type="dxa"/>
                  <w:tcBorders>
                    <w:top w:val="nil"/>
                    <w:left w:val="nil"/>
                    <w:bottom w:val="single" w:sz="8" w:space="0" w:color="FFFFFF"/>
                    <w:right w:val="single" w:sz="8" w:space="0" w:color="FFFFFF"/>
                  </w:tcBorders>
                  <w:shd w:val="clear" w:color="000000" w:fill="FCD5B4"/>
                  <w:noWrap/>
                  <w:hideMark/>
                </w:tcPr>
                <w:p w14:paraId="033E9A5E" w14:textId="6673D07F" w:rsidR="008A575D" w:rsidRPr="003F4793" w:rsidRDefault="008A575D" w:rsidP="008A575D">
                  <w:pPr>
                    <w:widowControl/>
                    <w:jc w:val="center"/>
                    <w:rPr>
                      <w:rFonts w:ascii="KaiTi" w:eastAsia="KaiTi" w:hAnsi="KaiTi" w:cs="Calibri"/>
                      <w:color w:val="000000"/>
                      <w:kern w:val="0"/>
                      <w:szCs w:val="21"/>
                    </w:rPr>
                  </w:pPr>
                  <w:r w:rsidRPr="00B73352">
                    <w:t>50%</w:t>
                  </w:r>
                </w:p>
              </w:tc>
              <w:tc>
                <w:tcPr>
                  <w:tcW w:w="1149" w:type="dxa"/>
                  <w:tcBorders>
                    <w:top w:val="nil"/>
                    <w:left w:val="nil"/>
                    <w:bottom w:val="single" w:sz="8" w:space="0" w:color="FFFFFF"/>
                    <w:right w:val="single" w:sz="8" w:space="0" w:color="FFFFFF"/>
                  </w:tcBorders>
                  <w:shd w:val="clear" w:color="000000" w:fill="FCD5B4"/>
                  <w:noWrap/>
                  <w:hideMark/>
                </w:tcPr>
                <w:p w14:paraId="13B4CCB6" w14:textId="562C2D24" w:rsidR="008A575D" w:rsidRPr="003F4793" w:rsidRDefault="008A575D" w:rsidP="008A575D">
                  <w:pPr>
                    <w:widowControl/>
                    <w:jc w:val="center"/>
                    <w:rPr>
                      <w:rFonts w:ascii="KaiTi" w:eastAsia="KaiTi" w:hAnsi="KaiTi" w:cs="宋体"/>
                      <w:color w:val="000000"/>
                      <w:kern w:val="0"/>
                      <w:sz w:val="20"/>
                      <w:szCs w:val="20"/>
                    </w:rPr>
                  </w:pPr>
                  <w:r w:rsidRPr="00B73352">
                    <w:t>CP</w:t>
                  </w:r>
                </w:p>
              </w:tc>
              <w:tc>
                <w:tcPr>
                  <w:tcW w:w="920" w:type="dxa"/>
                  <w:tcBorders>
                    <w:top w:val="nil"/>
                    <w:left w:val="nil"/>
                    <w:bottom w:val="single" w:sz="8" w:space="0" w:color="FFFFFF"/>
                    <w:right w:val="single" w:sz="8" w:space="0" w:color="FFFFFF"/>
                  </w:tcBorders>
                  <w:shd w:val="clear" w:color="000000" w:fill="FCD5B4"/>
                  <w:noWrap/>
                  <w:hideMark/>
                </w:tcPr>
                <w:p w14:paraId="1A1E1D51" w14:textId="01A484C0" w:rsidR="008A575D" w:rsidRPr="003F4793" w:rsidRDefault="008A575D" w:rsidP="008A575D">
                  <w:pPr>
                    <w:widowControl/>
                    <w:jc w:val="center"/>
                    <w:rPr>
                      <w:rFonts w:ascii="KaiTi" w:eastAsia="KaiTi" w:hAnsi="KaiTi" w:cs="Calibri"/>
                      <w:color w:val="000000"/>
                      <w:kern w:val="0"/>
                      <w:szCs w:val="21"/>
                    </w:rPr>
                  </w:pPr>
                  <w:r w:rsidRPr="00B73352">
                    <w:t>7%</w:t>
                  </w:r>
                </w:p>
              </w:tc>
              <w:tc>
                <w:tcPr>
                  <w:tcW w:w="920" w:type="dxa"/>
                  <w:tcBorders>
                    <w:top w:val="nil"/>
                    <w:left w:val="nil"/>
                    <w:bottom w:val="single" w:sz="8" w:space="0" w:color="FFFFFF"/>
                    <w:right w:val="single" w:sz="8" w:space="0" w:color="FFFFFF"/>
                  </w:tcBorders>
                  <w:shd w:val="clear" w:color="000000" w:fill="FCD5B4"/>
                  <w:noWrap/>
                  <w:hideMark/>
                </w:tcPr>
                <w:p w14:paraId="10576394" w14:textId="5CB09C42" w:rsidR="008A575D" w:rsidRPr="003F4793" w:rsidRDefault="008A575D" w:rsidP="008A575D">
                  <w:pPr>
                    <w:widowControl/>
                    <w:jc w:val="center"/>
                    <w:rPr>
                      <w:rFonts w:ascii="KaiTi" w:eastAsia="KaiTi" w:hAnsi="KaiTi" w:cs="Calibri"/>
                      <w:color w:val="000000"/>
                      <w:kern w:val="0"/>
                      <w:szCs w:val="21"/>
                    </w:rPr>
                  </w:pPr>
                  <w:r w:rsidRPr="00B73352">
                    <w:t>5%</w:t>
                  </w:r>
                </w:p>
              </w:tc>
              <w:tc>
                <w:tcPr>
                  <w:tcW w:w="920" w:type="dxa"/>
                  <w:tcBorders>
                    <w:top w:val="nil"/>
                    <w:left w:val="nil"/>
                    <w:bottom w:val="single" w:sz="8" w:space="0" w:color="FFFFFF"/>
                    <w:right w:val="single" w:sz="8" w:space="0" w:color="FFFFFF"/>
                  </w:tcBorders>
                  <w:shd w:val="clear" w:color="000000" w:fill="FCD5B4"/>
                  <w:noWrap/>
                  <w:hideMark/>
                </w:tcPr>
                <w:p w14:paraId="0393CC42" w14:textId="6473A91B" w:rsidR="008A575D" w:rsidRPr="003F4793" w:rsidRDefault="008A575D" w:rsidP="008A575D">
                  <w:pPr>
                    <w:widowControl/>
                    <w:jc w:val="center"/>
                    <w:rPr>
                      <w:rFonts w:ascii="KaiTi" w:eastAsia="KaiTi" w:hAnsi="KaiTi" w:cs="Calibri"/>
                      <w:color w:val="000000"/>
                      <w:kern w:val="0"/>
                      <w:szCs w:val="21"/>
                    </w:rPr>
                  </w:pPr>
                  <w:r w:rsidRPr="00B73352">
                    <w:t>3%</w:t>
                  </w:r>
                </w:p>
              </w:tc>
              <w:tc>
                <w:tcPr>
                  <w:tcW w:w="920" w:type="dxa"/>
                  <w:tcBorders>
                    <w:top w:val="nil"/>
                    <w:left w:val="nil"/>
                    <w:bottom w:val="single" w:sz="8" w:space="0" w:color="FFFFFF"/>
                    <w:right w:val="single" w:sz="8" w:space="0" w:color="FFFFFF"/>
                  </w:tcBorders>
                  <w:shd w:val="clear" w:color="000000" w:fill="FCD5B4"/>
                  <w:noWrap/>
                  <w:hideMark/>
                </w:tcPr>
                <w:p w14:paraId="580FA8E3" w14:textId="4F50EC25" w:rsidR="008A575D" w:rsidRPr="003F4793" w:rsidRDefault="008A575D" w:rsidP="008A575D">
                  <w:pPr>
                    <w:widowControl/>
                    <w:jc w:val="center"/>
                    <w:rPr>
                      <w:rFonts w:ascii="KaiTi" w:eastAsia="KaiTi" w:hAnsi="KaiTi" w:cs="Calibri"/>
                      <w:color w:val="000000"/>
                      <w:kern w:val="0"/>
                      <w:szCs w:val="21"/>
                    </w:rPr>
                  </w:pPr>
                  <w:r w:rsidRPr="00B73352">
                    <w:t>68%</w:t>
                  </w:r>
                </w:p>
              </w:tc>
            </w:tr>
            <w:tr w:rsidR="008A575D" w:rsidRPr="003F4793" w14:paraId="3DF945E2" w14:textId="77777777" w:rsidTr="00416E34">
              <w:trPr>
                <w:trHeight w:val="310"/>
              </w:trPr>
              <w:tc>
                <w:tcPr>
                  <w:tcW w:w="1309" w:type="dxa"/>
                  <w:tcBorders>
                    <w:top w:val="nil"/>
                    <w:left w:val="nil"/>
                    <w:bottom w:val="single" w:sz="8" w:space="0" w:color="FFFFFF"/>
                    <w:right w:val="single" w:sz="8" w:space="0" w:color="FFFFFF"/>
                  </w:tcBorders>
                  <w:shd w:val="clear" w:color="000000" w:fill="FDE9D9"/>
                  <w:noWrap/>
                  <w:hideMark/>
                </w:tcPr>
                <w:p w14:paraId="7C68C45D" w14:textId="43F9DF4B" w:rsidR="008A575D" w:rsidRPr="003F4793" w:rsidRDefault="008A575D" w:rsidP="008A575D">
                  <w:pPr>
                    <w:widowControl/>
                    <w:jc w:val="center"/>
                    <w:rPr>
                      <w:rFonts w:ascii="KaiTi" w:eastAsia="KaiTi" w:hAnsi="KaiTi" w:cs="宋体"/>
                      <w:color w:val="000000"/>
                      <w:kern w:val="0"/>
                      <w:sz w:val="20"/>
                      <w:szCs w:val="20"/>
                    </w:rPr>
                  </w:pPr>
                  <w:r w:rsidRPr="00B73352">
                    <w:t>MTN3Y</w:t>
                  </w:r>
                </w:p>
              </w:tc>
              <w:tc>
                <w:tcPr>
                  <w:tcW w:w="740" w:type="dxa"/>
                  <w:tcBorders>
                    <w:top w:val="nil"/>
                    <w:left w:val="nil"/>
                    <w:bottom w:val="single" w:sz="8" w:space="0" w:color="FFFFFF"/>
                    <w:right w:val="single" w:sz="8" w:space="0" w:color="FFFFFF"/>
                  </w:tcBorders>
                  <w:shd w:val="clear" w:color="000000" w:fill="FDE9D9"/>
                  <w:noWrap/>
                  <w:hideMark/>
                </w:tcPr>
                <w:p w14:paraId="5A423046" w14:textId="421E77DE" w:rsidR="008A575D" w:rsidRPr="003F4793" w:rsidRDefault="008A575D" w:rsidP="008A575D">
                  <w:pPr>
                    <w:widowControl/>
                    <w:jc w:val="center"/>
                    <w:rPr>
                      <w:rFonts w:ascii="KaiTi" w:eastAsia="KaiTi" w:hAnsi="KaiTi" w:cs="Calibri"/>
                      <w:color w:val="000000"/>
                      <w:kern w:val="0"/>
                      <w:szCs w:val="21"/>
                    </w:rPr>
                  </w:pPr>
                  <w:r w:rsidRPr="00B73352">
                    <w:t>13%</w:t>
                  </w:r>
                </w:p>
              </w:tc>
              <w:tc>
                <w:tcPr>
                  <w:tcW w:w="920" w:type="dxa"/>
                  <w:tcBorders>
                    <w:top w:val="nil"/>
                    <w:left w:val="nil"/>
                    <w:bottom w:val="single" w:sz="8" w:space="0" w:color="FFFFFF"/>
                    <w:right w:val="single" w:sz="8" w:space="0" w:color="FFFFFF"/>
                  </w:tcBorders>
                  <w:shd w:val="clear" w:color="000000" w:fill="FDE9D9"/>
                  <w:noWrap/>
                  <w:hideMark/>
                </w:tcPr>
                <w:p w14:paraId="3842DD73" w14:textId="05629358" w:rsidR="008A575D" w:rsidRPr="003F4793" w:rsidRDefault="008A575D" w:rsidP="008A575D">
                  <w:pPr>
                    <w:widowControl/>
                    <w:jc w:val="center"/>
                    <w:rPr>
                      <w:rFonts w:ascii="KaiTi" w:eastAsia="KaiTi" w:hAnsi="KaiTi" w:cs="Calibri"/>
                      <w:color w:val="000000"/>
                      <w:kern w:val="0"/>
                      <w:szCs w:val="21"/>
                    </w:rPr>
                  </w:pPr>
                  <w:r w:rsidRPr="00B73352">
                    <w:t>10%</w:t>
                  </w:r>
                </w:p>
              </w:tc>
              <w:tc>
                <w:tcPr>
                  <w:tcW w:w="920" w:type="dxa"/>
                  <w:tcBorders>
                    <w:top w:val="nil"/>
                    <w:left w:val="nil"/>
                    <w:bottom w:val="single" w:sz="8" w:space="0" w:color="FFFFFF"/>
                    <w:right w:val="single" w:sz="8" w:space="0" w:color="FFFFFF"/>
                  </w:tcBorders>
                  <w:shd w:val="clear" w:color="000000" w:fill="FDE9D9"/>
                  <w:noWrap/>
                  <w:hideMark/>
                </w:tcPr>
                <w:p w14:paraId="78364D74" w14:textId="77A85A27" w:rsidR="008A575D" w:rsidRPr="003F4793" w:rsidRDefault="008A575D" w:rsidP="008A575D">
                  <w:pPr>
                    <w:widowControl/>
                    <w:jc w:val="center"/>
                    <w:rPr>
                      <w:rFonts w:ascii="KaiTi" w:eastAsia="KaiTi" w:hAnsi="KaiTi" w:cs="Calibri"/>
                      <w:color w:val="000000"/>
                      <w:kern w:val="0"/>
                      <w:szCs w:val="21"/>
                    </w:rPr>
                  </w:pPr>
                  <w:r w:rsidRPr="00B73352">
                    <w:t>14%</w:t>
                  </w:r>
                </w:p>
              </w:tc>
              <w:tc>
                <w:tcPr>
                  <w:tcW w:w="920" w:type="dxa"/>
                  <w:tcBorders>
                    <w:top w:val="nil"/>
                    <w:left w:val="nil"/>
                    <w:bottom w:val="single" w:sz="8" w:space="0" w:color="FFFFFF"/>
                    <w:right w:val="single" w:sz="8" w:space="0" w:color="FFFFFF"/>
                  </w:tcBorders>
                  <w:shd w:val="clear" w:color="000000" w:fill="FDE9D9"/>
                  <w:noWrap/>
                  <w:hideMark/>
                </w:tcPr>
                <w:p w14:paraId="564662AF" w14:textId="219B6523" w:rsidR="008A575D" w:rsidRPr="003F4793" w:rsidRDefault="008A575D" w:rsidP="008A575D">
                  <w:pPr>
                    <w:widowControl/>
                    <w:jc w:val="center"/>
                    <w:rPr>
                      <w:rFonts w:ascii="KaiTi" w:eastAsia="KaiTi" w:hAnsi="KaiTi" w:cs="Calibri"/>
                      <w:color w:val="000000"/>
                      <w:kern w:val="0"/>
                      <w:szCs w:val="21"/>
                    </w:rPr>
                  </w:pPr>
                  <w:r w:rsidRPr="00B73352">
                    <w:t>60%</w:t>
                  </w:r>
                </w:p>
              </w:tc>
              <w:tc>
                <w:tcPr>
                  <w:tcW w:w="1149" w:type="dxa"/>
                  <w:tcBorders>
                    <w:top w:val="nil"/>
                    <w:left w:val="nil"/>
                    <w:bottom w:val="single" w:sz="8" w:space="0" w:color="FFFFFF"/>
                    <w:right w:val="single" w:sz="8" w:space="0" w:color="FFFFFF"/>
                  </w:tcBorders>
                  <w:shd w:val="clear" w:color="000000" w:fill="FDE9D9"/>
                  <w:noWrap/>
                  <w:hideMark/>
                </w:tcPr>
                <w:p w14:paraId="6544C40A" w14:textId="177382C9" w:rsidR="008A575D" w:rsidRPr="003F4793" w:rsidRDefault="008A575D" w:rsidP="008A575D">
                  <w:pPr>
                    <w:widowControl/>
                    <w:jc w:val="center"/>
                    <w:rPr>
                      <w:rFonts w:ascii="KaiTi" w:eastAsia="KaiTi" w:hAnsi="KaiTi" w:cs="宋体"/>
                      <w:color w:val="000000"/>
                      <w:kern w:val="0"/>
                      <w:sz w:val="20"/>
                      <w:szCs w:val="20"/>
                    </w:rPr>
                  </w:pPr>
                  <w:r w:rsidRPr="00B73352">
                    <w:t>MTN3Y</w:t>
                  </w:r>
                </w:p>
              </w:tc>
              <w:tc>
                <w:tcPr>
                  <w:tcW w:w="920" w:type="dxa"/>
                  <w:tcBorders>
                    <w:top w:val="nil"/>
                    <w:left w:val="nil"/>
                    <w:bottom w:val="single" w:sz="8" w:space="0" w:color="FFFFFF"/>
                    <w:right w:val="single" w:sz="8" w:space="0" w:color="FFFFFF"/>
                  </w:tcBorders>
                  <w:shd w:val="clear" w:color="000000" w:fill="FDE9D9"/>
                  <w:noWrap/>
                  <w:hideMark/>
                </w:tcPr>
                <w:p w14:paraId="1A21A620" w14:textId="07D22448" w:rsidR="008A575D" w:rsidRPr="003F4793" w:rsidRDefault="008A575D" w:rsidP="008A575D">
                  <w:pPr>
                    <w:widowControl/>
                    <w:jc w:val="center"/>
                    <w:rPr>
                      <w:rFonts w:ascii="KaiTi" w:eastAsia="KaiTi" w:hAnsi="KaiTi" w:cs="Calibri"/>
                      <w:color w:val="000000"/>
                      <w:kern w:val="0"/>
                      <w:szCs w:val="21"/>
                    </w:rPr>
                  </w:pPr>
                  <w:r w:rsidRPr="00B73352">
                    <w:t>13%</w:t>
                  </w:r>
                </w:p>
              </w:tc>
              <w:tc>
                <w:tcPr>
                  <w:tcW w:w="920" w:type="dxa"/>
                  <w:tcBorders>
                    <w:top w:val="nil"/>
                    <w:left w:val="nil"/>
                    <w:bottom w:val="single" w:sz="8" w:space="0" w:color="FFFFFF"/>
                    <w:right w:val="single" w:sz="8" w:space="0" w:color="FFFFFF"/>
                  </w:tcBorders>
                  <w:shd w:val="clear" w:color="000000" w:fill="FDE9D9"/>
                  <w:noWrap/>
                  <w:hideMark/>
                </w:tcPr>
                <w:p w14:paraId="17EEE215" w14:textId="12EAAFBE" w:rsidR="008A575D" w:rsidRPr="003F4793" w:rsidRDefault="008A575D" w:rsidP="008A575D">
                  <w:pPr>
                    <w:widowControl/>
                    <w:jc w:val="center"/>
                    <w:rPr>
                      <w:rFonts w:ascii="KaiTi" w:eastAsia="KaiTi" w:hAnsi="KaiTi" w:cs="Calibri"/>
                      <w:color w:val="000000"/>
                      <w:kern w:val="0"/>
                      <w:szCs w:val="21"/>
                    </w:rPr>
                  </w:pPr>
                  <w:r w:rsidRPr="00B73352">
                    <w:t>12%</w:t>
                  </w:r>
                </w:p>
              </w:tc>
              <w:tc>
                <w:tcPr>
                  <w:tcW w:w="920" w:type="dxa"/>
                  <w:tcBorders>
                    <w:top w:val="nil"/>
                    <w:left w:val="nil"/>
                    <w:bottom w:val="single" w:sz="8" w:space="0" w:color="FFFFFF"/>
                    <w:right w:val="single" w:sz="8" w:space="0" w:color="FFFFFF"/>
                  </w:tcBorders>
                  <w:shd w:val="clear" w:color="000000" w:fill="FDE9D9"/>
                  <w:noWrap/>
                  <w:hideMark/>
                </w:tcPr>
                <w:p w14:paraId="42640BE8" w14:textId="46CDE3BF" w:rsidR="008A575D" w:rsidRPr="003F4793" w:rsidRDefault="008A575D" w:rsidP="008A575D">
                  <w:pPr>
                    <w:widowControl/>
                    <w:jc w:val="center"/>
                    <w:rPr>
                      <w:rFonts w:ascii="KaiTi" w:eastAsia="KaiTi" w:hAnsi="KaiTi" w:cs="Calibri"/>
                      <w:color w:val="000000"/>
                      <w:kern w:val="0"/>
                      <w:szCs w:val="21"/>
                    </w:rPr>
                  </w:pPr>
                  <w:r w:rsidRPr="00B73352">
                    <w:t>24%</w:t>
                  </w:r>
                </w:p>
              </w:tc>
              <w:tc>
                <w:tcPr>
                  <w:tcW w:w="920" w:type="dxa"/>
                  <w:tcBorders>
                    <w:top w:val="nil"/>
                    <w:left w:val="nil"/>
                    <w:bottom w:val="single" w:sz="8" w:space="0" w:color="FFFFFF"/>
                    <w:right w:val="single" w:sz="8" w:space="0" w:color="FFFFFF"/>
                  </w:tcBorders>
                  <w:shd w:val="clear" w:color="000000" w:fill="FDE9D9"/>
                  <w:noWrap/>
                  <w:hideMark/>
                </w:tcPr>
                <w:p w14:paraId="132999AD" w14:textId="15B11A60" w:rsidR="008A575D" w:rsidRPr="003F4793" w:rsidRDefault="008A575D" w:rsidP="008A575D">
                  <w:pPr>
                    <w:widowControl/>
                    <w:jc w:val="center"/>
                    <w:rPr>
                      <w:rFonts w:ascii="KaiTi" w:eastAsia="KaiTi" w:hAnsi="KaiTi" w:cs="Calibri"/>
                      <w:color w:val="000000"/>
                      <w:kern w:val="0"/>
                      <w:szCs w:val="21"/>
                    </w:rPr>
                  </w:pPr>
                  <w:r w:rsidRPr="00B73352">
                    <w:t>90%</w:t>
                  </w:r>
                </w:p>
              </w:tc>
            </w:tr>
            <w:tr w:rsidR="008A575D" w:rsidRPr="003F4793" w14:paraId="311BF477" w14:textId="77777777" w:rsidTr="00416E34">
              <w:trPr>
                <w:trHeight w:val="310"/>
              </w:trPr>
              <w:tc>
                <w:tcPr>
                  <w:tcW w:w="1309" w:type="dxa"/>
                  <w:tcBorders>
                    <w:top w:val="nil"/>
                    <w:left w:val="nil"/>
                    <w:bottom w:val="single" w:sz="8" w:space="0" w:color="FFFFFF"/>
                    <w:right w:val="single" w:sz="8" w:space="0" w:color="FFFFFF"/>
                  </w:tcBorders>
                  <w:shd w:val="clear" w:color="000000" w:fill="FCD5B4"/>
                  <w:noWrap/>
                  <w:hideMark/>
                </w:tcPr>
                <w:p w14:paraId="1EFAC63F" w14:textId="2954C0C5" w:rsidR="008A575D" w:rsidRPr="003F4793" w:rsidRDefault="008A575D" w:rsidP="008A575D">
                  <w:pPr>
                    <w:widowControl/>
                    <w:jc w:val="center"/>
                    <w:rPr>
                      <w:rFonts w:ascii="KaiTi" w:eastAsia="KaiTi" w:hAnsi="KaiTi" w:cs="宋体"/>
                      <w:color w:val="000000"/>
                      <w:kern w:val="0"/>
                      <w:sz w:val="20"/>
                      <w:szCs w:val="20"/>
                    </w:rPr>
                  </w:pPr>
                  <w:r w:rsidRPr="00B73352">
                    <w:t>MTN5Y</w:t>
                  </w:r>
                </w:p>
              </w:tc>
              <w:tc>
                <w:tcPr>
                  <w:tcW w:w="740" w:type="dxa"/>
                  <w:tcBorders>
                    <w:top w:val="nil"/>
                    <w:left w:val="nil"/>
                    <w:bottom w:val="single" w:sz="8" w:space="0" w:color="FFFFFF"/>
                    <w:right w:val="single" w:sz="8" w:space="0" w:color="FFFFFF"/>
                  </w:tcBorders>
                  <w:shd w:val="clear" w:color="000000" w:fill="FCD5B4"/>
                  <w:noWrap/>
                  <w:hideMark/>
                </w:tcPr>
                <w:p w14:paraId="15941BE2" w14:textId="092D8739" w:rsidR="008A575D" w:rsidRPr="003F4793" w:rsidRDefault="008A575D" w:rsidP="008A575D">
                  <w:pPr>
                    <w:widowControl/>
                    <w:jc w:val="center"/>
                    <w:rPr>
                      <w:rFonts w:ascii="KaiTi" w:eastAsia="KaiTi" w:hAnsi="KaiTi" w:cs="Calibri"/>
                      <w:color w:val="000000"/>
                      <w:kern w:val="0"/>
                      <w:szCs w:val="21"/>
                    </w:rPr>
                  </w:pPr>
                  <w:r w:rsidRPr="00B73352">
                    <w:t>11%</w:t>
                  </w:r>
                </w:p>
              </w:tc>
              <w:tc>
                <w:tcPr>
                  <w:tcW w:w="920" w:type="dxa"/>
                  <w:tcBorders>
                    <w:top w:val="nil"/>
                    <w:left w:val="nil"/>
                    <w:bottom w:val="single" w:sz="8" w:space="0" w:color="FFFFFF"/>
                    <w:right w:val="single" w:sz="8" w:space="0" w:color="FFFFFF"/>
                  </w:tcBorders>
                  <w:shd w:val="clear" w:color="000000" w:fill="FCD5B4"/>
                  <w:noWrap/>
                  <w:hideMark/>
                </w:tcPr>
                <w:p w14:paraId="6DFE5B08" w14:textId="2526EDB4" w:rsidR="008A575D" w:rsidRPr="003F4793" w:rsidRDefault="008A575D" w:rsidP="008A575D">
                  <w:pPr>
                    <w:widowControl/>
                    <w:jc w:val="center"/>
                    <w:rPr>
                      <w:rFonts w:ascii="KaiTi" w:eastAsia="KaiTi" w:hAnsi="KaiTi" w:cs="Calibri"/>
                      <w:color w:val="000000"/>
                      <w:kern w:val="0"/>
                      <w:szCs w:val="21"/>
                    </w:rPr>
                  </w:pPr>
                  <w:r w:rsidRPr="00B73352">
                    <w:t>8%</w:t>
                  </w:r>
                </w:p>
              </w:tc>
              <w:tc>
                <w:tcPr>
                  <w:tcW w:w="920" w:type="dxa"/>
                  <w:tcBorders>
                    <w:top w:val="nil"/>
                    <w:left w:val="nil"/>
                    <w:bottom w:val="single" w:sz="8" w:space="0" w:color="FFFFFF"/>
                    <w:right w:val="single" w:sz="8" w:space="0" w:color="FFFFFF"/>
                  </w:tcBorders>
                  <w:shd w:val="clear" w:color="000000" w:fill="FCD5B4"/>
                  <w:noWrap/>
                  <w:hideMark/>
                </w:tcPr>
                <w:p w14:paraId="51F72902" w14:textId="1999F0F3" w:rsidR="008A575D" w:rsidRPr="003F4793" w:rsidRDefault="008A575D" w:rsidP="008A575D">
                  <w:pPr>
                    <w:widowControl/>
                    <w:jc w:val="center"/>
                    <w:rPr>
                      <w:rFonts w:ascii="KaiTi" w:eastAsia="KaiTi" w:hAnsi="KaiTi" w:cs="Calibri"/>
                      <w:color w:val="000000"/>
                      <w:kern w:val="0"/>
                      <w:szCs w:val="21"/>
                    </w:rPr>
                  </w:pPr>
                  <w:r w:rsidRPr="00B73352">
                    <w:t>12%</w:t>
                  </w:r>
                </w:p>
              </w:tc>
              <w:tc>
                <w:tcPr>
                  <w:tcW w:w="920" w:type="dxa"/>
                  <w:tcBorders>
                    <w:top w:val="nil"/>
                    <w:left w:val="nil"/>
                    <w:bottom w:val="single" w:sz="8" w:space="0" w:color="FFFFFF"/>
                    <w:right w:val="single" w:sz="8" w:space="0" w:color="FFFFFF"/>
                  </w:tcBorders>
                  <w:shd w:val="clear" w:color="000000" w:fill="FCD5B4"/>
                  <w:noWrap/>
                  <w:hideMark/>
                </w:tcPr>
                <w:p w14:paraId="11ED092C" w14:textId="18AFBC04" w:rsidR="008A575D" w:rsidRPr="003F4793" w:rsidRDefault="008A575D" w:rsidP="008A575D">
                  <w:pPr>
                    <w:widowControl/>
                    <w:jc w:val="center"/>
                    <w:rPr>
                      <w:rFonts w:ascii="KaiTi" w:eastAsia="KaiTi" w:hAnsi="KaiTi" w:cs="Calibri"/>
                      <w:color w:val="000000"/>
                      <w:kern w:val="0"/>
                      <w:szCs w:val="21"/>
                    </w:rPr>
                  </w:pPr>
                  <w:r w:rsidRPr="00B73352">
                    <w:t>55%</w:t>
                  </w:r>
                </w:p>
              </w:tc>
              <w:tc>
                <w:tcPr>
                  <w:tcW w:w="1149" w:type="dxa"/>
                  <w:tcBorders>
                    <w:top w:val="nil"/>
                    <w:left w:val="nil"/>
                    <w:bottom w:val="single" w:sz="8" w:space="0" w:color="FFFFFF"/>
                    <w:right w:val="single" w:sz="8" w:space="0" w:color="FFFFFF"/>
                  </w:tcBorders>
                  <w:shd w:val="clear" w:color="000000" w:fill="FCD5B4"/>
                  <w:noWrap/>
                  <w:hideMark/>
                </w:tcPr>
                <w:p w14:paraId="4D858F7C" w14:textId="50666257" w:rsidR="008A575D" w:rsidRPr="003F4793" w:rsidRDefault="008A575D" w:rsidP="008A575D">
                  <w:pPr>
                    <w:widowControl/>
                    <w:jc w:val="center"/>
                    <w:rPr>
                      <w:rFonts w:ascii="KaiTi" w:eastAsia="KaiTi" w:hAnsi="KaiTi" w:cs="宋体"/>
                      <w:color w:val="000000"/>
                      <w:kern w:val="0"/>
                      <w:sz w:val="20"/>
                      <w:szCs w:val="20"/>
                    </w:rPr>
                  </w:pPr>
                  <w:r w:rsidRPr="00B73352">
                    <w:t>MTN5Y</w:t>
                  </w:r>
                </w:p>
              </w:tc>
              <w:tc>
                <w:tcPr>
                  <w:tcW w:w="920" w:type="dxa"/>
                  <w:tcBorders>
                    <w:top w:val="nil"/>
                    <w:left w:val="nil"/>
                    <w:bottom w:val="single" w:sz="8" w:space="0" w:color="FFFFFF"/>
                    <w:right w:val="single" w:sz="8" w:space="0" w:color="FFFFFF"/>
                  </w:tcBorders>
                  <w:shd w:val="clear" w:color="000000" w:fill="FCD5B4"/>
                  <w:noWrap/>
                  <w:hideMark/>
                </w:tcPr>
                <w:p w14:paraId="17DE7239" w14:textId="2394C651" w:rsidR="008A575D" w:rsidRPr="003F4793" w:rsidRDefault="008A575D" w:rsidP="008A575D">
                  <w:pPr>
                    <w:widowControl/>
                    <w:jc w:val="center"/>
                    <w:rPr>
                      <w:rFonts w:ascii="KaiTi" w:eastAsia="KaiTi" w:hAnsi="KaiTi" w:cs="Calibri"/>
                      <w:color w:val="000000"/>
                      <w:kern w:val="0"/>
                      <w:szCs w:val="21"/>
                    </w:rPr>
                  </w:pPr>
                  <w:r w:rsidRPr="00B73352">
                    <w:t>18%</w:t>
                  </w:r>
                </w:p>
              </w:tc>
              <w:tc>
                <w:tcPr>
                  <w:tcW w:w="920" w:type="dxa"/>
                  <w:tcBorders>
                    <w:top w:val="nil"/>
                    <w:left w:val="nil"/>
                    <w:bottom w:val="single" w:sz="8" w:space="0" w:color="FFFFFF"/>
                    <w:right w:val="single" w:sz="8" w:space="0" w:color="FFFFFF"/>
                  </w:tcBorders>
                  <w:shd w:val="clear" w:color="000000" w:fill="FCD5B4"/>
                  <w:noWrap/>
                  <w:hideMark/>
                </w:tcPr>
                <w:p w14:paraId="4BD0B6F1" w14:textId="24A30753" w:rsidR="008A575D" w:rsidRPr="003F4793" w:rsidRDefault="008A575D" w:rsidP="008A575D">
                  <w:pPr>
                    <w:widowControl/>
                    <w:jc w:val="center"/>
                    <w:rPr>
                      <w:rFonts w:ascii="KaiTi" w:eastAsia="KaiTi" w:hAnsi="KaiTi" w:cs="Calibri"/>
                      <w:color w:val="000000"/>
                      <w:kern w:val="0"/>
                      <w:szCs w:val="21"/>
                    </w:rPr>
                  </w:pPr>
                  <w:r w:rsidRPr="00B73352">
                    <w:t>9%</w:t>
                  </w:r>
                </w:p>
              </w:tc>
              <w:tc>
                <w:tcPr>
                  <w:tcW w:w="920" w:type="dxa"/>
                  <w:tcBorders>
                    <w:top w:val="nil"/>
                    <w:left w:val="nil"/>
                    <w:bottom w:val="single" w:sz="8" w:space="0" w:color="FFFFFF"/>
                    <w:right w:val="single" w:sz="8" w:space="0" w:color="FFFFFF"/>
                  </w:tcBorders>
                  <w:shd w:val="clear" w:color="000000" w:fill="FCD5B4"/>
                  <w:noWrap/>
                  <w:hideMark/>
                </w:tcPr>
                <w:p w14:paraId="21072B45" w14:textId="0BEE36C3" w:rsidR="008A575D" w:rsidRPr="003F4793" w:rsidRDefault="008A575D" w:rsidP="008A575D">
                  <w:pPr>
                    <w:widowControl/>
                    <w:jc w:val="center"/>
                    <w:rPr>
                      <w:rFonts w:ascii="KaiTi" w:eastAsia="KaiTi" w:hAnsi="KaiTi" w:cs="Calibri"/>
                      <w:color w:val="000000"/>
                      <w:kern w:val="0"/>
                      <w:szCs w:val="21"/>
                    </w:rPr>
                  </w:pPr>
                  <w:r w:rsidRPr="00B73352">
                    <w:t>25%</w:t>
                  </w:r>
                </w:p>
              </w:tc>
              <w:tc>
                <w:tcPr>
                  <w:tcW w:w="920" w:type="dxa"/>
                  <w:tcBorders>
                    <w:top w:val="nil"/>
                    <w:left w:val="nil"/>
                    <w:bottom w:val="single" w:sz="8" w:space="0" w:color="FFFFFF"/>
                    <w:right w:val="single" w:sz="8" w:space="0" w:color="FFFFFF"/>
                  </w:tcBorders>
                  <w:shd w:val="clear" w:color="000000" w:fill="FCD5B4"/>
                  <w:noWrap/>
                  <w:hideMark/>
                </w:tcPr>
                <w:p w14:paraId="2B13C93D" w14:textId="37FD1A34" w:rsidR="008A575D" w:rsidRPr="003F4793" w:rsidRDefault="008A575D" w:rsidP="008A575D">
                  <w:pPr>
                    <w:widowControl/>
                    <w:jc w:val="center"/>
                    <w:rPr>
                      <w:rFonts w:ascii="KaiTi" w:eastAsia="KaiTi" w:hAnsi="KaiTi" w:cs="Calibri"/>
                      <w:color w:val="000000"/>
                      <w:kern w:val="0"/>
                      <w:szCs w:val="21"/>
                    </w:rPr>
                  </w:pPr>
                  <w:r w:rsidRPr="00B73352">
                    <w:t>89%</w:t>
                  </w:r>
                </w:p>
              </w:tc>
            </w:tr>
            <w:tr w:rsidR="008A575D" w:rsidRPr="003F4793" w14:paraId="61191F62" w14:textId="77777777" w:rsidTr="00416E34">
              <w:trPr>
                <w:trHeight w:val="310"/>
              </w:trPr>
              <w:tc>
                <w:tcPr>
                  <w:tcW w:w="1309" w:type="dxa"/>
                  <w:tcBorders>
                    <w:top w:val="nil"/>
                    <w:left w:val="nil"/>
                    <w:bottom w:val="single" w:sz="8" w:space="0" w:color="FFFFFF"/>
                    <w:right w:val="single" w:sz="8" w:space="0" w:color="FFFFFF"/>
                  </w:tcBorders>
                  <w:shd w:val="clear" w:color="000000" w:fill="FDE9D9"/>
                  <w:noWrap/>
                  <w:hideMark/>
                </w:tcPr>
                <w:p w14:paraId="187E41C4" w14:textId="376DB251" w:rsidR="008A575D" w:rsidRPr="003F4793" w:rsidRDefault="008A575D" w:rsidP="008A575D">
                  <w:pPr>
                    <w:widowControl/>
                    <w:jc w:val="center"/>
                    <w:rPr>
                      <w:rFonts w:ascii="KaiTi" w:eastAsia="KaiTi" w:hAnsi="KaiTi" w:cs="宋体"/>
                      <w:color w:val="000000"/>
                      <w:kern w:val="0"/>
                      <w:sz w:val="20"/>
                      <w:szCs w:val="20"/>
                    </w:rPr>
                  </w:pPr>
                  <w:r w:rsidRPr="00B73352">
                    <w:rPr>
                      <w:rFonts w:hint="eastAsia"/>
                    </w:rPr>
                    <w:t>企业债</w:t>
                  </w:r>
                  <w:r w:rsidRPr="00B73352">
                    <w:rPr>
                      <w:rFonts w:hint="eastAsia"/>
                    </w:rPr>
                    <w:t>3Y</w:t>
                  </w:r>
                </w:p>
              </w:tc>
              <w:tc>
                <w:tcPr>
                  <w:tcW w:w="740" w:type="dxa"/>
                  <w:tcBorders>
                    <w:top w:val="nil"/>
                    <w:left w:val="nil"/>
                    <w:bottom w:val="single" w:sz="8" w:space="0" w:color="FFFFFF"/>
                    <w:right w:val="single" w:sz="8" w:space="0" w:color="FFFFFF"/>
                  </w:tcBorders>
                  <w:shd w:val="clear" w:color="000000" w:fill="FDE9D9"/>
                  <w:noWrap/>
                  <w:hideMark/>
                </w:tcPr>
                <w:p w14:paraId="3EADA916" w14:textId="7752383C" w:rsidR="008A575D" w:rsidRPr="003F4793" w:rsidRDefault="008A575D" w:rsidP="008A575D">
                  <w:pPr>
                    <w:widowControl/>
                    <w:jc w:val="center"/>
                    <w:rPr>
                      <w:rFonts w:ascii="KaiTi" w:eastAsia="KaiTi" w:hAnsi="KaiTi" w:cs="Calibri"/>
                      <w:color w:val="000000"/>
                      <w:kern w:val="0"/>
                      <w:szCs w:val="21"/>
                    </w:rPr>
                  </w:pPr>
                  <w:r w:rsidRPr="00B73352">
                    <w:rPr>
                      <w:rFonts w:hint="eastAsia"/>
                    </w:rPr>
                    <w:t>13%</w:t>
                  </w:r>
                </w:p>
              </w:tc>
              <w:tc>
                <w:tcPr>
                  <w:tcW w:w="920" w:type="dxa"/>
                  <w:tcBorders>
                    <w:top w:val="nil"/>
                    <w:left w:val="nil"/>
                    <w:bottom w:val="single" w:sz="8" w:space="0" w:color="FFFFFF"/>
                    <w:right w:val="single" w:sz="8" w:space="0" w:color="FFFFFF"/>
                  </w:tcBorders>
                  <w:shd w:val="clear" w:color="000000" w:fill="FDE9D9"/>
                  <w:noWrap/>
                  <w:hideMark/>
                </w:tcPr>
                <w:p w14:paraId="273C8344" w14:textId="60B54EF8" w:rsidR="008A575D" w:rsidRPr="003F4793" w:rsidRDefault="008A575D" w:rsidP="008A575D">
                  <w:pPr>
                    <w:widowControl/>
                    <w:jc w:val="center"/>
                    <w:rPr>
                      <w:rFonts w:ascii="KaiTi" w:eastAsia="KaiTi" w:hAnsi="KaiTi" w:cs="Calibri"/>
                      <w:color w:val="000000"/>
                      <w:kern w:val="0"/>
                      <w:szCs w:val="21"/>
                    </w:rPr>
                  </w:pPr>
                  <w:r w:rsidRPr="00B73352">
                    <w:rPr>
                      <w:rFonts w:hint="eastAsia"/>
                    </w:rPr>
                    <w:t>10%</w:t>
                  </w:r>
                </w:p>
              </w:tc>
              <w:tc>
                <w:tcPr>
                  <w:tcW w:w="920" w:type="dxa"/>
                  <w:tcBorders>
                    <w:top w:val="nil"/>
                    <w:left w:val="nil"/>
                    <w:bottom w:val="single" w:sz="8" w:space="0" w:color="FFFFFF"/>
                    <w:right w:val="single" w:sz="8" w:space="0" w:color="FFFFFF"/>
                  </w:tcBorders>
                  <w:shd w:val="clear" w:color="000000" w:fill="FDE9D9"/>
                  <w:noWrap/>
                  <w:hideMark/>
                </w:tcPr>
                <w:p w14:paraId="57848C1D" w14:textId="66C334B5" w:rsidR="008A575D" w:rsidRPr="003F4793" w:rsidRDefault="008A575D" w:rsidP="008A575D">
                  <w:pPr>
                    <w:widowControl/>
                    <w:jc w:val="center"/>
                    <w:rPr>
                      <w:rFonts w:ascii="KaiTi" w:eastAsia="KaiTi" w:hAnsi="KaiTi" w:cs="Calibri"/>
                      <w:color w:val="000000"/>
                      <w:kern w:val="0"/>
                      <w:szCs w:val="21"/>
                    </w:rPr>
                  </w:pPr>
                  <w:r w:rsidRPr="00B73352">
                    <w:rPr>
                      <w:rFonts w:hint="eastAsia"/>
                    </w:rPr>
                    <w:t>18%</w:t>
                  </w:r>
                </w:p>
              </w:tc>
              <w:tc>
                <w:tcPr>
                  <w:tcW w:w="920" w:type="dxa"/>
                  <w:tcBorders>
                    <w:top w:val="nil"/>
                    <w:left w:val="nil"/>
                    <w:bottom w:val="single" w:sz="8" w:space="0" w:color="FFFFFF"/>
                    <w:right w:val="single" w:sz="8" w:space="0" w:color="FFFFFF"/>
                  </w:tcBorders>
                  <w:shd w:val="clear" w:color="000000" w:fill="FDE9D9"/>
                  <w:noWrap/>
                  <w:hideMark/>
                </w:tcPr>
                <w:p w14:paraId="13000828" w14:textId="00CDFBD1" w:rsidR="008A575D" w:rsidRPr="003F4793" w:rsidRDefault="008A575D" w:rsidP="008A575D">
                  <w:pPr>
                    <w:widowControl/>
                    <w:jc w:val="center"/>
                    <w:rPr>
                      <w:rFonts w:ascii="KaiTi" w:eastAsia="KaiTi" w:hAnsi="KaiTi" w:cs="Calibri"/>
                      <w:color w:val="000000"/>
                      <w:kern w:val="0"/>
                      <w:szCs w:val="21"/>
                    </w:rPr>
                  </w:pPr>
                  <w:r w:rsidRPr="00B73352">
                    <w:rPr>
                      <w:rFonts w:hint="eastAsia"/>
                    </w:rPr>
                    <w:t>61%</w:t>
                  </w:r>
                </w:p>
              </w:tc>
              <w:tc>
                <w:tcPr>
                  <w:tcW w:w="1149" w:type="dxa"/>
                  <w:tcBorders>
                    <w:top w:val="nil"/>
                    <w:left w:val="nil"/>
                    <w:bottom w:val="single" w:sz="8" w:space="0" w:color="FFFFFF"/>
                    <w:right w:val="single" w:sz="8" w:space="0" w:color="FFFFFF"/>
                  </w:tcBorders>
                  <w:shd w:val="clear" w:color="000000" w:fill="FDE9D9"/>
                  <w:noWrap/>
                  <w:hideMark/>
                </w:tcPr>
                <w:p w14:paraId="0345B549" w14:textId="7B880919" w:rsidR="008A575D" w:rsidRPr="003F4793" w:rsidRDefault="008A575D" w:rsidP="008A575D">
                  <w:pPr>
                    <w:widowControl/>
                    <w:jc w:val="center"/>
                    <w:rPr>
                      <w:rFonts w:ascii="KaiTi" w:eastAsia="KaiTi" w:hAnsi="KaiTi" w:cs="宋体"/>
                      <w:color w:val="000000"/>
                      <w:kern w:val="0"/>
                      <w:sz w:val="20"/>
                      <w:szCs w:val="20"/>
                    </w:rPr>
                  </w:pPr>
                  <w:r w:rsidRPr="00B73352">
                    <w:rPr>
                      <w:rFonts w:hint="eastAsia"/>
                    </w:rPr>
                    <w:t>企业债</w:t>
                  </w:r>
                  <w:r w:rsidRPr="00B73352">
                    <w:rPr>
                      <w:rFonts w:hint="eastAsia"/>
                    </w:rPr>
                    <w:t>3Y</w:t>
                  </w:r>
                </w:p>
              </w:tc>
              <w:tc>
                <w:tcPr>
                  <w:tcW w:w="920" w:type="dxa"/>
                  <w:tcBorders>
                    <w:top w:val="nil"/>
                    <w:left w:val="nil"/>
                    <w:bottom w:val="single" w:sz="8" w:space="0" w:color="FFFFFF"/>
                    <w:right w:val="single" w:sz="8" w:space="0" w:color="FFFFFF"/>
                  </w:tcBorders>
                  <w:shd w:val="clear" w:color="000000" w:fill="FDE9D9"/>
                  <w:noWrap/>
                  <w:hideMark/>
                </w:tcPr>
                <w:p w14:paraId="24486153" w14:textId="0DCD8F5C" w:rsidR="008A575D" w:rsidRPr="003F4793" w:rsidRDefault="008A575D" w:rsidP="008A575D">
                  <w:pPr>
                    <w:widowControl/>
                    <w:jc w:val="center"/>
                    <w:rPr>
                      <w:rFonts w:ascii="KaiTi" w:eastAsia="KaiTi" w:hAnsi="KaiTi" w:cs="Calibri"/>
                      <w:color w:val="000000"/>
                      <w:kern w:val="0"/>
                      <w:szCs w:val="21"/>
                    </w:rPr>
                  </w:pPr>
                  <w:r w:rsidRPr="00B73352">
                    <w:rPr>
                      <w:rFonts w:hint="eastAsia"/>
                    </w:rPr>
                    <w:t>13%</w:t>
                  </w:r>
                </w:p>
              </w:tc>
              <w:tc>
                <w:tcPr>
                  <w:tcW w:w="920" w:type="dxa"/>
                  <w:tcBorders>
                    <w:top w:val="nil"/>
                    <w:left w:val="nil"/>
                    <w:bottom w:val="single" w:sz="8" w:space="0" w:color="FFFFFF"/>
                    <w:right w:val="single" w:sz="8" w:space="0" w:color="FFFFFF"/>
                  </w:tcBorders>
                  <w:shd w:val="clear" w:color="000000" w:fill="FDE9D9"/>
                  <w:noWrap/>
                  <w:hideMark/>
                </w:tcPr>
                <w:p w14:paraId="07CA82A7" w14:textId="2C3CFB95" w:rsidR="008A575D" w:rsidRPr="003F4793" w:rsidRDefault="008A575D" w:rsidP="008A575D">
                  <w:pPr>
                    <w:widowControl/>
                    <w:jc w:val="center"/>
                    <w:rPr>
                      <w:rFonts w:ascii="KaiTi" w:eastAsia="KaiTi" w:hAnsi="KaiTi" w:cs="Calibri"/>
                      <w:color w:val="000000"/>
                      <w:kern w:val="0"/>
                      <w:szCs w:val="21"/>
                    </w:rPr>
                  </w:pPr>
                  <w:r w:rsidRPr="00B73352">
                    <w:rPr>
                      <w:rFonts w:hint="eastAsia"/>
                    </w:rPr>
                    <w:t>8%</w:t>
                  </w:r>
                </w:p>
              </w:tc>
              <w:tc>
                <w:tcPr>
                  <w:tcW w:w="920" w:type="dxa"/>
                  <w:tcBorders>
                    <w:top w:val="nil"/>
                    <w:left w:val="nil"/>
                    <w:bottom w:val="single" w:sz="8" w:space="0" w:color="FFFFFF"/>
                    <w:right w:val="single" w:sz="8" w:space="0" w:color="FFFFFF"/>
                  </w:tcBorders>
                  <w:shd w:val="clear" w:color="000000" w:fill="FDE9D9"/>
                  <w:noWrap/>
                  <w:hideMark/>
                </w:tcPr>
                <w:p w14:paraId="7F02EE72" w14:textId="32AFAC1B" w:rsidR="008A575D" w:rsidRPr="003F4793" w:rsidRDefault="008A575D" w:rsidP="008A575D">
                  <w:pPr>
                    <w:widowControl/>
                    <w:jc w:val="center"/>
                    <w:rPr>
                      <w:rFonts w:ascii="KaiTi" w:eastAsia="KaiTi" w:hAnsi="KaiTi" w:cs="Calibri"/>
                      <w:color w:val="000000"/>
                      <w:kern w:val="0"/>
                      <w:szCs w:val="21"/>
                    </w:rPr>
                  </w:pPr>
                  <w:r w:rsidRPr="00B73352">
                    <w:rPr>
                      <w:rFonts w:hint="eastAsia"/>
                    </w:rPr>
                    <w:t>32%</w:t>
                  </w:r>
                </w:p>
              </w:tc>
              <w:tc>
                <w:tcPr>
                  <w:tcW w:w="920" w:type="dxa"/>
                  <w:tcBorders>
                    <w:top w:val="nil"/>
                    <w:left w:val="nil"/>
                    <w:bottom w:val="single" w:sz="8" w:space="0" w:color="FFFFFF"/>
                    <w:right w:val="single" w:sz="8" w:space="0" w:color="FFFFFF"/>
                  </w:tcBorders>
                  <w:shd w:val="clear" w:color="000000" w:fill="FDE9D9"/>
                  <w:noWrap/>
                  <w:hideMark/>
                </w:tcPr>
                <w:p w14:paraId="2E828AF2" w14:textId="4530C377" w:rsidR="008A575D" w:rsidRPr="003F4793" w:rsidRDefault="008A575D" w:rsidP="008A575D">
                  <w:pPr>
                    <w:widowControl/>
                    <w:jc w:val="center"/>
                    <w:rPr>
                      <w:rFonts w:ascii="KaiTi" w:eastAsia="KaiTi" w:hAnsi="KaiTi" w:cs="Calibri"/>
                      <w:color w:val="000000"/>
                      <w:kern w:val="0"/>
                      <w:szCs w:val="21"/>
                    </w:rPr>
                  </w:pPr>
                  <w:r w:rsidRPr="00B73352">
                    <w:rPr>
                      <w:rFonts w:hint="eastAsia"/>
                    </w:rPr>
                    <w:t>91%</w:t>
                  </w:r>
                </w:p>
              </w:tc>
            </w:tr>
            <w:tr w:rsidR="008A575D" w:rsidRPr="003F4793" w14:paraId="60838313" w14:textId="77777777" w:rsidTr="00416E34">
              <w:trPr>
                <w:trHeight w:val="310"/>
              </w:trPr>
              <w:tc>
                <w:tcPr>
                  <w:tcW w:w="1309" w:type="dxa"/>
                  <w:tcBorders>
                    <w:top w:val="nil"/>
                    <w:left w:val="nil"/>
                    <w:bottom w:val="single" w:sz="8" w:space="0" w:color="FFFFFF"/>
                    <w:right w:val="single" w:sz="8" w:space="0" w:color="FFFFFF"/>
                  </w:tcBorders>
                  <w:shd w:val="clear" w:color="000000" w:fill="FCD5B4"/>
                  <w:noWrap/>
                  <w:hideMark/>
                </w:tcPr>
                <w:p w14:paraId="1BD5D8A8" w14:textId="55E4B5E3" w:rsidR="008A575D" w:rsidRPr="003F4793" w:rsidRDefault="008A575D" w:rsidP="008A575D">
                  <w:pPr>
                    <w:widowControl/>
                    <w:jc w:val="center"/>
                    <w:rPr>
                      <w:rFonts w:ascii="KaiTi" w:eastAsia="KaiTi" w:hAnsi="KaiTi" w:cs="宋体"/>
                      <w:color w:val="000000"/>
                      <w:kern w:val="0"/>
                      <w:sz w:val="20"/>
                      <w:szCs w:val="20"/>
                    </w:rPr>
                  </w:pPr>
                  <w:r w:rsidRPr="00B73352">
                    <w:rPr>
                      <w:rFonts w:hint="eastAsia"/>
                    </w:rPr>
                    <w:t>企业债</w:t>
                  </w:r>
                  <w:r w:rsidRPr="00B73352">
                    <w:rPr>
                      <w:rFonts w:hint="eastAsia"/>
                    </w:rPr>
                    <w:t>5Y</w:t>
                  </w:r>
                </w:p>
              </w:tc>
              <w:tc>
                <w:tcPr>
                  <w:tcW w:w="740" w:type="dxa"/>
                  <w:tcBorders>
                    <w:top w:val="nil"/>
                    <w:left w:val="nil"/>
                    <w:bottom w:val="single" w:sz="8" w:space="0" w:color="FFFFFF"/>
                    <w:right w:val="single" w:sz="8" w:space="0" w:color="FFFFFF"/>
                  </w:tcBorders>
                  <w:shd w:val="clear" w:color="000000" w:fill="FCD5B4"/>
                  <w:noWrap/>
                  <w:hideMark/>
                </w:tcPr>
                <w:p w14:paraId="75E567A4" w14:textId="47F2663A" w:rsidR="008A575D" w:rsidRPr="003F4793" w:rsidRDefault="008A575D" w:rsidP="008A575D">
                  <w:pPr>
                    <w:widowControl/>
                    <w:jc w:val="center"/>
                    <w:rPr>
                      <w:rFonts w:ascii="KaiTi" w:eastAsia="KaiTi" w:hAnsi="KaiTi" w:cs="Calibri"/>
                      <w:color w:val="000000"/>
                      <w:kern w:val="0"/>
                      <w:szCs w:val="21"/>
                    </w:rPr>
                  </w:pPr>
                  <w:r w:rsidRPr="00B73352">
                    <w:rPr>
                      <w:rFonts w:hint="eastAsia"/>
                    </w:rPr>
                    <w:t>11%</w:t>
                  </w:r>
                </w:p>
              </w:tc>
              <w:tc>
                <w:tcPr>
                  <w:tcW w:w="920" w:type="dxa"/>
                  <w:tcBorders>
                    <w:top w:val="nil"/>
                    <w:left w:val="nil"/>
                    <w:bottom w:val="single" w:sz="8" w:space="0" w:color="FFFFFF"/>
                    <w:right w:val="single" w:sz="8" w:space="0" w:color="FFFFFF"/>
                  </w:tcBorders>
                  <w:shd w:val="clear" w:color="000000" w:fill="FCD5B4"/>
                  <w:noWrap/>
                  <w:hideMark/>
                </w:tcPr>
                <w:p w14:paraId="7CC5EAC5" w14:textId="338BD862" w:rsidR="008A575D" w:rsidRPr="003F4793" w:rsidRDefault="008A575D" w:rsidP="008A575D">
                  <w:pPr>
                    <w:widowControl/>
                    <w:jc w:val="center"/>
                    <w:rPr>
                      <w:rFonts w:ascii="KaiTi" w:eastAsia="KaiTi" w:hAnsi="KaiTi" w:cs="Calibri"/>
                      <w:color w:val="000000"/>
                      <w:kern w:val="0"/>
                      <w:szCs w:val="21"/>
                    </w:rPr>
                  </w:pPr>
                  <w:r w:rsidRPr="00B73352">
                    <w:rPr>
                      <w:rFonts w:hint="eastAsia"/>
                    </w:rPr>
                    <w:t>7%</w:t>
                  </w:r>
                </w:p>
              </w:tc>
              <w:tc>
                <w:tcPr>
                  <w:tcW w:w="920" w:type="dxa"/>
                  <w:tcBorders>
                    <w:top w:val="nil"/>
                    <w:left w:val="nil"/>
                    <w:bottom w:val="single" w:sz="8" w:space="0" w:color="FFFFFF"/>
                    <w:right w:val="single" w:sz="8" w:space="0" w:color="FFFFFF"/>
                  </w:tcBorders>
                  <w:shd w:val="clear" w:color="000000" w:fill="FCD5B4"/>
                  <w:noWrap/>
                  <w:hideMark/>
                </w:tcPr>
                <w:p w14:paraId="4FCC92DC" w14:textId="687CEBF2" w:rsidR="008A575D" w:rsidRPr="003F4793" w:rsidRDefault="008A575D" w:rsidP="008A575D">
                  <w:pPr>
                    <w:widowControl/>
                    <w:jc w:val="center"/>
                    <w:rPr>
                      <w:rFonts w:ascii="KaiTi" w:eastAsia="KaiTi" w:hAnsi="KaiTi" w:cs="Calibri"/>
                      <w:color w:val="000000"/>
                      <w:kern w:val="0"/>
                      <w:szCs w:val="21"/>
                    </w:rPr>
                  </w:pPr>
                  <w:r w:rsidRPr="00B73352">
                    <w:rPr>
                      <w:rFonts w:hint="eastAsia"/>
                    </w:rPr>
                    <w:t>13%</w:t>
                  </w:r>
                </w:p>
              </w:tc>
              <w:tc>
                <w:tcPr>
                  <w:tcW w:w="920" w:type="dxa"/>
                  <w:tcBorders>
                    <w:top w:val="nil"/>
                    <w:left w:val="nil"/>
                    <w:bottom w:val="single" w:sz="8" w:space="0" w:color="FFFFFF"/>
                    <w:right w:val="single" w:sz="8" w:space="0" w:color="FFFFFF"/>
                  </w:tcBorders>
                  <w:shd w:val="clear" w:color="000000" w:fill="FCD5B4"/>
                  <w:noWrap/>
                  <w:hideMark/>
                </w:tcPr>
                <w:p w14:paraId="762ACF2C" w14:textId="63831480" w:rsidR="008A575D" w:rsidRPr="003F4793" w:rsidRDefault="008A575D" w:rsidP="008A575D">
                  <w:pPr>
                    <w:widowControl/>
                    <w:jc w:val="center"/>
                    <w:rPr>
                      <w:rFonts w:ascii="KaiTi" w:eastAsia="KaiTi" w:hAnsi="KaiTi" w:cs="Calibri"/>
                      <w:color w:val="000000"/>
                      <w:kern w:val="0"/>
                      <w:szCs w:val="21"/>
                    </w:rPr>
                  </w:pPr>
                  <w:r w:rsidRPr="00B73352">
                    <w:rPr>
                      <w:rFonts w:hint="eastAsia"/>
                    </w:rPr>
                    <w:t>55%</w:t>
                  </w:r>
                </w:p>
              </w:tc>
              <w:tc>
                <w:tcPr>
                  <w:tcW w:w="1149" w:type="dxa"/>
                  <w:tcBorders>
                    <w:top w:val="nil"/>
                    <w:left w:val="nil"/>
                    <w:bottom w:val="single" w:sz="8" w:space="0" w:color="FFFFFF"/>
                    <w:right w:val="single" w:sz="8" w:space="0" w:color="FFFFFF"/>
                  </w:tcBorders>
                  <w:shd w:val="clear" w:color="000000" w:fill="FCD5B4"/>
                  <w:noWrap/>
                  <w:hideMark/>
                </w:tcPr>
                <w:p w14:paraId="635AAF3D" w14:textId="0ECE86EA" w:rsidR="008A575D" w:rsidRPr="003F4793" w:rsidRDefault="008A575D" w:rsidP="008A575D">
                  <w:pPr>
                    <w:widowControl/>
                    <w:jc w:val="center"/>
                    <w:rPr>
                      <w:rFonts w:ascii="KaiTi" w:eastAsia="KaiTi" w:hAnsi="KaiTi" w:cs="宋体"/>
                      <w:color w:val="000000"/>
                      <w:kern w:val="0"/>
                      <w:sz w:val="20"/>
                      <w:szCs w:val="20"/>
                    </w:rPr>
                  </w:pPr>
                  <w:r w:rsidRPr="00B73352">
                    <w:rPr>
                      <w:rFonts w:hint="eastAsia"/>
                    </w:rPr>
                    <w:t>企业债</w:t>
                  </w:r>
                  <w:r w:rsidRPr="00B73352">
                    <w:rPr>
                      <w:rFonts w:hint="eastAsia"/>
                    </w:rPr>
                    <w:t>5Y</w:t>
                  </w:r>
                </w:p>
              </w:tc>
              <w:tc>
                <w:tcPr>
                  <w:tcW w:w="920" w:type="dxa"/>
                  <w:tcBorders>
                    <w:top w:val="nil"/>
                    <w:left w:val="nil"/>
                    <w:bottom w:val="single" w:sz="8" w:space="0" w:color="FFFFFF"/>
                    <w:right w:val="single" w:sz="8" w:space="0" w:color="FFFFFF"/>
                  </w:tcBorders>
                  <w:shd w:val="clear" w:color="000000" w:fill="FCD5B4"/>
                  <w:noWrap/>
                  <w:hideMark/>
                </w:tcPr>
                <w:p w14:paraId="29019280" w14:textId="2492DD23" w:rsidR="008A575D" w:rsidRPr="003F4793" w:rsidRDefault="008A575D" w:rsidP="008A575D">
                  <w:pPr>
                    <w:widowControl/>
                    <w:jc w:val="center"/>
                    <w:rPr>
                      <w:rFonts w:ascii="KaiTi" w:eastAsia="KaiTi" w:hAnsi="KaiTi" w:cs="Calibri"/>
                      <w:color w:val="000000"/>
                      <w:kern w:val="0"/>
                      <w:szCs w:val="21"/>
                    </w:rPr>
                  </w:pPr>
                  <w:r w:rsidRPr="00B73352">
                    <w:rPr>
                      <w:rFonts w:hint="eastAsia"/>
                    </w:rPr>
                    <w:t>17%</w:t>
                  </w:r>
                </w:p>
              </w:tc>
              <w:tc>
                <w:tcPr>
                  <w:tcW w:w="920" w:type="dxa"/>
                  <w:tcBorders>
                    <w:top w:val="nil"/>
                    <w:left w:val="nil"/>
                    <w:bottom w:val="single" w:sz="8" w:space="0" w:color="FFFFFF"/>
                    <w:right w:val="single" w:sz="8" w:space="0" w:color="FFFFFF"/>
                  </w:tcBorders>
                  <w:shd w:val="clear" w:color="000000" w:fill="FCD5B4"/>
                  <w:noWrap/>
                  <w:hideMark/>
                </w:tcPr>
                <w:p w14:paraId="3C5DFC16" w14:textId="23B8448F" w:rsidR="008A575D" w:rsidRPr="003F4793" w:rsidRDefault="008A575D" w:rsidP="008A575D">
                  <w:pPr>
                    <w:widowControl/>
                    <w:jc w:val="center"/>
                    <w:rPr>
                      <w:rFonts w:ascii="KaiTi" w:eastAsia="KaiTi" w:hAnsi="KaiTi" w:cs="Calibri"/>
                      <w:color w:val="000000"/>
                      <w:kern w:val="0"/>
                      <w:szCs w:val="21"/>
                    </w:rPr>
                  </w:pPr>
                  <w:r w:rsidRPr="00B73352">
                    <w:rPr>
                      <w:rFonts w:hint="eastAsia"/>
                    </w:rPr>
                    <w:t>7%</w:t>
                  </w:r>
                </w:p>
              </w:tc>
              <w:tc>
                <w:tcPr>
                  <w:tcW w:w="920" w:type="dxa"/>
                  <w:tcBorders>
                    <w:top w:val="nil"/>
                    <w:left w:val="nil"/>
                    <w:bottom w:val="single" w:sz="8" w:space="0" w:color="FFFFFF"/>
                    <w:right w:val="single" w:sz="8" w:space="0" w:color="FFFFFF"/>
                  </w:tcBorders>
                  <w:shd w:val="clear" w:color="000000" w:fill="FCD5B4"/>
                  <w:noWrap/>
                  <w:hideMark/>
                </w:tcPr>
                <w:p w14:paraId="7C9CABAF" w14:textId="5BD9EAC8" w:rsidR="008A575D" w:rsidRPr="003F4793" w:rsidRDefault="008A575D" w:rsidP="008A575D">
                  <w:pPr>
                    <w:widowControl/>
                    <w:jc w:val="center"/>
                    <w:rPr>
                      <w:rFonts w:ascii="KaiTi" w:eastAsia="KaiTi" w:hAnsi="KaiTi" w:cs="Calibri"/>
                      <w:color w:val="000000"/>
                      <w:kern w:val="0"/>
                      <w:szCs w:val="21"/>
                    </w:rPr>
                  </w:pPr>
                  <w:r w:rsidRPr="00B73352">
                    <w:rPr>
                      <w:rFonts w:hint="eastAsia"/>
                    </w:rPr>
                    <w:t>27%</w:t>
                  </w:r>
                </w:p>
              </w:tc>
              <w:tc>
                <w:tcPr>
                  <w:tcW w:w="920" w:type="dxa"/>
                  <w:tcBorders>
                    <w:top w:val="nil"/>
                    <w:left w:val="nil"/>
                    <w:bottom w:val="single" w:sz="8" w:space="0" w:color="FFFFFF"/>
                    <w:right w:val="single" w:sz="8" w:space="0" w:color="FFFFFF"/>
                  </w:tcBorders>
                  <w:shd w:val="clear" w:color="000000" w:fill="FCD5B4"/>
                  <w:noWrap/>
                  <w:hideMark/>
                </w:tcPr>
                <w:p w14:paraId="217354A8" w14:textId="6D94BCB3" w:rsidR="008A575D" w:rsidRPr="003F4793" w:rsidRDefault="008A575D" w:rsidP="008A575D">
                  <w:pPr>
                    <w:widowControl/>
                    <w:jc w:val="center"/>
                    <w:rPr>
                      <w:rFonts w:ascii="KaiTi" w:eastAsia="KaiTi" w:hAnsi="KaiTi" w:cs="Calibri"/>
                      <w:color w:val="000000"/>
                      <w:kern w:val="0"/>
                      <w:szCs w:val="21"/>
                    </w:rPr>
                  </w:pPr>
                  <w:r w:rsidRPr="00B73352">
                    <w:rPr>
                      <w:rFonts w:hint="eastAsia"/>
                    </w:rPr>
                    <w:t>89%</w:t>
                  </w:r>
                </w:p>
              </w:tc>
            </w:tr>
            <w:tr w:rsidR="008A575D" w:rsidRPr="003F4793" w14:paraId="2C298517" w14:textId="77777777" w:rsidTr="00416E34">
              <w:trPr>
                <w:trHeight w:val="310"/>
              </w:trPr>
              <w:tc>
                <w:tcPr>
                  <w:tcW w:w="1309" w:type="dxa"/>
                  <w:tcBorders>
                    <w:top w:val="nil"/>
                    <w:left w:val="nil"/>
                    <w:bottom w:val="single" w:sz="8" w:space="0" w:color="FFFFFF"/>
                    <w:right w:val="single" w:sz="8" w:space="0" w:color="FFFFFF"/>
                  </w:tcBorders>
                  <w:shd w:val="clear" w:color="000000" w:fill="FDE9D9"/>
                  <w:noWrap/>
                  <w:hideMark/>
                </w:tcPr>
                <w:p w14:paraId="30486C22" w14:textId="7B81CE0F" w:rsidR="008A575D" w:rsidRPr="003F4793" w:rsidRDefault="008A575D" w:rsidP="008A575D">
                  <w:pPr>
                    <w:widowControl/>
                    <w:jc w:val="center"/>
                    <w:rPr>
                      <w:rFonts w:ascii="KaiTi" w:eastAsia="KaiTi" w:hAnsi="KaiTi" w:cs="宋体"/>
                      <w:color w:val="000000"/>
                      <w:kern w:val="0"/>
                      <w:sz w:val="20"/>
                      <w:szCs w:val="20"/>
                    </w:rPr>
                  </w:pPr>
                  <w:r w:rsidRPr="00B73352">
                    <w:rPr>
                      <w:rFonts w:hint="eastAsia"/>
                    </w:rPr>
                    <w:t>企业债</w:t>
                  </w:r>
                  <w:r w:rsidRPr="00B73352">
                    <w:rPr>
                      <w:rFonts w:hint="eastAsia"/>
                    </w:rPr>
                    <w:t>7Y</w:t>
                  </w:r>
                </w:p>
              </w:tc>
              <w:tc>
                <w:tcPr>
                  <w:tcW w:w="740" w:type="dxa"/>
                  <w:tcBorders>
                    <w:top w:val="nil"/>
                    <w:left w:val="nil"/>
                    <w:bottom w:val="single" w:sz="8" w:space="0" w:color="FFFFFF"/>
                    <w:right w:val="single" w:sz="8" w:space="0" w:color="FFFFFF"/>
                  </w:tcBorders>
                  <w:shd w:val="clear" w:color="000000" w:fill="FDE9D9"/>
                  <w:noWrap/>
                  <w:hideMark/>
                </w:tcPr>
                <w:p w14:paraId="65693455" w14:textId="34DC2477" w:rsidR="008A575D" w:rsidRPr="003F4793" w:rsidRDefault="008A575D" w:rsidP="008A575D">
                  <w:pPr>
                    <w:widowControl/>
                    <w:jc w:val="center"/>
                    <w:rPr>
                      <w:rFonts w:ascii="KaiTi" w:eastAsia="KaiTi" w:hAnsi="KaiTi" w:cs="Calibri"/>
                      <w:color w:val="000000"/>
                      <w:kern w:val="0"/>
                      <w:szCs w:val="21"/>
                    </w:rPr>
                  </w:pPr>
                  <w:r w:rsidRPr="00B73352">
                    <w:rPr>
                      <w:rFonts w:hint="eastAsia"/>
                    </w:rPr>
                    <w:t>9%</w:t>
                  </w:r>
                </w:p>
              </w:tc>
              <w:tc>
                <w:tcPr>
                  <w:tcW w:w="920" w:type="dxa"/>
                  <w:tcBorders>
                    <w:top w:val="nil"/>
                    <w:left w:val="nil"/>
                    <w:bottom w:val="single" w:sz="8" w:space="0" w:color="FFFFFF"/>
                    <w:right w:val="single" w:sz="8" w:space="0" w:color="FFFFFF"/>
                  </w:tcBorders>
                  <w:shd w:val="clear" w:color="000000" w:fill="FDE9D9"/>
                  <w:noWrap/>
                  <w:hideMark/>
                </w:tcPr>
                <w:p w14:paraId="100994DF" w14:textId="65454A99" w:rsidR="008A575D" w:rsidRPr="003F4793" w:rsidRDefault="008A575D" w:rsidP="008A575D">
                  <w:pPr>
                    <w:widowControl/>
                    <w:jc w:val="center"/>
                    <w:rPr>
                      <w:rFonts w:ascii="KaiTi" w:eastAsia="KaiTi" w:hAnsi="KaiTi" w:cs="Calibri"/>
                      <w:color w:val="000000"/>
                      <w:kern w:val="0"/>
                      <w:szCs w:val="21"/>
                    </w:rPr>
                  </w:pPr>
                  <w:r w:rsidRPr="00B73352">
                    <w:rPr>
                      <w:rFonts w:hint="eastAsia"/>
                    </w:rPr>
                    <w:t>6%</w:t>
                  </w:r>
                </w:p>
              </w:tc>
              <w:tc>
                <w:tcPr>
                  <w:tcW w:w="920" w:type="dxa"/>
                  <w:tcBorders>
                    <w:top w:val="nil"/>
                    <w:left w:val="nil"/>
                    <w:bottom w:val="single" w:sz="8" w:space="0" w:color="FFFFFF"/>
                    <w:right w:val="single" w:sz="8" w:space="0" w:color="FFFFFF"/>
                  </w:tcBorders>
                  <w:shd w:val="clear" w:color="000000" w:fill="FDE9D9"/>
                  <w:noWrap/>
                  <w:hideMark/>
                </w:tcPr>
                <w:p w14:paraId="5AA0E961" w14:textId="2C21B2B2" w:rsidR="008A575D" w:rsidRPr="003F4793" w:rsidRDefault="008A575D" w:rsidP="008A575D">
                  <w:pPr>
                    <w:widowControl/>
                    <w:jc w:val="center"/>
                    <w:rPr>
                      <w:rFonts w:ascii="KaiTi" w:eastAsia="KaiTi" w:hAnsi="KaiTi" w:cs="Calibri"/>
                      <w:color w:val="000000"/>
                      <w:kern w:val="0"/>
                      <w:szCs w:val="21"/>
                    </w:rPr>
                  </w:pPr>
                  <w:r w:rsidRPr="00B73352">
                    <w:rPr>
                      <w:rFonts w:hint="eastAsia"/>
                    </w:rPr>
                    <w:t>7%</w:t>
                  </w:r>
                </w:p>
              </w:tc>
              <w:tc>
                <w:tcPr>
                  <w:tcW w:w="920" w:type="dxa"/>
                  <w:tcBorders>
                    <w:top w:val="nil"/>
                    <w:left w:val="nil"/>
                    <w:bottom w:val="single" w:sz="8" w:space="0" w:color="FFFFFF"/>
                    <w:right w:val="single" w:sz="8" w:space="0" w:color="FFFFFF"/>
                  </w:tcBorders>
                  <w:shd w:val="clear" w:color="000000" w:fill="FDE9D9"/>
                  <w:noWrap/>
                  <w:hideMark/>
                </w:tcPr>
                <w:p w14:paraId="6A261B2F" w14:textId="2813FB02" w:rsidR="008A575D" w:rsidRPr="003F4793" w:rsidRDefault="008A575D" w:rsidP="008A575D">
                  <w:pPr>
                    <w:widowControl/>
                    <w:jc w:val="center"/>
                    <w:rPr>
                      <w:rFonts w:ascii="KaiTi" w:eastAsia="KaiTi" w:hAnsi="KaiTi" w:cs="Calibri"/>
                      <w:color w:val="000000"/>
                      <w:kern w:val="0"/>
                      <w:szCs w:val="21"/>
                    </w:rPr>
                  </w:pPr>
                  <w:r w:rsidRPr="00B73352">
                    <w:rPr>
                      <w:rFonts w:hint="eastAsia"/>
                    </w:rPr>
                    <w:t>47%</w:t>
                  </w:r>
                </w:p>
              </w:tc>
              <w:tc>
                <w:tcPr>
                  <w:tcW w:w="1149" w:type="dxa"/>
                  <w:tcBorders>
                    <w:top w:val="nil"/>
                    <w:left w:val="nil"/>
                    <w:bottom w:val="single" w:sz="8" w:space="0" w:color="FFFFFF"/>
                    <w:right w:val="single" w:sz="8" w:space="0" w:color="FFFFFF"/>
                  </w:tcBorders>
                  <w:shd w:val="clear" w:color="000000" w:fill="FDE9D9"/>
                  <w:noWrap/>
                  <w:hideMark/>
                </w:tcPr>
                <w:p w14:paraId="52EDB7F5" w14:textId="5B6A9CF0" w:rsidR="008A575D" w:rsidRPr="003F4793" w:rsidRDefault="008A575D" w:rsidP="008A575D">
                  <w:pPr>
                    <w:widowControl/>
                    <w:jc w:val="center"/>
                    <w:rPr>
                      <w:rFonts w:ascii="KaiTi" w:eastAsia="KaiTi" w:hAnsi="KaiTi" w:cs="宋体"/>
                      <w:color w:val="000000"/>
                      <w:kern w:val="0"/>
                      <w:sz w:val="20"/>
                      <w:szCs w:val="20"/>
                    </w:rPr>
                  </w:pPr>
                  <w:r w:rsidRPr="00B73352">
                    <w:rPr>
                      <w:rFonts w:hint="eastAsia"/>
                    </w:rPr>
                    <w:t>企业债</w:t>
                  </w:r>
                  <w:r w:rsidRPr="00B73352">
                    <w:rPr>
                      <w:rFonts w:hint="eastAsia"/>
                    </w:rPr>
                    <w:t>7Y</w:t>
                  </w:r>
                </w:p>
              </w:tc>
              <w:tc>
                <w:tcPr>
                  <w:tcW w:w="920" w:type="dxa"/>
                  <w:tcBorders>
                    <w:top w:val="nil"/>
                    <w:left w:val="nil"/>
                    <w:bottom w:val="single" w:sz="8" w:space="0" w:color="FFFFFF"/>
                    <w:right w:val="single" w:sz="8" w:space="0" w:color="FFFFFF"/>
                  </w:tcBorders>
                  <w:shd w:val="clear" w:color="000000" w:fill="FDE9D9"/>
                  <w:noWrap/>
                  <w:hideMark/>
                </w:tcPr>
                <w:p w14:paraId="04B722B3" w14:textId="1DACE4D1" w:rsidR="008A575D" w:rsidRPr="003F4793" w:rsidRDefault="008A575D" w:rsidP="008A575D">
                  <w:pPr>
                    <w:widowControl/>
                    <w:jc w:val="center"/>
                    <w:rPr>
                      <w:rFonts w:ascii="KaiTi" w:eastAsia="KaiTi" w:hAnsi="KaiTi" w:cs="Calibri"/>
                      <w:color w:val="000000"/>
                      <w:kern w:val="0"/>
                      <w:szCs w:val="21"/>
                    </w:rPr>
                  </w:pPr>
                  <w:r w:rsidRPr="00B73352">
                    <w:rPr>
                      <w:rFonts w:hint="eastAsia"/>
                    </w:rPr>
                    <w:t>20%</w:t>
                  </w:r>
                </w:p>
              </w:tc>
              <w:tc>
                <w:tcPr>
                  <w:tcW w:w="920" w:type="dxa"/>
                  <w:tcBorders>
                    <w:top w:val="nil"/>
                    <w:left w:val="nil"/>
                    <w:bottom w:val="single" w:sz="8" w:space="0" w:color="FFFFFF"/>
                    <w:right w:val="single" w:sz="8" w:space="0" w:color="FFFFFF"/>
                  </w:tcBorders>
                  <w:shd w:val="clear" w:color="000000" w:fill="FDE9D9"/>
                  <w:noWrap/>
                  <w:hideMark/>
                </w:tcPr>
                <w:p w14:paraId="00BAE7B3" w14:textId="124C7AAD" w:rsidR="008A575D" w:rsidRPr="003F4793" w:rsidRDefault="008A575D" w:rsidP="008A575D">
                  <w:pPr>
                    <w:widowControl/>
                    <w:jc w:val="center"/>
                    <w:rPr>
                      <w:rFonts w:ascii="KaiTi" w:eastAsia="KaiTi" w:hAnsi="KaiTi" w:cs="Calibri"/>
                      <w:color w:val="000000"/>
                      <w:kern w:val="0"/>
                      <w:szCs w:val="21"/>
                    </w:rPr>
                  </w:pPr>
                  <w:r w:rsidRPr="00B73352">
                    <w:rPr>
                      <w:rFonts w:hint="eastAsia"/>
                    </w:rPr>
                    <w:t>7%</w:t>
                  </w:r>
                </w:p>
              </w:tc>
              <w:tc>
                <w:tcPr>
                  <w:tcW w:w="920" w:type="dxa"/>
                  <w:tcBorders>
                    <w:top w:val="nil"/>
                    <w:left w:val="nil"/>
                    <w:bottom w:val="single" w:sz="8" w:space="0" w:color="FFFFFF"/>
                    <w:right w:val="single" w:sz="8" w:space="0" w:color="FFFFFF"/>
                  </w:tcBorders>
                  <w:shd w:val="clear" w:color="000000" w:fill="FDE9D9"/>
                  <w:noWrap/>
                  <w:hideMark/>
                </w:tcPr>
                <w:p w14:paraId="1D577A1F" w14:textId="0F3B5D9A" w:rsidR="008A575D" w:rsidRPr="003F4793" w:rsidRDefault="008A575D" w:rsidP="008A575D">
                  <w:pPr>
                    <w:widowControl/>
                    <w:jc w:val="center"/>
                    <w:rPr>
                      <w:rFonts w:ascii="KaiTi" w:eastAsia="KaiTi" w:hAnsi="KaiTi" w:cs="Calibri"/>
                      <w:color w:val="000000"/>
                      <w:kern w:val="0"/>
                      <w:szCs w:val="21"/>
                    </w:rPr>
                  </w:pPr>
                  <w:r w:rsidRPr="00B73352">
                    <w:rPr>
                      <w:rFonts w:hint="eastAsia"/>
                    </w:rPr>
                    <w:t>20%</w:t>
                  </w:r>
                </w:p>
              </w:tc>
              <w:tc>
                <w:tcPr>
                  <w:tcW w:w="920" w:type="dxa"/>
                  <w:tcBorders>
                    <w:top w:val="nil"/>
                    <w:left w:val="nil"/>
                    <w:bottom w:val="single" w:sz="8" w:space="0" w:color="FFFFFF"/>
                    <w:right w:val="single" w:sz="8" w:space="0" w:color="FFFFFF"/>
                  </w:tcBorders>
                  <w:shd w:val="clear" w:color="000000" w:fill="FDE9D9"/>
                  <w:noWrap/>
                  <w:hideMark/>
                </w:tcPr>
                <w:p w14:paraId="3FF4C4AA" w14:textId="73E84586" w:rsidR="008A575D" w:rsidRPr="003F4793" w:rsidRDefault="008A575D" w:rsidP="008A575D">
                  <w:pPr>
                    <w:widowControl/>
                    <w:jc w:val="center"/>
                    <w:rPr>
                      <w:rFonts w:ascii="KaiTi" w:eastAsia="KaiTi" w:hAnsi="KaiTi" w:cs="Calibri"/>
                      <w:color w:val="000000"/>
                      <w:kern w:val="0"/>
                      <w:szCs w:val="21"/>
                    </w:rPr>
                  </w:pPr>
                  <w:r w:rsidRPr="00B73352">
                    <w:rPr>
                      <w:rFonts w:hint="eastAsia"/>
                    </w:rPr>
                    <w:t>83%</w:t>
                  </w:r>
                </w:p>
              </w:tc>
            </w:tr>
            <w:tr w:rsidR="008A575D" w:rsidRPr="003F4793" w14:paraId="21DC06D6" w14:textId="77777777" w:rsidTr="00416E34">
              <w:trPr>
                <w:trHeight w:val="310"/>
              </w:trPr>
              <w:tc>
                <w:tcPr>
                  <w:tcW w:w="1309" w:type="dxa"/>
                  <w:tcBorders>
                    <w:top w:val="nil"/>
                    <w:left w:val="nil"/>
                    <w:bottom w:val="single" w:sz="8" w:space="0" w:color="FFFFFF"/>
                    <w:right w:val="single" w:sz="8" w:space="0" w:color="FFFFFF"/>
                  </w:tcBorders>
                  <w:shd w:val="clear" w:color="000000" w:fill="FCD5B4"/>
                  <w:noWrap/>
                  <w:hideMark/>
                </w:tcPr>
                <w:p w14:paraId="4FE37E8C" w14:textId="53D3BF5E" w:rsidR="008A575D" w:rsidRPr="003F4793" w:rsidRDefault="008A575D" w:rsidP="008A575D">
                  <w:pPr>
                    <w:widowControl/>
                    <w:jc w:val="center"/>
                    <w:rPr>
                      <w:rFonts w:ascii="KaiTi" w:eastAsia="KaiTi" w:hAnsi="KaiTi" w:cs="宋体"/>
                      <w:color w:val="000000"/>
                      <w:kern w:val="0"/>
                      <w:sz w:val="20"/>
                      <w:szCs w:val="20"/>
                    </w:rPr>
                  </w:pPr>
                  <w:proofErr w:type="gramStart"/>
                  <w:r w:rsidRPr="00B73352">
                    <w:rPr>
                      <w:rFonts w:hint="eastAsia"/>
                    </w:rPr>
                    <w:t>城投债</w:t>
                  </w:r>
                  <w:proofErr w:type="gramEnd"/>
                  <w:r w:rsidRPr="00B73352">
                    <w:rPr>
                      <w:rFonts w:hint="eastAsia"/>
                    </w:rPr>
                    <w:t>3Y</w:t>
                  </w:r>
                </w:p>
              </w:tc>
              <w:tc>
                <w:tcPr>
                  <w:tcW w:w="740" w:type="dxa"/>
                  <w:tcBorders>
                    <w:top w:val="nil"/>
                    <w:left w:val="nil"/>
                    <w:bottom w:val="single" w:sz="8" w:space="0" w:color="FFFFFF"/>
                    <w:right w:val="single" w:sz="8" w:space="0" w:color="FFFFFF"/>
                  </w:tcBorders>
                  <w:shd w:val="clear" w:color="000000" w:fill="FCD5B4"/>
                  <w:noWrap/>
                  <w:hideMark/>
                </w:tcPr>
                <w:p w14:paraId="657AADBA" w14:textId="1CB9030E" w:rsidR="008A575D" w:rsidRPr="003F4793" w:rsidRDefault="008A575D" w:rsidP="008A575D">
                  <w:pPr>
                    <w:widowControl/>
                    <w:jc w:val="center"/>
                    <w:rPr>
                      <w:rFonts w:ascii="KaiTi" w:eastAsia="KaiTi" w:hAnsi="KaiTi" w:cs="Calibri"/>
                      <w:color w:val="000000"/>
                      <w:kern w:val="0"/>
                      <w:szCs w:val="21"/>
                    </w:rPr>
                  </w:pPr>
                  <w:r w:rsidRPr="00B73352">
                    <w:rPr>
                      <w:rFonts w:hint="eastAsia"/>
                    </w:rPr>
                    <w:t>11%</w:t>
                  </w:r>
                </w:p>
              </w:tc>
              <w:tc>
                <w:tcPr>
                  <w:tcW w:w="920" w:type="dxa"/>
                  <w:tcBorders>
                    <w:top w:val="nil"/>
                    <w:left w:val="nil"/>
                    <w:bottom w:val="single" w:sz="8" w:space="0" w:color="FFFFFF"/>
                    <w:right w:val="single" w:sz="8" w:space="0" w:color="FFFFFF"/>
                  </w:tcBorders>
                  <w:shd w:val="clear" w:color="000000" w:fill="FCD5B4"/>
                  <w:noWrap/>
                  <w:hideMark/>
                </w:tcPr>
                <w:p w14:paraId="2E67B5DA" w14:textId="050B088E" w:rsidR="008A575D" w:rsidRPr="003F4793" w:rsidRDefault="008A575D" w:rsidP="008A575D">
                  <w:pPr>
                    <w:widowControl/>
                    <w:jc w:val="center"/>
                    <w:rPr>
                      <w:rFonts w:ascii="KaiTi" w:eastAsia="KaiTi" w:hAnsi="KaiTi" w:cs="Calibri"/>
                      <w:color w:val="000000"/>
                      <w:kern w:val="0"/>
                      <w:szCs w:val="21"/>
                    </w:rPr>
                  </w:pPr>
                  <w:r w:rsidRPr="00B73352">
                    <w:rPr>
                      <w:rFonts w:hint="eastAsia"/>
                    </w:rPr>
                    <w:t>9%</w:t>
                  </w:r>
                </w:p>
              </w:tc>
              <w:tc>
                <w:tcPr>
                  <w:tcW w:w="920" w:type="dxa"/>
                  <w:tcBorders>
                    <w:top w:val="nil"/>
                    <w:left w:val="nil"/>
                    <w:bottom w:val="single" w:sz="8" w:space="0" w:color="FFFFFF"/>
                    <w:right w:val="single" w:sz="8" w:space="0" w:color="FFFFFF"/>
                  </w:tcBorders>
                  <w:shd w:val="clear" w:color="000000" w:fill="FCD5B4"/>
                  <w:noWrap/>
                  <w:hideMark/>
                </w:tcPr>
                <w:p w14:paraId="5BB83AA5" w14:textId="1451B8F3" w:rsidR="008A575D" w:rsidRPr="003F4793" w:rsidRDefault="008A575D" w:rsidP="008A575D">
                  <w:pPr>
                    <w:widowControl/>
                    <w:jc w:val="center"/>
                    <w:rPr>
                      <w:rFonts w:ascii="KaiTi" w:eastAsia="KaiTi" w:hAnsi="KaiTi" w:cs="Calibri"/>
                      <w:color w:val="000000"/>
                      <w:kern w:val="0"/>
                      <w:szCs w:val="21"/>
                    </w:rPr>
                  </w:pPr>
                  <w:r w:rsidRPr="00B73352">
                    <w:rPr>
                      <w:rFonts w:hint="eastAsia"/>
                    </w:rPr>
                    <w:t>9%</w:t>
                  </w:r>
                </w:p>
              </w:tc>
              <w:tc>
                <w:tcPr>
                  <w:tcW w:w="920" w:type="dxa"/>
                  <w:tcBorders>
                    <w:top w:val="nil"/>
                    <w:left w:val="nil"/>
                    <w:bottom w:val="single" w:sz="8" w:space="0" w:color="FFFFFF"/>
                    <w:right w:val="single" w:sz="8" w:space="0" w:color="FFFFFF"/>
                  </w:tcBorders>
                  <w:shd w:val="clear" w:color="000000" w:fill="FCD5B4"/>
                  <w:noWrap/>
                  <w:hideMark/>
                </w:tcPr>
                <w:p w14:paraId="45AEAC99" w14:textId="591BF220" w:rsidR="008A575D" w:rsidRPr="003F4793" w:rsidRDefault="008A575D" w:rsidP="008A575D">
                  <w:pPr>
                    <w:widowControl/>
                    <w:jc w:val="center"/>
                    <w:rPr>
                      <w:rFonts w:ascii="KaiTi" w:eastAsia="KaiTi" w:hAnsi="KaiTi" w:cs="Calibri"/>
                      <w:color w:val="000000"/>
                      <w:kern w:val="0"/>
                      <w:szCs w:val="21"/>
                    </w:rPr>
                  </w:pPr>
                  <w:r w:rsidRPr="00B73352">
                    <w:rPr>
                      <w:rFonts w:hint="eastAsia"/>
                    </w:rPr>
                    <w:t>50%</w:t>
                  </w:r>
                </w:p>
              </w:tc>
              <w:tc>
                <w:tcPr>
                  <w:tcW w:w="1149" w:type="dxa"/>
                  <w:tcBorders>
                    <w:top w:val="nil"/>
                    <w:left w:val="nil"/>
                    <w:bottom w:val="single" w:sz="8" w:space="0" w:color="FFFFFF"/>
                    <w:right w:val="single" w:sz="8" w:space="0" w:color="FFFFFF"/>
                  </w:tcBorders>
                  <w:shd w:val="clear" w:color="000000" w:fill="FCD5B4"/>
                  <w:noWrap/>
                  <w:hideMark/>
                </w:tcPr>
                <w:p w14:paraId="59204F8F" w14:textId="361394BB" w:rsidR="008A575D" w:rsidRPr="003F4793" w:rsidRDefault="008A575D" w:rsidP="008A575D">
                  <w:pPr>
                    <w:widowControl/>
                    <w:jc w:val="center"/>
                    <w:rPr>
                      <w:rFonts w:ascii="KaiTi" w:eastAsia="KaiTi" w:hAnsi="KaiTi" w:cs="宋体"/>
                      <w:color w:val="000000"/>
                      <w:kern w:val="0"/>
                      <w:sz w:val="20"/>
                      <w:szCs w:val="20"/>
                    </w:rPr>
                  </w:pPr>
                  <w:proofErr w:type="gramStart"/>
                  <w:r w:rsidRPr="00B73352">
                    <w:rPr>
                      <w:rFonts w:hint="eastAsia"/>
                    </w:rPr>
                    <w:t>城投债</w:t>
                  </w:r>
                  <w:proofErr w:type="gramEnd"/>
                  <w:r w:rsidRPr="00B73352">
                    <w:rPr>
                      <w:rFonts w:hint="eastAsia"/>
                    </w:rPr>
                    <w:t>3Y</w:t>
                  </w:r>
                </w:p>
              </w:tc>
              <w:tc>
                <w:tcPr>
                  <w:tcW w:w="920" w:type="dxa"/>
                  <w:tcBorders>
                    <w:top w:val="nil"/>
                    <w:left w:val="nil"/>
                    <w:bottom w:val="single" w:sz="8" w:space="0" w:color="FFFFFF"/>
                    <w:right w:val="single" w:sz="8" w:space="0" w:color="FFFFFF"/>
                  </w:tcBorders>
                  <w:shd w:val="clear" w:color="000000" w:fill="FCD5B4"/>
                  <w:noWrap/>
                  <w:hideMark/>
                </w:tcPr>
                <w:p w14:paraId="479902F5" w14:textId="5DFA8909" w:rsidR="008A575D" w:rsidRPr="003F4793" w:rsidRDefault="008A575D" w:rsidP="008A575D">
                  <w:pPr>
                    <w:widowControl/>
                    <w:jc w:val="center"/>
                    <w:rPr>
                      <w:rFonts w:ascii="KaiTi" w:eastAsia="KaiTi" w:hAnsi="KaiTi" w:cs="Calibri"/>
                      <w:color w:val="000000"/>
                      <w:kern w:val="0"/>
                      <w:szCs w:val="21"/>
                    </w:rPr>
                  </w:pPr>
                  <w:r w:rsidRPr="00B73352">
                    <w:rPr>
                      <w:rFonts w:hint="eastAsia"/>
                    </w:rPr>
                    <w:t>10%</w:t>
                  </w:r>
                </w:p>
              </w:tc>
              <w:tc>
                <w:tcPr>
                  <w:tcW w:w="920" w:type="dxa"/>
                  <w:tcBorders>
                    <w:top w:val="nil"/>
                    <w:left w:val="nil"/>
                    <w:bottom w:val="single" w:sz="8" w:space="0" w:color="FFFFFF"/>
                    <w:right w:val="single" w:sz="8" w:space="0" w:color="FFFFFF"/>
                  </w:tcBorders>
                  <w:shd w:val="clear" w:color="000000" w:fill="FCD5B4"/>
                  <w:noWrap/>
                  <w:hideMark/>
                </w:tcPr>
                <w:p w14:paraId="54133AF5" w14:textId="026C9E6F" w:rsidR="008A575D" w:rsidRPr="003F4793" w:rsidRDefault="008A575D" w:rsidP="008A575D">
                  <w:pPr>
                    <w:widowControl/>
                    <w:jc w:val="center"/>
                    <w:rPr>
                      <w:rFonts w:ascii="KaiTi" w:eastAsia="KaiTi" w:hAnsi="KaiTi" w:cs="Calibri"/>
                      <w:color w:val="000000"/>
                      <w:kern w:val="0"/>
                      <w:szCs w:val="21"/>
                    </w:rPr>
                  </w:pPr>
                  <w:r w:rsidRPr="00B73352">
                    <w:rPr>
                      <w:rFonts w:hint="eastAsia"/>
                    </w:rPr>
                    <w:t>16%</w:t>
                  </w:r>
                </w:p>
              </w:tc>
              <w:tc>
                <w:tcPr>
                  <w:tcW w:w="920" w:type="dxa"/>
                  <w:tcBorders>
                    <w:top w:val="nil"/>
                    <w:left w:val="nil"/>
                    <w:bottom w:val="single" w:sz="8" w:space="0" w:color="FFFFFF"/>
                    <w:right w:val="single" w:sz="8" w:space="0" w:color="FFFFFF"/>
                  </w:tcBorders>
                  <w:shd w:val="clear" w:color="000000" w:fill="FCD5B4"/>
                  <w:noWrap/>
                  <w:hideMark/>
                </w:tcPr>
                <w:p w14:paraId="00C9AD90" w14:textId="4A2E6FD6" w:rsidR="008A575D" w:rsidRPr="003F4793" w:rsidRDefault="008A575D" w:rsidP="008A575D">
                  <w:pPr>
                    <w:widowControl/>
                    <w:jc w:val="center"/>
                    <w:rPr>
                      <w:rFonts w:ascii="KaiTi" w:eastAsia="KaiTi" w:hAnsi="KaiTi" w:cs="Calibri"/>
                      <w:color w:val="000000"/>
                      <w:kern w:val="0"/>
                      <w:szCs w:val="21"/>
                    </w:rPr>
                  </w:pPr>
                  <w:r w:rsidRPr="00B73352">
                    <w:rPr>
                      <w:rFonts w:hint="eastAsia"/>
                    </w:rPr>
                    <w:t>16%</w:t>
                  </w:r>
                </w:p>
              </w:tc>
              <w:tc>
                <w:tcPr>
                  <w:tcW w:w="920" w:type="dxa"/>
                  <w:tcBorders>
                    <w:top w:val="nil"/>
                    <w:left w:val="nil"/>
                    <w:bottom w:val="single" w:sz="8" w:space="0" w:color="FFFFFF"/>
                    <w:right w:val="single" w:sz="8" w:space="0" w:color="FFFFFF"/>
                  </w:tcBorders>
                  <w:shd w:val="clear" w:color="000000" w:fill="FCD5B4"/>
                  <w:noWrap/>
                  <w:hideMark/>
                </w:tcPr>
                <w:p w14:paraId="541417A5" w14:textId="7BE7157F" w:rsidR="008A575D" w:rsidRPr="003F4793" w:rsidRDefault="008A575D" w:rsidP="008A575D">
                  <w:pPr>
                    <w:widowControl/>
                    <w:jc w:val="center"/>
                    <w:rPr>
                      <w:rFonts w:ascii="KaiTi" w:eastAsia="KaiTi" w:hAnsi="KaiTi" w:cs="Calibri"/>
                      <w:color w:val="000000"/>
                      <w:kern w:val="0"/>
                      <w:szCs w:val="21"/>
                    </w:rPr>
                  </w:pPr>
                  <w:r w:rsidRPr="00B73352">
                    <w:rPr>
                      <w:rFonts w:hint="eastAsia"/>
                    </w:rPr>
                    <w:t>76%</w:t>
                  </w:r>
                </w:p>
              </w:tc>
            </w:tr>
            <w:tr w:rsidR="008A575D" w:rsidRPr="003F4793" w14:paraId="0EA4170B" w14:textId="77777777" w:rsidTr="00416E34">
              <w:trPr>
                <w:trHeight w:val="310"/>
              </w:trPr>
              <w:tc>
                <w:tcPr>
                  <w:tcW w:w="1309" w:type="dxa"/>
                  <w:tcBorders>
                    <w:top w:val="nil"/>
                    <w:left w:val="nil"/>
                    <w:bottom w:val="single" w:sz="8" w:space="0" w:color="FFFFFF"/>
                    <w:right w:val="single" w:sz="8" w:space="0" w:color="FFFFFF"/>
                  </w:tcBorders>
                  <w:shd w:val="clear" w:color="000000" w:fill="FDE9D9"/>
                  <w:noWrap/>
                  <w:hideMark/>
                </w:tcPr>
                <w:p w14:paraId="10FF0248" w14:textId="45223D40" w:rsidR="008A575D" w:rsidRPr="003F4793" w:rsidRDefault="008A575D" w:rsidP="008A575D">
                  <w:pPr>
                    <w:widowControl/>
                    <w:jc w:val="center"/>
                    <w:rPr>
                      <w:rFonts w:ascii="KaiTi" w:eastAsia="KaiTi" w:hAnsi="KaiTi" w:cs="宋体"/>
                      <w:color w:val="000000"/>
                      <w:kern w:val="0"/>
                      <w:sz w:val="20"/>
                      <w:szCs w:val="20"/>
                    </w:rPr>
                  </w:pPr>
                  <w:proofErr w:type="gramStart"/>
                  <w:r w:rsidRPr="00B73352">
                    <w:rPr>
                      <w:rFonts w:hint="eastAsia"/>
                    </w:rPr>
                    <w:t>城投债</w:t>
                  </w:r>
                  <w:proofErr w:type="gramEnd"/>
                  <w:r w:rsidRPr="00B73352">
                    <w:rPr>
                      <w:rFonts w:hint="eastAsia"/>
                    </w:rPr>
                    <w:t>5Y</w:t>
                  </w:r>
                </w:p>
              </w:tc>
              <w:tc>
                <w:tcPr>
                  <w:tcW w:w="740" w:type="dxa"/>
                  <w:tcBorders>
                    <w:top w:val="nil"/>
                    <w:left w:val="nil"/>
                    <w:bottom w:val="single" w:sz="8" w:space="0" w:color="FFFFFF"/>
                    <w:right w:val="single" w:sz="8" w:space="0" w:color="FFFFFF"/>
                  </w:tcBorders>
                  <w:shd w:val="clear" w:color="000000" w:fill="FDE9D9"/>
                  <w:noWrap/>
                  <w:hideMark/>
                </w:tcPr>
                <w:p w14:paraId="22074306" w14:textId="569250ED" w:rsidR="008A575D" w:rsidRPr="003F4793" w:rsidRDefault="008A575D" w:rsidP="008A575D">
                  <w:pPr>
                    <w:widowControl/>
                    <w:jc w:val="center"/>
                    <w:rPr>
                      <w:rFonts w:ascii="KaiTi" w:eastAsia="KaiTi" w:hAnsi="KaiTi" w:cs="Calibri"/>
                      <w:color w:val="000000"/>
                      <w:kern w:val="0"/>
                      <w:szCs w:val="21"/>
                    </w:rPr>
                  </w:pPr>
                  <w:r w:rsidRPr="00B73352">
                    <w:rPr>
                      <w:rFonts w:hint="eastAsia"/>
                    </w:rPr>
                    <w:t>10%</w:t>
                  </w:r>
                </w:p>
              </w:tc>
              <w:tc>
                <w:tcPr>
                  <w:tcW w:w="920" w:type="dxa"/>
                  <w:tcBorders>
                    <w:top w:val="nil"/>
                    <w:left w:val="nil"/>
                    <w:bottom w:val="single" w:sz="8" w:space="0" w:color="FFFFFF"/>
                    <w:right w:val="single" w:sz="8" w:space="0" w:color="FFFFFF"/>
                  </w:tcBorders>
                  <w:shd w:val="clear" w:color="000000" w:fill="FDE9D9"/>
                  <w:noWrap/>
                  <w:hideMark/>
                </w:tcPr>
                <w:p w14:paraId="0BA2FFDF" w14:textId="596A0BDF" w:rsidR="008A575D" w:rsidRPr="003F4793" w:rsidRDefault="008A575D" w:rsidP="008A575D">
                  <w:pPr>
                    <w:widowControl/>
                    <w:jc w:val="center"/>
                    <w:rPr>
                      <w:rFonts w:ascii="KaiTi" w:eastAsia="KaiTi" w:hAnsi="KaiTi" w:cs="Calibri"/>
                      <w:color w:val="000000"/>
                      <w:kern w:val="0"/>
                      <w:szCs w:val="21"/>
                    </w:rPr>
                  </w:pPr>
                  <w:r w:rsidRPr="00B73352">
                    <w:rPr>
                      <w:rFonts w:hint="eastAsia"/>
                    </w:rPr>
                    <w:t>10%</w:t>
                  </w:r>
                </w:p>
              </w:tc>
              <w:tc>
                <w:tcPr>
                  <w:tcW w:w="920" w:type="dxa"/>
                  <w:tcBorders>
                    <w:top w:val="nil"/>
                    <w:left w:val="nil"/>
                    <w:bottom w:val="single" w:sz="8" w:space="0" w:color="FFFFFF"/>
                    <w:right w:val="single" w:sz="8" w:space="0" w:color="FFFFFF"/>
                  </w:tcBorders>
                  <w:shd w:val="clear" w:color="000000" w:fill="FDE9D9"/>
                  <w:noWrap/>
                  <w:hideMark/>
                </w:tcPr>
                <w:p w14:paraId="073EB474" w14:textId="10A323C3" w:rsidR="008A575D" w:rsidRPr="003F4793" w:rsidRDefault="008A575D" w:rsidP="008A575D">
                  <w:pPr>
                    <w:widowControl/>
                    <w:jc w:val="center"/>
                    <w:rPr>
                      <w:rFonts w:ascii="KaiTi" w:eastAsia="KaiTi" w:hAnsi="KaiTi" w:cs="Calibri"/>
                      <w:color w:val="000000"/>
                      <w:kern w:val="0"/>
                      <w:szCs w:val="21"/>
                    </w:rPr>
                  </w:pPr>
                  <w:r w:rsidRPr="00B73352">
                    <w:rPr>
                      <w:rFonts w:hint="eastAsia"/>
                    </w:rPr>
                    <w:t>10%</w:t>
                  </w:r>
                </w:p>
              </w:tc>
              <w:tc>
                <w:tcPr>
                  <w:tcW w:w="920" w:type="dxa"/>
                  <w:tcBorders>
                    <w:top w:val="nil"/>
                    <w:left w:val="nil"/>
                    <w:bottom w:val="single" w:sz="8" w:space="0" w:color="FFFFFF"/>
                    <w:right w:val="single" w:sz="8" w:space="0" w:color="FFFFFF"/>
                  </w:tcBorders>
                  <w:shd w:val="clear" w:color="000000" w:fill="FDE9D9"/>
                  <w:noWrap/>
                  <w:hideMark/>
                </w:tcPr>
                <w:p w14:paraId="0B9D8097" w14:textId="50716A49" w:rsidR="008A575D" w:rsidRPr="003F4793" w:rsidRDefault="008A575D" w:rsidP="008A575D">
                  <w:pPr>
                    <w:widowControl/>
                    <w:jc w:val="center"/>
                    <w:rPr>
                      <w:rFonts w:ascii="KaiTi" w:eastAsia="KaiTi" w:hAnsi="KaiTi" w:cs="Calibri"/>
                      <w:color w:val="000000"/>
                      <w:kern w:val="0"/>
                      <w:szCs w:val="21"/>
                    </w:rPr>
                  </w:pPr>
                  <w:r w:rsidRPr="00B73352">
                    <w:rPr>
                      <w:rFonts w:hint="eastAsia"/>
                    </w:rPr>
                    <w:t>51%</w:t>
                  </w:r>
                </w:p>
              </w:tc>
              <w:tc>
                <w:tcPr>
                  <w:tcW w:w="1149" w:type="dxa"/>
                  <w:tcBorders>
                    <w:top w:val="nil"/>
                    <w:left w:val="nil"/>
                    <w:bottom w:val="single" w:sz="8" w:space="0" w:color="FFFFFF"/>
                    <w:right w:val="single" w:sz="8" w:space="0" w:color="FFFFFF"/>
                  </w:tcBorders>
                  <w:shd w:val="clear" w:color="000000" w:fill="FDE9D9"/>
                  <w:noWrap/>
                  <w:hideMark/>
                </w:tcPr>
                <w:p w14:paraId="345AC80B" w14:textId="77D21705" w:rsidR="008A575D" w:rsidRPr="003F4793" w:rsidRDefault="008A575D" w:rsidP="008A575D">
                  <w:pPr>
                    <w:widowControl/>
                    <w:jc w:val="center"/>
                    <w:rPr>
                      <w:rFonts w:ascii="KaiTi" w:eastAsia="KaiTi" w:hAnsi="KaiTi" w:cs="宋体"/>
                      <w:color w:val="000000"/>
                      <w:kern w:val="0"/>
                      <w:sz w:val="20"/>
                      <w:szCs w:val="20"/>
                    </w:rPr>
                  </w:pPr>
                  <w:proofErr w:type="gramStart"/>
                  <w:r w:rsidRPr="00B73352">
                    <w:rPr>
                      <w:rFonts w:hint="eastAsia"/>
                    </w:rPr>
                    <w:t>城投债</w:t>
                  </w:r>
                  <w:proofErr w:type="gramEnd"/>
                  <w:r w:rsidRPr="00B73352">
                    <w:rPr>
                      <w:rFonts w:hint="eastAsia"/>
                    </w:rPr>
                    <w:t>5Y</w:t>
                  </w:r>
                </w:p>
              </w:tc>
              <w:tc>
                <w:tcPr>
                  <w:tcW w:w="920" w:type="dxa"/>
                  <w:tcBorders>
                    <w:top w:val="nil"/>
                    <w:left w:val="nil"/>
                    <w:bottom w:val="single" w:sz="8" w:space="0" w:color="FFFFFF"/>
                    <w:right w:val="single" w:sz="8" w:space="0" w:color="FFFFFF"/>
                  </w:tcBorders>
                  <w:shd w:val="clear" w:color="000000" w:fill="FDE9D9"/>
                  <w:noWrap/>
                  <w:hideMark/>
                </w:tcPr>
                <w:p w14:paraId="19B927C3" w14:textId="4DBB4BC2" w:rsidR="008A575D" w:rsidRPr="003F4793" w:rsidRDefault="008A575D" w:rsidP="008A575D">
                  <w:pPr>
                    <w:widowControl/>
                    <w:jc w:val="center"/>
                    <w:rPr>
                      <w:rFonts w:ascii="KaiTi" w:eastAsia="KaiTi" w:hAnsi="KaiTi" w:cs="Calibri"/>
                      <w:color w:val="000000"/>
                      <w:kern w:val="0"/>
                      <w:szCs w:val="21"/>
                    </w:rPr>
                  </w:pPr>
                  <w:r w:rsidRPr="00B73352">
                    <w:rPr>
                      <w:rFonts w:hint="eastAsia"/>
                    </w:rPr>
                    <w:t>14%</w:t>
                  </w:r>
                </w:p>
              </w:tc>
              <w:tc>
                <w:tcPr>
                  <w:tcW w:w="920" w:type="dxa"/>
                  <w:tcBorders>
                    <w:top w:val="nil"/>
                    <w:left w:val="nil"/>
                    <w:bottom w:val="single" w:sz="8" w:space="0" w:color="FFFFFF"/>
                    <w:right w:val="single" w:sz="8" w:space="0" w:color="FFFFFF"/>
                  </w:tcBorders>
                  <w:shd w:val="clear" w:color="000000" w:fill="FDE9D9"/>
                  <w:noWrap/>
                  <w:hideMark/>
                </w:tcPr>
                <w:p w14:paraId="6F372E8A" w14:textId="761070DD" w:rsidR="008A575D" w:rsidRPr="003F4793" w:rsidRDefault="008A575D" w:rsidP="008A575D">
                  <w:pPr>
                    <w:widowControl/>
                    <w:jc w:val="center"/>
                    <w:rPr>
                      <w:rFonts w:ascii="KaiTi" w:eastAsia="KaiTi" w:hAnsi="KaiTi" w:cs="Calibri"/>
                      <w:color w:val="000000"/>
                      <w:kern w:val="0"/>
                      <w:szCs w:val="21"/>
                    </w:rPr>
                  </w:pPr>
                  <w:r w:rsidRPr="00B73352">
                    <w:rPr>
                      <w:rFonts w:hint="eastAsia"/>
                    </w:rPr>
                    <w:t>19%</w:t>
                  </w:r>
                </w:p>
              </w:tc>
              <w:tc>
                <w:tcPr>
                  <w:tcW w:w="920" w:type="dxa"/>
                  <w:tcBorders>
                    <w:top w:val="nil"/>
                    <w:left w:val="nil"/>
                    <w:bottom w:val="single" w:sz="8" w:space="0" w:color="FFFFFF"/>
                    <w:right w:val="single" w:sz="8" w:space="0" w:color="FFFFFF"/>
                  </w:tcBorders>
                  <w:shd w:val="clear" w:color="000000" w:fill="FDE9D9"/>
                  <w:noWrap/>
                  <w:hideMark/>
                </w:tcPr>
                <w:p w14:paraId="33016802" w14:textId="34EA3167" w:rsidR="008A575D" w:rsidRPr="003F4793" w:rsidRDefault="008A575D" w:rsidP="008A575D">
                  <w:pPr>
                    <w:widowControl/>
                    <w:jc w:val="center"/>
                    <w:rPr>
                      <w:rFonts w:ascii="KaiTi" w:eastAsia="KaiTi" w:hAnsi="KaiTi" w:cs="Calibri"/>
                      <w:color w:val="000000"/>
                      <w:kern w:val="0"/>
                      <w:szCs w:val="21"/>
                    </w:rPr>
                  </w:pPr>
                  <w:r w:rsidRPr="00B73352">
                    <w:rPr>
                      <w:rFonts w:hint="eastAsia"/>
                    </w:rPr>
                    <w:t>19%</w:t>
                  </w:r>
                </w:p>
              </w:tc>
              <w:tc>
                <w:tcPr>
                  <w:tcW w:w="920" w:type="dxa"/>
                  <w:tcBorders>
                    <w:top w:val="nil"/>
                    <w:left w:val="nil"/>
                    <w:bottom w:val="single" w:sz="8" w:space="0" w:color="FFFFFF"/>
                    <w:right w:val="single" w:sz="8" w:space="0" w:color="FFFFFF"/>
                  </w:tcBorders>
                  <w:shd w:val="clear" w:color="000000" w:fill="FFC7CE"/>
                  <w:noWrap/>
                  <w:hideMark/>
                </w:tcPr>
                <w:p w14:paraId="57FFE293" w14:textId="268BC74F" w:rsidR="008A575D" w:rsidRPr="003F4793" w:rsidRDefault="008A575D" w:rsidP="008A575D">
                  <w:pPr>
                    <w:widowControl/>
                    <w:jc w:val="center"/>
                    <w:rPr>
                      <w:rFonts w:ascii="KaiTi" w:eastAsia="KaiTi" w:hAnsi="KaiTi" w:cs="Calibri"/>
                      <w:color w:val="9C0006"/>
                      <w:kern w:val="0"/>
                      <w:szCs w:val="21"/>
                    </w:rPr>
                  </w:pPr>
                  <w:r w:rsidRPr="00B73352">
                    <w:rPr>
                      <w:rFonts w:hint="eastAsia"/>
                    </w:rPr>
                    <w:t>76%</w:t>
                  </w:r>
                </w:p>
              </w:tc>
            </w:tr>
            <w:tr w:rsidR="008A575D" w:rsidRPr="003F4793" w14:paraId="72207D52" w14:textId="77777777" w:rsidTr="00416E34">
              <w:trPr>
                <w:trHeight w:val="310"/>
              </w:trPr>
              <w:tc>
                <w:tcPr>
                  <w:tcW w:w="1309" w:type="dxa"/>
                  <w:tcBorders>
                    <w:top w:val="nil"/>
                    <w:left w:val="nil"/>
                    <w:bottom w:val="nil"/>
                    <w:right w:val="nil"/>
                  </w:tcBorders>
                  <w:shd w:val="clear" w:color="000000" w:fill="FCD5B4"/>
                  <w:noWrap/>
                  <w:hideMark/>
                </w:tcPr>
                <w:p w14:paraId="4814BB37" w14:textId="07F59C13" w:rsidR="008A575D" w:rsidRPr="003F4793" w:rsidRDefault="008A575D" w:rsidP="008A575D">
                  <w:pPr>
                    <w:widowControl/>
                    <w:jc w:val="center"/>
                    <w:rPr>
                      <w:rFonts w:ascii="KaiTi" w:eastAsia="KaiTi" w:hAnsi="KaiTi" w:cs="宋体"/>
                      <w:color w:val="000000"/>
                      <w:kern w:val="0"/>
                      <w:sz w:val="20"/>
                      <w:szCs w:val="20"/>
                    </w:rPr>
                  </w:pPr>
                  <w:proofErr w:type="gramStart"/>
                  <w:r w:rsidRPr="00B73352">
                    <w:rPr>
                      <w:rFonts w:hint="eastAsia"/>
                    </w:rPr>
                    <w:t>城投债</w:t>
                  </w:r>
                  <w:proofErr w:type="gramEnd"/>
                  <w:r w:rsidRPr="00B73352">
                    <w:rPr>
                      <w:rFonts w:hint="eastAsia"/>
                    </w:rPr>
                    <w:t>7Y</w:t>
                  </w:r>
                </w:p>
              </w:tc>
              <w:tc>
                <w:tcPr>
                  <w:tcW w:w="740" w:type="dxa"/>
                  <w:tcBorders>
                    <w:top w:val="nil"/>
                    <w:left w:val="nil"/>
                    <w:bottom w:val="single" w:sz="8" w:space="0" w:color="FFFFFF"/>
                    <w:right w:val="single" w:sz="8" w:space="0" w:color="FFFFFF"/>
                  </w:tcBorders>
                  <w:shd w:val="clear" w:color="000000" w:fill="FCD5B4"/>
                  <w:noWrap/>
                  <w:hideMark/>
                </w:tcPr>
                <w:p w14:paraId="5E5F0BFD" w14:textId="342B4E54" w:rsidR="008A575D" w:rsidRPr="003F4793" w:rsidRDefault="008A575D" w:rsidP="008A575D">
                  <w:pPr>
                    <w:widowControl/>
                    <w:jc w:val="center"/>
                    <w:rPr>
                      <w:rFonts w:ascii="KaiTi" w:eastAsia="KaiTi" w:hAnsi="KaiTi" w:cs="Calibri"/>
                      <w:color w:val="000000"/>
                      <w:kern w:val="0"/>
                      <w:szCs w:val="21"/>
                    </w:rPr>
                  </w:pPr>
                  <w:r w:rsidRPr="00B73352">
                    <w:rPr>
                      <w:rFonts w:hint="eastAsia"/>
                    </w:rPr>
                    <w:t>9%</w:t>
                  </w:r>
                </w:p>
              </w:tc>
              <w:tc>
                <w:tcPr>
                  <w:tcW w:w="920" w:type="dxa"/>
                  <w:tcBorders>
                    <w:top w:val="nil"/>
                    <w:left w:val="nil"/>
                    <w:bottom w:val="single" w:sz="8" w:space="0" w:color="FFFFFF"/>
                    <w:right w:val="single" w:sz="8" w:space="0" w:color="FFFFFF"/>
                  </w:tcBorders>
                  <w:shd w:val="clear" w:color="000000" w:fill="FCD5B4"/>
                  <w:noWrap/>
                  <w:hideMark/>
                </w:tcPr>
                <w:p w14:paraId="7F5BCF09" w14:textId="59357240" w:rsidR="008A575D" w:rsidRPr="003F4793" w:rsidRDefault="008A575D" w:rsidP="008A575D">
                  <w:pPr>
                    <w:widowControl/>
                    <w:jc w:val="center"/>
                    <w:rPr>
                      <w:rFonts w:ascii="KaiTi" w:eastAsia="KaiTi" w:hAnsi="KaiTi" w:cs="Calibri"/>
                      <w:color w:val="000000"/>
                      <w:kern w:val="0"/>
                      <w:szCs w:val="21"/>
                    </w:rPr>
                  </w:pPr>
                  <w:r w:rsidRPr="00B73352">
                    <w:rPr>
                      <w:rFonts w:hint="eastAsia"/>
                    </w:rPr>
                    <w:t>9%</w:t>
                  </w:r>
                </w:p>
              </w:tc>
              <w:tc>
                <w:tcPr>
                  <w:tcW w:w="920" w:type="dxa"/>
                  <w:tcBorders>
                    <w:top w:val="nil"/>
                    <w:left w:val="nil"/>
                    <w:bottom w:val="single" w:sz="8" w:space="0" w:color="FFFFFF"/>
                    <w:right w:val="single" w:sz="8" w:space="0" w:color="FFFFFF"/>
                  </w:tcBorders>
                  <w:shd w:val="clear" w:color="000000" w:fill="FCD5B4"/>
                  <w:noWrap/>
                  <w:hideMark/>
                </w:tcPr>
                <w:p w14:paraId="00227C37" w14:textId="54715AC9" w:rsidR="008A575D" w:rsidRPr="003F4793" w:rsidRDefault="008A575D" w:rsidP="008A575D">
                  <w:pPr>
                    <w:widowControl/>
                    <w:jc w:val="center"/>
                    <w:rPr>
                      <w:rFonts w:ascii="KaiTi" w:eastAsia="KaiTi" w:hAnsi="KaiTi" w:cs="Calibri"/>
                      <w:color w:val="000000"/>
                      <w:kern w:val="0"/>
                      <w:szCs w:val="21"/>
                    </w:rPr>
                  </w:pPr>
                  <w:r w:rsidRPr="00B73352">
                    <w:rPr>
                      <w:rFonts w:hint="eastAsia"/>
                    </w:rPr>
                    <w:t>8%</w:t>
                  </w:r>
                </w:p>
              </w:tc>
              <w:tc>
                <w:tcPr>
                  <w:tcW w:w="920" w:type="dxa"/>
                  <w:tcBorders>
                    <w:top w:val="nil"/>
                    <w:left w:val="nil"/>
                    <w:bottom w:val="single" w:sz="8" w:space="0" w:color="FFFFFF"/>
                    <w:right w:val="single" w:sz="8" w:space="0" w:color="FFFFFF"/>
                  </w:tcBorders>
                  <w:shd w:val="clear" w:color="000000" w:fill="FCD5B4"/>
                  <w:noWrap/>
                  <w:hideMark/>
                </w:tcPr>
                <w:p w14:paraId="46040BD8" w14:textId="7F8F6E9F" w:rsidR="008A575D" w:rsidRPr="003F4793" w:rsidRDefault="008A575D" w:rsidP="008A575D">
                  <w:pPr>
                    <w:widowControl/>
                    <w:jc w:val="center"/>
                    <w:rPr>
                      <w:rFonts w:ascii="KaiTi" w:eastAsia="KaiTi" w:hAnsi="KaiTi" w:cs="Calibri"/>
                      <w:color w:val="000000"/>
                      <w:kern w:val="0"/>
                      <w:szCs w:val="21"/>
                    </w:rPr>
                  </w:pPr>
                  <w:r w:rsidRPr="00B73352">
                    <w:rPr>
                      <w:rFonts w:hint="eastAsia"/>
                    </w:rPr>
                    <w:t>50%</w:t>
                  </w:r>
                </w:p>
              </w:tc>
              <w:tc>
                <w:tcPr>
                  <w:tcW w:w="1149" w:type="dxa"/>
                  <w:tcBorders>
                    <w:top w:val="nil"/>
                    <w:left w:val="nil"/>
                    <w:bottom w:val="nil"/>
                    <w:right w:val="nil"/>
                  </w:tcBorders>
                  <w:shd w:val="clear" w:color="000000" w:fill="FCD5B4"/>
                  <w:noWrap/>
                  <w:hideMark/>
                </w:tcPr>
                <w:p w14:paraId="24472A59" w14:textId="0C4A9F65" w:rsidR="008A575D" w:rsidRPr="003F4793" w:rsidRDefault="008A575D" w:rsidP="008A575D">
                  <w:pPr>
                    <w:widowControl/>
                    <w:jc w:val="center"/>
                    <w:rPr>
                      <w:rFonts w:ascii="KaiTi" w:eastAsia="KaiTi" w:hAnsi="KaiTi" w:cs="宋体"/>
                      <w:color w:val="000000"/>
                      <w:kern w:val="0"/>
                      <w:sz w:val="20"/>
                      <w:szCs w:val="20"/>
                    </w:rPr>
                  </w:pPr>
                  <w:proofErr w:type="gramStart"/>
                  <w:r w:rsidRPr="00B73352">
                    <w:rPr>
                      <w:rFonts w:hint="eastAsia"/>
                    </w:rPr>
                    <w:t>城投债</w:t>
                  </w:r>
                  <w:proofErr w:type="gramEnd"/>
                  <w:r w:rsidRPr="00B73352">
                    <w:rPr>
                      <w:rFonts w:hint="eastAsia"/>
                    </w:rPr>
                    <w:t>7Y</w:t>
                  </w:r>
                </w:p>
              </w:tc>
              <w:tc>
                <w:tcPr>
                  <w:tcW w:w="920" w:type="dxa"/>
                  <w:tcBorders>
                    <w:top w:val="nil"/>
                    <w:left w:val="nil"/>
                    <w:bottom w:val="single" w:sz="8" w:space="0" w:color="FFFFFF"/>
                    <w:right w:val="single" w:sz="8" w:space="0" w:color="FFFFFF"/>
                  </w:tcBorders>
                  <w:shd w:val="clear" w:color="000000" w:fill="FCD5B4"/>
                  <w:noWrap/>
                  <w:hideMark/>
                </w:tcPr>
                <w:p w14:paraId="59306821" w14:textId="7660A79B" w:rsidR="008A575D" w:rsidRPr="003F4793" w:rsidRDefault="008A575D" w:rsidP="008A575D">
                  <w:pPr>
                    <w:widowControl/>
                    <w:jc w:val="center"/>
                    <w:rPr>
                      <w:rFonts w:ascii="KaiTi" w:eastAsia="KaiTi" w:hAnsi="KaiTi" w:cs="Calibri"/>
                      <w:color w:val="000000"/>
                      <w:kern w:val="0"/>
                      <w:szCs w:val="21"/>
                    </w:rPr>
                  </w:pPr>
                  <w:r w:rsidRPr="00B73352">
                    <w:rPr>
                      <w:rFonts w:hint="eastAsia"/>
                    </w:rPr>
                    <w:t>16%</w:t>
                  </w:r>
                </w:p>
              </w:tc>
              <w:tc>
                <w:tcPr>
                  <w:tcW w:w="920" w:type="dxa"/>
                  <w:tcBorders>
                    <w:top w:val="nil"/>
                    <w:left w:val="nil"/>
                    <w:bottom w:val="single" w:sz="8" w:space="0" w:color="FFFFFF"/>
                    <w:right w:val="single" w:sz="8" w:space="0" w:color="FFFFFF"/>
                  </w:tcBorders>
                  <w:shd w:val="clear" w:color="000000" w:fill="FCD5B4"/>
                  <w:noWrap/>
                  <w:hideMark/>
                </w:tcPr>
                <w:p w14:paraId="3117A4FD" w14:textId="3ED43BBF" w:rsidR="008A575D" w:rsidRPr="003F4793" w:rsidRDefault="008A575D" w:rsidP="008A575D">
                  <w:pPr>
                    <w:widowControl/>
                    <w:jc w:val="center"/>
                    <w:rPr>
                      <w:rFonts w:ascii="KaiTi" w:eastAsia="KaiTi" w:hAnsi="KaiTi" w:cs="Calibri"/>
                      <w:color w:val="000000"/>
                      <w:kern w:val="0"/>
                      <w:szCs w:val="21"/>
                    </w:rPr>
                  </w:pPr>
                  <w:r w:rsidRPr="00B73352">
                    <w:rPr>
                      <w:rFonts w:hint="eastAsia"/>
                    </w:rPr>
                    <w:t>14%</w:t>
                  </w:r>
                </w:p>
              </w:tc>
              <w:tc>
                <w:tcPr>
                  <w:tcW w:w="920" w:type="dxa"/>
                  <w:tcBorders>
                    <w:top w:val="nil"/>
                    <w:left w:val="nil"/>
                    <w:bottom w:val="single" w:sz="8" w:space="0" w:color="FFFFFF"/>
                    <w:right w:val="single" w:sz="8" w:space="0" w:color="FFFFFF"/>
                  </w:tcBorders>
                  <w:shd w:val="clear" w:color="000000" w:fill="FCD5B4"/>
                  <w:noWrap/>
                  <w:hideMark/>
                </w:tcPr>
                <w:p w14:paraId="73214012" w14:textId="2B33C066" w:rsidR="008A575D" w:rsidRPr="003F4793" w:rsidRDefault="008A575D" w:rsidP="008A575D">
                  <w:pPr>
                    <w:widowControl/>
                    <w:jc w:val="center"/>
                    <w:rPr>
                      <w:rFonts w:ascii="KaiTi" w:eastAsia="KaiTi" w:hAnsi="KaiTi" w:cs="Calibri"/>
                      <w:color w:val="000000"/>
                      <w:kern w:val="0"/>
                      <w:szCs w:val="21"/>
                    </w:rPr>
                  </w:pPr>
                  <w:r w:rsidRPr="00B73352">
                    <w:rPr>
                      <w:rFonts w:hint="eastAsia"/>
                    </w:rPr>
                    <w:t>17%</w:t>
                  </w:r>
                </w:p>
              </w:tc>
              <w:tc>
                <w:tcPr>
                  <w:tcW w:w="920" w:type="dxa"/>
                  <w:tcBorders>
                    <w:top w:val="nil"/>
                    <w:left w:val="nil"/>
                    <w:bottom w:val="single" w:sz="8" w:space="0" w:color="FFFFFF"/>
                    <w:right w:val="single" w:sz="8" w:space="0" w:color="FFFFFF"/>
                  </w:tcBorders>
                  <w:shd w:val="clear" w:color="000000" w:fill="FFC7CE"/>
                  <w:noWrap/>
                  <w:hideMark/>
                </w:tcPr>
                <w:p w14:paraId="5DA3DB4A" w14:textId="7E5FE4B1" w:rsidR="008A575D" w:rsidRPr="003F4793" w:rsidRDefault="008A575D" w:rsidP="008A575D">
                  <w:pPr>
                    <w:widowControl/>
                    <w:jc w:val="center"/>
                    <w:rPr>
                      <w:rFonts w:ascii="KaiTi" w:eastAsia="KaiTi" w:hAnsi="KaiTi" w:cs="Calibri"/>
                      <w:color w:val="9C0006"/>
                      <w:kern w:val="0"/>
                      <w:szCs w:val="21"/>
                    </w:rPr>
                  </w:pPr>
                  <w:r w:rsidRPr="00B73352">
                    <w:rPr>
                      <w:rFonts w:hint="eastAsia"/>
                    </w:rPr>
                    <w:t>76%</w:t>
                  </w:r>
                </w:p>
              </w:tc>
            </w:tr>
          </w:tbl>
          <w:p w14:paraId="446C7D6E" w14:textId="294F6511" w:rsidR="00E0626C" w:rsidRPr="003F4793" w:rsidRDefault="00E0626C" w:rsidP="0092340D">
            <w:pPr>
              <w:rPr>
                <w:rFonts w:ascii="KaiTi" w:eastAsia="KaiTi" w:hAnsi="KaiTi"/>
                <w:noProof/>
                <w:szCs w:val="18"/>
              </w:rPr>
            </w:pPr>
          </w:p>
        </w:tc>
      </w:tr>
      <w:tr w:rsidR="00E0626C" w:rsidRPr="00B41E24" w14:paraId="01D36A65" w14:textId="77777777" w:rsidTr="00220902">
        <w:trPr>
          <w:trHeight w:val="60"/>
          <w:jc w:val="center"/>
        </w:trPr>
        <w:tc>
          <w:tcPr>
            <w:tcW w:w="9713" w:type="dxa"/>
            <w:vAlign w:val="center"/>
          </w:tcPr>
          <w:p w14:paraId="6284202E" w14:textId="2B61B5A0" w:rsidR="00E0626C" w:rsidRPr="00B41E24" w:rsidRDefault="00E0626C" w:rsidP="009A2BA0">
            <w:pPr>
              <w:pStyle w:val="Source"/>
              <w:jc w:val="both"/>
              <w:rPr>
                <w:kern w:val="0"/>
              </w:rPr>
            </w:pPr>
            <w:r w:rsidRPr="00B41E24">
              <w:rPr>
                <w:rFonts w:hint="eastAsia"/>
                <w:kern w:val="0"/>
              </w:rPr>
              <w:lastRenderedPageBreak/>
              <w:t>资料来源：万得，富荣基金；利差基准为同期限国债</w:t>
            </w:r>
          </w:p>
        </w:tc>
      </w:tr>
    </w:tbl>
    <w:p w14:paraId="26A54476" w14:textId="77777777" w:rsidR="00E0626C" w:rsidRPr="00B41E24" w:rsidRDefault="00E0626C" w:rsidP="009A2BA0">
      <w:pPr>
        <w:pStyle w:val="Body-text"/>
        <w:spacing w:after="0"/>
        <w:rPr>
          <w:lang w:eastAsia="zh-CN"/>
        </w:rPr>
      </w:pPr>
    </w:p>
    <w:p w14:paraId="36CAED5C" w14:textId="77777777" w:rsidR="00CD1AE8" w:rsidRDefault="00CD1AE8" w:rsidP="009A2BA0">
      <w:pPr>
        <w:pStyle w:val="Header2"/>
        <w:rPr>
          <w:sz w:val="28"/>
          <w:szCs w:val="21"/>
          <w:lang w:eastAsia="zh-CN"/>
        </w:rPr>
      </w:pPr>
    </w:p>
    <w:p w14:paraId="2D403D4F" w14:textId="3112BC34" w:rsidR="00E0626C" w:rsidRPr="00CD2B4D" w:rsidRDefault="007A1586" w:rsidP="009A2BA0">
      <w:pPr>
        <w:pStyle w:val="Header2"/>
        <w:rPr>
          <w:rFonts w:eastAsia="PMingLiU"/>
          <w:sz w:val="28"/>
          <w:szCs w:val="21"/>
          <w:lang w:eastAsia="zh-CN"/>
        </w:rPr>
      </w:pPr>
      <w:r>
        <w:rPr>
          <w:sz w:val="28"/>
          <w:szCs w:val="21"/>
          <w:lang w:eastAsia="zh-CN"/>
        </w:rPr>
        <w:t>3</w:t>
      </w:r>
      <w:r w:rsidR="00E0626C" w:rsidRPr="00CD2B4D">
        <w:rPr>
          <w:rFonts w:hint="eastAsia"/>
          <w:sz w:val="28"/>
          <w:szCs w:val="21"/>
          <w:lang w:eastAsia="zh-CN"/>
        </w:rPr>
        <w:t>、</w:t>
      </w:r>
      <w:r w:rsidR="00E0626C" w:rsidRPr="00CD2B4D">
        <w:rPr>
          <w:rFonts w:hint="eastAsia"/>
          <w:sz w:val="28"/>
          <w:szCs w:val="21"/>
        </w:rPr>
        <w:t>可转债</w:t>
      </w:r>
    </w:p>
    <w:p w14:paraId="0457D77B" w14:textId="3941022C" w:rsidR="002D3316" w:rsidRPr="007A1586" w:rsidRDefault="008A575D" w:rsidP="002D3316">
      <w:pPr>
        <w:pStyle w:val="Body-text"/>
        <w:spacing w:after="240"/>
        <w:ind w:firstLineChars="200" w:firstLine="480"/>
        <w:rPr>
          <w:rFonts w:ascii="华文楷体" w:hAnsi="华文楷体"/>
          <w:sz w:val="24"/>
          <w:szCs w:val="24"/>
          <w:lang w:eastAsia="zh-CN"/>
        </w:rPr>
      </w:pPr>
      <w:r w:rsidRPr="008A575D">
        <w:rPr>
          <w:rFonts w:ascii="华文楷体" w:hAnsi="华文楷体" w:hint="eastAsia"/>
          <w:sz w:val="24"/>
          <w:szCs w:val="24"/>
        </w:rPr>
        <w:t>权益主要指数</w:t>
      </w:r>
      <w:r>
        <w:rPr>
          <w:rFonts w:ascii="华文楷体" w:hAnsi="华文楷体" w:hint="eastAsia"/>
          <w:sz w:val="24"/>
          <w:szCs w:val="24"/>
          <w:lang w:eastAsia="zh-CN"/>
        </w:rPr>
        <w:t>9月</w:t>
      </w:r>
      <w:r w:rsidR="0047204C">
        <w:rPr>
          <w:rFonts w:ascii="华文楷体" w:hAnsi="华文楷体" w:hint="eastAsia"/>
          <w:sz w:val="24"/>
          <w:szCs w:val="24"/>
          <w:lang w:eastAsia="zh-CN"/>
        </w:rPr>
        <w:t>出现</w:t>
      </w:r>
      <w:r>
        <w:rPr>
          <w:rFonts w:ascii="华文楷体" w:hAnsi="华文楷体" w:hint="eastAsia"/>
          <w:sz w:val="24"/>
          <w:szCs w:val="24"/>
          <w:lang w:eastAsia="zh-CN"/>
        </w:rPr>
        <w:t>分化</w:t>
      </w:r>
      <w:r>
        <w:rPr>
          <w:rFonts w:ascii="华文楷体" w:hAnsi="华文楷体" w:hint="eastAsia"/>
          <w:sz w:val="24"/>
          <w:szCs w:val="24"/>
        </w:rPr>
        <w:t>。</w:t>
      </w:r>
      <w:r w:rsidRPr="008A575D">
        <w:rPr>
          <w:rFonts w:ascii="华文楷体" w:hAnsi="华文楷体" w:hint="eastAsia"/>
          <w:sz w:val="24"/>
          <w:szCs w:val="24"/>
        </w:rPr>
        <w:t>具体看，9月上证综指上涨0.68%，上证50指数上涨3.23%，沪深300指数上涨1.26%</w:t>
      </w:r>
      <w:r w:rsidR="0047204C">
        <w:rPr>
          <w:rFonts w:ascii="华文楷体" w:hAnsi="华文楷体" w:hint="eastAsia"/>
          <w:sz w:val="24"/>
          <w:szCs w:val="24"/>
          <w:lang w:eastAsia="zh-CN"/>
        </w:rPr>
        <w:t>，</w:t>
      </w:r>
      <w:r w:rsidRPr="008A575D">
        <w:rPr>
          <w:rFonts w:ascii="华文楷体" w:hAnsi="华文楷体" w:hint="eastAsia"/>
          <w:sz w:val="24"/>
          <w:szCs w:val="24"/>
        </w:rPr>
        <w:t>中证500指数下跌2.09%</w:t>
      </w:r>
      <w:r w:rsidR="0047204C">
        <w:rPr>
          <w:rFonts w:ascii="华文楷体" w:hAnsi="华文楷体" w:hint="eastAsia"/>
          <w:sz w:val="24"/>
          <w:szCs w:val="24"/>
          <w:lang w:eastAsia="zh-CN"/>
        </w:rPr>
        <w:t>，</w:t>
      </w:r>
      <w:r w:rsidRPr="008A575D">
        <w:rPr>
          <w:rFonts w:ascii="华文楷体" w:hAnsi="华文楷体" w:hint="eastAsia"/>
          <w:sz w:val="24"/>
          <w:szCs w:val="24"/>
        </w:rPr>
        <w:t>创业板指上涨0.95%</w:t>
      </w:r>
      <w:r w:rsidR="0047204C">
        <w:rPr>
          <w:rFonts w:ascii="华文楷体" w:hAnsi="华文楷体" w:hint="eastAsia"/>
          <w:sz w:val="24"/>
          <w:szCs w:val="24"/>
          <w:lang w:eastAsia="zh-CN"/>
        </w:rPr>
        <w:t>。</w:t>
      </w:r>
      <w:r w:rsidRPr="008A575D">
        <w:rPr>
          <w:rFonts w:ascii="华文楷体" w:hAnsi="华文楷体" w:hint="eastAsia"/>
          <w:sz w:val="24"/>
          <w:szCs w:val="24"/>
        </w:rPr>
        <w:t>中证转债下跌0.48%，跑输沪深300及上证50指数。</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9864B5" w14:paraId="7CDD9AAA" w14:textId="77777777" w:rsidTr="006F21C0">
        <w:trPr>
          <w:jc w:val="center"/>
        </w:trPr>
        <w:tc>
          <w:tcPr>
            <w:tcW w:w="4939" w:type="dxa"/>
            <w:vAlign w:val="center"/>
          </w:tcPr>
          <w:p w14:paraId="13C69F6A" w14:textId="03E04781" w:rsidR="00E0626C" w:rsidRPr="009864B5" w:rsidRDefault="00E0626C" w:rsidP="009A2BA0">
            <w:pPr>
              <w:pStyle w:val="ChartHeading"/>
              <w:jc w:val="both"/>
            </w:pPr>
            <w:r w:rsidRPr="009864B5">
              <w:rPr>
                <w:rFonts w:hint="eastAsia"/>
              </w:rPr>
              <w:t>图表</w:t>
            </w:r>
            <w:r w:rsidRPr="009864B5">
              <w:t xml:space="preserve">. </w:t>
            </w:r>
            <w:r w:rsidR="00005D9A" w:rsidRPr="009864B5">
              <w:rPr>
                <w:rFonts w:hint="eastAsia"/>
              </w:rPr>
              <w:t>A</w:t>
            </w:r>
            <w:r w:rsidR="00005D9A" w:rsidRPr="009864B5">
              <w:rPr>
                <w:rFonts w:hint="eastAsia"/>
              </w:rPr>
              <w:t>股</w:t>
            </w:r>
            <w:r w:rsidRPr="009864B5">
              <w:rPr>
                <w:rFonts w:hint="eastAsia"/>
              </w:rPr>
              <w:t>主要指数交易和估值情况</w:t>
            </w:r>
          </w:p>
        </w:tc>
        <w:tc>
          <w:tcPr>
            <w:tcW w:w="4938" w:type="dxa"/>
            <w:vAlign w:val="center"/>
          </w:tcPr>
          <w:p w14:paraId="45DE5131" w14:textId="48699973" w:rsidR="00E0626C" w:rsidRPr="009864B5" w:rsidRDefault="00E0626C" w:rsidP="009A2BA0">
            <w:pPr>
              <w:pStyle w:val="ChartHeading"/>
              <w:jc w:val="both"/>
            </w:pPr>
            <w:r w:rsidRPr="009864B5">
              <w:rPr>
                <w:rFonts w:hint="eastAsia"/>
              </w:rPr>
              <w:t>图表</w:t>
            </w:r>
            <w:r w:rsidRPr="009864B5">
              <w:t xml:space="preserve">. </w:t>
            </w:r>
            <w:r w:rsidR="00416C5F" w:rsidRPr="009864B5">
              <w:rPr>
                <w:rFonts w:hint="eastAsia"/>
              </w:rPr>
              <w:t>转</w:t>
            </w:r>
            <w:proofErr w:type="gramStart"/>
            <w:r w:rsidR="00416C5F" w:rsidRPr="009864B5">
              <w:rPr>
                <w:rFonts w:hint="eastAsia"/>
              </w:rPr>
              <w:t>债指数</w:t>
            </w:r>
            <w:proofErr w:type="gramEnd"/>
            <w:r w:rsidR="00416C5F" w:rsidRPr="009864B5">
              <w:rPr>
                <w:rFonts w:hint="eastAsia"/>
              </w:rPr>
              <w:t>与股指累计变化</w:t>
            </w:r>
          </w:p>
        </w:tc>
      </w:tr>
      <w:tr w:rsidR="00E0626C" w:rsidRPr="009864B5" w14:paraId="2CD3B9EE" w14:textId="77777777" w:rsidTr="008A575D">
        <w:tblPrEx>
          <w:tblCellMar>
            <w:left w:w="108" w:type="dxa"/>
            <w:right w:w="108" w:type="dxa"/>
          </w:tblCellMar>
        </w:tblPrEx>
        <w:trPr>
          <w:trHeight w:val="2921"/>
          <w:jc w:val="center"/>
        </w:trPr>
        <w:tc>
          <w:tcPr>
            <w:tcW w:w="4939" w:type="dxa"/>
            <w:vAlign w:val="center"/>
          </w:tcPr>
          <w:p w14:paraId="5C83721A" w14:textId="08E50863" w:rsidR="00E0626C" w:rsidRPr="009864B5" w:rsidRDefault="00EB6C13" w:rsidP="00345C30">
            <w:pPr>
              <w:widowControl/>
              <w:jc w:val="left"/>
              <w:rPr>
                <w:rFonts w:ascii="宋体" w:hAnsi="宋体" w:cs="宋体"/>
                <w:kern w:val="0"/>
                <w:sz w:val="24"/>
                <w:szCs w:val="24"/>
              </w:rPr>
            </w:pPr>
            <w:r>
              <w:rPr>
                <w:rFonts w:ascii="宋体" w:hAnsi="宋体" w:cs="宋体"/>
                <w:noProof/>
                <w:kern w:val="0"/>
                <w:sz w:val="24"/>
                <w:szCs w:val="24"/>
              </w:rPr>
              <w:drawing>
                <wp:inline distT="0" distB="0" distL="0" distR="0" wp14:anchorId="557F866B" wp14:editId="79E57394">
                  <wp:extent cx="2999105" cy="1686560"/>
                  <wp:effectExtent l="0" t="0" r="0"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11011133249.jpg"/>
                          <pic:cNvPicPr/>
                        </pic:nvPicPr>
                        <pic:blipFill>
                          <a:blip r:embed="rId11">
                            <a:extLst>
                              <a:ext uri="{28A0092B-C50C-407E-A947-70E740481C1C}">
                                <a14:useLocalDpi xmlns:a14="http://schemas.microsoft.com/office/drawing/2010/main" val="0"/>
                              </a:ext>
                            </a:extLst>
                          </a:blip>
                          <a:stretch>
                            <a:fillRect/>
                          </a:stretch>
                        </pic:blipFill>
                        <pic:spPr>
                          <a:xfrm>
                            <a:off x="0" y="0"/>
                            <a:ext cx="2999105" cy="1686560"/>
                          </a:xfrm>
                          <a:prstGeom prst="rect">
                            <a:avLst/>
                          </a:prstGeom>
                        </pic:spPr>
                      </pic:pic>
                    </a:graphicData>
                  </a:graphic>
                </wp:inline>
              </w:drawing>
            </w:r>
          </w:p>
        </w:tc>
        <w:tc>
          <w:tcPr>
            <w:tcW w:w="4938" w:type="dxa"/>
            <w:vAlign w:val="center"/>
          </w:tcPr>
          <w:p w14:paraId="39BD4383" w14:textId="061D3F8D" w:rsidR="00E0626C" w:rsidRPr="009864B5" w:rsidRDefault="008A575D" w:rsidP="009A2BA0">
            <w:pPr>
              <w:jc w:val="center"/>
              <w:rPr>
                <w:noProof/>
                <w:szCs w:val="18"/>
              </w:rPr>
            </w:pPr>
            <w:r>
              <w:rPr>
                <w:noProof/>
              </w:rPr>
              <w:drawing>
                <wp:inline distT="0" distB="0" distL="0" distR="0" wp14:anchorId="2B1BB0BB" wp14:editId="6057CBBA">
                  <wp:extent cx="2996813" cy="1863367"/>
                  <wp:effectExtent l="0" t="0" r="0" b="3810"/>
                  <wp:docPr id="8" name="图表 8">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00000000-0008-0000-02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E0626C" w:rsidRPr="009864B5" w14:paraId="14E5D572" w14:textId="77777777" w:rsidTr="006F21C0">
        <w:trPr>
          <w:trHeight w:val="64"/>
          <w:jc w:val="center"/>
        </w:trPr>
        <w:tc>
          <w:tcPr>
            <w:tcW w:w="4939" w:type="dxa"/>
            <w:vAlign w:val="center"/>
          </w:tcPr>
          <w:p w14:paraId="5190A1EC" w14:textId="77777777" w:rsidR="00E0626C" w:rsidRPr="009864B5" w:rsidRDefault="00E0626C" w:rsidP="009A2BA0">
            <w:pPr>
              <w:pStyle w:val="Source"/>
              <w:jc w:val="both"/>
              <w:rPr>
                <w:kern w:val="0"/>
              </w:rPr>
            </w:pPr>
            <w:r w:rsidRPr="009864B5">
              <w:rPr>
                <w:rFonts w:hint="eastAsia"/>
                <w:kern w:val="0"/>
              </w:rPr>
              <w:t>资料来源：万得，富</w:t>
            </w:r>
            <w:proofErr w:type="gramStart"/>
            <w:r w:rsidRPr="009864B5">
              <w:rPr>
                <w:rFonts w:hint="eastAsia"/>
                <w:kern w:val="0"/>
              </w:rPr>
              <w:t>荣基金</w:t>
            </w:r>
            <w:proofErr w:type="gramEnd"/>
          </w:p>
        </w:tc>
        <w:tc>
          <w:tcPr>
            <w:tcW w:w="4938" w:type="dxa"/>
            <w:vAlign w:val="center"/>
          </w:tcPr>
          <w:p w14:paraId="34A0B8FF" w14:textId="77777777" w:rsidR="00E0626C" w:rsidRPr="009864B5" w:rsidRDefault="00E0626C" w:rsidP="009A2BA0">
            <w:pPr>
              <w:pStyle w:val="Source"/>
              <w:jc w:val="both"/>
              <w:rPr>
                <w:kern w:val="0"/>
              </w:rPr>
            </w:pPr>
            <w:r w:rsidRPr="009864B5">
              <w:rPr>
                <w:rFonts w:hint="eastAsia"/>
                <w:kern w:val="0"/>
              </w:rPr>
              <w:t>资料来源：万得，富</w:t>
            </w:r>
            <w:proofErr w:type="gramStart"/>
            <w:r w:rsidRPr="009864B5">
              <w:rPr>
                <w:rFonts w:hint="eastAsia"/>
                <w:kern w:val="0"/>
              </w:rPr>
              <w:t>荣基金</w:t>
            </w:r>
            <w:proofErr w:type="gramEnd"/>
          </w:p>
        </w:tc>
      </w:tr>
    </w:tbl>
    <w:p w14:paraId="4E844C6C" w14:textId="3D204079" w:rsidR="00E0626C" w:rsidRDefault="00E0626C" w:rsidP="009A2BA0">
      <w:pPr>
        <w:pStyle w:val="Body-text"/>
        <w:spacing w:after="0"/>
        <w:rPr>
          <w:lang w:eastAsia="zh-CN"/>
        </w:rPr>
      </w:pPr>
    </w:p>
    <w:p w14:paraId="310684E7" w14:textId="49EDF410" w:rsidR="007A1586" w:rsidRPr="00CD2B4D" w:rsidRDefault="007A1586" w:rsidP="007A1586">
      <w:pPr>
        <w:pStyle w:val="Header2"/>
        <w:rPr>
          <w:rFonts w:eastAsia="PMingLiU"/>
          <w:sz w:val="28"/>
          <w:szCs w:val="21"/>
        </w:rPr>
      </w:pPr>
      <w:r>
        <w:rPr>
          <w:sz w:val="28"/>
          <w:szCs w:val="21"/>
          <w:lang w:eastAsia="zh-CN"/>
        </w:rPr>
        <w:t>4</w:t>
      </w:r>
      <w:r w:rsidRPr="00CD2B4D">
        <w:rPr>
          <w:rFonts w:hint="eastAsia"/>
          <w:sz w:val="28"/>
          <w:szCs w:val="21"/>
          <w:lang w:eastAsia="zh-CN"/>
        </w:rPr>
        <w:t>、</w:t>
      </w:r>
      <w:r w:rsidRPr="007A1586">
        <w:rPr>
          <w:rFonts w:hint="eastAsia"/>
          <w:sz w:val="28"/>
          <w:szCs w:val="21"/>
        </w:rPr>
        <w:t>其他资产</w:t>
      </w:r>
    </w:p>
    <w:p w14:paraId="66D12251" w14:textId="33129CAB" w:rsidR="00F3595A" w:rsidRPr="00F3595A" w:rsidRDefault="008A575D" w:rsidP="00F3595A">
      <w:pPr>
        <w:pStyle w:val="Header1"/>
        <w:spacing w:before="240"/>
        <w:ind w:firstLineChars="200" w:firstLine="480"/>
        <w:rPr>
          <w:rFonts w:ascii="华文楷体" w:hAnsi="华文楷体"/>
          <w:b w:val="0"/>
          <w:color w:val="auto"/>
          <w:sz w:val="24"/>
          <w:szCs w:val="24"/>
        </w:rPr>
      </w:pPr>
      <w:r w:rsidRPr="008A575D">
        <w:rPr>
          <w:rFonts w:ascii="华文楷体" w:hAnsi="华文楷体" w:hint="eastAsia"/>
          <w:b w:val="0"/>
          <w:color w:val="auto"/>
          <w:sz w:val="24"/>
          <w:szCs w:val="24"/>
        </w:rPr>
        <w:t>其他资产方面，9月在岸人民币对美元升值0.26%收于6.4480，伦敦金</w:t>
      </w:r>
      <w:proofErr w:type="gramStart"/>
      <w:r w:rsidRPr="008A575D">
        <w:rPr>
          <w:rFonts w:ascii="华文楷体" w:hAnsi="华文楷体" w:hint="eastAsia"/>
          <w:b w:val="0"/>
          <w:color w:val="auto"/>
          <w:sz w:val="24"/>
          <w:szCs w:val="24"/>
        </w:rPr>
        <w:t>现下跌</w:t>
      </w:r>
      <w:proofErr w:type="gramEnd"/>
      <w:r w:rsidRPr="008A575D">
        <w:rPr>
          <w:rFonts w:ascii="华文楷体" w:hAnsi="华文楷体" w:hint="eastAsia"/>
          <w:b w:val="0"/>
          <w:color w:val="auto"/>
          <w:sz w:val="24"/>
          <w:szCs w:val="24"/>
        </w:rPr>
        <w:t>3.2%至1756.47美元，</w:t>
      </w:r>
      <w:proofErr w:type="gramStart"/>
      <w:r w:rsidRPr="008A575D">
        <w:rPr>
          <w:rFonts w:ascii="华文楷体" w:hAnsi="华文楷体" w:hint="eastAsia"/>
          <w:b w:val="0"/>
          <w:color w:val="auto"/>
          <w:sz w:val="24"/>
          <w:szCs w:val="24"/>
        </w:rPr>
        <w:t>标普</w:t>
      </w:r>
      <w:proofErr w:type="gramEnd"/>
      <w:r w:rsidRPr="008A575D">
        <w:rPr>
          <w:rFonts w:ascii="华文楷体" w:hAnsi="华文楷体" w:hint="eastAsia"/>
          <w:b w:val="0"/>
          <w:color w:val="auto"/>
          <w:sz w:val="24"/>
          <w:szCs w:val="24"/>
        </w:rPr>
        <w:t>500指数大跌4.76%，</w:t>
      </w:r>
      <w:proofErr w:type="gramStart"/>
      <w:r w:rsidRPr="008A575D">
        <w:rPr>
          <w:rFonts w:ascii="华文楷体" w:hAnsi="华文楷体" w:hint="eastAsia"/>
          <w:b w:val="0"/>
          <w:color w:val="auto"/>
          <w:sz w:val="24"/>
          <w:szCs w:val="24"/>
        </w:rPr>
        <w:t>布油价格</w:t>
      </w:r>
      <w:proofErr w:type="gramEnd"/>
      <w:r w:rsidRPr="008A575D">
        <w:rPr>
          <w:rFonts w:ascii="华文楷体" w:hAnsi="华文楷体" w:hint="eastAsia"/>
          <w:b w:val="0"/>
          <w:color w:val="auto"/>
          <w:sz w:val="24"/>
          <w:szCs w:val="24"/>
        </w:rPr>
        <w:t>上涨9.4%至78.366美元每桶，LME铜下跌6.01%，10年美债大幅上行18.5bp收于1.492%。</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FC1FA4" w:rsidRPr="009864B5" w14:paraId="32605E27" w14:textId="77777777" w:rsidTr="00A6753F">
        <w:trPr>
          <w:trHeight w:val="202"/>
          <w:jc w:val="center"/>
        </w:trPr>
        <w:tc>
          <w:tcPr>
            <w:tcW w:w="4939" w:type="dxa"/>
            <w:vAlign w:val="center"/>
          </w:tcPr>
          <w:p w14:paraId="157B53B4" w14:textId="19E426CF" w:rsidR="00FC1FA4" w:rsidRPr="009864B5" w:rsidRDefault="00FC1FA4" w:rsidP="00692D2B">
            <w:pPr>
              <w:pStyle w:val="ChartHeading"/>
              <w:jc w:val="both"/>
            </w:pPr>
            <w:r w:rsidRPr="009864B5">
              <w:rPr>
                <w:rFonts w:hint="eastAsia"/>
              </w:rPr>
              <w:lastRenderedPageBreak/>
              <w:t>图表</w:t>
            </w:r>
            <w:r w:rsidRPr="009864B5">
              <w:t xml:space="preserve">. </w:t>
            </w:r>
            <w:r>
              <w:rPr>
                <w:rFonts w:hint="eastAsia"/>
              </w:rPr>
              <w:t>人民币汇率</w:t>
            </w:r>
            <w:r w:rsidRPr="009864B5">
              <w:t xml:space="preserve"> </w:t>
            </w:r>
          </w:p>
        </w:tc>
        <w:tc>
          <w:tcPr>
            <w:tcW w:w="4938" w:type="dxa"/>
            <w:vAlign w:val="center"/>
          </w:tcPr>
          <w:p w14:paraId="3746CE2D" w14:textId="6B83B863" w:rsidR="00FC1FA4" w:rsidRPr="009864B5" w:rsidRDefault="00FC1FA4" w:rsidP="00692D2B">
            <w:pPr>
              <w:pStyle w:val="ChartHeading"/>
              <w:jc w:val="both"/>
            </w:pPr>
            <w:r w:rsidRPr="009864B5">
              <w:rPr>
                <w:rFonts w:hint="eastAsia"/>
              </w:rPr>
              <w:t>图表</w:t>
            </w:r>
            <w:r w:rsidRPr="009864B5">
              <w:t xml:space="preserve">. </w:t>
            </w:r>
            <w:r>
              <w:rPr>
                <w:rFonts w:hint="eastAsia"/>
              </w:rPr>
              <w:t>铜价</w:t>
            </w:r>
            <w:r>
              <w:rPr>
                <w:rFonts w:hint="eastAsia"/>
              </w:rPr>
              <w:t xml:space="preserve"> &amp;</w:t>
            </w:r>
            <w:r>
              <w:t xml:space="preserve"> </w:t>
            </w:r>
            <w:r>
              <w:rPr>
                <w:rFonts w:hint="eastAsia"/>
              </w:rPr>
              <w:t>油价</w:t>
            </w:r>
          </w:p>
        </w:tc>
      </w:tr>
      <w:tr w:rsidR="00FC1FA4" w:rsidRPr="009864B5" w14:paraId="77E9D724" w14:textId="77777777" w:rsidTr="008A575D">
        <w:tblPrEx>
          <w:tblCellMar>
            <w:left w:w="108" w:type="dxa"/>
            <w:right w:w="108" w:type="dxa"/>
          </w:tblCellMar>
        </w:tblPrEx>
        <w:trPr>
          <w:trHeight w:val="2921"/>
          <w:jc w:val="center"/>
        </w:trPr>
        <w:tc>
          <w:tcPr>
            <w:tcW w:w="4939" w:type="dxa"/>
            <w:vAlign w:val="center"/>
          </w:tcPr>
          <w:p w14:paraId="3608D4C9" w14:textId="03846BFC" w:rsidR="00FC1FA4" w:rsidRPr="009864B5" w:rsidRDefault="008A575D" w:rsidP="00692D2B">
            <w:pPr>
              <w:widowControl/>
              <w:jc w:val="left"/>
              <w:rPr>
                <w:rFonts w:ascii="宋体" w:hAnsi="宋体" w:cs="宋体"/>
                <w:kern w:val="0"/>
                <w:sz w:val="24"/>
                <w:szCs w:val="24"/>
              </w:rPr>
            </w:pPr>
            <w:r>
              <w:rPr>
                <w:noProof/>
              </w:rPr>
              <w:drawing>
                <wp:inline distT="0" distB="0" distL="0" distR="0" wp14:anchorId="0A2F592C" wp14:editId="557CB06B">
                  <wp:extent cx="2999105" cy="1732280"/>
                  <wp:effectExtent l="0" t="0" r="0" b="1270"/>
                  <wp:docPr id="9" name="图表 9">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00000000-0008-0000-0300-000005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c>
          <w:tcPr>
            <w:tcW w:w="4938" w:type="dxa"/>
            <w:vAlign w:val="center"/>
          </w:tcPr>
          <w:p w14:paraId="0BD7FBF7" w14:textId="01F587E2" w:rsidR="00FC1FA4" w:rsidRPr="009864B5" w:rsidRDefault="008A575D" w:rsidP="00692D2B">
            <w:pPr>
              <w:jc w:val="center"/>
              <w:rPr>
                <w:noProof/>
                <w:szCs w:val="18"/>
              </w:rPr>
            </w:pPr>
            <w:r>
              <w:rPr>
                <w:noProof/>
              </w:rPr>
              <w:drawing>
                <wp:inline distT="0" distB="0" distL="0" distR="0" wp14:anchorId="436A880C" wp14:editId="68F20EDF">
                  <wp:extent cx="2998470" cy="1729740"/>
                  <wp:effectExtent l="0" t="0" r="11430" b="3810"/>
                  <wp:docPr id="12" name="图表 12">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00000000-0008-0000-03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FC1FA4" w:rsidRPr="009864B5" w14:paraId="0C5F09C1" w14:textId="77777777" w:rsidTr="00692D2B">
        <w:trPr>
          <w:trHeight w:val="64"/>
          <w:jc w:val="center"/>
        </w:trPr>
        <w:tc>
          <w:tcPr>
            <w:tcW w:w="4939" w:type="dxa"/>
            <w:vAlign w:val="center"/>
          </w:tcPr>
          <w:p w14:paraId="60EF8AEB" w14:textId="77777777" w:rsidR="00FC1FA4" w:rsidRPr="009864B5" w:rsidRDefault="00FC1FA4" w:rsidP="00692D2B">
            <w:pPr>
              <w:pStyle w:val="Source"/>
              <w:jc w:val="both"/>
              <w:rPr>
                <w:kern w:val="0"/>
              </w:rPr>
            </w:pPr>
            <w:r w:rsidRPr="009864B5">
              <w:rPr>
                <w:rFonts w:hint="eastAsia"/>
                <w:kern w:val="0"/>
              </w:rPr>
              <w:t>资料来源：万得，富</w:t>
            </w:r>
            <w:proofErr w:type="gramStart"/>
            <w:r w:rsidRPr="009864B5">
              <w:rPr>
                <w:rFonts w:hint="eastAsia"/>
                <w:kern w:val="0"/>
              </w:rPr>
              <w:t>荣基金</w:t>
            </w:r>
            <w:proofErr w:type="gramEnd"/>
          </w:p>
        </w:tc>
        <w:tc>
          <w:tcPr>
            <w:tcW w:w="4938" w:type="dxa"/>
            <w:vAlign w:val="center"/>
          </w:tcPr>
          <w:p w14:paraId="60B14989" w14:textId="77777777" w:rsidR="00FC1FA4" w:rsidRPr="009864B5" w:rsidRDefault="00FC1FA4" w:rsidP="00692D2B">
            <w:pPr>
              <w:pStyle w:val="Source"/>
              <w:jc w:val="both"/>
              <w:rPr>
                <w:kern w:val="0"/>
              </w:rPr>
            </w:pPr>
            <w:r w:rsidRPr="009864B5">
              <w:rPr>
                <w:rFonts w:hint="eastAsia"/>
                <w:kern w:val="0"/>
              </w:rPr>
              <w:t>资料来源：万得，富</w:t>
            </w:r>
            <w:proofErr w:type="gramStart"/>
            <w:r w:rsidRPr="009864B5">
              <w:rPr>
                <w:rFonts w:hint="eastAsia"/>
                <w:kern w:val="0"/>
              </w:rPr>
              <w:t>荣基金</w:t>
            </w:r>
            <w:proofErr w:type="gramEnd"/>
          </w:p>
        </w:tc>
      </w:tr>
    </w:tbl>
    <w:p w14:paraId="01B19A5B" w14:textId="7BA451BD" w:rsidR="00FC1FA4" w:rsidRDefault="00FC1FA4" w:rsidP="003E4A57">
      <w:pPr>
        <w:pStyle w:val="Body-text"/>
        <w:spacing w:after="240"/>
        <w:rPr>
          <w:rFonts w:ascii="华文楷体" w:hAnsi="华文楷体"/>
          <w:sz w:val="24"/>
          <w:szCs w:val="24"/>
          <w:lang w:eastAsia="zh-CN"/>
        </w:rPr>
      </w:pPr>
    </w:p>
    <w:p w14:paraId="70131D19" w14:textId="1C98DF93" w:rsidR="002D3316" w:rsidRPr="00C87D79" w:rsidRDefault="002D3316" w:rsidP="002D3316">
      <w:pPr>
        <w:pStyle w:val="Header2"/>
        <w:rPr>
          <w:sz w:val="28"/>
          <w:szCs w:val="21"/>
          <w:lang w:eastAsia="zh-CN"/>
        </w:rPr>
      </w:pPr>
      <w:r w:rsidRPr="00C87D79">
        <w:rPr>
          <w:sz w:val="28"/>
          <w:szCs w:val="21"/>
          <w:lang w:eastAsia="zh-CN"/>
        </w:rPr>
        <w:t>5</w:t>
      </w:r>
      <w:r w:rsidRPr="00C87D79">
        <w:rPr>
          <w:rFonts w:hint="eastAsia"/>
          <w:sz w:val="28"/>
          <w:szCs w:val="21"/>
          <w:lang w:eastAsia="zh-CN"/>
        </w:rPr>
        <w:t>、高频数据</w:t>
      </w:r>
    </w:p>
    <w:p w14:paraId="2664183A" w14:textId="6B707495" w:rsidR="00C87D79" w:rsidRPr="00C87D79" w:rsidRDefault="002D3316" w:rsidP="006F3FA1">
      <w:pPr>
        <w:pStyle w:val="Body-text"/>
        <w:spacing w:after="240"/>
        <w:ind w:firstLineChars="200" w:firstLine="480"/>
        <w:rPr>
          <w:rFonts w:ascii="华文楷体" w:hAnsi="华文楷体"/>
          <w:sz w:val="24"/>
          <w:szCs w:val="24"/>
          <w:lang w:eastAsia="zh-CN"/>
        </w:rPr>
      </w:pPr>
      <w:r w:rsidRPr="00C87D79">
        <w:rPr>
          <w:rFonts w:ascii="华文楷体" w:hAnsi="华文楷体" w:hint="eastAsia"/>
          <w:sz w:val="24"/>
          <w:szCs w:val="24"/>
          <w:lang w:eastAsia="zh-CN"/>
        </w:rPr>
        <w:t>上游</w:t>
      </w:r>
      <w:r w:rsidR="006F3FA1" w:rsidRPr="00C87D79">
        <w:rPr>
          <w:rFonts w:ascii="华文楷体" w:hAnsi="华文楷体" w:hint="eastAsia"/>
          <w:sz w:val="24"/>
          <w:szCs w:val="24"/>
          <w:lang w:eastAsia="zh-CN"/>
        </w:rPr>
        <w:t>焦煤、动力煤</w:t>
      </w:r>
      <w:r w:rsidR="00AA4BE0">
        <w:rPr>
          <w:rFonts w:ascii="华文楷体" w:hAnsi="华文楷体" w:hint="eastAsia"/>
          <w:sz w:val="24"/>
          <w:szCs w:val="24"/>
          <w:lang w:eastAsia="zh-CN"/>
        </w:rPr>
        <w:t>、</w:t>
      </w:r>
      <w:r w:rsidR="00AA4BE0" w:rsidRPr="00C87D79">
        <w:rPr>
          <w:rFonts w:ascii="华文楷体" w:hAnsi="华文楷体" w:hint="eastAsia"/>
          <w:sz w:val="24"/>
          <w:szCs w:val="24"/>
          <w:lang w:eastAsia="zh-CN"/>
        </w:rPr>
        <w:t>原油</w:t>
      </w:r>
      <w:r w:rsidR="00C87D79" w:rsidRPr="00C87D79">
        <w:rPr>
          <w:rFonts w:ascii="华文楷体" w:hAnsi="华文楷体" w:hint="eastAsia"/>
          <w:sz w:val="24"/>
          <w:szCs w:val="24"/>
          <w:lang w:eastAsia="zh-CN"/>
        </w:rPr>
        <w:t>价格</w:t>
      </w:r>
      <w:r w:rsidR="003D3E50">
        <w:rPr>
          <w:rFonts w:ascii="华文楷体" w:hAnsi="华文楷体" w:hint="eastAsia"/>
          <w:sz w:val="24"/>
          <w:szCs w:val="24"/>
          <w:lang w:eastAsia="zh-CN"/>
        </w:rPr>
        <w:t>持续</w:t>
      </w:r>
      <w:r w:rsidR="00F979DD">
        <w:rPr>
          <w:rFonts w:ascii="华文楷体" w:hAnsi="华文楷体" w:hint="eastAsia"/>
          <w:sz w:val="24"/>
          <w:szCs w:val="24"/>
          <w:lang w:eastAsia="zh-CN"/>
        </w:rPr>
        <w:t>冲高</w:t>
      </w:r>
      <w:r w:rsidR="006F3FA1" w:rsidRPr="00C87D79">
        <w:rPr>
          <w:rFonts w:ascii="华文楷体" w:hAnsi="华文楷体" w:hint="eastAsia"/>
          <w:sz w:val="24"/>
          <w:szCs w:val="24"/>
          <w:lang w:eastAsia="zh-CN"/>
        </w:rPr>
        <w:t>，</w:t>
      </w:r>
      <w:r w:rsidR="009D73A1">
        <w:rPr>
          <w:rFonts w:ascii="华文楷体" w:hAnsi="华文楷体" w:hint="eastAsia"/>
          <w:sz w:val="24"/>
          <w:szCs w:val="24"/>
          <w:lang w:eastAsia="zh-CN"/>
        </w:rPr>
        <w:t>基建加速下</w:t>
      </w:r>
      <w:r w:rsidR="002A7C89" w:rsidRPr="00C87D79">
        <w:rPr>
          <w:rFonts w:ascii="华文楷体" w:hAnsi="华文楷体" w:hint="eastAsia"/>
          <w:sz w:val="24"/>
          <w:szCs w:val="24"/>
          <w:lang w:eastAsia="zh-CN"/>
        </w:rPr>
        <w:t>水泥</w:t>
      </w:r>
      <w:r w:rsidR="006F3FA1" w:rsidRPr="00C87D79">
        <w:rPr>
          <w:rFonts w:ascii="华文楷体" w:hAnsi="华文楷体" w:hint="eastAsia"/>
          <w:sz w:val="24"/>
          <w:szCs w:val="24"/>
          <w:lang w:eastAsia="zh-CN"/>
        </w:rPr>
        <w:t>价格连续</w:t>
      </w:r>
      <w:r w:rsidR="003D3E50">
        <w:rPr>
          <w:rFonts w:ascii="华文楷体" w:hAnsi="华文楷体" w:hint="eastAsia"/>
          <w:sz w:val="24"/>
          <w:szCs w:val="24"/>
          <w:lang w:eastAsia="zh-CN"/>
        </w:rPr>
        <w:t>八</w:t>
      </w:r>
      <w:r w:rsidR="006F3FA1" w:rsidRPr="00C87D79">
        <w:rPr>
          <w:rFonts w:ascii="华文楷体" w:hAnsi="华文楷体" w:hint="eastAsia"/>
          <w:sz w:val="24"/>
          <w:szCs w:val="24"/>
          <w:lang w:eastAsia="zh-CN"/>
        </w:rPr>
        <w:t>周</w:t>
      </w:r>
      <w:r w:rsidR="002A7C89" w:rsidRPr="00C87D79">
        <w:rPr>
          <w:rFonts w:ascii="华文楷体" w:hAnsi="华文楷体" w:hint="eastAsia"/>
          <w:sz w:val="24"/>
          <w:szCs w:val="24"/>
          <w:lang w:eastAsia="zh-CN"/>
        </w:rPr>
        <w:t>回暖</w:t>
      </w:r>
      <w:r w:rsidR="00C87D79" w:rsidRPr="00C87D79">
        <w:rPr>
          <w:rFonts w:ascii="华文楷体" w:hAnsi="华文楷体" w:hint="eastAsia"/>
          <w:sz w:val="24"/>
          <w:szCs w:val="24"/>
          <w:lang w:eastAsia="zh-CN"/>
        </w:rPr>
        <w:t>，玻璃价格连续</w:t>
      </w:r>
      <w:r w:rsidR="008A575D">
        <w:rPr>
          <w:rFonts w:ascii="华文楷体" w:hAnsi="华文楷体" w:hint="eastAsia"/>
          <w:sz w:val="24"/>
          <w:szCs w:val="24"/>
          <w:lang w:eastAsia="zh-CN"/>
        </w:rPr>
        <w:t>七</w:t>
      </w:r>
      <w:r w:rsidR="00C87D79" w:rsidRPr="00C87D79">
        <w:rPr>
          <w:rFonts w:ascii="华文楷体" w:hAnsi="华文楷体" w:hint="eastAsia"/>
          <w:sz w:val="24"/>
          <w:szCs w:val="24"/>
          <w:lang w:eastAsia="zh-CN"/>
        </w:rPr>
        <w:t>周走弱</w:t>
      </w:r>
      <w:r w:rsidR="00BC1DA3" w:rsidRPr="00C87D79">
        <w:rPr>
          <w:rFonts w:ascii="华文楷体" w:hAnsi="华文楷体" w:hint="eastAsia"/>
          <w:sz w:val="24"/>
          <w:szCs w:val="24"/>
          <w:lang w:eastAsia="zh-CN"/>
        </w:rPr>
        <w:t>。</w:t>
      </w:r>
    </w:p>
    <w:p w14:paraId="72F4E8C0" w14:textId="730DB0E4" w:rsidR="00C87D79" w:rsidRPr="00C87D79" w:rsidRDefault="001948F6" w:rsidP="006F3FA1">
      <w:pPr>
        <w:pStyle w:val="Body-text"/>
        <w:spacing w:after="240"/>
        <w:ind w:firstLineChars="200" w:firstLine="480"/>
        <w:rPr>
          <w:rFonts w:ascii="华文楷体" w:hAnsi="华文楷体"/>
          <w:sz w:val="24"/>
          <w:szCs w:val="24"/>
          <w:lang w:eastAsia="zh-CN"/>
        </w:rPr>
      </w:pPr>
      <w:r w:rsidRPr="00C87D79">
        <w:rPr>
          <w:rFonts w:ascii="华文楷体" w:hAnsi="华文楷体" w:hint="eastAsia"/>
          <w:sz w:val="24"/>
          <w:szCs w:val="24"/>
          <w:lang w:eastAsia="zh-CN"/>
        </w:rPr>
        <w:t>食品价格方面</w:t>
      </w:r>
      <w:r w:rsidR="00BC1DA3" w:rsidRPr="00C87D79">
        <w:rPr>
          <w:rFonts w:ascii="华文楷体" w:hAnsi="华文楷体" w:hint="eastAsia"/>
          <w:sz w:val="24"/>
          <w:szCs w:val="24"/>
          <w:lang w:eastAsia="zh-CN"/>
        </w:rPr>
        <w:t>，</w:t>
      </w:r>
      <w:r w:rsidR="00C87D79" w:rsidRPr="00C87D79">
        <w:rPr>
          <w:rFonts w:ascii="华文楷体" w:hAnsi="华文楷体" w:hint="eastAsia"/>
          <w:sz w:val="24"/>
          <w:szCs w:val="24"/>
          <w:lang w:eastAsia="zh-CN"/>
        </w:rPr>
        <w:t>农产品和菜篮子批发价格200指数</w:t>
      </w:r>
      <w:r w:rsidR="000F13DC">
        <w:rPr>
          <w:rFonts w:ascii="华文楷体" w:hAnsi="华文楷体" w:hint="eastAsia"/>
          <w:sz w:val="24"/>
          <w:szCs w:val="24"/>
          <w:lang w:eastAsia="zh-CN"/>
        </w:rPr>
        <w:t>、</w:t>
      </w:r>
      <w:r w:rsidR="008A575D">
        <w:rPr>
          <w:rFonts w:ascii="华文楷体" w:hAnsi="华文楷体" w:hint="eastAsia"/>
          <w:sz w:val="24"/>
          <w:szCs w:val="24"/>
          <w:lang w:eastAsia="zh-CN"/>
        </w:rPr>
        <w:t>蔬菜</w:t>
      </w:r>
      <w:r w:rsidR="000F13DC">
        <w:rPr>
          <w:rFonts w:ascii="华文楷体" w:hAnsi="华文楷体" w:hint="eastAsia"/>
          <w:sz w:val="24"/>
          <w:szCs w:val="24"/>
          <w:lang w:eastAsia="zh-CN"/>
        </w:rPr>
        <w:t>微涨</w:t>
      </w:r>
      <w:r w:rsidR="00C87D79" w:rsidRPr="00C87D79">
        <w:rPr>
          <w:rFonts w:ascii="华文楷体" w:hAnsi="华文楷体" w:hint="eastAsia"/>
          <w:sz w:val="24"/>
          <w:szCs w:val="24"/>
          <w:lang w:eastAsia="zh-CN"/>
        </w:rPr>
        <w:t>，</w:t>
      </w:r>
      <w:r w:rsidR="008A575D" w:rsidRPr="00C87D79">
        <w:rPr>
          <w:rFonts w:ascii="华文楷体" w:hAnsi="华文楷体" w:hint="eastAsia"/>
          <w:sz w:val="24"/>
          <w:szCs w:val="24"/>
          <w:lang w:eastAsia="zh-CN"/>
        </w:rPr>
        <w:t>水果批发价</w:t>
      </w:r>
      <w:r w:rsidR="008A575D">
        <w:rPr>
          <w:rFonts w:ascii="华文楷体" w:hAnsi="华文楷体" w:hint="eastAsia"/>
          <w:sz w:val="24"/>
          <w:szCs w:val="24"/>
          <w:lang w:eastAsia="zh-CN"/>
        </w:rPr>
        <w:t>下跌</w:t>
      </w:r>
      <w:r w:rsidR="000F13DC">
        <w:rPr>
          <w:rFonts w:ascii="华文楷体" w:hAnsi="华文楷体" w:hint="eastAsia"/>
          <w:sz w:val="24"/>
          <w:szCs w:val="24"/>
          <w:lang w:eastAsia="zh-CN"/>
        </w:rPr>
        <w:t>，</w:t>
      </w:r>
      <w:proofErr w:type="gramStart"/>
      <w:r w:rsidR="00F979DD" w:rsidRPr="00C87D79">
        <w:rPr>
          <w:rFonts w:ascii="华文楷体" w:hAnsi="华文楷体" w:hint="eastAsia"/>
          <w:sz w:val="24"/>
          <w:szCs w:val="24"/>
          <w:lang w:eastAsia="zh-CN"/>
        </w:rPr>
        <w:t>猪肉</w:t>
      </w:r>
      <w:r w:rsidR="00AA4BE0">
        <w:rPr>
          <w:rFonts w:ascii="华文楷体" w:hAnsi="华文楷体" w:hint="eastAsia"/>
          <w:sz w:val="24"/>
          <w:szCs w:val="24"/>
          <w:lang w:eastAsia="zh-CN"/>
        </w:rPr>
        <w:t>环</w:t>
      </w:r>
      <w:proofErr w:type="gramEnd"/>
      <w:r w:rsidR="00AA4BE0">
        <w:rPr>
          <w:rFonts w:ascii="华文楷体" w:hAnsi="华文楷体" w:hint="eastAsia"/>
          <w:sz w:val="24"/>
          <w:szCs w:val="24"/>
          <w:lang w:eastAsia="zh-CN"/>
        </w:rPr>
        <w:t>比</w:t>
      </w:r>
      <w:r w:rsidR="000F13DC">
        <w:rPr>
          <w:rFonts w:ascii="华文楷体" w:hAnsi="华文楷体" w:hint="eastAsia"/>
          <w:sz w:val="24"/>
          <w:szCs w:val="24"/>
          <w:lang w:eastAsia="zh-CN"/>
        </w:rPr>
        <w:t>进一步</w:t>
      </w:r>
      <w:r w:rsidR="00AA4BE0">
        <w:rPr>
          <w:rFonts w:ascii="华文楷体" w:hAnsi="华文楷体" w:hint="eastAsia"/>
          <w:sz w:val="24"/>
          <w:szCs w:val="24"/>
          <w:lang w:eastAsia="zh-CN"/>
        </w:rPr>
        <w:t>下行</w:t>
      </w:r>
      <w:r w:rsidRPr="00C87D79">
        <w:rPr>
          <w:rFonts w:ascii="华文楷体" w:hAnsi="华文楷体" w:hint="eastAsia"/>
          <w:sz w:val="24"/>
          <w:szCs w:val="24"/>
          <w:lang w:eastAsia="zh-CN"/>
        </w:rPr>
        <w:t>。</w:t>
      </w:r>
    </w:p>
    <w:p w14:paraId="10D6A074" w14:textId="6F48114A" w:rsidR="00C87D79" w:rsidRPr="00C87D79" w:rsidRDefault="001948F6" w:rsidP="006F3FA1">
      <w:pPr>
        <w:pStyle w:val="Body-text"/>
        <w:spacing w:after="240"/>
        <w:ind w:firstLineChars="200" w:firstLine="480"/>
        <w:rPr>
          <w:rFonts w:ascii="华文楷体" w:hAnsi="华文楷体"/>
          <w:sz w:val="24"/>
          <w:szCs w:val="24"/>
          <w:lang w:eastAsia="zh-CN"/>
        </w:rPr>
      </w:pPr>
      <w:r w:rsidRPr="00C87D79">
        <w:rPr>
          <w:rFonts w:ascii="华文楷体" w:hAnsi="华文楷体" w:hint="eastAsia"/>
          <w:sz w:val="24"/>
          <w:szCs w:val="24"/>
          <w:lang w:eastAsia="zh-CN"/>
        </w:rPr>
        <w:t>工业品价格方面，</w:t>
      </w:r>
      <w:r w:rsidR="005E6806" w:rsidRPr="005E6806">
        <w:rPr>
          <w:rFonts w:ascii="华文楷体" w:hAnsi="华文楷体" w:hint="eastAsia"/>
          <w:sz w:val="24"/>
          <w:szCs w:val="24"/>
          <w:lang w:eastAsia="zh-CN"/>
        </w:rPr>
        <w:t>有色金属板块</w:t>
      </w:r>
      <w:r w:rsidR="008D1D18">
        <w:rPr>
          <w:rFonts w:ascii="华文楷体" w:hAnsi="华文楷体" w:hint="eastAsia"/>
          <w:sz w:val="24"/>
          <w:szCs w:val="24"/>
          <w:lang w:eastAsia="zh-CN"/>
        </w:rPr>
        <w:t>大多较弱势</w:t>
      </w:r>
      <w:r w:rsidR="007C4C14" w:rsidRPr="00C87D79">
        <w:rPr>
          <w:rFonts w:ascii="华文楷体" w:hAnsi="华文楷体" w:hint="eastAsia"/>
          <w:sz w:val="24"/>
          <w:szCs w:val="24"/>
          <w:lang w:eastAsia="zh-CN"/>
        </w:rPr>
        <w:t>。</w:t>
      </w:r>
    </w:p>
    <w:p w14:paraId="24A84318" w14:textId="59F427F9" w:rsidR="003F3A2E" w:rsidRDefault="003F3A2E" w:rsidP="006F3FA1">
      <w:pPr>
        <w:pStyle w:val="Body-text"/>
        <w:spacing w:after="240"/>
        <w:ind w:firstLineChars="200" w:firstLine="480"/>
        <w:rPr>
          <w:rFonts w:ascii="华文楷体" w:hAnsi="华文楷体"/>
          <w:sz w:val="24"/>
          <w:szCs w:val="24"/>
          <w:lang w:eastAsia="zh-CN"/>
        </w:rPr>
      </w:pPr>
      <w:r w:rsidRPr="00C87D79">
        <w:rPr>
          <w:rFonts w:ascii="华文楷体" w:hAnsi="华文楷体" w:hint="eastAsia"/>
          <w:sz w:val="24"/>
          <w:szCs w:val="24"/>
          <w:lang w:eastAsia="zh-CN"/>
        </w:rPr>
        <w:t>地产方面，</w:t>
      </w:r>
      <w:r w:rsidR="008A575D">
        <w:rPr>
          <w:rFonts w:ascii="华文楷体" w:hAnsi="华文楷体" w:hint="eastAsia"/>
          <w:sz w:val="24"/>
          <w:szCs w:val="24"/>
          <w:lang w:eastAsia="zh-CN"/>
        </w:rPr>
        <w:t>假期期间</w:t>
      </w:r>
      <w:r w:rsidR="00BC1DA3" w:rsidRPr="00C87D79">
        <w:rPr>
          <w:rFonts w:ascii="华文楷体" w:hAnsi="华文楷体" w:hint="eastAsia"/>
          <w:sz w:val="24"/>
          <w:szCs w:val="24"/>
          <w:lang w:eastAsia="zh-CN"/>
        </w:rPr>
        <w:t>下游</w:t>
      </w:r>
      <w:r w:rsidR="002D3316" w:rsidRPr="00C87D79">
        <w:rPr>
          <w:rFonts w:ascii="华文楷体" w:hAnsi="华文楷体" w:hint="eastAsia"/>
          <w:sz w:val="24"/>
          <w:szCs w:val="24"/>
          <w:lang w:eastAsia="zh-CN"/>
        </w:rPr>
        <w:t>商品房成交</w:t>
      </w:r>
      <w:proofErr w:type="gramStart"/>
      <w:r w:rsidR="00BC1DA3" w:rsidRPr="00C87D79">
        <w:rPr>
          <w:rFonts w:ascii="华文楷体" w:hAnsi="华文楷体" w:hint="eastAsia"/>
          <w:sz w:val="24"/>
          <w:szCs w:val="24"/>
          <w:lang w:eastAsia="zh-CN"/>
        </w:rPr>
        <w:t>面积</w:t>
      </w:r>
      <w:r w:rsidR="009E646D">
        <w:rPr>
          <w:rFonts w:ascii="华文楷体" w:hAnsi="华文楷体" w:hint="eastAsia"/>
          <w:sz w:val="24"/>
          <w:szCs w:val="24"/>
          <w:lang w:eastAsia="zh-CN"/>
        </w:rPr>
        <w:t>环</w:t>
      </w:r>
      <w:proofErr w:type="gramEnd"/>
      <w:r w:rsidR="009E646D">
        <w:rPr>
          <w:rFonts w:ascii="华文楷体" w:hAnsi="华文楷体" w:hint="eastAsia"/>
          <w:sz w:val="24"/>
          <w:szCs w:val="24"/>
          <w:lang w:eastAsia="zh-CN"/>
        </w:rPr>
        <w:t>比</w:t>
      </w:r>
      <w:r w:rsidR="008A575D">
        <w:rPr>
          <w:rFonts w:ascii="华文楷体" w:hAnsi="华文楷体" w:hint="eastAsia"/>
          <w:sz w:val="24"/>
          <w:szCs w:val="24"/>
          <w:lang w:eastAsia="zh-CN"/>
        </w:rPr>
        <w:t>大幅提升</w:t>
      </w:r>
      <w:r w:rsidR="00C87D79" w:rsidRPr="00C87D79">
        <w:rPr>
          <w:rFonts w:ascii="华文楷体" w:hAnsi="华文楷体" w:hint="eastAsia"/>
          <w:sz w:val="24"/>
          <w:szCs w:val="24"/>
          <w:lang w:eastAsia="zh-CN"/>
        </w:rPr>
        <w:t>，</w:t>
      </w:r>
      <w:r w:rsidR="0071545F">
        <w:rPr>
          <w:rFonts w:ascii="华文楷体" w:hAnsi="华文楷体" w:hint="eastAsia"/>
          <w:sz w:val="24"/>
          <w:szCs w:val="24"/>
          <w:lang w:eastAsia="zh-CN"/>
        </w:rPr>
        <w:t>其中</w:t>
      </w:r>
      <w:r w:rsidR="00C87D79" w:rsidRPr="00C87D79">
        <w:rPr>
          <w:rFonts w:ascii="华文楷体" w:hAnsi="华文楷体" w:hint="eastAsia"/>
          <w:sz w:val="24"/>
          <w:szCs w:val="24"/>
          <w:lang w:eastAsia="zh-CN"/>
        </w:rPr>
        <w:t>一线城市</w:t>
      </w:r>
      <w:r w:rsidR="00A146F9">
        <w:rPr>
          <w:rFonts w:ascii="华文楷体" w:hAnsi="华文楷体" w:hint="eastAsia"/>
          <w:sz w:val="24"/>
          <w:szCs w:val="24"/>
          <w:lang w:eastAsia="zh-CN"/>
        </w:rPr>
        <w:t>和三线城市</w:t>
      </w:r>
      <w:r w:rsidR="00C87D79" w:rsidRPr="00C87D79">
        <w:rPr>
          <w:rFonts w:ascii="华文楷体" w:hAnsi="华文楷体" w:hint="eastAsia"/>
          <w:sz w:val="24"/>
          <w:szCs w:val="24"/>
          <w:lang w:eastAsia="zh-CN"/>
        </w:rPr>
        <w:t>成交面积</w:t>
      </w:r>
      <w:r w:rsidR="008D1D18">
        <w:rPr>
          <w:rFonts w:ascii="华文楷体" w:hAnsi="华文楷体" w:hint="eastAsia"/>
          <w:sz w:val="24"/>
          <w:szCs w:val="24"/>
          <w:lang w:eastAsia="zh-CN"/>
        </w:rPr>
        <w:t>表现</w:t>
      </w:r>
      <w:r w:rsidR="00A146F9">
        <w:rPr>
          <w:rFonts w:ascii="华文楷体" w:hAnsi="华文楷体" w:hint="eastAsia"/>
          <w:sz w:val="24"/>
          <w:szCs w:val="24"/>
          <w:lang w:eastAsia="zh-CN"/>
        </w:rPr>
        <w:t>强</w:t>
      </w:r>
      <w:r w:rsidR="008D1D18">
        <w:rPr>
          <w:rFonts w:ascii="华文楷体" w:hAnsi="华文楷体" w:hint="eastAsia"/>
          <w:sz w:val="24"/>
          <w:szCs w:val="24"/>
          <w:lang w:eastAsia="zh-CN"/>
        </w:rPr>
        <w:t>势</w:t>
      </w:r>
      <w:r w:rsidR="002D3316" w:rsidRPr="00C87D79">
        <w:rPr>
          <w:rFonts w:ascii="华文楷体" w:hAnsi="华文楷体" w:hint="eastAsia"/>
          <w:sz w:val="24"/>
          <w:szCs w:val="24"/>
          <w:lang w:eastAsia="zh-CN"/>
        </w:rPr>
        <w:t>，</w:t>
      </w:r>
      <w:r w:rsidR="007C4C14" w:rsidRPr="00C87D79">
        <w:rPr>
          <w:rFonts w:ascii="华文楷体" w:hAnsi="华文楷体" w:hint="eastAsia"/>
          <w:sz w:val="24"/>
          <w:szCs w:val="24"/>
          <w:lang w:eastAsia="zh-CN"/>
        </w:rPr>
        <w:t>二</w:t>
      </w:r>
      <w:r w:rsidR="00C87D79" w:rsidRPr="00C87D79">
        <w:rPr>
          <w:rFonts w:ascii="华文楷体" w:hAnsi="华文楷体" w:hint="eastAsia"/>
          <w:sz w:val="24"/>
          <w:szCs w:val="24"/>
          <w:lang w:eastAsia="zh-CN"/>
        </w:rPr>
        <w:t>线</w:t>
      </w:r>
      <w:r w:rsidR="007C4C14" w:rsidRPr="00C87D79">
        <w:rPr>
          <w:rFonts w:ascii="华文楷体" w:hAnsi="华文楷体" w:hint="eastAsia"/>
          <w:sz w:val="24"/>
          <w:szCs w:val="24"/>
          <w:lang w:eastAsia="zh-CN"/>
        </w:rPr>
        <w:t>城市</w:t>
      </w:r>
      <w:r w:rsidR="00C87D79" w:rsidRPr="00C87D79">
        <w:rPr>
          <w:rFonts w:ascii="华文楷体" w:hAnsi="华文楷体" w:hint="eastAsia"/>
          <w:sz w:val="24"/>
          <w:szCs w:val="24"/>
          <w:lang w:eastAsia="zh-CN"/>
        </w:rPr>
        <w:t>成交</w:t>
      </w:r>
      <w:proofErr w:type="gramStart"/>
      <w:r w:rsidR="00C87D79" w:rsidRPr="00C87D79">
        <w:rPr>
          <w:rFonts w:ascii="华文楷体" w:hAnsi="华文楷体" w:hint="eastAsia"/>
          <w:sz w:val="24"/>
          <w:szCs w:val="24"/>
          <w:lang w:eastAsia="zh-CN"/>
        </w:rPr>
        <w:t>面积</w:t>
      </w:r>
      <w:r w:rsidR="00A146F9">
        <w:rPr>
          <w:rFonts w:ascii="华文楷体" w:hAnsi="华文楷体" w:hint="eastAsia"/>
          <w:sz w:val="24"/>
          <w:szCs w:val="24"/>
          <w:lang w:eastAsia="zh-CN"/>
        </w:rPr>
        <w:t>环</w:t>
      </w:r>
      <w:proofErr w:type="gramEnd"/>
      <w:r w:rsidR="00A146F9">
        <w:rPr>
          <w:rFonts w:ascii="华文楷体" w:hAnsi="华文楷体" w:hint="eastAsia"/>
          <w:sz w:val="24"/>
          <w:szCs w:val="24"/>
          <w:lang w:eastAsia="zh-CN"/>
        </w:rPr>
        <w:t>比升幅相对较弱</w:t>
      </w:r>
      <w:r w:rsidR="002D3316" w:rsidRPr="00C87D79">
        <w:rPr>
          <w:rFonts w:ascii="华文楷体" w:hAnsi="华文楷体" w:hint="eastAsia"/>
          <w:sz w:val="24"/>
          <w:szCs w:val="24"/>
          <w:lang w:eastAsia="zh-CN"/>
        </w:rPr>
        <w:t>。</w:t>
      </w:r>
    </w:p>
    <w:p w14:paraId="06AE5D3E" w14:textId="45DD1FEF" w:rsidR="00A146F9" w:rsidRDefault="00A146F9" w:rsidP="006F3FA1">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假期期间，</w:t>
      </w:r>
      <w:r w:rsidRPr="00A146F9">
        <w:rPr>
          <w:rFonts w:ascii="华文楷体" w:hAnsi="华文楷体" w:hint="eastAsia"/>
          <w:sz w:val="24"/>
          <w:szCs w:val="24"/>
          <w:lang w:eastAsia="zh-CN"/>
        </w:rPr>
        <w:t>国内消费数据有所好转但仍低于</w:t>
      </w:r>
      <w:r w:rsidR="0047204C">
        <w:rPr>
          <w:rFonts w:ascii="华文楷体" w:hAnsi="华文楷体" w:hint="eastAsia"/>
          <w:sz w:val="24"/>
          <w:szCs w:val="24"/>
          <w:lang w:eastAsia="zh-CN"/>
        </w:rPr>
        <w:t>20</w:t>
      </w:r>
      <w:r w:rsidRPr="00A146F9">
        <w:rPr>
          <w:rFonts w:ascii="华文楷体" w:hAnsi="华文楷体" w:hint="eastAsia"/>
          <w:sz w:val="24"/>
          <w:szCs w:val="24"/>
          <w:lang w:eastAsia="zh-CN"/>
        </w:rPr>
        <w:t>19年水平。据猫眼专业版数据，预计2021</w:t>
      </w:r>
      <w:proofErr w:type="gramStart"/>
      <w:r w:rsidRPr="00A146F9">
        <w:rPr>
          <w:rFonts w:ascii="华文楷体" w:hAnsi="华文楷体" w:hint="eastAsia"/>
          <w:sz w:val="24"/>
          <w:szCs w:val="24"/>
          <w:lang w:eastAsia="zh-CN"/>
        </w:rPr>
        <w:t>国庆档总票房</w:t>
      </w:r>
      <w:proofErr w:type="gramEnd"/>
      <w:r w:rsidRPr="00A146F9">
        <w:rPr>
          <w:rFonts w:ascii="华文楷体" w:hAnsi="华文楷体" w:hint="eastAsia"/>
          <w:sz w:val="24"/>
          <w:szCs w:val="24"/>
          <w:lang w:eastAsia="zh-CN"/>
        </w:rPr>
        <w:t>（含预售）突破40亿元，2019年国庆票房为43.7亿元、2020年国庆票房为39.4亿元，2021年国庆票房收入仍然低于疫情前水平。9月28日至10月8日，预计全国铁路发送旅客1.27亿人次，2020年国庆期间为8550.2万人次，2019年为1.38亿人次，出行情况较2020年大幅好转，但仍低于疫情前水平。</w:t>
      </w:r>
    </w:p>
    <w:tbl>
      <w:tblPr>
        <w:tblW w:w="9549" w:type="dxa"/>
        <w:jc w:val="center"/>
        <w:tblLayout w:type="fixed"/>
        <w:tblCellMar>
          <w:left w:w="0" w:type="dxa"/>
          <w:right w:w="0" w:type="dxa"/>
        </w:tblCellMar>
        <w:tblLook w:val="01E0" w:firstRow="1" w:lastRow="1" w:firstColumn="1" w:lastColumn="1" w:noHBand="0" w:noVBand="0"/>
      </w:tblPr>
      <w:tblGrid>
        <w:gridCol w:w="9549"/>
      </w:tblGrid>
      <w:tr w:rsidR="002D3316" w:rsidRPr="009864B5" w14:paraId="08B978D4" w14:textId="77777777" w:rsidTr="00164014">
        <w:trPr>
          <w:trHeight w:val="197"/>
          <w:jc w:val="center"/>
        </w:trPr>
        <w:tc>
          <w:tcPr>
            <w:tcW w:w="9549" w:type="dxa"/>
            <w:vAlign w:val="center"/>
          </w:tcPr>
          <w:p w14:paraId="5171759A" w14:textId="77777777" w:rsidR="002D3316" w:rsidRPr="009864B5" w:rsidRDefault="002D3316" w:rsidP="00164014">
            <w:pPr>
              <w:pStyle w:val="ChartHeading"/>
              <w:jc w:val="both"/>
            </w:pPr>
            <w:r w:rsidRPr="009864B5">
              <w:rPr>
                <w:rFonts w:hint="eastAsia"/>
              </w:rPr>
              <w:lastRenderedPageBreak/>
              <w:t>图表</w:t>
            </w:r>
            <w:r w:rsidRPr="009864B5">
              <w:t xml:space="preserve">. </w:t>
            </w:r>
            <w:proofErr w:type="gramStart"/>
            <w:r>
              <w:rPr>
                <w:rFonts w:hint="eastAsia"/>
              </w:rPr>
              <w:t>周度高频</w:t>
            </w:r>
            <w:proofErr w:type="gramEnd"/>
            <w:r>
              <w:rPr>
                <w:rFonts w:hint="eastAsia"/>
              </w:rPr>
              <w:t>数据跟踪</w:t>
            </w:r>
          </w:p>
        </w:tc>
      </w:tr>
      <w:tr w:rsidR="002D3316" w:rsidRPr="009864B5" w14:paraId="64095B0A" w14:textId="77777777" w:rsidTr="00164014">
        <w:tblPrEx>
          <w:tblCellMar>
            <w:left w:w="108" w:type="dxa"/>
            <w:right w:w="108" w:type="dxa"/>
          </w:tblCellMar>
        </w:tblPrEx>
        <w:trPr>
          <w:trHeight w:val="302"/>
          <w:jc w:val="center"/>
        </w:trPr>
        <w:tc>
          <w:tcPr>
            <w:tcW w:w="9549" w:type="dxa"/>
            <w:vAlign w:val="center"/>
          </w:tcPr>
          <w:p w14:paraId="4E5D155C" w14:textId="77777777" w:rsidR="002D3316" w:rsidRPr="009864B5" w:rsidRDefault="002D3316" w:rsidP="00164014">
            <w:pPr>
              <w:widowControl/>
              <w:jc w:val="left"/>
              <w:rPr>
                <w:rFonts w:ascii="宋体" w:hAnsi="宋体" w:cs="宋体"/>
                <w:kern w:val="0"/>
                <w:sz w:val="24"/>
                <w:szCs w:val="24"/>
              </w:rPr>
            </w:pPr>
            <w:r w:rsidRPr="007E1C03">
              <w:rPr>
                <w:noProof/>
              </w:rPr>
              <w:drawing>
                <wp:inline distT="0" distB="0" distL="0" distR="0" wp14:anchorId="5988268C" wp14:editId="387820AB">
                  <wp:extent cx="5988002" cy="5706899"/>
                  <wp:effectExtent l="0" t="0" r="0"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5"/>
                          <a:stretch>
                            <a:fillRect/>
                          </a:stretch>
                        </pic:blipFill>
                        <pic:spPr bwMode="auto">
                          <a:xfrm>
                            <a:off x="0" y="0"/>
                            <a:ext cx="5988002" cy="5706899"/>
                          </a:xfrm>
                          <a:prstGeom prst="rect">
                            <a:avLst/>
                          </a:prstGeom>
                          <a:noFill/>
                          <a:ln>
                            <a:noFill/>
                          </a:ln>
                        </pic:spPr>
                      </pic:pic>
                    </a:graphicData>
                  </a:graphic>
                </wp:inline>
              </w:drawing>
            </w:r>
          </w:p>
        </w:tc>
      </w:tr>
      <w:tr w:rsidR="002D3316" w:rsidRPr="009864B5" w14:paraId="691B5B3D" w14:textId="77777777" w:rsidTr="00164014">
        <w:trPr>
          <w:trHeight w:val="62"/>
          <w:jc w:val="center"/>
        </w:trPr>
        <w:tc>
          <w:tcPr>
            <w:tcW w:w="9549" w:type="dxa"/>
            <w:vAlign w:val="center"/>
          </w:tcPr>
          <w:p w14:paraId="55F668B2" w14:textId="77777777" w:rsidR="002D3316" w:rsidRPr="009864B5" w:rsidRDefault="002D3316" w:rsidP="00164014">
            <w:pPr>
              <w:pStyle w:val="Source"/>
              <w:jc w:val="both"/>
              <w:rPr>
                <w:kern w:val="0"/>
              </w:rPr>
            </w:pPr>
            <w:r w:rsidRPr="00B41E24">
              <w:rPr>
                <w:rFonts w:hint="eastAsia"/>
                <w:kern w:val="0"/>
              </w:rPr>
              <w:t>资料来源：万得，富荣基金；</w:t>
            </w:r>
            <w:r w:rsidRPr="009864B5">
              <w:rPr>
                <w:kern w:val="0"/>
              </w:rPr>
              <w:t xml:space="preserve"> </w:t>
            </w:r>
          </w:p>
        </w:tc>
      </w:tr>
    </w:tbl>
    <w:p w14:paraId="68F31B76" w14:textId="77777777" w:rsidR="002D3316" w:rsidRPr="002D3316" w:rsidRDefault="002D3316" w:rsidP="007A1586">
      <w:pPr>
        <w:pStyle w:val="Body-text"/>
        <w:spacing w:after="240"/>
        <w:ind w:firstLineChars="200" w:firstLine="480"/>
        <w:rPr>
          <w:rFonts w:ascii="华文楷体" w:hAnsi="华文楷体"/>
          <w:sz w:val="24"/>
          <w:szCs w:val="24"/>
          <w:lang w:eastAsia="zh-CN"/>
        </w:rPr>
      </w:pPr>
    </w:p>
    <w:p w14:paraId="721DD2C0" w14:textId="5F7DBCFA" w:rsidR="0082791D" w:rsidRPr="009864B5" w:rsidRDefault="0031666C" w:rsidP="009A2BA0">
      <w:pPr>
        <w:pStyle w:val="Header1"/>
        <w:spacing w:before="240"/>
        <w:rPr>
          <w:color w:val="C45911" w:themeColor="accent2" w:themeShade="BF"/>
        </w:rPr>
      </w:pPr>
      <w:r w:rsidRPr="009864B5">
        <w:rPr>
          <w:rFonts w:hint="eastAsia"/>
          <w:color w:val="C45911" w:themeColor="accent2" w:themeShade="BF"/>
        </w:rPr>
        <w:t>三</w:t>
      </w:r>
      <w:r w:rsidR="0082791D" w:rsidRPr="009864B5">
        <w:rPr>
          <w:rFonts w:hint="eastAsia"/>
          <w:color w:val="C45911" w:themeColor="accent2" w:themeShade="BF"/>
        </w:rPr>
        <w:t>、</w:t>
      </w:r>
      <w:r w:rsidR="00B76849">
        <w:rPr>
          <w:rFonts w:hint="eastAsia"/>
          <w:color w:val="C45911" w:themeColor="accent2" w:themeShade="BF"/>
        </w:rPr>
        <w:t>策略展望</w:t>
      </w:r>
    </w:p>
    <w:p w14:paraId="00BA1D15" w14:textId="79842B62" w:rsidR="00B76849" w:rsidRDefault="00B76849" w:rsidP="00B76849">
      <w:pPr>
        <w:pStyle w:val="Header1"/>
        <w:spacing w:before="240"/>
        <w:ind w:firstLineChars="200" w:firstLine="480"/>
        <w:rPr>
          <w:rFonts w:ascii="华文楷体" w:hAnsi="华文楷体"/>
          <w:b w:val="0"/>
          <w:color w:val="auto"/>
          <w:sz w:val="24"/>
          <w:szCs w:val="24"/>
        </w:rPr>
      </w:pPr>
      <w:r w:rsidRPr="001045D2">
        <w:rPr>
          <w:rFonts w:ascii="华文楷体" w:hAnsi="华文楷体" w:hint="eastAsia"/>
          <w:bCs/>
          <w:sz w:val="24"/>
          <w:szCs w:val="24"/>
        </w:rPr>
        <w:t>利率债：</w:t>
      </w:r>
      <w:r w:rsidRPr="003E4A57">
        <w:rPr>
          <w:rFonts w:ascii="华文楷体" w:hAnsi="华文楷体" w:hint="eastAsia"/>
          <w:b w:val="0"/>
          <w:color w:val="auto"/>
          <w:sz w:val="24"/>
          <w:szCs w:val="24"/>
        </w:rPr>
        <w:t>7月初国常会以来，货币政策宽松预期再起、疫情反复、国内经济与</w:t>
      </w:r>
      <w:proofErr w:type="gramStart"/>
      <w:r w:rsidRPr="003E4A57">
        <w:rPr>
          <w:rFonts w:ascii="华文楷体" w:hAnsi="华文楷体" w:hint="eastAsia"/>
          <w:b w:val="0"/>
          <w:color w:val="auto"/>
          <w:sz w:val="24"/>
          <w:szCs w:val="24"/>
        </w:rPr>
        <w:t>社融数据</w:t>
      </w:r>
      <w:proofErr w:type="gramEnd"/>
      <w:r w:rsidRPr="003E4A57">
        <w:rPr>
          <w:rFonts w:ascii="华文楷体" w:hAnsi="华文楷体" w:hint="eastAsia"/>
          <w:b w:val="0"/>
          <w:color w:val="auto"/>
          <w:sz w:val="24"/>
          <w:szCs w:val="24"/>
        </w:rPr>
        <w:t>的走弱对债市构成利好，债市情绪高涨，十年期国债短时间内下行超过25bp。站在当前的节点看，利率债绝对位置处历史较低分位，市场对下半年经济的下行与货币的宽松已有所定价；同时，后续利率债供给的放量、宽信用以及美联储Taper的边际变化或对市场产生一定扰动。我们维持对利率谨慎乐观的判断，谨防多头走在预期前，哑铃型配置以灵活应对可能打破均衡的超预期因素。</w:t>
      </w:r>
    </w:p>
    <w:p w14:paraId="7EFA5FEE" w14:textId="0ED52040" w:rsidR="00B76849" w:rsidRDefault="00B76849" w:rsidP="00B76849">
      <w:pPr>
        <w:pStyle w:val="Header1"/>
        <w:spacing w:before="240"/>
        <w:ind w:firstLineChars="200" w:firstLine="480"/>
        <w:rPr>
          <w:rFonts w:ascii="华文楷体" w:hAnsi="华文楷体"/>
          <w:b w:val="0"/>
          <w:color w:val="auto"/>
          <w:sz w:val="24"/>
          <w:szCs w:val="24"/>
        </w:rPr>
      </w:pPr>
      <w:r w:rsidRPr="001045D2">
        <w:rPr>
          <w:rFonts w:ascii="华文楷体" w:hAnsi="华文楷体" w:hint="eastAsia"/>
          <w:bCs/>
          <w:sz w:val="24"/>
          <w:szCs w:val="24"/>
        </w:rPr>
        <w:t>信用债：</w:t>
      </w:r>
      <w:r w:rsidRPr="003E4A57">
        <w:rPr>
          <w:rFonts w:ascii="华文楷体" w:hAnsi="华文楷体" w:hint="eastAsia"/>
          <w:b w:val="0"/>
          <w:color w:val="auto"/>
          <w:sz w:val="24"/>
          <w:szCs w:val="24"/>
        </w:rPr>
        <w:t>信用债方面，K型分化的过程中，监管的控制力逐渐显现。一方面致力完善长效机制（《关于推动公司信用类债券市场改革开放高质量发展的指导意见》），另一方面也在避免短期</w:t>
      </w:r>
      <w:r w:rsidR="003074A5" w:rsidRPr="003E4A57">
        <w:rPr>
          <w:rFonts w:ascii="华文楷体" w:hAnsi="华文楷体" w:hint="eastAsia"/>
          <w:b w:val="0"/>
          <w:color w:val="auto"/>
          <w:sz w:val="24"/>
          <w:szCs w:val="24"/>
        </w:rPr>
        <w:t>系</w:t>
      </w:r>
      <w:bookmarkStart w:id="0" w:name="_GoBack"/>
      <w:bookmarkEnd w:id="0"/>
      <w:r w:rsidR="0072786D" w:rsidRPr="003E4A57">
        <w:rPr>
          <w:rFonts w:ascii="华文楷体" w:hAnsi="华文楷体" w:hint="eastAsia"/>
          <w:b w:val="0"/>
          <w:color w:val="auto"/>
          <w:sz w:val="24"/>
          <w:szCs w:val="24"/>
        </w:rPr>
        <w:t>统性</w:t>
      </w:r>
      <w:proofErr w:type="gramStart"/>
      <w:r w:rsidR="0072786D" w:rsidRPr="003E4A57">
        <w:rPr>
          <w:rFonts w:ascii="华文楷体" w:hAnsi="华文楷体" w:hint="eastAsia"/>
          <w:b w:val="0"/>
          <w:color w:val="auto"/>
          <w:sz w:val="24"/>
          <w:szCs w:val="24"/>
        </w:rPr>
        <w:t>化</w:t>
      </w:r>
      <w:r w:rsidRPr="003E4A57">
        <w:rPr>
          <w:rFonts w:ascii="华文楷体" w:hAnsi="华文楷体" w:hint="eastAsia"/>
          <w:b w:val="0"/>
          <w:color w:val="auto"/>
          <w:sz w:val="24"/>
          <w:szCs w:val="24"/>
        </w:rPr>
        <w:t>金融</w:t>
      </w:r>
      <w:proofErr w:type="gramEnd"/>
      <w:r w:rsidRPr="003E4A57">
        <w:rPr>
          <w:rFonts w:ascii="华文楷体" w:hAnsi="华文楷体" w:hint="eastAsia"/>
          <w:b w:val="0"/>
          <w:color w:val="auto"/>
          <w:sz w:val="24"/>
          <w:szCs w:val="24"/>
        </w:rPr>
        <w:t>风险，对</w:t>
      </w:r>
      <w:r w:rsidR="0072786D">
        <w:rPr>
          <w:rFonts w:ascii="华文楷体" w:hAnsi="华文楷体" w:hint="eastAsia"/>
          <w:b w:val="0"/>
          <w:color w:val="auto"/>
          <w:sz w:val="24"/>
          <w:szCs w:val="24"/>
        </w:rPr>
        <w:t>某些</w:t>
      </w:r>
      <w:r w:rsidRPr="003E4A57">
        <w:rPr>
          <w:rFonts w:ascii="华文楷体" w:hAnsi="华文楷体" w:hint="eastAsia"/>
          <w:b w:val="0"/>
          <w:color w:val="auto"/>
          <w:sz w:val="24"/>
          <w:szCs w:val="24"/>
        </w:rPr>
        <w:t>等典型企业采取了不同的措施和关注，对信贷不平衡地区启</w:t>
      </w:r>
      <w:r w:rsidRPr="003E4A57">
        <w:rPr>
          <w:rFonts w:ascii="华文楷体" w:hAnsi="华文楷体" w:hint="eastAsia"/>
          <w:b w:val="0"/>
          <w:color w:val="auto"/>
          <w:sz w:val="24"/>
          <w:szCs w:val="24"/>
        </w:rPr>
        <w:lastRenderedPageBreak/>
        <w:t>动了再贷款。信用策略上，继续防范尾部风险的基础上，关注具备持续经营能力的国企产业和强公益属性的</w:t>
      </w:r>
      <w:proofErr w:type="gramStart"/>
      <w:r w:rsidRPr="003E4A57">
        <w:rPr>
          <w:rFonts w:ascii="华文楷体" w:hAnsi="华文楷体" w:hint="eastAsia"/>
          <w:b w:val="0"/>
          <w:color w:val="auto"/>
          <w:sz w:val="24"/>
          <w:szCs w:val="24"/>
        </w:rPr>
        <w:t>城投债的</w:t>
      </w:r>
      <w:proofErr w:type="gramEnd"/>
      <w:r w:rsidRPr="003E4A57">
        <w:rPr>
          <w:rFonts w:ascii="华文楷体" w:hAnsi="华文楷体" w:hint="eastAsia"/>
          <w:b w:val="0"/>
          <w:color w:val="auto"/>
          <w:sz w:val="24"/>
          <w:szCs w:val="24"/>
        </w:rPr>
        <w:t>机会。</w:t>
      </w:r>
    </w:p>
    <w:p w14:paraId="663F1B3B" w14:textId="67775A7C" w:rsidR="00B76849" w:rsidRPr="003E4A57" w:rsidRDefault="00B76849" w:rsidP="00B76849">
      <w:pPr>
        <w:pStyle w:val="Header1"/>
        <w:spacing w:before="240"/>
        <w:ind w:firstLineChars="200" w:firstLine="480"/>
        <w:rPr>
          <w:rFonts w:ascii="华文楷体" w:hAnsi="华文楷体"/>
          <w:b w:val="0"/>
          <w:bCs/>
          <w:color w:val="auto"/>
          <w:sz w:val="24"/>
          <w:szCs w:val="24"/>
        </w:rPr>
      </w:pPr>
      <w:r w:rsidRPr="001045D2">
        <w:rPr>
          <w:rFonts w:ascii="华文楷体" w:hAnsi="华文楷体" w:hint="eastAsia"/>
          <w:bCs/>
          <w:sz w:val="24"/>
          <w:szCs w:val="24"/>
        </w:rPr>
        <w:t>可转债：</w:t>
      </w:r>
      <w:r w:rsidRPr="003E4A57">
        <w:rPr>
          <w:rFonts w:ascii="华文楷体" w:hAnsi="华文楷体" w:hint="eastAsia"/>
          <w:b w:val="0"/>
          <w:bCs/>
          <w:color w:val="auto"/>
          <w:sz w:val="24"/>
          <w:szCs w:val="24"/>
        </w:rPr>
        <w:t>流动性环境对权益市场仍较友好，但企业整体盈利压力逐步显现。可转债中成长性较强、符合长期产业政策引导方向的新能源汽车、碳中和、</w:t>
      </w:r>
      <w:proofErr w:type="gramStart"/>
      <w:r w:rsidRPr="003E4A57">
        <w:rPr>
          <w:rFonts w:ascii="华文楷体" w:hAnsi="华文楷体" w:hint="eastAsia"/>
          <w:b w:val="0"/>
          <w:bCs/>
          <w:color w:val="auto"/>
          <w:sz w:val="24"/>
          <w:szCs w:val="24"/>
        </w:rPr>
        <w:t>硬科技</w:t>
      </w:r>
      <w:proofErr w:type="gramEnd"/>
      <w:r w:rsidRPr="003E4A57">
        <w:rPr>
          <w:rFonts w:ascii="华文楷体" w:hAnsi="华文楷体" w:hint="eastAsia"/>
          <w:b w:val="0"/>
          <w:bCs/>
          <w:color w:val="auto"/>
          <w:sz w:val="24"/>
          <w:szCs w:val="24"/>
        </w:rPr>
        <w:t>及专精特新。鉴于热门赛道的高估值和拥挤交易，整体</w:t>
      </w:r>
      <w:proofErr w:type="gramStart"/>
      <w:r w:rsidRPr="003E4A57">
        <w:rPr>
          <w:rFonts w:ascii="华文楷体" w:hAnsi="华文楷体" w:hint="eastAsia"/>
          <w:b w:val="0"/>
          <w:bCs/>
          <w:color w:val="auto"/>
          <w:sz w:val="24"/>
          <w:szCs w:val="24"/>
        </w:rPr>
        <w:t>仓位</w:t>
      </w:r>
      <w:proofErr w:type="gramEnd"/>
      <w:r w:rsidRPr="003E4A57">
        <w:rPr>
          <w:rFonts w:ascii="华文楷体" w:hAnsi="华文楷体" w:hint="eastAsia"/>
          <w:b w:val="0"/>
          <w:bCs/>
          <w:color w:val="auto"/>
          <w:sz w:val="24"/>
          <w:szCs w:val="24"/>
        </w:rPr>
        <w:t>仍需趋于谨慎，重点挖掘结构性机会。结构上继续推荐以下三条主线：</w:t>
      </w:r>
      <w:r w:rsidR="00182106" w:rsidRPr="00182106">
        <w:rPr>
          <w:rFonts w:ascii="华文楷体" w:hAnsi="华文楷体" w:hint="eastAsia"/>
          <w:b w:val="0"/>
          <w:bCs/>
          <w:color w:val="auto"/>
          <w:sz w:val="24"/>
          <w:szCs w:val="24"/>
        </w:rPr>
        <w:t>一是稳定型与低价高性价比转债，</w:t>
      </w:r>
      <w:proofErr w:type="gramStart"/>
      <w:r w:rsidR="00182106" w:rsidRPr="00182106">
        <w:rPr>
          <w:rFonts w:ascii="华文楷体" w:hAnsi="华文楷体" w:hint="eastAsia"/>
          <w:b w:val="0"/>
          <w:bCs/>
          <w:color w:val="auto"/>
          <w:sz w:val="24"/>
          <w:szCs w:val="24"/>
        </w:rPr>
        <w:t>高配130元</w:t>
      </w:r>
      <w:proofErr w:type="gramEnd"/>
      <w:r w:rsidR="00182106" w:rsidRPr="00182106">
        <w:rPr>
          <w:rFonts w:ascii="华文楷体" w:hAnsi="华文楷体" w:hint="eastAsia"/>
          <w:b w:val="0"/>
          <w:bCs/>
          <w:color w:val="auto"/>
          <w:sz w:val="24"/>
          <w:szCs w:val="24"/>
        </w:rPr>
        <w:t>/25%以</w:t>
      </w:r>
      <w:proofErr w:type="gramStart"/>
      <w:r w:rsidR="00182106" w:rsidRPr="00182106">
        <w:rPr>
          <w:rFonts w:ascii="华文楷体" w:hAnsi="华文楷体" w:hint="eastAsia"/>
          <w:b w:val="0"/>
          <w:bCs/>
          <w:color w:val="auto"/>
          <w:sz w:val="24"/>
          <w:szCs w:val="24"/>
        </w:rPr>
        <w:t>下溢价率基本</w:t>
      </w:r>
      <w:proofErr w:type="gramEnd"/>
      <w:r w:rsidR="00182106" w:rsidRPr="00182106">
        <w:rPr>
          <w:rFonts w:ascii="华文楷体" w:hAnsi="华文楷体" w:hint="eastAsia"/>
          <w:b w:val="0"/>
          <w:bCs/>
          <w:color w:val="auto"/>
          <w:sz w:val="24"/>
          <w:szCs w:val="24"/>
        </w:rPr>
        <w:t>面尚可的防御型标的，在市场整体估值高位下增加底仓品种的配置权重；二是景气度持续提升的光伏、锂电</w:t>
      </w:r>
      <w:proofErr w:type="gramStart"/>
      <w:r w:rsidR="00182106" w:rsidRPr="00182106">
        <w:rPr>
          <w:rFonts w:ascii="华文楷体" w:hAnsi="华文楷体" w:hint="eastAsia"/>
          <w:b w:val="0"/>
          <w:bCs/>
          <w:color w:val="auto"/>
          <w:sz w:val="24"/>
          <w:szCs w:val="24"/>
        </w:rPr>
        <w:t>等成长</w:t>
      </w:r>
      <w:proofErr w:type="gramEnd"/>
      <w:r w:rsidR="00182106" w:rsidRPr="00182106">
        <w:rPr>
          <w:rFonts w:ascii="华文楷体" w:hAnsi="华文楷体" w:hint="eastAsia"/>
          <w:b w:val="0"/>
          <w:bCs/>
          <w:color w:val="auto"/>
          <w:sz w:val="24"/>
          <w:szCs w:val="24"/>
        </w:rPr>
        <w:t>板块转债，短期调整叠加盈利释放后，估值吸引力有所提升，碳中和趋势下具备中长期配置价值</w:t>
      </w:r>
      <w:r w:rsidR="0072786D">
        <w:rPr>
          <w:rFonts w:ascii="华文楷体" w:hAnsi="华文楷体" w:hint="eastAsia"/>
          <w:b w:val="0"/>
          <w:bCs/>
          <w:color w:val="auto"/>
          <w:sz w:val="24"/>
          <w:szCs w:val="24"/>
        </w:rPr>
        <w:t>；</w:t>
      </w:r>
      <w:r w:rsidR="00182106" w:rsidRPr="00182106">
        <w:rPr>
          <w:rFonts w:ascii="华文楷体" w:hAnsi="华文楷体" w:hint="eastAsia"/>
          <w:b w:val="0"/>
          <w:bCs/>
          <w:color w:val="auto"/>
          <w:sz w:val="24"/>
          <w:szCs w:val="24"/>
        </w:rPr>
        <w:t>三是供需关系错配明显，具备涨价逻辑的细分周期转债，当前估值水平普遍偏低，建议小</w:t>
      </w:r>
      <w:proofErr w:type="gramStart"/>
      <w:r w:rsidR="00182106" w:rsidRPr="00182106">
        <w:rPr>
          <w:rFonts w:ascii="华文楷体" w:hAnsi="华文楷体" w:hint="eastAsia"/>
          <w:b w:val="0"/>
          <w:bCs/>
          <w:color w:val="auto"/>
          <w:sz w:val="24"/>
          <w:szCs w:val="24"/>
        </w:rPr>
        <w:t>仓位</w:t>
      </w:r>
      <w:proofErr w:type="gramEnd"/>
      <w:r w:rsidR="00182106" w:rsidRPr="00182106">
        <w:rPr>
          <w:rFonts w:ascii="华文楷体" w:hAnsi="华文楷体" w:hint="eastAsia"/>
          <w:b w:val="0"/>
          <w:bCs/>
          <w:color w:val="auto"/>
          <w:sz w:val="24"/>
          <w:szCs w:val="24"/>
        </w:rPr>
        <w:t>适度参与，短期仍有一定的博弈价值。</w:t>
      </w:r>
    </w:p>
    <w:p w14:paraId="799B0B13" w14:textId="6DF364DB" w:rsidR="00F3595A" w:rsidRPr="00B76849" w:rsidRDefault="008A575D" w:rsidP="00F3595A">
      <w:pPr>
        <w:pStyle w:val="Header1"/>
        <w:spacing w:before="240"/>
        <w:ind w:firstLineChars="200" w:firstLine="480"/>
        <w:rPr>
          <w:rFonts w:ascii="华文楷体" w:hAnsi="华文楷体"/>
          <w:b w:val="0"/>
          <w:color w:val="auto"/>
          <w:sz w:val="24"/>
          <w:szCs w:val="24"/>
        </w:rPr>
      </w:pPr>
      <w:r>
        <w:rPr>
          <w:rFonts w:ascii="华文楷体" w:hAnsi="华文楷体" w:hint="eastAsia"/>
          <w:bCs/>
          <w:sz w:val="24"/>
          <w:szCs w:val="24"/>
        </w:rPr>
        <w:t>重点</w:t>
      </w:r>
      <w:r w:rsidR="00B76849" w:rsidRPr="00B76849">
        <w:rPr>
          <w:rFonts w:ascii="华文楷体" w:hAnsi="华文楷体" w:hint="eastAsia"/>
          <w:bCs/>
          <w:sz w:val="24"/>
          <w:szCs w:val="24"/>
        </w:rPr>
        <w:t>关注：</w:t>
      </w:r>
      <w:r w:rsidRPr="008A575D">
        <w:rPr>
          <w:rFonts w:ascii="华文楷体" w:hAnsi="华文楷体" w:hint="eastAsia"/>
          <w:b w:val="0"/>
          <w:color w:val="auto"/>
          <w:sz w:val="24"/>
          <w:szCs w:val="24"/>
        </w:rPr>
        <w:t>中国通胀数据和金融数据（10月14日附近）；美国9月失业率情况（10月8日）；地产行业影响外溢。</w:t>
      </w:r>
    </w:p>
    <w:p w14:paraId="5F84F6C0" w14:textId="4C04C8BE" w:rsidR="00213121" w:rsidRPr="00B76849" w:rsidRDefault="00213121" w:rsidP="00B76849">
      <w:pPr>
        <w:pStyle w:val="Header1"/>
        <w:spacing w:before="240"/>
        <w:ind w:firstLineChars="200" w:firstLine="482"/>
        <w:rPr>
          <w:rFonts w:ascii="华文楷体" w:hAnsi="华文楷体"/>
          <w:b w:val="0"/>
          <w:bCs/>
          <w:sz w:val="24"/>
          <w:szCs w:val="24"/>
        </w:rPr>
      </w:pPr>
      <w:r>
        <w:rPr>
          <w:rFonts w:ascii="黑体" w:eastAsia="黑体"/>
          <w:sz w:val="24"/>
          <w:szCs w:val="24"/>
        </w:rPr>
        <w:br w:type="page"/>
      </w:r>
    </w:p>
    <w:p w14:paraId="7A0BE4B5" w14:textId="77777777" w:rsidR="0072786D" w:rsidRPr="001E3F2A" w:rsidRDefault="0072786D" w:rsidP="0072786D">
      <w:pPr>
        <w:jc w:val="left"/>
        <w:rPr>
          <w:sz w:val="18"/>
          <w:szCs w:val="18"/>
        </w:rPr>
      </w:pPr>
      <w:r w:rsidRPr="001E3F2A">
        <w:rPr>
          <w:rFonts w:ascii="微软雅黑" w:eastAsia="微软雅黑" w:hAnsi="微软雅黑" w:hint="eastAsia"/>
          <w:color w:val="222222"/>
          <w:sz w:val="18"/>
          <w:szCs w:val="18"/>
          <w:shd w:val="clear" w:color="auto" w:fill="FFFFFF"/>
        </w:rPr>
        <w:lastRenderedPageBreak/>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1E3F2A">
        <w:rPr>
          <w:rFonts w:ascii="微软雅黑" w:eastAsia="微软雅黑" w:hAnsi="微软雅黑" w:hint="eastAsia"/>
          <w:color w:val="222222"/>
          <w:sz w:val="18"/>
          <w:szCs w:val="18"/>
          <w:shd w:val="clear" w:color="auto" w:fill="FFFFFF"/>
        </w:rPr>
        <w:t>作出</w:t>
      </w:r>
      <w:proofErr w:type="gramEnd"/>
      <w:r w:rsidRPr="001E3F2A">
        <w:rPr>
          <w:rFonts w:ascii="微软雅黑" w:eastAsia="微软雅黑" w:hAnsi="微软雅黑" w:hint="eastAsia"/>
          <w:color w:val="222222"/>
          <w:sz w:val="18"/>
          <w:szCs w:val="18"/>
          <w:shd w:val="clear" w:color="auto" w:fill="FFFFFF"/>
        </w:rPr>
        <w:t>调整。2、本报告中的资料、观点和预测等仅供参考，在任何时候均不构成对任何人的个人推荐。市场有风险，投资需谨慎。</w:t>
      </w:r>
    </w:p>
    <w:p w14:paraId="1EF1A1F1" w14:textId="4FA7F918" w:rsidR="0028459A" w:rsidRPr="001A1299" w:rsidRDefault="0028459A" w:rsidP="009A2BA0">
      <w:pPr>
        <w:pStyle w:val="Body-text"/>
        <w:ind w:firstLineChars="200" w:firstLine="480"/>
        <w:rPr>
          <w:rFonts w:ascii="华文楷体" w:hAnsi="华文楷体"/>
          <w:sz w:val="24"/>
          <w:szCs w:val="24"/>
          <w:lang w:eastAsia="zh-CN"/>
        </w:rPr>
      </w:pPr>
    </w:p>
    <w:p w14:paraId="36DE518D" w14:textId="77777777" w:rsidR="001170AF" w:rsidRPr="001A1299" w:rsidRDefault="001170AF" w:rsidP="009A2BA0">
      <w:pPr>
        <w:pStyle w:val="Body-text"/>
        <w:ind w:firstLineChars="200" w:firstLine="480"/>
        <w:rPr>
          <w:rFonts w:ascii="华文楷体" w:hAnsi="华文楷体"/>
          <w:sz w:val="24"/>
          <w:szCs w:val="24"/>
          <w:lang w:eastAsia="zh-CN"/>
        </w:rPr>
      </w:pPr>
    </w:p>
    <w:sectPr w:rsidR="001170AF" w:rsidRPr="001A1299" w:rsidSect="00AB78C4">
      <w:headerReference w:type="default" r:id="rId16"/>
      <w:footerReference w:type="default" r:id="rId17"/>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73C1842" w14:textId="77777777" w:rsidR="00411A9B" w:rsidRDefault="00411A9B">
      <w:r>
        <w:separator/>
      </w:r>
    </w:p>
  </w:endnote>
  <w:endnote w:type="continuationSeparator" w:id="0">
    <w:p w14:paraId="43390911" w14:textId="77777777" w:rsidR="00411A9B" w:rsidRDefault="00411A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KaiTi">
    <w:altName w:val="Arial Unicode MS"/>
    <w:charset w:val="86"/>
    <w:family w:val="modern"/>
    <w:pitch w:val="fixed"/>
    <w:sig w:usb0="00000000"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altName w:val="Arial Unicode MS"/>
    <w:charset w:val="86"/>
    <w:family w:val="auto"/>
    <w:pitch w:val="variable"/>
    <w:sig w:usb0="00000000" w:usb1="38CF7CFA" w:usb2="00000016" w:usb3="00000000" w:csb0="0004000F" w:csb1="00000000"/>
  </w:font>
  <w:font w:name="等线">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F46081" w:rsidRDefault="00F46081">
        <w:pPr>
          <w:pStyle w:val="a4"/>
          <w:jc w:val="right"/>
        </w:pPr>
        <w:r>
          <w:fldChar w:fldCharType="begin"/>
        </w:r>
        <w:r>
          <w:instrText>PAGE   \* MERGEFORMAT</w:instrText>
        </w:r>
        <w:r>
          <w:fldChar w:fldCharType="separate"/>
        </w:r>
        <w:r w:rsidR="003074A5" w:rsidRPr="003074A5">
          <w:rPr>
            <w:noProof/>
            <w:lang w:val="zh-CN"/>
          </w:rPr>
          <w:t>5</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B9F30D4" w14:textId="77777777" w:rsidR="00411A9B" w:rsidRDefault="00411A9B">
      <w:r>
        <w:separator/>
      </w:r>
    </w:p>
  </w:footnote>
  <w:footnote w:type="continuationSeparator" w:id="0">
    <w:p w14:paraId="729C7E33" w14:textId="77777777" w:rsidR="00411A9B" w:rsidRDefault="00411A9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F46081" w:rsidRDefault="00F46081"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0E9E65D6"/>
    <w:multiLevelType w:val="multilevel"/>
    <w:tmpl w:val="39BA2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CF21DC7"/>
    <w:multiLevelType w:val="hybridMultilevel"/>
    <w:tmpl w:val="5914BAAE"/>
    <w:lvl w:ilvl="0" w:tplc="F95A8FC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11">
    <w:nsid w:val="273729AD"/>
    <w:multiLevelType w:val="multilevel"/>
    <w:tmpl w:val="2A428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nsid w:val="2A426257"/>
    <w:multiLevelType w:val="hybridMultilevel"/>
    <w:tmpl w:val="04AED6F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5">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6">
    <w:nsid w:val="39E00319"/>
    <w:multiLevelType w:val="multilevel"/>
    <w:tmpl w:val="278EE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257513A"/>
    <w:multiLevelType w:val="multilevel"/>
    <w:tmpl w:val="D40C5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9">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20">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22">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23">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6">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8">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6"/>
  </w:num>
  <w:num w:numId="7">
    <w:abstractNumId w:val="18"/>
  </w:num>
  <w:num w:numId="8">
    <w:abstractNumId w:val="15"/>
  </w:num>
  <w:num w:numId="9">
    <w:abstractNumId w:val="6"/>
  </w:num>
  <w:num w:numId="10">
    <w:abstractNumId w:val="21"/>
  </w:num>
  <w:num w:numId="11">
    <w:abstractNumId w:val="25"/>
  </w:num>
  <w:num w:numId="12">
    <w:abstractNumId w:val="19"/>
  </w:num>
  <w:num w:numId="13">
    <w:abstractNumId w:val="27"/>
  </w:num>
  <w:num w:numId="14">
    <w:abstractNumId w:val="28"/>
  </w:num>
  <w:num w:numId="15">
    <w:abstractNumId w:val="22"/>
  </w:num>
  <w:num w:numId="16">
    <w:abstractNumId w:val="14"/>
  </w:num>
  <w:num w:numId="17">
    <w:abstractNumId w:val="10"/>
  </w:num>
  <w:num w:numId="18">
    <w:abstractNumId w:val="24"/>
  </w:num>
  <w:num w:numId="19">
    <w:abstractNumId w:val="12"/>
  </w:num>
  <w:num w:numId="20">
    <w:abstractNumId w:val="23"/>
  </w:num>
  <w:num w:numId="21">
    <w:abstractNumId w:val="7"/>
  </w:num>
  <w:num w:numId="22">
    <w:abstractNumId w:val="20"/>
  </w:num>
  <w:num w:numId="23">
    <w:abstractNumId w:val="5"/>
  </w:num>
  <w:num w:numId="24">
    <w:abstractNumId w:val="13"/>
  </w:num>
  <w:num w:numId="25">
    <w:abstractNumId w:val="9"/>
  </w:num>
  <w:num w:numId="26">
    <w:abstractNumId w:val="17"/>
  </w:num>
  <w:num w:numId="27">
    <w:abstractNumId w:val="11"/>
  </w:num>
  <w:num w:numId="28">
    <w:abstractNumId w:val="8"/>
  </w:num>
  <w:num w:numId="2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85D"/>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43B"/>
    <w:rsid w:val="00007A5A"/>
    <w:rsid w:val="00007F30"/>
    <w:rsid w:val="000105FB"/>
    <w:rsid w:val="00010654"/>
    <w:rsid w:val="000106E3"/>
    <w:rsid w:val="00010B19"/>
    <w:rsid w:val="00010DAA"/>
    <w:rsid w:val="000119EF"/>
    <w:rsid w:val="00011C5F"/>
    <w:rsid w:val="000128CB"/>
    <w:rsid w:val="00012A25"/>
    <w:rsid w:val="00012CA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BE5"/>
    <w:rsid w:val="00016C6A"/>
    <w:rsid w:val="00017B9C"/>
    <w:rsid w:val="0002033F"/>
    <w:rsid w:val="0002051A"/>
    <w:rsid w:val="00020970"/>
    <w:rsid w:val="00020BBA"/>
    <w:rsid w:val="00020F7F"/>
    <w:rsid w:val="000219C9"/>
    <w:rsid w:val="00021B34"/>
    <w:rsid w:val="00021C85"/>
    <w:rsid w:val="000226CA"/>
    <w:rsid w:val="00022DD3"/>
    <w:rsid w:val="0002319C"/>
    <w:rsid w:val="000232BB"/>
    <w:rsid w:val="00023531"/>
    <w:rsid w:val="00023C51"/>
    <w:rsid w:val="00023D9D"/>
    <w:rsid w:val="00023E14"/>
    <w:rsid w:val="0002431B"/>
    <w:rsid w:val="00025073"/>
    <w:rsid w:val="00025B9D"/>
    <w:rsid w:val="00025F12"/>
    <w:rsid w:val="00026193"/>
    <w:rsid w:val="00026E14"/>
    <w:rsid w:val="000270FF"/>
    <w:rsid w:val="000274EB"/>
    <w:rsid w:val="000275C9"/>
    <w:rsid w:val="0002765B"/>
    <w:rsid w:val="00027744"/>
    <w:rsid w:val="0002780B"/>
    <w:rsid w:val="00027AAB"/>
    <w:rsid w:val="00027E39"/>
    <w:rsid w:val="0003065D"/>
    <w:rsid w:val="00030711"/>
    <w:rsid w:val="00030E2D"/>
    <w:rsid w:val="00030E7C"/>
    <w:rsid w:val="000312AB"/>
    <w:rsid w:val="00031A0F"/>
    <w:rsid w:val="00032A5F"/>
    <w:rsid w:val="00032A68"/>
    <w:rsid w:val="00032ABF"/>
    <w:rsid w:val="000331EC"/>
    <w:rsid w:val="0003324E"/>
    <w:rsid w:val="000332AD"/>
    <w:rsid w:val="00033828"/>
    <w:rsid w:val="00034037"/>
    <w:rsid w:val="00034E64"/>
    <w:rsid w:val="0003520F"/>
    <w:rsid w:val="0003530E"/>
    <w:rsid w:val="00035CC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6C46"/>
    <w:rsid w:val="00047219"/>
    <w:rsid w:val="000472E5"/>
    <w:rsid w:val="00047BC0"/>
    <w:rsid w:val="00047BF1"/>
    <w:rsid w:val="00047E2A"/>
    <w:rsid w:val="00047FA6"/>
    <w:rsid w:val="0005003A"/>
    <w:rsid w:val="00050047"/>
    <w:rsid w:val="000504C8"/>
    <w:rsid w:val="000505E2"/>
    <w:rsid w:val="000507BC"/>
    <w:rsid w:val="00050AE2"/>
    <w:rsid w:val="00050E8F"/>
    <w:rsid w:val="0005155B"/>
    <w:rsid w:val="00051575"/>
    <w:rsid w:val="0005161A"/>
    <w:rsid w:val="00051CD0"/>
    <w:rsid w:val="00051D9D"/>
    <w:rsid w:val="000523C8"/>
    <w:rsid w:val="00052427"/>
    <w:rsid w:val="00053051"/>
    <w:rsid w:val="000537A4"/>
    <w:rsid w:val="000544C9"/>
    <w:rsid w:val="00054893"/>
    <w:rsid w:val="00054AE0"/>
    <w:rsid w:val="00054AFD"/>
    <w:rsid w:val="00054E2A"/>
    <w:rsid w:val="0005504F"/>
    <w:rsid w:val="000550B2"/>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0F1B"/>
    <w:rsid w:val="000617BF"/>
    <w:rsid w:val="00061869"/>
    <w:rsid w:val="000618ED"/>
    <w:rsid w:val="00061C3C"/>
    <w:rsid w:val="00061D9E"/>
    <w:rsid w:val="000620E2"/>
    <w:rsid w:val="0006250F"/>
    <w:rsid w:val="00062981"/>
    <w:rsid w:val="000629A2"/>
    <w:rsid w:val="00062E89"/>
    <w:rsid w:val="0006364B"/>
    <w:rsid w:val="00063EF1"/>
    <w:rsid w:val="00064007"/>
    <w:rsid w:val="000643F4"/>
    <w:rsid w:val="0006472D"/>
    <w:rsid w:val="00064C5C"/>
    <w:rsid w:val="00064DDC"/>
    <w:rsid w:val="00065754"/>
    <w:rsid w:val="00065B19"/>
    <w:rsid w:val="0006662C"/>
    <w:rsid w:val="0006679B"/>
    <w:rsid w:val="00066A4B"/>
    <w:rsid w:val="00066B90"/>
    <w:rsid w:val="00066C46"/>
    <w:rsid w:val="00066F10"/>
    <w:rsid w:val="00067714"/>
    <w:rsid w:val="00067963"/>
    <w:rsid w:val="00067A49"/>
    <w:rsid w:val="000701D0"/>
    <w:rsid w:val="00070606"/>
    <w:rsid w:val="0007088A"/>
    <w:rsid w:val="00070A5D"/>
    <w:rsid w:val="0007166F"/>
    <w:rsid w:val="000719CA"/>
    <w:rsid w:val="0007212E"/>
    <w:rsid w:val="000722B7"/>
    <w:rsid w:val="00072410"/>
    <w:rsid w:val="0007254B"/>
    <w:rsid w:val="00073F36"/>
    <w:rsid w:val="00075608"/>
    <w:rsid w:val="00075EC6"/>
    <w:rsid w:val="000760C6"/>
    <w:rsid w:val="0007614B"/>
    <w:rsid w:val="0007685C"/>
    <w:rsid w:val="000771ED"/>
    <w:rsid w:val="000772BD"/>
    <w:rsid w:val="00077790"/>
    <w:rsid w:val="0007794F"/>
    <w:rsid w:val="00077B1B"/>
    <w:rsid w:val="00080318"/>
    <w:rsid w:val="000807AE"/>
    <w:rsid w:val="00080D49"/>
    <w:rsid w:val="00080D8B"/>
    <w:rsid w:val="0008119E"/>
    <w:rsid w:val="000815F6"/>
    <w:rsid w:val="00081E60"/>
    <w:rsid w:val="00082044"/>
    <w:rsid w:val="00082CE4"/>
    <w:rsid w:val="00083341"/>
    <w:rsid w:val="00083392"/>
    <w:rsid w:val="00083A35"/>
    <w:rsid w:val="00083B64"/>
    <w:rsid w:val="00083E1C"/>
    <w:rsid w:val="00084085"/>
    <w:rsid w:val="000840CD"/>
    <w:rsid w:val="00084848"/>
    <w:rsid w:val="00084873"/>
    <w:rsid w:val="0008490D"/>
    <w:rsid w:val="000853E5"/>
    <w:rsid w:val="00085AC0"/>
    <w:rsid w:val="00085CBE"/>
    <w:rsid w:val="0008649A"/>
    <w:rsid w:val="000869DB"/>
    <w:rsid w:val="00086E6D"/>
    <w:rsid w:val="00086E99"/>
    <w:rsid w:val="00087119"/>
    <w:rsid w:val="0008719E"/>
    <w:rsid w:val="000875B7"/>
    <w:rsid w:val="00087DC6"/>
    <w:rsid w:val="00087E90"/>
    <w:rsid w:val="00090261"/>
    <w:rsid w:val="000907BC"/>
    <w:rsid w:val="0009124F"/>
    <w:rsid w:val="00091402"/>
    <w:rsid w:val="00091559"/>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AFC"/>
    <w:rsid w:val="00095B18"/>
    <w:rsid w:val="000962C2"/>
    <w:rsid w:val="00096648"/>
    <w:rsid w:val="000967FE"/>
    <w:rsid w:val="00096C99"/>
    <w:rsid w:val="0009703A"/>
    <w:rsid w:val="00097104"/>
    <w:rsid w:val="0009729E"/>
    <w:rsid w:val="0009756E"/>
    <w:rsid w:val="00097712"/>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783"/>
    <w:rsid w:val="000A4BF8"/>
    <w:rsid w:val="000A51BC"/>
    <w:rsid w:val="000A58A7"/>
    <w:rsid w:val="000A5D4F"/>
    <w:rsid w:val="000A64B9"/>
    <w:rsid w:val="000A6B05"/>
    <w:rsid w:val="000A6DE0"/>
    <w:rsid w:val="000A71BF"/>
    <w:rsid w:val="000A74E1"/>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0E4A"/>
    <w:rsid w:val="000C11F7"/>
    <w:rsid w:val="000C183E"/>
    <w:rsid w:val="000C1B8F"/>
    <w:rsid w:val="000C2B22"/>
    <w:rsid w:val="000C31D8"/>
    <w:rsid w:val="000C3787"/>
    <w:rsid w:val="000C39FF"/>
    <w:rsid w:val="000C3DC4"/>
    <w:rsid w:val="000C449C"/>
    <w:rsid w:val="000C48A2"/>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1AE6"/>
    <w:rsid w:val="000D1B79"/>
    <w:rsid w:val="000D20CB"/>
    <w:rsid w:val="000D2ABF"/>
    <w:rsid w:val="000D2ACF"/>
    <w:rsid w:val="000D3239"/>
    <w:rsid w:val="000D39B6"/>
    <w:rsid w:val="000D476C"/>
    <w:rsid w:val="000D4D45"/>
    <w:rsid w:val="000D4F30"/>
    <w:rsid w:val="000D5319"/>
    <w:rsid w:val="000D5735"/>
    <w:rsid w:val="000D5A58"/>
    <w:rsid w:val="000D6268"/>
    <w:rsid w:val="000D6289"/>
    <w:rsid w:val="000D6D98"/>
    <w:rsid w:val="000D7167"/>
    <w:rsid w:val="000D7AE6"/>
    <w:rsid w:val="000D7AF4"/>
    <w:rsid w:val="000E0C96"/>
    <w:rsid w:val="000E0E2A"/>
    <w:rsid w:val="000E0E59"/>
    <w:rsid w:val="000E131B"/>
    <w:rsid w:val="000E1BF0"/>
    <w:rsid w:val="000E2002"/>
    <w:rsid w:val="000E2496"/>
    <w:rsid w:val="000E25F5"/>
    <w:rsid w:val="000E2962"/>
    <w:rsid w:val="000E2A9F"/>
    <w:rsid w:val="000E2AF3"/>
    <w:rsid w:val="000E3119"/>
    <w:rsid w:val="000E3145"/>
    <w:rsid w:val="000E322E"/>
    <w:rsid w:val="000E39A6"/>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64E3"/>
    <w:rsid w:val="000E7157"/>
    <w:rsid w:val="000E7483"/>
    <w:rsid w:val="000E7583"/>
    <w:rsid w:val="000E79B7"/>
    <w:rsid w:val="000F0182"/>
    <w:rsid w:val="000F0675"/>
    <w:rsid w:val="000F06A6"/>
    <w:rsid w:val="000F0944"/>
    <w:rsid w:val="000F13DC"/>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D19"/>
    <w:rsid w:val="000F7F35"/>
    <w:rsid w:val="00100559"/>
    <w:rsid w:val="001005A9"/>
    <w:rsid w:val="00100E6A"/>
    <w:rsid w:val="00100F77"/>
    <w:rsid w:val="00101DDE"/>
    <w:rsid w:val="00101F9D"/>
    <w:rsid w:val="001021F0"/>
    <w:rsid w:val="00102909"/>
    <w:rsid w:val="00102B5E"/>
    <w:rsid w:val="00102BB3"/>
    <w:rsid w:val="00102EDA"/>
    <w:rsid w:val="001032B0"/>
    <w:rsid w:val="0010359C"/>
    <w:rsid w:val="00103934"/>
    <w:rsid w:val="00103F06"/>
    <w:rsid w:val="001045D2"/>
    <w:rsid w:val="001046A3"/>
    <w:rsid w:val="0010475E"/>
    <w:rsid w:val="00104DA0"/>
    <w:rsid w:val="00105570"/>
    <w:rsid w:val="00105EE6"/>
    <w:rsid w:val="00106571"/>
    <w:rsid w:val="00106EE1"/>
    <w:rsid w:val="001072C7"/>
    <w:rsid w:val="001072EB"/>
    <w:rsid w:val="001076D5"/>
    <w:rsid w:val="0010794B"/>
    <w:rsid w:val="00107E45"/>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447"/>
    <w:rsid w:val="00115834"/>
    <w:rsid w:val="001159B4"/>
    <w:rsid w:val="0011638E"/>
    <w:rsid w:val="0011651B"/>
    <w:rsid w:val="00116698"/>
    <w:rsid w:val="0011682A"/>
    <w:rsid w:val="0011689A"/>
    <w:rsid w:val="00116B60"/>
    <w:rsid w:val="00116C60"/>
    <w:rsid w:val="00116F1A"/>
    <w:rsid w:val="001170AF"/>
    <w:rsid w:val="001176C7"/>
    <w:rsid w:val="00117AF6"/>
    <w:rsid w:val="00117D1F"/>
    <w:rsid w:val="00120548"/>
    <w:rsid w:val="001209D6"/>
    <w:rsid w:val="00121000"/>
    <w:rsid w:val="00121021"/>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9D9"/>
    <w:rsid w:val="00126A2D"/>
    <w:rsid w:val="00126DBF"/>
    <w:rsid w:val="001271C1"/>
    <w:rsid w:val="00127808"/>
    <w:rsid w:val="00127AE1"/>
    <w:rsid w:val="00127E16"/>
    <w:rsid w:val="00127E8D"/>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4AF9"/>
    <w:rsid w:val="0014500B"/>
    <w:rsid w:val="001453E3"/>
    <w:rsid w:val="00145481"/>
    <w:rsid w:val="001457CA"/>
    <w:rsid w:val="001458E5"/>
    <w:rsid w:val="00146098"/>
    <w:rsid w:val="001461DD"/>
    <w:rsid w:val="0014665B"/>
    <w:rsid w:val="001469A9"/>
    <w:rsid w:val="001472D4"/>
    <w:rsid w:val="00147336"/>
    <w:rsid w:val="001473F4"/>
    <w:rsid w:val="00147557"/>
    <w:rsid w:val="00147C93"/>
    <w:rsid w:val="00150CF6"/>
    <w:rsid w:val="00150DE7"/>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1BE"/>
    <w:rsid w:val="001541EE"/>
    <w:rsid w:val="0015463A"/>
    <w:rsid w:val="00154762"/>
    <w:rsid w:val="00154E1C"/>
    <w:rsid w:val="00155063"/>
    <w:rsid w:val="001551BD"/>
    <w:rsid w:val="001551C9"/>
    <w:rsid w:val="00155427"/>
    <w:rsid w:val="001556C9"/>
    <w:rsid w:val="00155C96"/>
    <w:rsid w:val="00155CBE"/>
    <w:rsid w:val="00155D06"/>
    <w:rsid w:val="00156190"/>
    <w:rsid w:val="0015634E"/>
    <w:rsid w:val="00156410"/>
    <w:rsid w:val="00156515"/>
    <w:rsid w:val="00156AF4"/>
    <w:rsid w:val="00156B73"/>
    <w:rsid w:val="0015798B"/>
    <w:rsid w:val="00157A31"/>
    <w:rsid w:val="00157AEE"/>
    <w:rsid w:val="00157B30"/>
    <w:rsid w:val="001602AE"/>
    <w:rsid w:val="00160370"/>
    <w:rsid w:val="0016096D"/>
    <w:rsid w:val="0016107A"/>
    <w:rsid w:val="001611C1"/>
    <w:rsid w:val="0016142C"/>
    <w:rsid w:val="0016155D"/>
    <w:rsid w:val="00161568"/>
    <w:rsid w:val="00161909"/>
    <w:rsid w:val="00161984"/>
    <w:rsid w:val="00161D5D"/>
    <w:rsid w:val="0016251D"/>
    <w:rsid w:val="00162910"/>
    <w:rsid w:val="001629D2"/>
    <w:rsid w:val="00162C39"/>
    <w:rsid w:val="0016431D"/>
    <w:rsid w:val="001644C8"/>
    <w:rsid w:val="0016453E"/>
    <w:rsid w:val="001647E6"/>
    <w:rsid w:val="00166825"/>
    <w:rsid w:val="001668A4"/>
    <w:rsid w:val="00166EF2"/>
    <w:rsid w:val="00167137"/>
    <w:rsid w:val="00167E3A"/>
    <w:rsid w:val="00167EF4"/>
    <w:rsid w:val="00170521"/>
    <w:rsid w:val="00170F26"/>
    <w:rsid w:val="001715B3"/>
    <w:rsid w:val="00171997"/>
    <w:rsid w:val="0017214C"/>
    <w:rsid w:val="0017231C"/>
    <w:rsid w:val="0017232C"/>
    <w:rsid w:val="001723BD"/>
    <w:rsid w:val="001724C7"/>
    <w:rsid w:val="001725E0"/>
    <w:rsid w:val="0017270C"/>
    <w:rsid w:val="00172A27"/>
    <w:rsid w:val="00173BBF"/>
    <w:rsid w:val="001741DB"/>
    <w:rsid w:val="00174443"/>
    <w:rsid w:val="001746BF"/>
    <w:rsid w:val="0017514E"/>
    <w:rsid w:val="001754D1"/>
    <w:rsid w:val="00175927"/>
    <w:rsid w:val="00175DB7"/>
    <w:rsid w:val="001763F2"/>
    <w:rsid w:val="00176428"/>
    <w:rsid w:val="00176585"/>
    <w:rsid w:val="00176815"/>
    <w:rsid w:val="0017689A"/>
    <w:rsid w:val="00176B4A"/>
    <w:rsid w:val="00176FCB"/>
    <w:rsid w:val="00177075"/>
    <w:rsid w:val="00177B50"/>
    <w:rsid w:val="00180451"/>
    <w:rsid w:val="001811C5"/>
    <w:rsid w:val="001814D0"/>
    <w:rsid w:val="00181C6F"/>
    <w:rsid w:val="00181E75"/>
    <w:rsid w:val="00181FB3"/>
    <w:rsid w:val="00182106"/>
    <w:rsid w:val="00182924"/>
    <w:rsid w:val="00182A28"/>
    <w:rsid w:val="00182C74"/>
    <w:rsid w:val="00183657"/>
    <w:rsid w:val="0018385C"/>
    <w:rsid w:val="00183F22"/>
    <w:rsid w:val="00184B95"/>
    <w:rsid w:val="001851D4"/>
    <w:rsid w:val="00185778"/>
    <w:rsid w:val="001858A9"/>
    <w:rsid w:val="00185EBC"/>
    <w:rsid w:val="00186335"/>
    <w:rsid w:val="001864F2"/>
    <w:rsid w:val="001865E2"/>
    <w:rsid w:val="00187188"/>
    <w:rsid w:val="0018722E"/>
    <w:rsid w:val="001901C5"/>
    <w:rsid w:val="0019031C"/>
    <w:rsid w:val="001909FD"/>
    <w:rsid w:val="00191121"/>
    <w:rsid w:val="00191347"/>
    <w:rsid w:val="001917D7"/>
    <w:rsid w:val="001919E4"/>
    <w:rsid w:val="00191D54"/>
    <w:rsid w:val="00192B5D"/>
    <w:rsid w:val="0019318B"/>
    <w:rsid w:val="00193F49"/>
    <w:rsid w:val="001945D2"/>
    <w:rsid w:val="001947A8"/>
    <w:rsid w:val="001948F6"/>
    <w:rsid w:val="00194F80"/>
    <w:rsid w:val="00195012"/>
    <w:rsid w:val="001952E5"/>
    <w:rsid w:val="001954E8"/>
    <w:rsid w:val="00195544"/>
    <w:rsid w:val="001959A4"/>
    <w:rsid w:val="001967C0"/>
    <w:rsid w:val="001969E7"/>
    <w:rsid w:val="00196ABA"/>
    <w:rsid w:val="00196FDB"/>
    <w:rsid w:val="001973D0"/>
    <w:rsid w:val="00197AF1"/>
    <w:rsid w:val="00197F64"/>
    <w:rsid w:val="00197F76"/>
    <w:rsid w:val="001A056C"/>
    <w:rsid w:val="001A074B"/>
    <w:rsid w:val="001A07EE"/>
    <w:rsid w:val="001A0B1B"/>
    <w:rsid w:val="001A0EBD"/>
    <w:rsid w:val="001A0EC4"/>
    <w:rsid w:val="001A122C"/>
    <w:rsid w:val="001A1299"/>
    <w:rsid w:val="001A1663"/>
    <w:rsid w:val="001A17C9"/>
    <w:rsid w:val="001A199F"/>
    <w:rsid w:val="001A1BC5"/>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6D9"/>
    <w:rsid w:val="001A59CA"/>
    <w:rsid w:val="001A5CA0"/>
    <w:rsid w:val="001A601B"/>
    <w:rsid w:val="001A621B"/>
    <w:rsid w:val="001A62A8"/>
    <w:rsid w:val="001A6417"/>
    <w:rsid w:val="001A6D3B"/>
    <w:rsid w:val="001A6DF0"/>
    <w:rsid w:val="001A6F68"/>
    <w:rsid w:val="001A6FA9"/>
    <w:rsid w:val="001A73A0"/>
    <w:rsid w:val="001A744D"/>
    <w:rsid w:val="001A7792"/>
    <w:rsid w:val="001A7A22"/>
    <w:rsid w:val="001B0403"/>
    <w:rsid w:val="001B0864"/>
    <w:rsid w:val="001B0F99"/>
    <w:rsid w:val="001B1517"/>
    <w:rsid w:val="001B1AFF"/>
    <w:rsid w:val="001B27AB"/>
    <w:rsid w:val="001B28BB"/>
    <w:rsid w:val="001B29BE"/>
    <w:rsid w:val="001B3023"/>
    <w:rsid w:val="001B3833"/>
    <w:rsid w:val="001B3988"/>
    <w:rsid w:val="001B3BAE"/>
    <w:rsid w:val="001B4228"/>
    <w:rsid w:val="001B42F8"/>
    <w:rsid w:val="001B45EC"/>
    <w:rsid w:val="001B4E4D"/>
    <w:rsid w:val="001B5009"/>
    <w:rsid w:val="001B536D"/>
    <w:rsid w:val="001B53FC"/>
    <w:rsid w:val="001B5D78"/>
    <w:rsid w:val="001B5E55"/>
    <w:rsid w:val="001B5F7A"/>
    <w:rsid w:val="001B5FFD"/>
    <w:rsid w:val="001B60F6"/>
    <w:rsid w:val="001B62B9"/>
    <w:rsid w:val="001B6392"/>
    <w:rsid w:val="001B71E3"/>
    <w:rsid w:val="001B767D"/>
    <w:rsid w:val="001B7768"/>
    <w:rsid w:val="001B7A64"/>
    <w:rsid w:val="001B7FE1"/>
    <w:rsid w:val="001C0755"/>
    <w:rsid w:val="001C090A"/>
    <w:rsid w:val="001C0CD6"/>
    <w:rsid w:val="001C13AD"/>
    <w:rsid w:val="001C170A"/>
    <w:rsid w:val="001C1BEB"/>
    <w:rsid w:val="001C225E"/>
    <w:rsid w:val="001C23AD"/>
    <w:rsid w:val="001C24BA"/>
    <w:rsid w:val="001C269A"/>
    <w:rsid w:val="001C2789"/>
    <w:rsid w:val="001C2DB8"/>
    <w:rsid w:val="001C3579"/>
    <w:rsid w:val="001C398F"/>
    <w:rsid w:val="001C44A7"/>
    <w:rsid w:val="001C44D6"/>
    <w:rsid w:val="001C4D69"/>
    <w:rsid w:val="001C4E64"/>
    <w:rsid w:val="001C532E"/>
    <w:rsid w:val="001C53EB"/>
    <w:rsid w:val="001C574D"/>
    <w:rsid w:val="001C5AAA"/>
    <w:rsid w:val="001C64E1"/>
    <w:rsid w:val="001C682E"/>
    <w:rsid w:val="001D05EA"/>
    <w:rsid w:val="001D07B6"/>
    <w:rsid w:val="001D0B68"/>
    <w:rsid w:val="001D0BB7"/>
    <w:rsid w:val="001D0BFB"/>
    <w:rsid w:val="001D0EDD"/>
    <w:rsid w:val="001D1389"/>
    <w:rsid w:val="001D1897"/>
    <w:rsid w:val="001D19D7"/>
    <w:rsid w:val="001D1D32"/>
    <w:rsid w:val="001D2283"/>
    <w:rsid w:val="001D2D9C"/>
    <w:rsid w:val="001D2EC7"/>
    <w:rsid w:val="001D3087"/>
    <w:rsid w:val="001D3429"/>
    <w:rsid w:val="001D3599"/>
    <w:rsid w:val="001D35B3"/>
    <w:rsid w:val="001D3EB7"/>
    <w:rsid w:val="001D4032"/>
    <w:rsid w:val="001D42A4"/>
    <w:rsid w:val="001D435F"/>
    <w:rsid w:val="001D466E"/>
    <w:rsid w:val="001D4BE8"/>
    <w:rsid w:val="001D4C19"/>
    <w:rsid w:val="001D4EA0"/>
    <w:rsid w:val="001D4EEF"/>
    <w:rsid w:val="001D526B"/>
    <w:rsid w:val="001D61B9"/>
    <w:rsid w:val="001D69C6"/>
    <w:rsid w:val="001D6A11"/>
    <w:rsid w:val="001D6ABC"/>
    <w:rsid w:val="001D6E5D"/>
    <w:rsid w:val="001D7492"/>
    <w:rsid w:val="001D7759"/>
    <w:rsid w:val="001D77AD"/>
    <w:rsid w:val="001D7EE8"/>
    <w:rsid w:val="001E00E3"/>
    <w:rsid w:val="001E0137"/>
    <w:rsid w:val="001E0BE0"/>
    <w:rsid w:val="001E0C27"/>
    <w:rsid w:val="001E0C47"/>
    <w:rsid w:val="001E0DD0"/>
    <w:rsid w:val="001E1007"/>
    <w:rsid w:val="001E1353"/>
    <w:rsid w:val="001E1474"/>
    <w:rsid w:val="001E15BC"/>
    <w:rsid w:val="001E16F5"/>
    <w:rsid w:val="001E28D3"/>
    <w:rsid w:val="001E30B3"/>
    <w:rsid w:val="001E3431"/>
    <w:rsid w:val="001E386F"/>
    <w:rsid w:val="001E38AC"/>
    <w:rsid w:val="001E38B1"/>
    <w:rsid w:val="001E3C02"/>
    <w:rsid w:val="001E3FCD"/>
    <w:rsid w:val="001E40F3"/>
    <w:rsid w:val="001E4679"/>
    <w:rsid w:val="001E4FE8"/>
    <w:rsid w:val="001E5940"/>
    <w:rsid w:val="001E5995"/>
    <w:rsid w:val="001E6075"/>
    <w:rsid w:val="001E6B9A"/>
    <w:rsid w:val="001E7065"/>
    <w:rsid w:val="001E775D"/>
    <w:rsid w:val="001E7A2B"/>
    <w:rsid w:val="001E7ACC"/>
    <w:rsid w:val="001F0039"/>
    <w:rsid w:val="001F00D6"/>
    <w:rsid w:val="001F0325"/>
    <w:rsid w:val="001F098C"/>
    <w:rsid w:val="001F0EA2"/>
    <w:rsid w:val="001F17BA"/>
    <w:rsid w:val="001F1991"/>
    <w:rsid w:val="001F215E"/>
    <w:rsid w:val="001F2627"/>
    <w:rsid w:val="001F298D"/>
    <w:rsid w:val="001F39CF"/>
    <w:rsid w:val="001F3BB3"/>
    <w:rsid w:val="001F3E6B"/>
    <w:rsid w:val="001F3F69"/>
    <w:rsid w:val="001F430F"/>
    <w:rsid w:val="001F494C"/>
    <w:rsid w:val="001F4D2F"/>
    <w:rsid w:val="001F5DD0"/>
    <w:rsid w:val="001F6A8F"/>
    <w:rsid w:val="001F71F3"/>
    <w:rsid w:val="001F73BF"/>
    <w:rsid w:val="001F7802"/>
    <w:rsid w:val="001F7EFC"/>
    <w:rsid w:val="0020043F"/>
    <w:rsid w:val="00200710"/>
    <w:rsid w:val="00200F46"/>
    <w:rsid w:val="0020107C"/>
    <w:rsid w:val="00201225"/>
    <w:rsid w:val="00201641"/>
    <w:rsid w:val="00202995"/>
    <w:rsid w:val="00202ACE"/>
    <w:rsid w:val="00202B3E"/>
    <w:rsid w:val="00202D86"/>
    <w:rsid w:val="002032C1"/>
    <w:rsid w:val="00203843"/>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28C"/>
    <w:rsid w:val="00212471"/>
    <w:rsid w:val="00213121"/>
    <w:rsid w:val="00213D37"/>
    <w:rsid w:val="0021431F"/>
    <w:rsid w:val="0021444E"/>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1256"/>
    <w:rsid w:val="00222198"/>
    <w:rsid w:val="00223749"/>
    <w:rsid w:val="00223D9B"/>
    <w:rsid w:val="00224570"/>
    <w:rsid w:val="00224D4C"/>
    <w:rsid w:val="00224F88"/>
    <w:rsid w:val="00224F8F"/>
    <w:rsid w:val="00224FA5"/>
    <w:rsid w:val="00225070"/>
    <w:rsid w:val="0022709F"/>
    <w:rsid w:val="002279C5"/>
    <w:rsid w:val="0023023E"/>
    <w:rsid w:val="00230372"/>
    <w:rsid w:val="00230DE4"/>
    <w:rsid w:val="00230E84"/>
    <w:rsid w:val="00230ECA"/>
    <w:rsid w:val="00230F62"/>
    <w:rsid w:val="00231973"/>
    <w:rsid w:val="00231B4A"/>
    <w:rsid w:val="00231B55"/>
    <w:rsid w:val="00231C7A"/>
    <w:rsid w:val="00231D1F"/>
    <w:rsid w:val="00231E63"/>
    <w:rsid w:val="00231E89"/>
    <w:rsid w:val="00232244"/>
    <w:rsid w:val="00232295"/>
    <w:rsid w:val="00232A2D"/>
    <w:rsid w:val="00233451"/>
    <w:rsid w:val="002334CA"/>
    <w:rsid w:val="002335E8"/>
    <w:rsid w:val="00233DD7"/>
    <w:rsid w:val="00233F53"/>
    <w:rsid w:val="0023464F"/>
    <w:rsid w:val="002346CA"/>
    <w:rsid w:val="00234798"/>
    <w:rsid w:val="00234ABC"/>
    <w:rsid w:val="00234E86"/>
    <w:rsid w:val="00235216"/>
    <w:rsid w:val="00235BF6"/>
    <w:rsid w:val="00235D65"/>
    <w:rsid w:val="00235D91"/>
    <w:rsid w:val="00235FFB"/>
    <w:rsid w:val="0023672D"/>
    <w:rsid w:val="00237A86"/>
    <w:rsid w:val="00237DAF"/>
    <w:rsid w:val="00240018"/>
    <w:rsid w:val="002404F8"/>
    <w:rsid w:val="0024069E"/>
    <w:rsid w:val="0024073D"/>
    <w:rsid w:val="00240B2A"/>
    <w:rsid w:val="00240D71"/>
    <w:rsid w:val="0024107D"/>
    <w:rsid w:val="00241108"/>
    <w:rsid w:val="00241413"/>
    <w:rsid w:val="00241448"/>
    <w:rsid w:val="00241A5F"/>
    <w:rsid w:val="0024233C"/>
    <w:rsid w:val="002423FD"/>
    <w:rsid w:val="00242403"/>
    <w:rsid w:val="002424E7"/>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4AC8"/>
    <w:rsid w:val="002556C4"/>
    <w:rsid w:val="00255AC9"/>
    <w:rsid w:val="00256370"/>
    <w:rsid w:val="0025676D"/>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9C"/>
    <w:rsid w:val="00264AAD"/>
    <w:rsid w:val="00264FC0"/>
    <w:rsid w:val="002652EA"/>
    <w:rsid w:val="00265A07"/>
    <w:rsid w:val="00265B99"/>
    <w:rsid w:val="002661B0"/>
    <w:rsid w:val="00266468"/>
    <w:rsid w:val="002672AC"/>
    <w:rsid w:val="002673BE"/>
    <w:rsid w:val="0027094F"/>
    <w:rsid w:val="00271825"/>
    <w:rsid w:val="00271835"/>
    <w:rsid w:val="00271EDC"/>
    <w:rsid w:val="002728FC"/>
    <w:rsid w:val="00272B90"/>
    <w:rsid w:val="00273B77"/>
    <w:rsid w:val="00273BF9"/>
    <w:rsid w:val="00273F66"/>
    <w:rsid w:val="0027404F"/>
    <w:rsid w:val="002749A4"/>
    <w:rsid w:val="00275140"/>
    <w:rsid w:val="00275727"/>
    <w:rsid w:val="00275C52"/>
    <w:rsid w:val="00275C90"/>
    <w:rsid w:val="00275F5F"/>
    <w:rsid w:val="00276481"/>
    <w:rsid w:val="00276EDD"/>
    <w:rsid w:val="00277145"/>
    <w:rsid w:val="002775AA"/>
    <w:rsid w:val="00277ACC"/>
    <w:rsid w:val="00277FA3"/>
    <w:rsid w:val="002800E2"/>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ADF"/>
    <w:rsid w:val="00282C84"/>
    <w:rsid w:val="00282CEB"/>
    <w:rsid w:val="002831A9"/>
    <w:rsid w:val="002836C0"/>
    <w:rsid w:val="0028385C"/>
    <w:rsid w:val="00283E53"/>
    <w:rsid w:val="0028459A"/>
    <w:rsid w:val="00284B89"/>
    <w:rsid w:val="00284F16"/>
    <w:rsid w:val="0028516F"/>
    <w:rsid w:val="002856CC"/>
    <w:rsid w:val="002856E8"/>
    <w:rsid w:val="00285713"/>
    <w:rsid w:val="0028594F"/>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0EA"/>
    <w:rsid w:val="00294384"/>
    <w:rsid w:val="00294530"/>
    <w:rsid w:val="00294A4B"/>
    <w:rsid w:val="00295080"/>
    <w:rsid w:val="00295171"/>
    <w:rsid w:val="0029549E"/>
    <w:rsid w:val="0029551B"/>
    <w:rsid w:val="00296316"/>
    <w:rsid w:val="00296658"/>
    <w:rsid w:val="00296F7D"/>
    <w:rsid w:val="00296FE0"/>
    <w:rsid w:val="00297DC5"/>
    <w:rsid w:val="00297DF3"/>
    <w:rsid w:val="00297EFE"/>
    <w:rsid w:val="00297FBC"/>
    <w:rsid w:val="002A000F"/>
    <w:rsid w:val="002A08C3"/>
    <w:rsid w:val="002A0FA8"/>
    <w:rsid w:val="002A111A"/>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7E1"/>
    <w:rsid w:val="002A6C52"/>
    <w:rsid w:val="002A7075"/>
    <w:rsid w:val="002A72BA"/>
    <w:rsid w:val="002A73B5"/>
    <w:rsid w:val="002A7950"/>
    <w:rsid w:val="002A7AEC"/>
    <w:rsid w:val="002A7C89"/>
    <w:rsid w:val="002A7CB7"/>
    <w:rsid w:val="002B0590"/>
    <w:rsid w:val="002B05D6"/>
    <w:rsid w:val="002B0752"/>
    <w:rsid w:val="002B0F81"/>
    <w:rsid w:val="002B0FF4"/>
    <w:rsid w:val="002B1530"/>
    <w:rsid w:val="002B1948"/>
    <w:rsid w:val="002B19F0"/>
    <w:rsid w:val="002B1B67"/>
    <w:rsid w:val="002B1BBF"/>
    <w:rsid w:val="002B1C30"/>
    <w:rsid w:val="002B23F4"/>
    <w:rsid w:val="002B24D7"/>
    <w:rsid w:val="002B2930"/>
    <w:rsid w:val="002B2C83"/>
    <w:rsid w:val="002B2FEC"/>
    <w:rsid w:val="002B33F5"/>
    <w:rsid w:val="002B39EC"/>
    <w:rsid w:val="002B3EFF"/>
    <w:rsid w:val="002B4025"/>
    <w:rsid w:val="002B43E7"/>
    <w:rsid w:val="002B50F8"/>
    <w:rsid w:val="002B5ECD"/>
    <w:rsid w:val="002B69D7"/>
    <w:rsid w:val="002B773F"/>
    <w:rsid w:val="002B7863"/>
    <w:rsid w:val="002B7968"/>
    <w:rsid w:val="002B7E69"/>
    <w:rsid w:val="002B7E74"/>
    <w:rsid w:val="002C0667"/>
    <w:rsid w:val="002C0898"/>
    <w:rsid w:val="002C1BC4"/>
    <w:rsid w:val="002C1C34"/>
    <w:rsid w:val="002C2475"/>
    <w:rsid w:val="002C252C"/>
    <w:rsid w:val="002C2CA8"/>
    <w:rsid w:val="002C2F3B"/>
    <w:rsid w:val="002C352A"/>
    <w:rsid w:val="002C3941"/>
    <w:rsid w:val="002C3C3B"/>
    <w:rsid w:val="002C3E85"/>
    <w:rsid w:val="002C448D"/>
    <w:rsid w:val="002C4A75"/>
    <w:rsid w:val="002C4ACD"/>
    <w:rsid w:val="002C4EA8"/>
    <w:rsid w:val="002C5496"/>
    <w:rsid w:val="002C6182"/>
    <w:rsid w:val="002C61A1"/>
    <w:rsid w:val="002C6BBD"/>
    <w:rsid w:val="002C70B3"/>
    <w:rsid w:val="002C763E"/>
    <w:rsid w:val="002C7910"/>
    <w:rsid w:val="002C7DA8"/>
    <w:rsid w:val="002C7E05"/>
    <w:rsid w:val="002D0834"/>
    <w:rsid w:val="002D0B07"/>
    <w:rsid w:val="002D0C96"/>
    <w:rsid w:val="002D0D12"/>
    <w:rsid w:val="002D14C6"/>
    <w:rsid w:val="002D19CF"/>
    <w:rsid w:val="002D251D"/>
    <w:rsid w:val="002D27D9"/>
    <w:rsid w:val="002D2B4C"/>
    <w:rsid w:val="002D32D5"/>
    <w:rsid w:val="002D3316"/>
    <w:rsid w:val="002D354D"/>
    <w:rsid w:val="002D361C"/>
    <w:rsid w:val="002D3BDB"/>
    <w:rsid w:val="002D3DEE"/>
    <w:rsid w:val="002D44EF"/>
    <w:rsid w:val="002D521C"/>
    <w:rsid w:val="002D5222"/>
    <w:rsid w:val="002D525F"/>
    <w:rsid w:val="002D5CAF"/>
    <w:rsid w:val="002D5DF7"/>
    <w:rsid w:val="002D714B"/>
    <w:rsid w:val="002D7606"/>
    <w:rsid w:val="002D7893"/>
    <w:rsid w:val="002D79BB"/>
    <w:rsid w:val="002E022C"/>
    <w:rsid w:val="002E05B2"/>
    <w:rsid w:val="002E087C"/>
    <w:rsid w:val="002E09F8"/>
    <w:rsid w:val="002E0B91"/>
    <w:rsid w:val="002E0C5D"/>
    <w:rsid w:val="002E1393"/>
    <w:rsid w:val="002E13ED"/>
    <w:rsid w:val="002E1AEC"/>
    <w:rsid w:val="002E232D"/>
    <w:rsid w:val="002E24BC"/>
    <w:rsid w:val="002E3768"/>
    <w:rsid w:val="002E3B46"/>
    <w:rsid w:val="002E3F59"/>
    <w:rsid w:val="002E4008"/>
    <w:rsid w:val="002E47DB"/>
    <w:rsid w:val="002E4918"/>
    <w:rsid w:val="002E50AB"/>
    <w:rsid w:val="002E5663"/>
    <w:rsid w:val="002E5BED"/>
    <w:rsid w:val="002E5EC9"/>
    <w:rsid w:val="002E68A7"/>
    <w:rsid w:val="002E6DD1"/>
    <w:rsid w:val="002E7231"/>
    <w:rsid w:val="002E74F9"/>
    <w:rsid w:val="002E7640"/>
    <w:rsid w:val="002E7B6D"/>
    <w:rsid w:val="002F027E"/>
    <w:rsid w:val="002F047D"/>
    <w:rsid w:val="002F05CB"/>
    <w:rsid w:val="002F1095"/>
    <w:rsid w:val="002F12B1"/>
    <w:rsid w:val="002F15F2"/>
    <w:rsid w:val="002F1E29"/>
    <w:rsid w:val="002F21B5"/>
    <w:rsid w:val="002F236C"/>
    <w:rsid w:val="002F2A1A"/>
    <w:rsid w:val="002F2D06"/>
    <w:rsid w:val="002F2E55"/>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0AC0"/>
    <w:rsid w:val="00301057"/>
    <w:rsid w:val="0030212C"/>
    <w:rsid w:val="00302151"/>
    <w:rsid w:val="00302427"/>
    <w:rsid w:val="003026AE"/>
    <w:rsid w:val="00302A7B"/>
    <w:rsid w:val="00302CD4"/>
    <w:rsid w:val="00302F67"/>
    <w:rsid w:val="00303034"/>
    <w:rsid w:val="0030309D"/>
    <w:rsid w:val="0030333F"/>
    <w:rsid w:val="00303424"/>
    <w:rsid w:val="0030349B"/>
    <w:rsid w:val="00304388"/>
    <w:rsid w:val="0030453B"/>
    <w:rsid w:val="00304AAB"/>
    <w:rsid w:val="00304F57"/>
    <w:rsid w:val="00305223"/>
    <w:rsid w:val="00305345"/>
    <w:rsid w:val="0030543F"/>
    <w:rsid w:val="003059AA"/>
    <w:rsid w:val="00305C7B"/>
    <w:rsid w:val="00306187"/>
    <w:rsid w:val="00306416"/>
    <w:rsid w:val="00306942"/>
    <w:rsid w:val="00307024"/>
    <w:rsid w:val="0030704C"/>
    <w:rsid w:val="00307095"/>
    <w:rsid w:val="003074A5"/>
    <w:rsid w:val="00307DB0"/>
    <w:rsid w:val="00307E61"/>
    <w:rsid w:val="003102D5"/>
    <w:rsid w:val="00310328"/>
    <w:rsid w:val="003105CE"/>
    <w:rsid w:val="0031077E"/>
    <w:rsid w:val="00310E5A"/>
    <w:rsid w:val="003110A6"/>
    <w:rsid w:val="00311291"/>
    <w:rsid w:val="003113AE"/>
    <w:rsid w:val="00311579"/>
    <w:rsid w:val="0031171F"/>
    <w:rsid w:val="00311999"/>
    <w:rsid w:val="00311C5D"/>
    <w:rsid w:val="00312492"/>
    <w:rsid w:val="003128C3"/>
    <w:rsid w:val="00312ACA"/>
    <w:rsid w:val="00312C21"/>
    <w:rsid w:val="00312D90"/>
    <w:rsid w:val="00312DE6"/>
    <w:rsid w:val="00313717"/>
    <w:rsid w:val="003141E8"/>
    <w:rsid w:val="00314403"/>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D1A"/>
    <w:rsid w:val="00320F1C"/>
    <w:rsid w:val="00320FE7"/>
    <w:rsid w:val="00321BA2"/>
    <w:rsid w:val="003222EA"/>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6FB6"/>
    <w:rsid w:val="003273BF"/>
    <w:rsid w:val="0032768B"/>
    <w:rsid w:val="003300DB"/>
    <w:rsid w:val="0033013A"/>
    <w:rsid w:val="00330401"/>
    <w:rsid w:val="003307C2"/>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516"/>
    <w:rsid w:val="00335A08"/>
    <w:rsid w:val="003370C6"/>
    <w:rsid w:val="00337365"/>
    <w:rsid w:val="003373AF"/>
    <w:rsid w:val="00337BF7"/>
    <w:rsid w:val="00337FC0"/>
    <w:rsid w:val="003401AF"/>
    <w:rsid w:val="003401E6"/>
    <w:rsid w:val="003402AD"/>
    <w:rsid w:val="00340776"/>
    <w:rsid w:val="003409B2"/>
    <w:rsid w:val="00340BAB"/>
    <w:rsid w:val="0034105F"/>
    <w:rsid w:val="00341169"/>
    <w:rsid w:val="003411E9"/>
    <w:rsid w:val="003413B0"/>
    <w:rsid w:val="00341DD0"/>
    <w:rsid w:val="00341E75"/>
    <w:rsid w:val="00342223"/>
    <w:rsid w:val="00342482"/>
    <w:rsid w:val="00342E46"/>
    <w:rsid w:val="00342F15"/>
    <w:rsid w:val="00343038"/>
    <w:rsid w:val="00343434"/>
    <w:rsid w:val="00343EAD"/>
    <w:rsid w:val="00344169"/>
    <w:rsid w:val="00344EFD"/>
    <w:rsid w:val="00345A51"/>
    <w:rsid w:val="00345C30"/>
    <w:rsid w:val="00345EBD"/>
    <w:rsid w:val="00346468"/>
    <w:rsid w:val="0034649F"/>
    <w:rsid w:val="00346B8F"/>
    <w:rsid w:val="00347A0C"/>
    <w:rsid w:val="00347E5A"/>
    <w:rsid w:val="00347EF5"/>
    <w:rsid w:val="00347F2C"/>
    <w:rsid w:val="00347FE3"/>
    <w:rsid w:val="00350034"/>
    <w:rsid w:val="00350374"/>
    <w:rsid w:val="00350C81"/>
    <w:rsid w:val="00351448"/>
    <w:rsid w:val="00351F93"/>
    <w:rsid w:val="003525CC"/>
    <w:rsid w:val="00352CF5"/>
    <w:rsid w:val="003531CB"/>
    <w:rsid w:val="003539D5"/>
    <w:rsid w:val="00353E46"/>
    <w:rsid w:val="0035462A"/>
    <w:rsid w:val="00354C0F"/>
    <w:rsid w:val="003556F3"/>
    <w:rsid w:val="0035654D"/>
    <w:rsid w:val="00356FD0"/>
    <w:rsid w:val="003570A1"/>
    <w:rsid w:val="00357946"/>
    <w:rsid w:val="00360DBD"/>
    <w:rsid w:val="0036112B"/>
    <w:rsid w:val="00361270"/>
    <w:rsid w:val="003612EE"/>
    <w:rsid w:val="003617DB"/>
    <w:rsid w:val="00361909"/>
    <w:rsid w:val="00362051"/>
    <w:rsid w:val="00362098"/>
    <w:rsid w:val="0036249E"/>
    <w:rsid w:val="003629DD"/>
    <w:rsid w:val="00362FD0"/>
    <w:rsid w:val="003630C7"/>
    <w:rsid w:val="00363421"/>
    <w:rsid w:val="003635B8"/>
    <w:rsid w:val="00363D41"/>
    <w:rsid w:val="003658B1"/>
    <w:rsid w:val="00365C46"/>
    <w:rsid w:val="00365F8E"/>
    <w:rsid w:val="00366556"/>
    <w:rsid w:val="00366CEA"/>
    <w:rsid w:val="00366D05"/>
    <w:rsid w:val="003673CA"/>
    <w:rsid w:val="00367DA6"/>
    <w:rsid w:val="00367F49"/>
    <w:rsid w:val="003708C4"/>
    <w:rsid w:val="00370BFD"/>
    <w:rsid w:val="0037137A"/>
    <w:rsid w:val="00371885"/>
    <w:rsid w:val="00371A4E"/>
    <w:rsid w:val="00371BBF"/>
    <w:rsid w:val="003721E5"/>
    <w:rsid w:val="003728F4"/>
    <w:rsid w:val="0037297A"/>
    <w:rsid w:val="003729D4"/>
    <w:rsid w:val="00372BA4"/>
    <w:rsid w:val="00372BBC"/>
    <w:rsid w:val="00372EDF"/>
    <w:rsid w:val="00372F0C"/>
    <w:rsid w:val="00373413"/>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8B1"/>
    <w:rsid w:val="00384EEB"/>
    <w:rsid w:val="003852DD"/>
    <w:rsid w:val="00385EA9"/>
    <w:rsid w:val="0038608B"/>
    <w:rsid w:val="00387003"/>
    <w:rsid w:val="0038736E"/>
    <w:rsid w:val="003904DB"/>
    <w:rsid w:val="0039101B"/>
    <w:rsid w:val="00391755"/>
    <w:rsid w:val="0039197C"/>
    <w:rsid w:val="00391C66"/>
    <w:rsid w:val="00391F8F"/>
    <w:rsid w:val="0039230E"/>
    <w:rsid w:val="00392565"/>
    <w:rsid w:val="003926C0"/>
    <w:rsid w:val="003931FA"/>
    <w:rsid w:val="003932DF"/>
    <w:rsid w:val="003934BF"/>
    <w:rsid w:val="00394046"/>
    <w:rsid w:val="003943C2"/>
    <w:rsid w:val="003944EC"/>
    <w:rsid w:val="003947F1"/>
    <w:rsid w:val="0039481E"/>
    <w:rsid w:val="00394855"/>
    <w:rsid w:val="00394AC2"/>
    <w:rsid w:val="00394C0B"/>
    <w:rsid w:val="00395468"/>
    <w:rsid w:val="003954C8"/>
    <w:rsid w:val="00397022"/>
    <w:rsid w:val="003970F7"/>
    <w:rsid w:val="0039739E"/>
    <w:rsid w:val="003978BF"/>
    <w:rsid w:val="00397D67"/>
    <w:rsid w:val="00397E01"/>
    <w:rsid w:val="00397E22"/>
    <w:rsid w:val="003A0210"/>
    <w:rsid w:val="003A0290"/>
    <w:rsid w:val="003A1587"/>
    <w:rsid w:val="003A1612"/>
    <w:rsid w:val="003A20B9"/>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9EF"/>
    <w:rsid w:val="003B1A43"/>
    <w:rsid w:val="003B1C7E"/>
    <w:rsid w:val="003B2407"/>
    <w:rsid w:val="003B2C94"/>
    <w:rsid w:val="003B2CC2"/>
    <w:rsid w:val="003B3058"/>
    <w:rsid w:val="003B3167"/>
    <w:rsid w:val="003B39A0"/>
    <w:rsid w:val="003B406A"/>
    <w:rsid w:val="003B44E9"/>
    <w:rsid w:val="003B54C0"/>
    <w:rsid w:val="003B5AA5"/>
    <w:rsid w:val="003B6140"/>
    <w:rsid w:val="003B6164"/>
    <w:rsid w:val="003B6715"/>
    <w:rsid w:val="003B68CE"/>
    <w:rsid w:val="003B6C6A"/>
    <w:rsid w:val="003B6C95"/>
    <w:rsid w:val="003B6E41"/>
    <w:rsid w:val="003B783E"/>
    <w:rsid w:val="003B7EF1"/>
    <w:rsid w:val="003C04ED"/>
    <w:rsid w:val="003C087A"/>
    <w:rsid w:val="003C0E83"/>
    <w:rsid w:val="003C1818"/>
    <w:rsid w:val="003C1CC8"/>
    <w:rsid w:val="003C1F1C"/>
    <w:rsid w:val="003C25F5"/>
    <w:rsid w:val="003C275F"/>
    <w:rsid w:val="003C2A04"/>
    <w:rsid w:val="003C2EED"/>
    <w:rsid w:val="003C3DED"/>
    <w:rsid w:val="003C440F"/>
    <w:rsid w:val="003C441B"/>
    <w:rsid w:val="003C4AD7"/>
    <w:rsid w:val="003C5307"/>
    <w:rsid w:val="003C54D5"/>
    <w:rsid w:val="003C5690"/>
    <w:rsid w:val="003C63C5"/>
    <w:rsid w:val="003C6AC1"/>
    <w:rsid w:val="003C6B0A"/>
    <w:rsid w:val="003C6D25"/>
    <w:rsid w:val="003C6DD6"/>
    <w:rsid w:val="003C6DF2"/>
    <w:rsid w:val="003C7291"/>
    <w:rsid w:val="003C7569"/>
    <w:rsid w:val="003D09B8"/>
    <w:rsid w:val="003D0AF1"/>
    <w:rsid w:val="003D0E47"/>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3E50"/>
    <w:rsid w:val="003D413E"/>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5B0"/>
    <w:rsid w:val="003E39D2"/>
    <w:rsid w:val="003E3A33"/>
    <w:rsid w:val="003E3A5E"/>
    <w:rsid w:val="003E42BE"/>
    <w:rsid w:val="003E4804"/>
    <w:rsid w:val="003E4A57"/>
    <w:rsid w:val="003E4BF7"/>
    <w:rsid w:val="003E578A"/>
    <w:rsid w:val="003E5F76"/>
    <w:rsid w:val="003E62BD"/>
    <w:rsid w:val="003E643A"/>
    <w:rsid w:val="003E64BA"/>
    <w:rsid w:val="003E66CA"/>
    <w:rsid w:val="003E6A42"/>
    <w:rsid w:val="003E6FC1"/>
    <w:rsid w:val="003E74C3"/>
    <w:rsid w:val="003E75B1"/>
    <w:rsid w:val="003E767D"/>
    <w:rsid w:val="003E7A03"/>
    <w:rsid w:val="003F00C6"/>
    <w:rsid w:val="003F074B"/>
    <w:rsid w:val="003F1214"/>
    <w:rsid w:val="003F146C"/>
    <w:rsid w:val="003F161C"/>
    <w:rsid w:val="003F168D"/>
    <w:rsid w:val="003F17A9"/>
    <w:rsid w:val="003F1A3E"/>
    <w:rsid w:val="003F1EA2"/>
    <w:rsid w:val="003F2B42"/>
    <w:rsid w:val="003F31F0"/>
    <w:rsid w:val="003F3299"/>
    <w:rsid w:val="003F395F"/>
    <w:rsid w:val="003F3A2E"/>
    <w:rsid w:val="003F3BC1"/>
    <w:rsid w:val="003F3C16"/>
    <w:rsid w:val="003F4793"/>
    <w:rsid w:val="003F4F77"/>
    <w:rsid w:val="003F5897"/>
    <w:rsid w:val="003F59A9"/>
    <w:rsid w:val="003F5A02"/>
    <w:rsid w:val="003F5BA2"/>
    <w:rsid w:val="003F6042"/>
    <w:rsid w:val="003F63D6"/>
    <w:rsid w:val="003F66B9"/>
    <w:rsid w:val="003F6779"/>
    <w:rsid w:val="003F680F"/>
    <w:rsid w:val="003F68B2"/>
    <w:rsid w:val="003F6A5F"/>
    <w:rsid w:val="003F73D3"/>
    <w:rsid w:val="003F74D8"/>
    <w:rsid w:val="003F7777"/>
    <w:rsid w:val="0040039A"/>
    <w:rsid w:val="004003D2"/>
    <w:rsid w:val="004013FD"/>
    <w:rsid w:val="0040147C"/>
    <w:rsid w:val="004014B6"/>
    <w:rsid w:val="0040180E"/>
    <w:rsid w:val="0040184D"/>
    <w:rsid w:val="00401C45"/>
    <w:rsid w:val="00401ED0"/>
    <w:rsid w:val="004021EE"/>
    <w:rsid w:val="004025FF"/>
    <w:rsid w:val="0040275C"/>
    <w:rsid w:val="00402C1B"/>
    <w:rsid w:val="0040350C"/>
    <w:rsid w:val="00403529"/>
    <w:rsid w:val="0040366C"/>
    <w:rsid w:val="004038B4"/>
    <w:rsid w:val="00404169"/>
    <w:rsid w:val="00404517"/>
    <w:rsid w:val="004048B4"/>
    <w:rsid w:val="004049CF"/>
    <w:rsid w:val="00404A4A"/>
    <w:rsid w:val="00404BDE"/>
    <w:rsid w:val="00405140"/>
    <w:rsid w:val="00405263"/>
    <w:rsid w:val="0040544C"/>
    <w:rsid w:val="00405849"/>
    <w:rsid w:val="0040599A"/>
    <w:rsid w:val="00405F02"/>
    <w:rsid w:val="004062C0"/>
    <w:rsid w:val="00410004"/>
    <w:rsid w:val="00410555"/>
    <w:rsid w:val="00410D3C"/>
    <w:rsid w:val="00410F2F"/>
    <w:rsid w:val="00410FAC"/>
    <w:rsid w:val="00410FB0"/>
    <w:rsid w:val="0041121A"/>
    <w:rsid w:val="00411668"/>
    <w:rsid w:val="00411A9B"/>
    <w:rsid w:val="004124BB"/>
    <w:rsid w:val="00412FD1"/>
    <w:rsid w:val="00413398"/>
    <w:rsid w:val="004133A5"/>
    <w:rsid w:val="004134F2"/>
    <w:rsid w:val="00413862"/>
    <w:rsid w:val="00413D38"/>
    <w:rsid w:val="00413EAE"/>
    <w:rsid w:val="00414307"/>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79D"/>
    <w:rsid w:val="00420A20"/>
    <w:rsid w:val="00420CAA"/>
    <w:rsid w:val="00421384"/>
    <w:rsid w:val="0042191D"/>
    <w:rsid w:val="00422BB3"/>
    <w:rsid w:val="004237FC"/>
    <w:rsid w:val="00423FF5"/>
    <w:rsid w:val="004242D8"/>
    <w:rsid w:val="00424396"/>
    <w:rsid w:val="00424BEC"/>
    <w:rsid w:val="00424FB1"/>
    <w:rsid w:val="00425AC4"/>
    <w:rsid w:val="004260F2"/>
    <w:rsid w:val="004267FF"/>
    <w:rsid w:val="00426CDF"/>
    <w:rsid w:val="004274D3"/>
    <w:rsid w:val="00427E08"/>
    <w:rsid w:val="00427F30"/>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92E"/>
    <w:rsid w:val="00437B38"/>
    <w:rsid w:val="00437B8B"/>
    <w:rsid w:val="00440218"/>
    <w:rsid w:val="00440425"/>
    <w:rsid w:val="00440DC6"/>
    <w:rsid w:val="00441533"/>
    <w:rsid w:val="00441F09"/>
    <w:rsid w:val="00442C1A"/>
    <w:rsid w:val="0044302C"/>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3A8C"/>
    <w:rsid w:val="004544EB"/>
    <w:rsid w:val="004545E0"/>
    <w:rsid w:val="004547FE"/>
    <w:rsid w:val="00454AA0"/>
    <w:rsid w:val="0045651B"/>
    <w:rsid w:val="004568B0"/>
    <w:rsid w:val="004570BF"/>
    <w:rsid w:val="00457323"/>
    <w:rsid w:val="00457C5D"/>
    <w:rsid w:val="004603A4"/>
    <w:rsid w:val="0046046E"/>
    <w:rsid w:val="004608F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31C"/>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04C"/>
    <w:rsid w:val="004721F4"/>
    <w:rsid w:val="00472947"/>
    <w:rsid w:val="00472D83"/>
    <w:rsid w:val="00473601"/>
    <w:rsid w:val="0047397A"/>
    <w:rsid w:val="00473BCF"/>
    <w:rsid w:val="00473CD0"/>
    <w:rsid w:val="004740FF"/>
    <w:rsid w:val="004743DC"/>
    <w:rsid w:val="00474549"/>
    <w:rsid w:val="0047464A"/>
    <w:rsid w:val="0047471C"/>
    <w:rsid w:val="00474CB9"/>
    <w:rsid w:val="00474CE3"/>
    <w:rsid w:val="00474EC1"/>
    <w:rsid w:val="00474F3A"/>
    <w:rsid w:val="00475307"/>
    <w:rsid w:val="0047533E"/>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055E"/>
    <w:rsid w:val="00481216"/>
    <w:rsid w:val="004817D7"/>
    <w:rsid w:val="00482ACC"/>
    <w:rsid w:val="00482AD1"/>
    <w:rsid w:val="00482C84"/>
    <w:rsid w:val="00483575"/>
    <w:rsid w:val="0048361B"/>
    <w:rsid w:val="00483B27"/>
    <w:rsid w:val="00483F4F"/>
    <w:rsid w:val="00484C09"/>
    <w:rsid w:val="00484FE8"/>
    <w:rsid w:val="00485462"/>
    <w:rsid w:val="004855F6"/>
    <w:rsid w:val="00485BD6"/>
    <w:rsid w:val="00485BF3"/>
    <w:rsid w:val="00485D01"/>
    <w:rsid w:val="00486C61"/>
    <w:rsid w:val="00487533"/>
    <w:rsid w:val="00487DBE"/>
    <w:rsid w:val="004901FB"/>
    <w:rsid w:val="00490569"/>
    <w:rsid w:val="00490F0B"/>
    <w:rsid w:val="004910FA"/>
    <w:rsid w:val="00491215"/>
    <w:rsid w:val="00491B29"/>
    <w:rsid w:val="00491B39"/>
    <w:rsid w:val="00491BDF"/>
    <w:rsid w:val="00491CA1"/>
    <w:rsid w:val="0049209D"/>
    <w:rsid w:val="004924CF"/>
    <w:rsid w:val="00492755"/>
    <w:rsid w:val="0049280A"/>
    <w:rsid w:val="00492C70"/>
    <w:rsid w:val="00494871"/>
    <w:rsid w:val="00495749"/>
    <w:rsid w:val="00495A84"/>
    <w:rsid w:val="00495B47"/>
    <w:rsid w:val="00495FBC"/>
    <w:rsid w:val="0049661C"/>
    <w:rsid w:val="00496688"/>
    <w:rsid w:val="004966F2"/>
    <w:rsid w:val="004968BB"/>
    <w:rsid w:val="00496AF1"/>
    <w:rsid w:val="00496C34"/>
    <w:rsid w:val="00496F68"/>
    <w:rsid w:val="004978BB"/>
    <w:rsid w:val="004A05CD"/>
    <w:rsid w:val="004A06BB"/>
    <w:rsid w:val="004A17BC"/>
    <w:rsid w:val="004A1808"/>
    <w:rsid w:val="004A18FC"/>
    <w:rsid w:val="004A1B57"/>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6CF"/>
    <w:rsid w:val="004B3730"/>
    <w:rsid w:val="004B40FA"/>
    <w:rsid w:val="004B4CB3"/>
    <w:rsid w:val="004B5223"/>
    <w:rsid w:val="004B52CB"/>
    <w:rsid w:val="004B56B4"/>
    <w:rsid w:val="004B5ADF"/>
    <w:rsid w:val="004B67CE"/>
    <w:rsid w:val="004B6DC5"/>
    <w:rsid w:val="004B7377"/>
    <w:rsid w:val="004B74ED"/>
    <w:rsid w:val="004B7B88"/>
    <w:rsid w:val="004C0393"/>
    <w:rsid w:val="004C08D2"/>
    <w:rsid w:val="004C131A"/>
    <w:rsid w:val="004C22D4"/>
    <w:rsid w:val="004C22E9"/>
    <w:rsid w:val="004C232D"/>
    <w:rsid w:val="004C32F6"/>
    <w:rsid w:val="004C359D"/>
    <w:rsid w:val="004C364A"/>
    <w:rsid w:val="004C3E2B"/>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63"/>
    <w:rsid w:val="004D13A5"/>
    <w:rsid w:val="004D1ABE"/>
    <w:rsid w:val="004D22B8"/>
    <w:rsid w:val="004D2618"/>
    <w:rsid w:val="004D2913"/>
    <w:rsid w:val="004D30D9"/>
    <w:rsid w:val="004D3B88"/>
    <w:rsid w:val="004D41BF"/>
    <w:rsid w:val="004D4478"/>
    <w:rsid w:val="004D44CC"/>
    <w:rsid w:val="004D477D"/>
    <w:rsid w:val="004D50B4"/>
    <w:rsid w:val="004D566C"/>
    <w:rsid w:val="004D5940"/>
    <w:rsid w:val="004D5D28"/>
    <w:rsid w:val="004D63BA"/>
    <w:rsid w:val="004D668B"/>
    <w:rsid w:val="004D67DF"/>
    <w:rsid w:val="004D6814"/>
    <w:rsid w:val="004D6C06"/>
    <w:rsid w:val="004D6D28"/>
    <w:rsid w:val="004D772F"/>
    <w:rsid w:val="004D7863"/>
    <w:rsid w:val="004E02E2"/>
    <w:rsid w:val="004E04AE"/>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2B1"/>
    <w:rsid w:val="004F0526"/>
    <w:rsid w:val="004F07EC"/>
    <w:rsid w:val="004F0916"/>
    <w:rsid w:val="004F0D08"/>
    <w:rsid w:val="004F11F5"/>
    <w:rsid w:val="004F132D"/>
    <w:rsid w:val="004F189D"/>
    <w:rsid w:val="004F1963"/>
    <w:rsid w:val="004F1AB3"/>
    <w:rsid w:val="004F1BB5"/>
    <w:rsid w:val="004F1DE8"/>
    <w:rsid w:val="004F2008"/>
    <w:rsid w:val="004F29E1"/>
    <w:rsid w:val="004F2F98"/>
    <w:rsid w:val="004F306C"/>
    <w:rsid w:val="004F311A"/>
    <w:rsid w:val="004F38C5"/>
    <w:rsid w:val="004F3CC7"/>
    <w:rsid w:val="004F3CD1"/>
    <w:rsid w:val="004F3D46"/>
    <w:rsid w:val="004F405B"/>
    <w:rsid w:val="004F57AE"/>
    <w:rsid w:val="004F5CB0"/>
    <w:rsid w:val="004F6069"/>
    <w:rsid w:val="004F6333"/>
    <w:rsid w:val="004F63FA"/>
    <w:rsid w:val="004F64F2"/>
    <w:rsid w:val="004F69E1"/>
    <w:rsid w:val="004F6A24"/>
    <w:rsid w:val="004F6C21"/>
    <w:rsid w:val="004F713E"/>
    <w:rsid w:val="004F755E"/>
    <w:rsid w:val="004F78E8"/>
    <w:rsid w:val="004F7918"/>
    <w:rsid w:val="004F7939"/>
    <w:rsid w:val="004F7B13"/>
    <w:rsid w:val="005000ED"/>
    <w:rsid w:val="00500244"/>
    <w:rsid w:val="00500552"/>
    <w:rsid w:val="005006B3"/>
    <w:rsid w:val="00500BB1"/>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400"/>
    <w:rsid w:val="00515C5A"/>
    <w:rsid w:val="005160FD"/>
    <w:rsid w:val="005164AA"/>
    <w:rsid w:val="005164E9"/>
    <w:rsid w:val="00517D5F"/>
    <w:rsid w:val="00520516"/>
    <w:rsid w:val="00520CE9"/>
    <w:rsid w:val="00521091"/>
    <w:rsid w:val="005213E5"/>
    <w:rsid w:val="00521707"/>
    <w:rsid w:val="00522378"/>
    <w:rsid w:val="005223C6"/>
    <w:rsid w:val="00522436"/>
    <w:rsid w:val="005228ED"/>
    <w:rsid w:val="00522D9C"/>
    <w:rsid w:val="00522E2D"/>
    <w:rsid w:val="005235AA"/>
    <w:rsid w:val="00524F9F"/>
    <w:rsid w:val="005251C5"/>
    <w:rsid w:val="00525438"/>
    <w:rsid w:val="00525B9E"/>
    <w:rsid w:val="00525E34"/>
    <w:rsid w:val="005268AD"/>
    <w:rsid w:val="00526D94"/>
    <w:rsid w:val="00527445"/>
    <w:rsid w:val="00527D98"/>
    <w:rsid w:val="00530B93"/>
    <w:rsid w:val="00530BFA"/>
    <w:rsid w:val="00531699"/>
    <w:rsid w:val="00531807"/>
    <w:rsid w:val="005322C6"/>
    <w:rsid w:val="005326FE"/>
    <w:rsid w:val="0053271B"/>
    <w:rsid w:val="00532911"/>
    <w:rsid w:val="005329A3"/>
    <w:rsid w:val="00532B16"/>
    <w:rsid w:val="0053313D"/>
    <w:rsid w:val="00534041"/>
    <w:rsid w:val="005341AA"/>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7B0"/>
    <w:rsid w:val="00543854"/>
    <w:rsid w:val="005439F8"/>
    <w:rsid w:val="00543A29"/>
    <w:rsid w:val="00543F92"/>
    <w:rsid w:val="005441DF"/>
    <w:rsid w:val="005442E6"/>
    <w:rsid w:val="00544993"/>
    <w:rsid w:val="00544B6D"/>
    <w:rsid w:val="00544D3F"/>
    <w:rsid w:val="00544EE2"/>
    <w:rsid w:val="0054555E"/>
    <w:rsid w:val="00545A48"/>
    <w:rsid w:val="00545AB6"/>
    <w:rsid w:val="005460D9"/>
    <w:rsid w:val="0054621A"/>
    <w:rsid w:val="005465C4"/>
    <w:rsid w:val="005466C0"/>
    <w:rsid w:val="00546C9F"/>
    <w:rsid w:val="00546D35"/>
    <w:rsid w:val="0054735C"/>
    <w:rsid w:val="00547456"/>
    <w:rsid w:val="0054796A"/>
    <w:rsid w:val="00547A4A"/>
    <w:rsid w:val="00547EF5"/>
    <w:rsid w:val="00550BD2"/>
    <w:rsid w:val="00551298"/>
    <w:rsid w:val="00551B85"/>
    <w:rsid w:val="00551C03"/>
    <w:rsid w:val="00552161"/>
    <w:rsid w:val="00552372"/>
    <w:rsid w:val="005525C6"/>
    <w:rsid w:val="005529EE"/>
    <w:rsid w:val="005529FF"/>
    <w:rsid w:val="00552B68"/>
    <w:rsid w:val="00553504"/>
    <w:rsid w:val="005536E4"/>
    <w:rsid w:val="00553AA0"/>
    <w:rsid w:val="00553B49"/>
    <w:rsid w:val="00553FE1"/>
    <w:rsid w:val="005540B5"/>
    <w:rsid w:val="00554DEE"/>
    <w:rsid w:val="0055516F"/>
    <w:rsid w:val="0055536A"/>
    <w:rsid w:val="0055561A"/>
    <w:rsid w:val="005556F9"/>
    <w:rsid w:val="005559FC"/>
    <w:rsid w:val="00555D4E"/>
    <w:rsid w:val="00556125"/>
    <w:rsid w:val="0055715D"/>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67E5A"/>
    <w:rsid w:val="0057023D"/>
    <w:rsid w:val="005707EB"/>
    <w:rsid w:val="00570822"/>
    <w:rsid w:val="005709DA"/>
    <w:rsid w:val="00570DBD"/>
    <w:rsid w:val="0057151F"/>
    <w:rsid w:val="005715B5"/>
    <w:rsid w:val="005715FD"/>
    <w:rsid w:val="00571840"/>
    <w:rsid w:val="0057185D"/>
    <w:rsid w:val="005718BC"/>
    <w:rsid w:val="00571977"/>
    <w:rsid w:val="00571EF7"/>
    <w:rsid w:val="0057268E"/>
    <w:rsid w:val="00572CB3"/>
    <w:rsid w:val="0057315D"/>
    <w:rsid w:val="00573C78"/>
    <w:rsid w:val="00573EEF"/>
    <w:rsid w:val="00574313"/>
    <w:rsid w:val="00575E0D"/>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628"/>
    <w:rsid w:val="00581B77"/>
    <w:rsid w:val="00581D26"/>
    <w:rsid w:val="00581D5B"/>
    <w:rsid w:val="00581F07"/>
    <w:rsid w:val="0058229A"/>
    <w:rsid w:val="005822DA"/>
    <w:rsid w:val="00582411"/>
    <w:rsid w:val="0058294C"/>
    <w:rsid w:val="005829A7"/>
    <w:rsid w:val="00583902"/>
    <w:rsid w:val="0058396F"/>
    <w:rsid w:val="00583C28"/>
    <w:rsid w:val="00583DBB"/>
    <w:rsid w:val="00584109"/>
    <w:rsid w:val="005842CE"/>
    <w:rsid w:val="0058453E"/>
    <w:rsid w:val="005845FB"/>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449"/>
    <w:rsid w:val="005915FA"/>
    <w:rsid w:val="00591DD3"/>
    <w:rsid w:val="00592A67"/>
    <w:rsid w:val="00592CB3"/>
    <w:rsid w:val="00592DFA"/>
    <w:rsid w:val="00593B52"/>
    <w:rsid w:val="00593E86"/>
    <w:rsid w:val="00594303"/>
    <w:rsid w:val="00594767"/>
    <w:rsid w:val="00594837"/>
    <w:rsid w:val="005952B7"/>
    <w:rsid w:val="005953D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DD2"/>
    <w:rsid w:val="005A2E94"/>
    <w:rsid w:val="005A2EBC"/>
    <w:rsid w:val="005A35E3"/>
    <w:rsid w:val="005A3BDC"/>
    <w:rsid w:val="005A3C70"/>
    <w:rsid w:val="005A436C"/>
    <w:rsid w:val="005A4826"/>
    <w:rsid w:val="005A4B2B"/>
    <w:rsid w:val="005A4E9D"/>
    <w:rsid w:val="005A5254"/>
    <w:rsid w:val="005A5345"/>
    <w:rsid w:val="005A5810"/>
    <w:rsid w:val="005A59BA"/>
    <w:rsid w:val="005A5F8D"/>
    <w:rsid w:val="005A6231"/>
    <w:rsid w:val="005A6630"/>
    <w:rsid w:val="005A67F9"/>
    <w:rsid w:val="005A69B2"/>
    <w:rsid w:val="005A733B"/>
    <w:rsid w:val="005A7F88"/>
    <w:rsid w:val="005B0BC9"/>
    <w:rsid w:val="005B1AA7"/>
    <w:rsid w:val="005B1D9E"/>
    <w:rsid w:val="005B2811"/>
    <w:rsid w:val="005B2ACA"/>
    <w:rsid w:val="005B2C07"/>
    <w:rsid w:val="005B2DB2"/>
    <w:rsid w:val="005B2F90"/>
    <w:rsid w:val="005B32BC"/>
    <w:rsid w:val="005B33EC"/>
    <w:rsid w:val="005B354F"/>
    <w:rsid w:val="005B35FB"/>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F3C"/>
    <w:rsid w:val="005C02C9"/>
    <w:rsid w:val="005C1352"/>
    <w:rsid w:val="005C1538"/>
    <w:rsid w:val="005C18BB"/>
    <w:rsid w:val="005C1B69"/>
    <w:rsid w:val="005C2BD3"/>
    <w:rsid w:val="005C3C1E"/>
    <w:rsid w:val="005C3F29"/>
    <w:rsid w:val="005C4BA8"/>
    <w:rsid w:val="005C514B"/>
    <w:rsid w:val="005C51D7"/>
    <w:rsid w:val="005C5E52"/>
    <w:rsid w:val="005C5F5F"/>
    <w:rsid w:val="005C61A4"/>
    <w:rsid w:val="005C62E1"/>
    <w:rsid w:val="005C6814"/>
    <w:rsid w:val="005C6B09"/>
    <w:rsid w:val="005C6D8F"/>
    <w:rsid w:val="005C6F6B"/>
    <w:rsid w:val="005C7131"/>
    <w:rsid w:val="005C7EBD"/>
    <w:rsid w:val="005D00BE"/>
    <w:rsid w:val="005D047F"/>
    <w:rsid w:val="005D086D"/>
    <w:rsid w:val="005D0B01"/>
    <w:rsid w:val="005D0EB0"/>
    <w:rsid w:val="005D10BE"/>
    <w:rsid w:val="005D155F"/>
    <w:rsid w:val="005D160C"/>
    <w:rsid w:val="005D1F3B"/>
    <w:rsid w:val="005D30BA"/>
    <w:rsid w:val="005D3197"/>
    <w:rsid w:val="005D3A12"/>
    <w:rsid w:val="005D4082"/>
    <w:rsid w:val="005D44C0"/>
    <w:rsid w:val="005D478C"/>
    <w:rsid w:val="005D5C69"/>
    <w:rsid w:val="005D5DCB"/>
    <w:rsid w:val="005D6554"/>
    <w:rsid w:val="005D65C2"/>
    <w:rsid w:val="005D6E17"/>
    <w:rsid w:val="005D70EC"/>
    <w:rsid w:val="005D7568"/>
    <w:rsid w:val="005D7719"/>
    <w:rsid w:val="005D7ED9"/>
    <w:rsid w:val="005D7FDC"/>
    <w:rsid w:val="005E049B"/>
    <w:rsid w:val="005E0ABD"/>
    <w:rsid w:val="005E1097"/>
    <w:rsid w:val="005E1131"/>
    <w:rsid w:val="005E1B78"/>
    <w:rsid w:val="005E1D88"/>
    <w:rsid w:val="005E20F9"/>
    <w:rsid w:val="005E23FC"/>
    <w:rsid w:val="005E2B38"/>
    <w:rsid w:val="005E315B"/>
    <w:rsid w:val="005E31F0"/>
    <w:rsid w:val="005E335D"/>
    <w:rsid w:val="005E355B"/>
    <w:rsid w:val="005E374C"/>
    <w:rsid w:val="005E3811"/>
    <w:rsid w:val="005E4396"/>
    <w:rsid w:val="005E4544"/>
    <w:rsid w:val="005E45CC"/>
    <w:rsid w:val="005E4A97"/>
    <w:rsid w:val="005E4E3E"/>
    <w:rsid w:val="005E51AE"/>
    <w:rsid w:val="005E5580"/>
    <w:rsid w:val="005E5CB1"/>
    <w:rsid w:val="005E5CBA"/>
    <w:rsid w:val="005E6806"/>
    <w:rsid w:val="005E70FD"/>
    <w:rsid w:val="005E771B"/>
    <w:rsid w:val="005E7BE3"/>
    <w:rsid w:val="005E7D69"/>
    <w:rsid w:val="005F0576"/>
    <w:rsid w:val="005F05C5"/>
    <w:rsid w:val="005F0A33"/>
    <w:rsid w:val="005F0DAA"/>
    <w:rsid w:val="005F1732"/>
    <w:rsid w:val="005F2E97"/>
    <w:rsid w:val="005F2FD6"/>
    <w:rsid w:val="005F34B9"/>
    <w:rsid w:val="005F34FB"/>
    <w:rsid w:val="005F3720"/>
    <w:rsid w:val="005F37A1"/>
    <w:rsid w:val="005F3805"/>
    <w:rsid w:val="005F3C1A"/>
    <w:rsid w:val="005F3D18"/>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2D14"/>
    <w:rsid w:val="00603349"/>
    <w:rsid w:val="0060370C"/>
    <w:rsid w:val="00603EF0"/>
    <w:rsid w:val="00603F3E"/>
    <w:rsid w:val="00604490"/>
    <w:rsid w:val="006044BA"/>
    <w:rsid w:val="00604528"/>
    <w:rsid w:val="00604D15"/>
    <w:rsid w:val="006050AB"/>
    <w:rsid w:val="0060524A"/>
    <w:rsid w:val="006052B5"/>
    <w:rsid w:val="006059D2"/>
    <w:rsid w:val="006067A9"/>
    <w:rsid w:val="00606C55"/>
    <w:rsid w:val="00606CB9"/>
    <w:rsid w:val="00606FD4"/>
    <w:rsid w:val="0060705C"/>
    <w:rsid w:val="0060714E"/>
    <w:rsid w:val="006071A0"/>
    <w:rsid w:val="0060734E"/>
    <w:rsid w:val="00607657"/>
    <w:rsid w:val="00610D41"/>
    <w:rsid w:val="0061127F"/>
    <w:rsid w:val="006113CC"/>
    <w:rsid w:val="00611A07"/>
    <w:rsid w:val="006121A8"/>
    <w:rsid w:val="006122DF"/>
    <w:rsid w:val="00612360"/>
    <w:rsid w:val="006125F5"/>
    <w:rsid w:val="0061299F"/>
    <w:rsid w:val="00612C83"/>
    <w:rsid w:val="006135F5"/>
    <w:rsid w:val="00613719"/>
    <w:rsid w:val="00613F82"/>
    <w:rsid w:val="0061402E"/>
    <w:rsid w:val="006140B7"/>
    <w:rsid w:val="006145DE"/>
    <w:rsid w:val="006146C9"/>
    <w:rsid w:val="00615060"/>
    <w:rsid w:val="00615A9E"/>
    <w:rsid w:val="00615CD5"/>
    <w:rsid w:val="00616128"/>
    <w:rsid w:val="006163CD"/>
    <w:rsid w:val="00616969"/>
    <w:rsid w:val="00616F27"/>
    <w:rsid w:val="0061738E"/>
    <w:rsid w:val="00617413"/>
    <w:rsid w:val="00617BC1"/>
    <w:rsid w:val="006202EF"/>
    <w:rsid w:val="0062045F"/>
    <w:rsid w:val="00620C68"/>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27CD5"/>
    <w:rsid w:val="006301DC"/>
    <w:rsid w:val="0063020A"/>
    <w:rsid w:val="0063050F"/>
    <w:rsid w:val="0063059B"/>
    <w:rsid w:val="00630782"/>
    <w:rsid w:val="00630D51"/>
    <w:rsid w:val="00630D8F"/>
    <w:rsid w:val="00630EBF"/>
    <w:rsid w:val="00630F08"/>
    <w:rsid w:val="00631253"/>
    <w:rsid w:val="00631860"/>
    <w:rsid w:val="0063192C"/>
    <w:rsid w:val="00631A17"/>
    <w:rsid w:val="0063279A"/>
    <w:rsid w:val="00632CB6"/>
    <w:rsid w:val="00632ECA"/>
    <w:rsid w:val="0063323D"/>
    <w:rsid w:val="00633845"/>
    <w:rsid w:val="00633F3D"/>
    <w:rsid w:val="0063487B"/>
    <w:rsid w:val="0063487C"/>
    <w:rsid w:val="0063512F"/>
    <w:rsid w:val="00635222"/>
    <w:rsid w:val="00635540"/>
    <w:rsid w:val="00635CA9"/>
    <w:rsid w:val="006362E8"/>
    <w:rsid w:val="006365C1"/>
    <w:rsid w:val="00636618"/>
    <w:rsid w:val="0063712C"/>
    <w:rsid w:val="006375B9"/>
    <w:rsid w:val="00637B04"/>
    <w:rsid w:val="00640364"/>
    <w:rsid w:val="0064149E"/>
    <w:rsid w:val="006416D0"/>
    <w:rsid w:val="00642E2C"/>
    <w:rsid w:val="00642FDD"/>
    <w:rsid w:val="006439FF"/>
    <w:rsid w:val="00643A07"/>
    <w:rsid w:val="0064451B"/>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972"/>
    <w:rsid w:val="00652BDC"/>
    <w:rsid w:val="006530B0"/>
    <w:rsid w:val="006531F6"/>
    <w:rsid w:val="0065422F"/>
    <w:rsid w:val="006543FB"/>
    <w:rsid w:val="006545A9"/>
    <w:rsid w:val="00654A5C"/>
    <w:rsid w:val="00654E91"/>
    <w:rsid w:val="00654FB5"/>
    <w:rsid w:val="006554FE"/>
    <w:rsid w:val="00655A49"/>
    <w:rsid w:val="00655DAF"/>
    <w:rsid w:val="00655F6B"/>
    <w:rsid w:val="006560D6"/>
    <w:rsid w:val="0065631E"/>
    <w:rsid w:val="0065665E"/>
    <w:rsid w:val="00656D0A"/>
    <w:rsid w:val="00657341"/>
    <w:rsid w:val="00657DB0"/>
    <w:rsid w:val="00657F44"/>
    <w:rsid w:val="00657F57"/>
    <w:rsid w:val="00660E0E"/>
    <w:rsid w:val="00660F91"/>
    <w:rsid w:val="00660FB6"/>
    <w:rsid w:val="006613C1"/>
    <w:rsid w:val="00661D14"/>
    <w:rsid w:val="006629A0"/>
    <w:rsid w:val="0066321A"/>
    <w:rsid w:val="0066363F"/>
    <w:rsid w:val="0066365D"/>
    <w:rsid w:val="00664AED"/>
    <w:rsid w:val="00665168"/>
    <w:rsid w:val="0066547A"/>
    <w:rsid w:val="00665997"/>
    <w:rsid w:val="00666EA1"/>
    <w:rsid w:val="006671E7"/>
    <w:rsid w:val="00667451"/>
    <w:rsid w:val="006674F6"/>
    <w:rsid w:val="006675F8"/>
    <w:rsid w:val="00670296"/>
    <w:rsid w:val="0067037F"/>
    <w:rsid w:val="0067170A"/>
    <w:rsid w:val="00671C98"/>
    <w:rsid w:val="00672034"/>
    <w:rsid w:val="006723EC"/>
    <w:rsid w:val="00672FC9"/>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9F6"/>
    <w:rsid w:val="00682A95"/>
    <w:rsid w:val="00682C1B"/>
    <w:rsid w:val="00682D80"/>
    <w:rsid w:val="00682F6A"/>
    <w:rsid w:val="00682F8C"/>
    <w:rsid w:val="00683213"/>
    <w:rsid w:val="0068347F"/>
    <w:rsid w:val="006834DF"/>
    <w:rsid w:val="0068374E"/>
    <w:rsid w:val="006837F4"/>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270"/>
    <w:rsid w:val="006923CC"/>
    <w:rsid w:val="00692C32"/>
    <w:rsid w:val="006931D0"/>
    <w:rsid w:val="00693374"/>
    <w:rsid w:val="00693381"/>
    <w:rsid w:val="006939E7"/>
    <w:rsid w:val="00693AD7"/>
    <w:rsid w:val="00695437"/>
    <w:rsid w:val="0069562C"/>
    <w:rsid w:val="00695938"/>
    <w:rsid w:val="00695B5A"/>
    <w:rsid w:val="00695D17"/>
    <w:rsid w:val="00695DD9"/>
    <w:rsid w:val="00695FC7"/>
    <w:rsid w:val="0069695A"/>
    <w:rsid w:val="00696F26"/>
    <w:rsid w:val="00697835"/>
    <w:rsid w:val="006979C3"/>
    <w:rsid w:val="00697FA3"/>
    <w:rsid w:val="006A0229"/>
    <w:rsid w:val="006A03B7"/>
    <w:rsid w:val="006A072A"/>
    <w:rsid w:val="006A09CB"/>
    <w:rsid w:val="006A0F00"/>
    <w:rsid w:val="006A0FCA"/>
    <w:rsid w:val="006A162B"/>
    <w:rsid w:val="006A181A"/>
    <w:rsid w:val="006A1BF8"/>
    <w:rsid w:val="006A25FE"/>
    <w:rsid w:val="006A2E5F"/>
    <w:rsid w:val="006A3538"/>
    <w:rsid w:val="006A3A60"/>
    <w:rsid w:val="006A3BED"/>
    <w:rsid w:val="006A4CD1"/>
    <w:rsid w:val="006A4DF4"/>
    <w:rsid w:val="006A4F90"/>
    <w:rsid w:val="006A58DE"/>
    <w:rsid w:val="006A5914"/>
    <w:rsid w:val="006A5CEB"/>
    <w:rsid w:val="006A61A6"/>
    <w:rsid w:val="006A62D4"/>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343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2697"/>
    <w:rsid w:val="006C2AA4"/>
    <w:rsid w:val="006C3B9F"/>
    <w:rsid w:val="006C3FA8"/>
    <w:rsid w:val="006C425F"/>
    <w:rsid w:val="006C470F"/>
    <w:rsid w:val="006C47C9"/>
    <w:rsid w:val="006C503D"/>
    <w:rsid w:val="006C51C0"/>
    <w:rsid w:val="006C52B5"/>
    <w:rsid w:val="006C5320"/>
    <w:rsid w:val="006C5372"/>
    <w:rsid w:val="006C5B23"/>
    <w:rsid w:val="006C5D7C"/>
    <w:rsid w:val="006C63FF"/>
    <w:rsid w:val="006C65D2"/>
    <w:rsid w:val="006C6917"/>
    <w:rsid w:val="006C6AD9"/>
    <w:rsid w:val="006C7295"/>
    <w:rsid w:val="006C72FD"/>
    <w:rsid w:val="006C733F"/>
    <w:rsid w:val="006C7663"/>
    <w:rsid w:val="006C76B5"/>
    <w:rsid w:val="006D0530"/>
    <w:rsid w:val="006D0613"/>
    <w:rsid w:val="006D0886"/>
    <w:rsid w:val="006D0D8D"/>
    <w:rsid w:val="006D11D5"/>
    <w:rsid w:val="006D13F5"/>
    <w:rsid w:val="006D1841"/>
    <w:rsid w:val="006D1AD9"/>
    <w:rsid w:val="006D20EA"/>
    <w:rsid w:val="006D224E"/>
    <w:rsid w:val="006D25C9"/>
    <w:rsid w:val="006D3290"/>
    <w:rsid w:val="006D3471"/>
    <w:rsid w:val="006D3BA9"/>
    <w:rsid w:val="006D409B"/>
    <w:rsid w:val="006D40C6"/>
    <w:rsid w:val="006D4243"/>
    <w:rsid w:val="006D465A"/>
    <w:rsid w:val="006D55C6"/>
    <w:rsid w:val="006D5C49"/>
    <w:rsid w:val="006D61B4"/>
    <w:rsid w:val="006D61B9"/>
    <w:rsid w:val="006D68AE"/>
    <w:rsid w:val="006D6FB3"/>
    <w:rsid w:val="006D72C8"/>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3F34"/>
    <w:rsid w:val="006E42F2"/>
    <w:rsid w:val="006E4391"/>
    <w:rsid w:val="006E4569"/>
    <w:rsid w:val="006E4898"/>
    <w:rsid w:val="006E4923"/>
    <w:rsid w:val="006E4B17"/>
    <w:rsid w:val="006E4B59"/>
    <w:rsid w:val="006E4C06"/>
    <w:rsid w:val="006E559F"/>
    <w:rsid w:val="006E5744"/>
    <w:rsid w:val="006E594F"/>
    <w:rsid w:val="006E5E0F"/>
    <w:rsid w:val="006E67E1"/>
    <w:rsid w:val="006E6811"/>
    <w:rsid w:val="006E6BA5"/>
    <w:rsid w:val="006E6EFB"/>
    <w:rsid w:val="006E78DD"/>
    <w:rsid w:val="006E798E"/>
    <w:rsid w:val="006E7D2B"/>
    <w:rsid w:val="006F0A7B"/>
    <w:rsid w:val="006F0CA7"/>
    <w:rsid w:val="006F1138"/>
    <w:rsid w:val="006F1E2D"/>
    <w:rsid w:val="006F1F5D"/>
    <w:rsid w:val="006F2072"/>
    <w:rsid w:val="006F21C0"/>
    <w:rsid w:val="006F2495"/>
    <w:rsid w:val="006F26B5"/>
    <w:rsid w:val="006F2AA1"/>
    <w:rsid w:val="006F2AB6"/>
    <w:rsid w:val="006F2CBB"/>
    <w:rsid w:val="006F306D"/>
    <w:rsid w:val="006F346F"/>
    <w:rsid w:val="006F34EC"/>
    <w:rsid w:val="006F351A"/>
    <w:rsid w:val="006F35F6"/>
    <w:rsid w:val="006F3870"/>
    <w:rsid w:val="006F3B4F"/>
    <w:rsid w:val="006F3FA1"/>
    <w:rsid w:val="006F4916"/>
    <w:rsid w:val="006F4DE8"/>
    <w:rsid w:val="006F4E0C"/>
    <w:rsid w:val="006F578C"/>
    <w:rsid w:val="006F5E0A"/>
    <w:rsid w:val="006F6303"/>
    <w:rsid w:val="006F632C"/>
    <w:rsid w:val="006F6F50"/>
    <w:rsid w:val="006F70A6"/>
    <w:rsid w:val="006F72B2"/>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61D"/>
    <w:rsid w:val="00703F4D"/>
    <w:rsid w:val="007041C6"/>
    <w:rsid w:val="007047C3"/>
    <w:rsid w:val="00704A4A"/>
    <w:rsid w:val="00705066"/>
    <w:rsid w:val="0070568D"/>
    <w:rsid w:val="007056A5"/>
    <w:rsid w:val="00705A3C"/>
    <w:rsid w:val="00705D32"/>
    <w:rsid w:val="007068DB"/>
    <w:rsid w:val="00707088"/>
    <w:rsid w:val="0070717D"/>
    <w:rsid w:val="0070722C"/>
    <w:rsid w:val="007077F1"/>
    <w:rsid w:val="00707899"/>
    <w:rsid w:val="00707BBB"/>
    <w:rsid w:val="00707C5D"/>
    <w:rsid w:val="0071038D"/>
    <w:rsid w:val="007104C0"/>
    <w:rsid w:val="00710573"/>
    <w:rsid w:val="00710821"/>
    <w:rsid w:val="00710C35"/>
    <w:rsid w:val="00710EEA"/>
    <w:rsid w:val="0071175B"/>
    <w:rsid w:val="00711C69"/>
    <w:rsid w:val="00711CC7"/>
    <w:rsid w:val="00711EF1"/>
    <w:rsid w:val="00711F75"/>
    <w:rsid w:val="0071241F"/>
    <w:rsid w:val="007127C2"/>
    <w:rsid w:val="007127CF"/>
    <w:rsid w:val="00712BE8"/>
    <w:rsid w:val="00713050"/>
    <w:rsid w:val="0071345E"/>
    <w:rsid w:val="007137DA"/>
    <w:rsid w:val="00714211"/>
    <w:rsid w:val="00714A6D"/>
    <w:rsid w:val="00714F1E"/>
    <w:rsid w:val="007152AC"/>
    <w:rsid w:val="0071545F"/>
    <w:rsid w:val="007157CA"/>
    <w:rsid w:val="00715F2B"/>
    <w:rsid w:val="007160E2"/>
    <w:rsid w:val="00716175"/>
    <w:rsid w:val="00716627"/>
    <w:rsid w:val="007167EA"/>
    <w:rsid w:val="00716933"/>
    <w:rsid w:val="00716C51"/>
    <w:rsid w:val="00716F3B"/>
    <w:rsid w:val="00717070"/>
    <w:rsid w:val="0071710C"/>
    <w:rsid w:val="0071731C"/>
    <w:rsid w:val="00717338"/>
    <w:rsid w:val="00717755"/>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707B"/>
    <w:rsid w:val="00727402"/>
    <w:rsid w:val="007275B2"/>
    <w:rsid w:val="0072786D"/>
    <w:rsid w:val="00727CF4"/>
    <w:rsid w:val="007302AF"/>
    <w:rsid w:val="00730542"/>
    <w:rsid w:val="0073106C"/>
    <w:rsid w:val="00731961"/>
    <w:rsid w:val="00731B6F"/>
    <w:rsid w:val="007325E3"/>
    <w:rsid w:val="00732848"/>
    <w:rsid w:val="00732EF0"/>
    <w:rsid w:val="0073307C"/>
    <w:rsid w:val="00733D6D"/>
    <w:rsid w:val="00734226"/>
    <w:rsid w:val="007343C5"/>
    <w:rsid w:val="00734839"/>
    <w:rsid w:val="00734C10"/>
    <w:rsid w:val="007353D9"/>
    <w:rsid w:val="007353FF"/>
    <w:rsid w:val="007355E5"/>
    <w:rsid w:val="007359FD"/>
    <w:rsid w:val="0073612D"/>
    <w:rsid w:val="00736615"/>
    <w:rsid w:val="0073685C"/>
    <w:rsid w:val="00737551"/>
    <w:rsid w:val="0073798A"/>
    <w:rsid w:val="00737E37"/>
    <w:rsid w:val="0074000C"/>
    <w:rsid w:val="00740185"/>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3B0"/>
    <w:rsid w:val="007453FD"/>
    <w:rsid w:val="00745993"/>
    <w:rsid w:val="007465F8"/>
    <w:rsid w:val="00746730"/>
    <w:rsid w:val="00747201"/>
    <w:rsid w:val="00747950"/>
    <w:rsid w:val="00747958"/>
    <w:rsid w:val="00747B85"/>
    <w:rsid w:val="0075069E"/>
    <w:rsid w:val="00751162"/>
    <w:rsid w:val="007512C4"/>
    <w:rsid w:val="00751348"/>
    <w:rsid w:val="007515C2"/>
    <w:rsid w:val="00751991"/>
    <w:rsid w:val="007519F6"/>
    <w:rsid w:val="007523A5"/>
    <w:rsid w:val="0075283A"/>
    <w:rsid w:val="00752E9D"/>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702E"/>
    <w:rsid w:val="007573CC"/>
    <w:rsid w:val="00757B98"/>
    <w:rsid w:val="00757E06"/>
    <w:rsid w:val="00757EB6"/>
    <w:rsid w:val="00757FFB"/>
    <w:rsid w:val="00760230"/>
    <w:rsid w:val="0076035D"/>
    <w:rsid w:val="00760550"/>
    <w:rsid w:val="007609FD"/>
    <w:rsid w:val="00760D20"/>
    <w:rsid w:val="00760D99"/>
    <w:rsid w:val="00761033"/>
    <w:rsid w:val="00761259"/>
    <w:rsid w:val="00761518"/>
    <w:rsid w:val="007615A3"/>
    <w:rsid w:val="00762155"/>
    <w:rsid w:val="007628D2"/>
    <w:rsid w:val="00762936"/>
    <w:rsid w:val="00762B84"/>
    <w:rsid w:val="0076302E"/>
    <w:rsid w:val="007636F0"/>
    <w:rsid w:val="00763FA1"/>
    <w:rsid w:val="007648CA"/>
    <w:rsid w:val="00764B50"/>
    <w:rsid w:val="00764CE9"/>
    <w:rsid w:val="00764D1B"/>
    <w:rsid w:val="00765803"/>
    <w:rsid w:val="00765E83"/>
    <w:rsid w:val="007660AD"/>
    <w:rsid w:val="00766202"/>
    <w:rsid w:val="00766F53"/>
    <w:rsid w:val="007672D4"/>
    <w:rsid w:val="00770032"/>
    <w:rsid w:val="007700C7"/>
    <w:rsid w:val="0077013F"/>
    <w:rsid w:val="0077072F"/>
    <w:rsid w:val="00771D0D"/>
    <w:rsid w:val="00771DF6"/>
    <w:rsid w:val="0077203E"/>
    <w:rsid w:val="007734CD"/>
    <w:rsid w:val="007734DC"/>
    <w:rsid w:val="00773827"/>
    <w:rsid w:val="00773A07"/>
    <w:rsid w:val="00773EA7"/>
    <w:rsid w:val="0077492A"/>
    <w:rsid w:val="00774C2E"/>
    <w:rsid w:val="00774DA4"/>
    <w:rsid w:val="007753DD"/>
    <w:rsid w:val="00775530"/>
    <w:rsid w:val="0077583D"/>
    <w:rsid w:val="00776007"/>
    <w:rsid w:val="0077705A"/>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27"/>
    <w:rsid w:val="0078358E"/>
    <w:rsid w:val="007837A9"/>
    <w:rsid w:val="00784417"/>
    <w:rsid w:val="007848B8"/>
    <w:rsid w:val="00784956"/>
    <w:rsid w:val="00785310"/>
    <w:rsid w:val="00785748"/>
    <w:rsid w:val="00785E8E"/>
    <w:rsid w:val="007860DC"/>
    <w:rsid w:val="0078621B"/>
    <w:rsid w:val="0078680D"/>
    <w:rsid w:val="007872AD"/>
    <w:rsid w:val="00787AAD"/>
    <w:rsid w:val="00790010"/>
    <w:rsid w:val="00790075"/>
    <w:rsid w:val="007905FA"/>
    <w:rsid w:val="00790642"/>
    <w:rsid w:val="00790C07"/>
    <w:rsid w:val="00790C2A"/>
    <w:rsid w:val="00790F32"/>
    <w:rsid w:val="00791056"/>
    <w:rsid w:val="00791236"/>
    <w:rsid w:val="007914EB"/>
    <w:rsid w:val="0079154D"/>
    <w:rsid w:val="007927BD"/>
    <w:rsid w:val="00792851"/>
    <w:rsid w:val="00792B0A"/>
    <w:rsid w:val="00792EA6"/>
    <w:rsid w:val="00793DD0"/>
    <w:rsid w:val="00793F51"/>
    <w:rsid w:val="00794662"/>
    <w:rsid w:val="007946A0"/>
    <w:rsid w:val="00794DBA"/>
    <w:rsid w:val="00795B1F"/>
    <w:rsid w:val="00796656"/>
    <w:rsid w:val="00796CE4"/>
    <w:rsid w:val="007976D4"/>
    <w:rsid w:val="007978C1"/>
    <w:rsid w:val="00797A40"/>
    <w:rsid w:val="007A08A9"/>
    <w:rsid w:val="007A11A5"/>
    <w:rsid w:val="007A1399"/>
    <w:rsid w:val="007A1586"/>
    <w:rsid w:val="007A1EA9"/>
    <w:rsid w:val="007A25F0"/>
    <w:rsid w:val="007A26DA"/>
    <w:rsid w:val="007A2C99"/>
    <w:rsid w:val="007A2E4E"/>
    <w:rsid w:val="007A325B"/>
    <w:rsid w:val="007A39C1"/>
    <w:rsid w:val="007A3C8F"/>
    <w:rsid w:val="007A3F0D"/>
    <w:rsid w:val="007A44A0"/>
    <w:rsid w:val="007A53DD"/>
    <w:rsid w:val="007A54BE"/>
    <w:rsid w:val="007A596F"/>
    <w:rsid w:val="007A59B1"/>
    <w:rsid w:val="007A5D24"/>
    <w:rsid w:val="007A6106"/>
    <w:rsid w:val="007A6520"/>
    <w:rsid w:val="007A6BEE"/>
    <w:rsid w:val="007A6DC1"/>
    <w:rsid w:val="007A7727"/>
    <w:rsid w:val="007A78CB"/>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6F4"/>
    <w:rsid w:val="007B4E87"/>
    <w:rsid w:val="007B4F5B"/>
    <w:rsid w:val="007B568D"/>
    <w:rsid w:val="007B578D"/>
    <w:rsid w:val="007B59F8"/>
    <w:rsid w:val="007B5C42"/>
    <w:rsid w:val="007B6DC2"/>
    <w:rsid w:val="007B7519"/>
    <w:rsid w:val="007B768C"/>
    <w:rsid w:val="007C0C38"/>
    <w:rsid w:val="007C0E3D"/>
    <w:rsid w:val="007C185F"/>
    <w:rsid w:val="007C1EE5"/>
    <w:rsid w:val="007C21B7"/>
    <w:rsid w:val="007C223A"/>
    <w:rsid w:val="007C2613"/>
    <w:rsid w:val="007C3798"/>
    <w:rsid w:val="007C3D10"/>
    <w:rsid w:val="007C3F5B"/>
    <w:rsid w:val="007C42C4"/>
    <w:rsid w:val="007C43ED"/>
    <w:rsid w:val="007C4C14"/>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1AAE"/>
    <w:rsid w:val="007D249B"/>
    <w:rsid w:val="007D2AAD"/>
    <w:rsid w:val="007D306B"/>
    <w:rsid w:val="007D31F3"/>
    <w:rsid w:val="007D34CA"/>
    <w:rsid w:val="007D387D"/>
    <w:rsid w:val="007D45C2"/>
    <w:rsid w:val="007D4738"/>
    <w:rsid w:val="007D48F4"/>
    <w:rsid w:val="007D4EC0"/>
    <w:rsid w:val="007D50A3"/>
    <w:rsid w:val="007D5A1C"/>
    <w:rsid w:val="007D5AFD"/>
    <w:rsid w:val="007D67FB"/>
    <w:rsid w:val="007D6A27"/>
    <w:rsid w:val="007D6A91"/>
    <w:rsid w:val="007D6B6A"/>
    <w:rsid w:val="007D6F07"/>
    <w:rsid w:val="007D71CB"/>
    <w:rsid w:val="007D7938"/>
    <w:rsid w:val="007E0097"/>
    <w:rsid w:val="007E02BE"/>
    <w:rsid w:val="007E0980"/>
    <w:rsid w:val="007E12CF"/>
    <w:rsid w:val="007E15E2"/>
    <w:rsid w:val="007E1C03"/>
    <w:rsid w:val="007E1C62"/>
    <w:rsid w:val="007E21B6"/>
    <w:rsid w:val="007E2F63"/>
    <w:rsid w:val="007E314E"/>
    <w:rsid w:val="007E317F"/>
    <w:rsid w:val="007E3C64"/>
    <w:rsid w:val="007E42E7"/>
    <w:rsid w:val="007E480B"/>
    <w:rsid w:val="007E547E"/>
    <w:rsid w:val="007E57DA"/>
    <w:rsid w:val="007E59F7"/>
    <w:rsid w:val="007E6E24"/>
    <w:rsid w:val="007E7147"/>
    <w:rsid w:val="007F045E"/>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080"/>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5C"/>
    <w:rsid w:val="007F6BCF"/>
    <w:rsid w:val="007F6D26"/>
    <w:rsid w:val="007F77B5"/>
    <w:rsid w:val="007F780C"/>
    <w:rsid w:val="007F7F46"/>
    <w:rsid w:val="00800139"/>
    <w:rsid w:val="008002C6"/>
    <w:rsid w:val="008003F6"/>
    <w:rsid w:val="008011F8"/>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65A"/>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4A8"/>
    <w:rsid w:val="008405C0"/>
    <w:rsid w:val="00840A81"/>
    <w:rsid w:val="0084119E"/>
    <w:rsid w:val="0084159B"/>
    <w:rsid w:val="008419CE"/>
    <w:rsid w:val="0084213A"/>
    <w:rsid w:val="00842650"/>
    <w:rsid w:val="00842A29"/>
    <w:rsid w:val="008436FF"/>
    <w:rsid w:val="00844168"/>
    <w:rsid w:val="00844879"/>
    <w:rsid w:val="008448D5"/>
    <w:rsid w:val="00844BA3"/>
    <w:rsid w:val="0084526F"/>
    <w:rsid w:val="00845424"/>
    <w:rsid w:val="00845751"/>
    <w:rsid w:val="008457CA"/>
    <w:rsid w:val="00845B6E"/>
    <w:rsid w:val="0084636A"/>
    <w:rsid w:val="0084637A"/>
    <w:rsid w:val="008464C3"/>
    <w:rsid w:val="008467DB"/>
    <w:rsid w:val="00846FCE"/>
    <w:rsid w:val="008477F7"/>
    <w:rsid w:val="00847A0F"/>
    <w:rsid w:val="00847EB6"/>
    <w:rsid w:val="00850026"/>
    <w:rsid w:val="00850548"/>
    <w:rsid w:val="008507E6"/>
    <w:rsid w:val="008509C9"/>
    <w:rsid w:val="008510CB"/>
    <w:rsid w:val="00851C6B"/>
    <w:rsid w:val="00851D0A"/>
    <w:rsid w:val="00852383"/>
    <w:rsid w:val="00852ECE"/>
    <w:rsid w:val="008534ED"/>
    <w:rsid w:val="00853AFB"/>
    <w:rsid w:val="00853B2D"/>
    <w:rsid w:val="00853D0C"/>
    <w:rsid w:val="00854107"/>
    <w:rsid w:val="00854190"/>
    <w:rsid w:val="00854194"/>
    <w:rsid w:val="00854481"/>
    <w:rsid w:val="0085459B"/>
    <w:rsid w:val="008549FC"/>
    <w:rsid w:val="00854DBE"/>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A4"/>
    <w:rsid w:val="00860CEA"/>
    <w:rsid w:val="00860E43"/>
    <w:rsid w:val="0086146D"/>
    <w:rsid w:val="008618FC"/>
    <w:rsid w:val="00861991"/>
    <w:rsid w:val="008626FC"/>
    <w:rsid w:val="008628CA"/>
    <w:rsid w:val="008628FA"/>
    <w:rsid w:val="00863025"/>
    <w:rsid w:val="008633F1"/>
    <w:rsid w:val="00863833"/>
    <w:rsid w:val="00863C38"/>
    <w:rsid w:val="00864106"/>
    <w:rsid w:val="00864591"/>
    <w:rsid w:val="008645A2"/>
    <w:rsid w:val="00864BCE"/>
    <w:rsid w:val="00864F74"/>
    <w:rsid w:val="00865301"/>
    <w:rsid w:val="00865381"/>
    <w:rsid w:val="008655ED"/>
    <w:rsid w:val="008656C4"/>
    <w:rsid w:val="008656EF"/>
    <w:rsid w:val="00865AEC"/>
    <w:rsid w:val="00865B01"/>
    <w:rsid w:val="00865E8F"/>
    <w:rsid w:val="00866091"/>
    <w:rsid w:val="0086617B"/>
    <w:rsid w:val="008665F7"/>
    <w:rsid w:val="008667E2"/>
    <w:rsid w:val="00866A0D"/>
    <w:rsid w:val="00867727"/>
    <w:rsid w:val="00867890"/>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A74"/>
    <w:rsid w:val="00874CDE"/>
    <w:rsid w:val="00874F25"/>
    <w:rsid w:val="008753F2"/>
    <w:rsid w:val="00875E4F"/>
    <w:rsid w:val="00876F3C"/>
    <w:rsid w:val="00876FFA"/>
    <w:rsid w:val="00880256"/>
    <w:rsid w:val="00880284"/>
    <w:rsid w:val="008802EC"/>
    <w:rsid w:val="00880329"/>
    <w:rsid w:val="00880D8B"/>
    <w:rsid w:val="00880FE2"/>
    <w:rsid w:val="00881083"/>
    <w:rsid w:val="008819C3"/>
    <w:rsid w:val="00881AB2"/>
    <w:rsid w:val="0088255E"/>
    <w:rsid w:val="00882963"/>
    <w:rsid w:val="00882FA5"/>
    <w:rsid w:val="008831F7"/>
    <w:rsid w:val="0088359C"/>
    <w:rsid w:val="00883E4F"/>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1A"/>
    <w:rsid w:val="00890B55"/>
    <w:rsid w:val="0089121F"/>
    <w:rsid w:val="008916D8"/>
    <w:rsid w:val="008918FC"/>
    <w:rsid w:val="00891D23"/>
    <w:rsid w:val="00891D74"/>
    <w:rsid w:val="00892005"/>
    <w:rsid w:val="008922A1"/>
    <w:rsid w:val="00893097"/>
    <w:rsid w:val="008930EC"/>
    <w:rsid w:val="00893406"/>
    <w:rsid w:val="008938BA"/>
    <w:rsid w:val="00893FE6"/>
    <w:rsid w:val="008943F0"/>
    <w:rsid w:val="00894600"/>
    <w:rsid w:val="00894C53"/>
    <w:rsid w:val="00894C62"/>
    <w:rsid w:val="00895F36"/>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75D"/>
    <w:rsid w:val="008A5BE8"/>
    <w:rsid w:val="008A604F"/>
    <w:rsid w:val="008A63BF"/>
    <w:rsid w:val="008A6769"/>
    <w:rsid w:val="008A687E"/>
    <w:rsid w:val="008A6AB1"/>
    <w:rsid w:val="008A6C04"/>
    <w:rsid w:val="008A6CBD"/>
    <w:rsid w:val="008A6CF5"/>
    <w:rsid w:val="008A7C9F"/>
    <w:rsid w:val="008B0528"/>
    <w:rsid w:val="008B0D5B"/>
    <w:rsid w:val="008B1167"/>
    <w:rsid w:val="008B1580"/>
    <w:rsid w:val="008B1B47"/>
    <w:rsid w:val="008B2560"/>
    <w:rsid w:val="008B2A90"/>
    <w:rsid w:val="008B2D77"/>
    <w:rsid w:val="008B34E4"/>
    <w:rsid w:val="008B380B"/>
    <w:rsid w:val="008B392E"/>
    <w:rsid w:val="008B3D67"/>
    <w:rsid w:val="008B3D73"/>
    <w:rsid w:val="008B4325"/>
    <w:rsid w:val="008B457C"/>
    <w:rsid w:val="008B4CA5"/>
    <w:rsid w:val="008B53FE"/>
    <w:rsid w:val="008B590F"/>
    <w:rsid w:val="008B5954"/>
    <w:rsid w:val="008B5E73"/>
    <w:rsid w:val="008B61A1"/>
    <w:rsid w:val="008B6413"/>
    <w:rsid w:val="008B6FF9"/>
    <w:rsid w:val="008B73E0"/>
    <w:rsid w:val="008B7885"/>
    <w:rsid w:val="008B7D39"/>
    <w:rsid w:val="008C013F"/>
    <w:rsid w:val="008C103F"/>
    <w:rsid w:val="008C1820"/>
    <w:rsid w:val="008C18FD"/>
    <w:rsid w:val="008C1A52"/>
    <w:rsid w:val="008C23BD"/>
    <w:rsid w:val="008C25EA"/>
    <w:rsid w:val="008C29F0"/>
    <w:rsid w:val="008C2D23"/>
    <w:rsid w:val="008C305F"/>
    <w:rsid w:val="008C3522"/>
    <w:rsid w:val="008C41F4"/>
    <w:rsid w:val="008C51CD"/>
    <w:rsid w:val="008C5435"/>
    <w:rsid w:val="008C55CF"/>
    <w:rsid w:val="008C5645"/>
    <w:rsid w:val="008C5ADD"/>
    <w:rsid w:val="008C6A31"/>
    <w:rsid w:val="008C6EC6"/>
    <w:rsid w:val="008C736F"/>
    <w:rsid w:val="008C76B8"/>
    <w:rsid w:val="008C78C5"/>
    <w:rsid w:val="008C79B4"/>
    <w:rsid w:val="008C7F90"/>
    <w:rsid w:val="008D00B5"/>
    <w:rsid w:val="008D0180"/>
    <w:rsid w:val="008D0721"/>
    <w:rsid w:val="008D09A9"/>
    <w:rsid w:val="008D0A2E"/>
    <w:rsid w:val="008D0A55"/>
    <w:rsid w:val="008D151F"/>
    <w:rsid w:val="008D1D18"/>
    <w:rsid w:val="008D1FBA"/>
    <w:rsid w:val="008D2053"/>
    <w:rsid w:val="008D24E0"/>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2D9"/>
    <w:rsid w:val="008D6F83"/>
    <w:rsid w:val="008D7AA7"/>
    <w:rsid w:val="008D7EA6"/>
    <w:rsid w:val="008E0319"/>
    <w:rsid w:val="008E0862"/>
    <w:rsid w:val="008E0BDA"/>
    <w:rsid w:val="008E0F13"/>
    <w:rsid w:val="008E11B4"/>
    <w:rsid w:val="008E134C"/>
    <w:rsid w:val="008E17AF"/>
    <w:rsid w:val="008E1BD8"/>
    <w:rsid w:val="008E1D1C"/>
    <w:rsid w:val="008E2314"/>
    <w:rsid w:val="008E273D"/>
    <w:rsid w:val="008E2779"/>
    <w:rsid w:val="008E2920"/>
    <w:rsid w:val="008E3E9D"/>
    <w:rsid w:val="008E3FF4"/>
    <w:rsid w:val="008E467A"/>
    <w:rsid w:val="008E52D0"/>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829"/>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039B"/>
    <w:rsid w:val="009010F9"/>
    <w:rsid w:val="0090129C"/>
    <w:rsid w:val="00903328"/>
    <w:rsid w:val="009036A8"/>
    <w:rsid w:val="00903B09"/>
    <w:rsid w:val="009048F0"/>
    <w:rsid w:val="00904CBF"/>
    <w:rsid w:val="00904FE3"/>
    <w:rsid w:val="0090508B"/>
    <w:rsid w:val="00905885"/>
    <w:rsid w:val="00905F50"/>
    <w:rsid w:val="0090605D"/>
    <w:rsid w:val="00906AF9"/>
    <w:rsid w:val="00907220"/>
    <w:rsid w:val="00907297"/>
    <w:rsid w:val="00907326"/>
    <w:rsid w:val="00907933"/>
    <w:rsid w:val="00910263"/>
    <w:rsid w:val="00910421"/>
    <w:rsid w:val="00910574"/>
    <w:rsid w:val="00910F74"/>
    <w:rsid w:val="00911135"/>
    <w:rsid w:val="009111E9"/>
    <w:rsid w:val="009117EB"/>
    <w:rsid w:val="00911B5E"/>
    <w:rsid w:val="0091219C"/>
    <w:rsid w:val="00912901"/>
    <w:rsid w:val="00912945"/>
    <w:rsid w:val="00912C67"/>
    <w:rsid w:val="009131C4"/>
    <w:rsid w:val="0091354A"/>
    <w:rsid w:val="00913727"/>
    <w:rsid w:val="00913F7F"/>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6AD"/>
    <w:rsid w:val="00926C3D"/>
    <w:rsid w:val="00927011"/>
    <w:rsid w:val="0092766F"/>
    <w:rsid w:val="00927A83"/>
    <w:rsid w:val="00927B47"/>
    <w:rsid w:val="0093009C"/>
    <w:rsid w:val="009313D6"/>
    <w:rsid w:val="0093156F"/>
    <w:rsid w:val="009316FA"/>
    <w:rsid w:val="00931999"/>
    <w:rsid w:val="00931DB7"/>
    <w:rsid w:val="00931E3B"/>
    <w:rsid w:val="009321E9"/>
    <w:rsid w:val="009324E0"/>
    <w:rsid w:val="00932956"/>
    <w:rsid w:val="00932DC8"/>
    <w:rsid w:val="00932E68"/>
    <w:rsid w:val="0093309D"/>
    <w:rsid w:val="00933219"/>
    <w:rsid w:val="00933F6B"/>
    <w:rsid w:val="00934A6C"/>
    <w:rsid w:val="00934B1E"/>
    <w:rsid w:val="00934F66"/>
    <w:rsid w:val="00935A5F"/>
    <w:rsid w:val="00935CAF"/>
    <w:rsid w:val="00935EDA"/>
    <w:rsid w:val="0093645F"/>
    <w:rsid w:val="00936B4B"/>
    <w:rsid w:val="00936F6A"/>
    <w:rsid w:val="00937308"/>
    <w:rsid w:val="009373FB"/>
    <w:rsid w:val="00937436"/>
    <w:rsid w:val="0094023F"/>
    <w:rsid w:val="00940723"/>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7C5"/>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0F4"/>
    <w:rsid w:val="00960480"/>
    <w:rsid w:val="00960960"/>
    <w:rsid w:val="00960BDD"/>
    <w:rsid w:val="00960D57"/>
    <w:rsid w:val="009611A4"/>
    <w:rsid w:val="00961BD9"/>
    <w:rsid w:val="00961CA6"/>
    <w:rsid w:val="0096218F"/>
    <w:rsid w:val="00962876"/>
    <w:rsid w:val="00962ABF"/>
    <w:rsid w:val="009632EA"/>
    <w:rsid w:val="00963305"/>
    <w:rsid w:val="009636B9"/>
    <w:rsid w:val="00963D43"/>
    <w:rsid w:val="00963DF0"/>
    <w:rsid w:val="00963EE8"/>
    <w:rsid w:val="00964348"/>
    <w:rsid w:val="00964CE2"/>
    <w:rsid w:val="00964D3E"/>
    <w:rsid w:val="00964D4F"/>
    <w:rsid w:val="00964EDC"/>
    <w:rsid w:val="0096570A"/>
    <w:rsid w:val="0096597E"/>
    <w:rsid w:val="00965FE4"/>
    <w:rsid w:val="009664E4"/>
    <w:rsid w:val="009665FF"/>
    <w:rsid w:val="0096687C"/>
    <w:rsid w:val="00966A21"/>
    <w:rsid w:val="00967264"/>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757"/>
    <w:rsid w:val="009769B2"/>
    <w:rsid w:val="00976D68"/>
    <w:rsid w:val="00976DFB"/>
    <w:rsid w:val="009776A9"/>
    <w:rsid w:val="009777C1"/>
    <w:rsid w:val="009779F4"/>
    <w:rsid w:val="00977F1B"/>
    <w:rsid w:val="00980013"/>
    <w:rsid w:val="00980B5C"/>
    <w:rsid w:val="0098179A"/>
    <w:rsid w:val="0098209F"/>
    <w:rsid w:val="009825CA"/>
    <w:rsid w:val="00982967"/>
    <w:rsid w:val="00983817"/>
    <w:rsid w:val="00983C71"/>
    <w:rsid w:val="00983E46"/>
    <w:rsid w:val="009846F7"/>
    <w:rsid w:val="009848DB"/>
    <w:rsid w:val="009853A2"/>
    <w:rsid w:val="00985462"/>
    <w:rsid w:val="0098587E"/>
    <w:rsid w:val="0098591D"/>
    <w:rsid w:val="00985BEA"/>
    <w:rsid w:val="00985D9E"/>
    <w:rsid w:val="00986154"/>
    <w:rsid w:val="009864B5"/>
    <w:rsid w:val="009871C9"/>
    <w:rsid w:val="0098763B"/>
    <w:rsid w:val="0098793C"/>
    <w:rsid w:val="00987BA3"/>
    <w:rsid w:val="0099012D"/>
    <w:rsid w:val="009909B8"/>
    <w:rsid w:val="00990F73"/>
    <w:rsid w:val="0099143D"/>
    <w:rsid w:val="00991AA3"/>
    <w:rsid w:val="009921E6"/>
    <w:rsid w:val="00992374"/>
    <w:rsid w:val="00992431"/>
    <w:rsid w:val="0099270F"/>
    <w:rsid w:val="009929B6"/>
    <w:rsid w:val="00992B01"/>
    <w:rsid w:val="00993053"/>
    <w:rsid w:val="0099333A"/>
    <w:rsid w:val="00993D03"/>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8C"/>
    <w:rsid w:val="009A0AFE"/>
    <w:rsid w:val="009A0C34"/>
    <w:rsid w:val="009A0FBF"/>
    <w:rsid w:val="009A1430"/>
    <w:rsid w:val="009A2397"/>
    <w:rsid w:val="009A23EC"/>
    <w:rsid w:val="009A2A0F"/>
    <w:rsid w:val="009A2BA0"/>
    <w:rsid w:val="009A2C67"/>
    <w:rsid w:val="009A3482"/>
    <w:rsid w:val="009A3EF7"/>
    <w:rsid w:val="009A4077"/>
    <w:rsid w:val="009A4D3B"/>
    <w:rsid w:val="009A5A69"/>
    <w:rsid w:val="009A655A"/>
    <w:rsid w:val="009A67FC"/>
    <w:rsid w:val="009A6AB8"/>
    <w:rsid w:val="009A6EB8"/>
    <w:rsid w:val="009A70C4"/>
    <w:rsid w:val="009A7B93"/>
    <w:rsid w:val="009A7CE1"/>
    <w:rsid w:val="009A7E5C"/>
    <w:rsid w:val="009B013E"/>
    <w:rsid w:val="009B0237"/>
    <w:rsid w:val="009B03A5"/>
    <w:rsid w:val="009B097E"/>
    <w:rsid w:val="009B0D08"/>
    <w:rsid w:val="009B0E57"/>
    <w:rsid w:val="009B1371"/>
    <w:rsid w:val="009B1D72"/>
    <w:rsid w:val="009B1F76"/>
    <w:rsid w:val="009B25CD"/>
    <w:rsid w:val="009B2629"/>
    <w:rsid w:val="009B2F0F"/>
    <w:rsid w:val="009B3DF8"/>
    <w:rsid w:val="009B3F48"/>
    <w:rsid w:val="009B46C8"/>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2ACE"/>
    <w:rsid w:val="009C30E2"/>
    <w:rsid w:val="009C33D2"/>
    <w:rsid w:val="009C3CF6"/>
    <w:rsid w:val="009C3E0A"/>
    <w:rsid w:val="009C3FEC"/>
    <w:rsid w:val="009C40CE"/>
    <w:rsid w:val="009C46A5"/>
    <w:rsid w:val="009C4A33"/>
    <w:rsid w:val="009C4A41"/>
    <w:rsid w:val="009C4B6B"/>
    <w:rsid w:val="009C516B"/>
    <w:rsid w:val="009C5966"/>
    <w:rsid w:val="009C6036"/>
    <w:rsid w:val="009C6867"/>
    <w:rsid w:val="009C77AF"/>
    <w:rsid w:val="009D045F"/>
    <w:rsid w:val="009D05BF"/>
    <w:rsid w:val="009D060D"/>
    <w:rsid w:val="009D07C3"/>
    <w:rsid w:val="009D0A8F"/>
    <w:rsid w:val="009D0EBC"/>
    <w:rsid w:val="009D0FF8"/>
    <w:rsid w:val="009D19E0"/>
    <w:rsid w:val="009D1A77"/>
    <w:rsid w:val="009D1B63"/>
    <w:rsid w:val="009D1BEC"/>
    <w:rsid w:val="009D1E9D"/>
    <w:rsid w:val="009D1F60"/>
    <w:rsid w:val="009D203E"/>
    <w:rsid w:val="009D227B"/>
    <w:rsid w:val="009D22E3"/>
    <w:rsid w:val="009D2EB9"/>
    <w:rsid w:val="009D2EBA"/>
    <w:rsid w:val="009D2FC6"/>
    <w:rsid w:val="009D3148"/>
    <w:rsid w:val="009D3702"/>
    <w:rsid w:val="009D388C"/>
    <w:rsid w:val="009D3993"/>
    <w:rsid w:val="009D3E01"/>
    <w:rsid w:val="009D435B"/>
    <w:rsid w:val="009D44D6"/>
    <w:rsid w:val="009D4C66"/>
    <w:rsid w:val="009D5283"/>
    <w:rsid w:val="009D5305"/>
    <w:rsid w:val="009D568A"/>
    <w:rsid w:val="009D5B8D"/>
    <w:rsid w:val="009D628D"/>
    <w:rsid w:val="009D6497"/>
    <w:rsid w:val="009D71FF"/>
    <w:rsid w:val="009D73A1"/>
    <w:rsid w:val="009D798A"/>
    <w:rsid w:val="009D7E3B"/>
    <w:rsid w:val="009E0097"/>
    <w:rsid w:val="009E0419"/>
    <w:rsid w:val="009E0557"/>
    <w:rsid w:val="009E0720"/>
    <w:rsid w:val="009E0970"/>
    <w:rsid w:val="009E0F3D"/>
    <w:rsid w:val="009E2426"/>
    <w:rsid w:val="009E25BC"/>
    <w:rsid w:val="009E304F"/>
    <w:rsid w:val="009E3553"/>
    <w:rsid w:val="009E3C2E"/>
    <w:rsid w:val="009E4AD6"/>
    <w:rsid w:val="009E4AE5"/>
    <w:rsid w:val="009E543F"/>
    <w:rsid w:val="009E5700"/>
    <w:rsid w:val="009E5BDB"/>
    <w:rsid w:val="009E5F82"/>
    <w:rsid w:val="009E646D"/>
    <w:rsid w:val="009E6CCC"/>
    <w:rsid w:val="009E75BB"/>
    <w:rsid w:val="009E76BB"/>
    <w:rsid w:val="009E7CE5"/>
    <w:rsid w:val="009E7D99"/>
    <w:rsid w:val="009F01A8"/>
    <w:rsid w:val="009F033E"/>
    <w:rsid w:val="009F03F4"/>
    <w:rsid w:val="009F0675"/>
    <w:rsid w:val="009F0E49"/>
    <w:rsid w:val="009F1386"/>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8C2"/>
    <w:rsid w:val="009F6C52"/>
    <w:rsid w:val="009F6CB1"/>
    <w:rsid w:val="009F731E"/>
    <w:rsid w:val="009F7795"/>
    <w:rsid w:val="009F786B"/>
    <w:rsid w:val="009F797E"/>
    <w:rsid w:val="009F79CF"/>
    <w:rsid w:val="00A001FE"/>
    <w:rsid w:val="00A00322"/>
    <w:rsid w:val="00A00611"/>
    <w:rsid w:val="00A00944"/>
    <w:rsid w:val="00A0169A"/>
    <w:rsid w:val="00A01F0D"/>
    <w:rsid w:val="00A027BA"/>
    <w:rsid w:val="00A02C8D"/>
    <w:rsid w:val="00A02DD0"/>
    <w:rsid w:val="00A036A0"/>
    <w:rsid w:val="00A037A4"/>
    <w:rsid w:val="00A03C3A"/>
    <w:rsid w:val="00A040E8"/>
    <w:rsid w:val="00A0455D"/>
    <w:rsid w:val="00A045C5"/>
    <w:rsid w:val="00A046B0"/>
    <w:rsid w:val="00A04899"/>
    <w:rsid w:val="00A04950"/>
    <w:rsid w:val="00A04B51"/>
    <w:rsid w:val="00A04EA7"/>
    <w:rsid w:val="00A058AB"/>
    <w:rsid w:val="00A0606A"/>
    <w:rsid w:val="00A06F24"/>
    <w:rsid w:val="00A071AD"/>
    <w:rsid w:val="00A07267"/>
    <w:rsid w:val="00A0728A"/>
    <w:rsid w:val="00A0730C"/>
    <w:rsid w:val="00A07AE8"/>
    <w:rsid w:val="00A07B90"/>
    <w:rsid w:val="00A1035E"/>
    <w:rsid w:val="00A1102D"/>
    <w:rsid w:val="00A112DB"/>
    <w:rsid w:val="00A11343"/>
    <w:rsid w:val="00A11791"/>
    <w:rsid w:val="00A11829"/>
    <w:rsid w:val="00A11EC6"/>
    <w:rsid w:val="00A1281A"/>
    <w:rsid w:val="00A1370A"/>
    <w:rsid w:val="00A13B19"/>
    <w:rsid w:val="00A13DB2"/>
    <w:rsid w:val="00A13DF0"/>
    <w:rsid w:val="00A13F70"/>
    <w:rsid w:val="00A141F8"/>
    <w:rsid w:val="00A142F3"/>
    <w:rsid w:val="00A146F9"/>
    <w:rsid w:val="00A14C03"/>
    <w:rsid w:val="00A14CC1"/>
    <w:rsid w:val="00A14E0C"/>
    <w:rsid w:val="00A1537F"/>
    <w:rsid w:val="00A15BA0"/>
    <w:rsid w:val="00A15C20"/>
    <w:rsid w:val="00A15C66"/>
    <w:rsid w:val="00A16FFF"/>
    <w:rsid w:val="00A17B4E"/>
    <w:rsid w:val="00A17C8D"/>
    <w:rsid w:val="00A200E2"/>
    <w:rsid w:val="00A20208"/>
    <w:rsid w:val="00A20244"/>
    <w:rsid w:val="00A20619"/>
    <w:rsid w:val="00A20EA7"/>
    <w:rsid w:val="00A2149B"/>
    <w:rsid w:val="00A214CC"/>
    <w:rsid w:val="00A21722"/>
    <w:rsid w:val="00A21807"/>
    <w:rsid w:val="00A22001"/>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A5B"/>
    <w:rsid w:val="00A301A6"/>
    <w:rsid w:val="00A3045D"/>
    <w:rsid w:val="00A308CE"/>
    <w:rsid w:val="00A30CEE"/>
    <w:rsid w:val="00A314E6"/>
    <w:rsid w:val="00A31749"/>
    <w:rsid w:val="00A31796"/>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379A1"/>
    <w:rsid w:val="00A402A4"/>
    <w:rsid w:val="00A405CF"/>
    <w:rsid w:val="00A40C38"/>
    <w:rsid w:val="00A4100F"/>
    <w:rsid w:val="00A41673"/>
    <w:rsid w:val="00A41698"/>
    <w:rsid w:val="00A4174B"/>
    <w:rsid w:val="00A41A4F"/>
    <w:rsid w:val="00A41B59"/>
    <w:rsid w:val="00A41BA7"/>
    <w:rsid w:val="00A41C09"/>
    <w:rsid w:val="00A41E5B"/>
    <w:rsid w:val="00A41F7D"/>
    <w:rsid w:val="00A41F99"/>
    <w:rsid w:val="00A42194"/>
    <w:rsid w:val="00A42278"/>
    <w:rsid w:val="00A42338"/>
    <w:rsid w:val="00A4292C"/>
    <w:rsid w:val="00A429F9"/>
    <w:rsid w:val="00A42DBA"/>
    <w:rsid w:val="00A4343E"/>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AD4"/>
    <w:rsid w:val="00A50E21"/>
    <w:rsid w:val="00A510C3"/>
    <w:rsid w:val="00A51159"/>
    <w:rsid w:val="00A51646"/>
    <w:rsid w:val="00A5275E"/>
    <w:rsid w:val="00A528BF"/>
    <w:rsid w:val="00A52BE0"/>
    <w:rsid w:val="00A53203"/>
    <w:rsid w:val="00A53220"/>
    <w:rsid w:val="00A53735"/>
    <w:rsid w:val="00A53C6A"/>
    <w:rsid w:val="00A549B9"/>
    <w:rsid w:val="00A54A0D"/>
    <w:rsid w:val="00A54C21"/>
    <w:rsid w:val="00A550E4"/>
    <w:rsid w:val="00A5540A"/>
    <w:rsid w:val="00A5566F"/>
    <w:rsid w:val="00A557BE"/>
    <w:rsid w:val="00A55DFD"/>
    <w:rsid w:val="00A56472"/>
    <w:rsid w:val="00A5662C"/>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53F"/>
    <w:rsid w:val="00A67658"/>
    <w:rsid w:val="00A67B89"/>
    <w:rsid w:val="00A67CA2"/>
    <w:rsid w:val="00A67DAD"/>
    <w:rsid w:val="00A67DB8"/>
    <w:rsid w:val="00A70159"/>
    <w:rsid w:val="00A7043C"/>
    <w:rsid w:val="00A70938"/>
    <w:rsid w:val="00A70B31"/>
    <w:rsid w:val="00A70C29"/>
    <w:rsid w:val="00A7175D"/>
    <w:rsid w:val="00A719AF"/>
    <w:rsid w:val="00A719C1"/>
    <w:rsid w:val="00A7279A"/>
    <w:rsid w:val="00A72C41"/>
    <w:rsid w:val="00A73193"/>
    <w:rsid w:val="00A73716"/>
    <w:rsid w:val="00A73827"/>
    <w:rsid w:val="00A74A9D"/>
    <w:rsid w:val="00A75FE8"/>
    <w:rsid w:val="00A762A1"/>
    <w:rsid w:val="00A76D35"/>
    <w:rsid w:val="00A77268"/>
    <w:rsid w:val="00A77A84"/>
    <w:rsid w:val="00A77E3C"/>
    <w:rsid w:val="00A77E8A"/>
    <w:rsid w:val="00A8061F"/>
    <w:rsid w:val="00A8068F"/>
    <w:rsid w:val="00A80BCC"/>
    <w:rsid w:val="00A80D2D"/>
    <w:rsid w:val="00A80DCB"/>
    <w:rsid w:val="00A81977"/>
    <w:rsid w:val="00A81D70"/>
    <w:rsid w:val="00A81E83"/>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17BC"/>
    <w:rsid w:val="00A9219F"/>
    <w:rsid w:val="00A92BCC"/>
    <w:rsid w:val="00A932E8"/>
    <w:rsid w:val="00A93955"/>
    <w:rsid w:val="00A93B28"/>
    <w:rsid w:val="00A93CDD"/>
    <w:rsid w:val="00A93D07"/>
    <w:rsid w:val="00A941DD"/>
    <w:rsid w:val="00A9435D"/>
    <w:rsid w:val="00A94D25"/>
    <w:rsid w:val="00A94F84"/>
    <w:rsid w:val="00A94FE2"/>
    <w:rsid w:val="00A94FF9"/>
    <w:rsid w:val="00A95186"/>
    <w:rsid w:val="00A95527"/>
    <w:rsid w:val="00A959EB"/>
    <w:rsid w:val="00A95A25"/>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B39"/>
    <w:rsid w:val="00AA2C48"/>
    <w:rsid w:val="00AA36F1"/>
    <w:rsid w:val="00AA3864"/>
    <w:rsid w:val="00AA38A9"/>
    <w:rsid w:val="00AA399A"/>
    <w:rsid w:val="00AA3A6B"/>
    <w:rsid w:val="00AA3A9E"/>
    <w:rsid w:val="00AA3E93"/>
    <w:rsid w:val="00AA44FF"/>
    <w:rsid w:val="00AA4565"/>
    <w:rsid w:val="00AA4BE0"/>
    <w:rsid w:val="00AA4BE4"/>
    <w:rsid w:val="00AA55D4"/>
    <w:rsid w:val="00AA5ABD"/>
    <w:rsid w:val="00AA614B"/>
    <w:rsid w:val="00AA61F2"/>
    <w:rsid w:val="00AA6C5A"/>
    <w:rsid w:val="00AA6D3C"/>
    <w:rsid w:val="00AA6F9D"/>
    <w:rsid w:val="00AA6FCF"/>
    <w:rsid w:val="00AA748E"/>
    <w:rsid w:val="00AA781B"/>
    <w:rsid w:val="00AA79CB"/>
    <w:rsid w:val="00AA7CAD"/>
    <w:rsid w:val="00AB06D9"/>
    <w:rsid w:val="00AB0E3A"/>
    <w:rsid w:val="00AB2323"/>
    <w:rsid w:val="00AB2A4A"/>
    <w:rsid w:val="00AB2F5E"/>
    <w:rsid w:val="00AB34FA"/>
    <w:rsid w:val="00AB364A"/>
    <w:rsid w:val="00AB3FAD"/>
    <w:rsid w:val="00AB4772"/>
    <w:rsid w:val="00AB546C"/>
    <w:rsid w:val="00AB546E"/>
    <w:rsid w:val="00AB5D99"/>
    <w:rsid w:val="00AB6560"/>
    <w:rsid w:val="00AB6B3E"/>
    <w:rsid w:val="00AB7413"/>
    <w:rsid w:val="00AB75F4"/>
    <w:rsid w:val="00AB78C4"/>
    <w:rsid w:val="00AB7DC1"/>
    <w:rsid w:val="00AC038E"/>
    <w:rsid w:val="00AC06DA"/>
    <w:rsid w:val="00AC23A5"/>
    <w:rsid w:val="00AC28BB"/>
    <w:rsid w:val="00AC2976"/>
    <w:rsid w:val="00AC2A72"/>
    <w:rsid w:val="00AC2B90"/>
    <w:rsid w:val="00AC2D58"/>
    <w:rsid w:val="00AC2F64"/>
    <w:rsid w:val="00AC32F8"/>
    <w:rsid w:val="00AC35E0"/>
    <w:rsid w:val="00AC3E7B"/>
    <w:rsid w:val="00AC4A56"/>
    <w:rsid w:val="00AC4AC4"/>
    <w:rsid w:val="00AC4B5A"/>
    <w:rsid w:val="00AC4DF4"/>
    <w:rsid w:val="00AC593B"/>
    <w:rsid w:val="00AC5F63"/>
    <w:rsid w:val="00AC641D"/>
    <w:rsid w:val="00AC66F8"/>
    <w:rsid w:val="00AC6830"/>
    <w:rsid w:val="00AC6D1B"/>
    <w:rsid w:val="00AC6DFF"/>
    <w:rsid w:val="00AC6F48"/>
    <w:rsid w:val="00AC701E"/>
    <w:rsid w:val="00AC74DA"/>
    <w:rsid w:val="00AC7FD5"/>
    <w:rsid w:val="00AD0512"/>
    <w:rsid w:val="00AD112D"/>
    <w:rsid w:val="00AD1170"/>
    <w:rsid w:val="00AD1345"/>
    <w:rsid w:val="00AD1722"/>
    <w:rsid w:val="00AD1917"/>
    <w:rsid w:val="00AD1BDB"/>
    <w:rsid w:val="00AD1C83"/>
    <w:rsid w:val="00AD25D0"/>
    <w:rsid w:val="00AD2771"/>
    <w:rsid w:val="00AD2AAC"/>
    <w:rsid w:val="00AD2D74"/>
    <w:rsid w:val="00AD33CB"/>
    <w:rsid w:val="00AD377D"/>
    <w:rsid w:val="00AD3A86"/>
    <w:rsid w:val="00AD3AAE"/>
    <w:rsid w:val="00AD3B62"/>
    <w:rsid w:val="00AD3F01"/>
    <w:rsid w:val="00AD42D5"/>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0E3F"/>
    <w:rsid w:val="00AE1543"/>
    <w:rsid w:val="00AE1669"/>
    <w:rsid w:val="00AE16A2"/>
    <w:rsid w:val="00AE1BD4"/>
    <w:rsid w:val="00AE1C6A"/>
    <w:rsid w:val="00AE22B7"/>
    <w:rsid w:val="00AE2314"/>
    <w:rsid w:val="00AE284F"/>
    <w:rsid w:val="00AE2A3A"/>
    <w:rsid w:val="00AE2DD7"/>
    <w:rsid w:val="00AE319C"/>
    <w:rsid w:val="00AE3D22"/>
    <w:rsid w:val="00AE3D82"/>
    <w:rsid w:val="00AE438F"/>
    <w:rsid w:val="00AE4415"/>
    <w:rsid w:val="00AE4538"/>
    <w:rsid w:val="00AE4C03"/>
    <w:rsid w:val="00AE5436"/>
    <w:rsid w:val="00AE5690"/>
    <w:rsid w:val="00AE57B3"/>
    <w:rsid w:val="00AE57F5"/>
    <w:rsid w:val="00AE5DF2"/>
    <w:rsid w:val="00AE612E"/>
    <w:rsid w:val="00AE625F"/>
    <w:rsid w:val="00AE643A"/>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500"/>
    <w:rsid w:val="00B0077D"/>
    <w:rsid w:val="00B0099E"/>
    <w:rsid w:val="00B01951"/>
    <w:rsid w:val="00B019AF"/>
    <w:rsid w:val="00B0298F"/>
    <w:rsid w:val="00B02A82"/>
    <w:rsid w:val="00B0312C"/>
    <w:rsid w:val="00B03156"/>
    <w:rsid w:val="00B03224"/>
    <w:rsid w:val="00B03273"/>
    <w:rsid w:val="00B03A2C"/>
    <w:rsid w:val="00B041FC"/>
    <w:rsid w:val="00B0481D"/>
    <w:rsid w:val="00B0509A"/>
    <w:rsid w:val="00B050E4"/>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0970"/>
    <w:rsid w:val="00B1101F"/>
    <w:rsid w:val="00B1134F"/>
    <w:rsid w:val="00B11377"/>
    <w:rsid w:val="00B11EFE"/>
    <w:rsid w:val="00B12437"/>
    <w:rsid w:val="00B1313A"/>
    <w:rsid w:val="00B13675"/>
    <w:rsid w:val="00B1368E"/>
    <w:rsid w:val="00B150CF"/>
    <w:rsid w:val="00B1574A"/>
    <w:rsid w:val="00B16344"/>
    <w:rsid w:val="00B16E5A"/>
    <w:rsid w:val="00B17B47"/>
    <w:rsid w:val="00B17D03"/>
    <w:rsid w:val="00B20080"/>
    <w:rsid w:val="00B20149"/>
    <w:rsid w:val="00B20402"/>
    <w:rsid w:val="00B204F2"/>
    <w:rsid w:val="00B20734"/>
    <w:rsid w:val="00B20B6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54DE"/>
    <w:rsid w:val="00B25AF0"/>
    <w:rsid w:val="00B260BB"/>
    <w:rsid w:val="00B27341"/>
    <w:rsid w:val="00B27899"/>
    <w:rsid w:val="00B27B34"/>
    <w:rsid w:val="00B27D60"/>
    <w:rsid w:val="00B3004D"/>
    <w:rsid w:val="00B30549"/>
    <w:rsid w:val="00B306FC"/>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44C0"/>
    <w:rsid w:val="00B3572B"/>
    <w:rsid w:val="00B362A5"/>
    <w:rsid w:val="00B363F6"/>
    <w:rsid w:val="00B36841"/>
    <w:rsid w:val="00B36C3A"/>
    <w:rsid w:val="00B3766F"/>
    <w:rsid w:val="00B40093"/>
    <w:rsid w:val="00B40726"/>
    <w:rsid w:val="00B40A1A"/>
    <w:rsid w:val="00B40BE5"/>
    <w:rsid w:val="00B40C32"/>
    <w:rsid w:val="00B4109D"/>
    <w:rsid w:val="00B4168B"/>
    <w:rsid w:val="00B41E24"/>
    <w:rsid w:val="00B41F55"/>
    <w:rsid w:val="00B42493"/>
    <w:rsid w:val="00B42AEF"/>
    <w:rsid w:val="00B42C17"/>
    <w:rsid w:val="00B433BD"/>
    <w:rsid w:val="00B43C37"/>
    <w:rsid w:val="00B43EA8"/>
    <w:rsid w:val="00B45132"/>
    <w:rsid w:val="00B45F9F"/>
    <w:rsid w:val="00B46117"/>
    <w:rsid w:val="00B465B2"/>
    <w:rsid w:val="00B467FA"/>
    <w:rsid w:val="00B46A7F"/>
    <w:rsid w:val="00B46C2A"/>
    <w:rsid w:val="00B46D13"/>
    <w:rsid w:val="00B47A82"/>
    <w:rsid w:val="00B47D06"/>
    <w:rsid w:val="00B47EE2"/>
    <w:rsid w:val="00B50446"/>
    <w:rsid w:val="00B50694"/>
    <w:rsid w:val="00B50EF0"/>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9CF"/>
    <w:rsid w:val="00B55D4E"/>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1DC1"/>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849"/>
    <w:rsid w:val="00B76B7D"/>
    <w:rsid w:val="00B7743A"/>
    <w:rsid w:val="00B7760C"/>
    <w:rsid w:val="00B77713"/>
    <w:rsid w:val="00B77C7F"/>
    <w:rsid w:val="00B77D78"/>
    <w:rsid w:val="00B77F28"/>
    <w:rsid w:val="00B80422"/>
    <w:rsid w:val="00B80489"/>
    <w:rsid w:val="00B8059E"/>
    <w:rsid w:val="00B805A8"/>
    <w:rsid w:val="00B81132"/>
    <w:rsid w:val="00B81BCA"/>
    <w:rsid w:val="00B81E73"/>
    <w:rsid w:val="00B82011"/>
    <w:rsid w:val="00B82214"/>
    <w:rsid w:val="00B82E6C"/>
    <w:rsid w:val="00B830A3"/>
    <w:rsid w:val="00B83593"/>
    <w:rsid w:val="00B83B6C"/>
    <w:rsid w:val="00B83C90"/>
    <w:rsid w:val="00B83F58"/>
    <w:rsid w:val="00B84044"/>
    <w:rsid w:val="00B842E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2F0A"/>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6AD"/>
    <w:rsid w:val="00BA19D8"/>
    <w:rsid w:val="00BA1BA6"/>
    <w:rsid w:val="00BA1CD0"/>
    <w:rsid w:val="00BA1EEF"/>
    <w:rsid w:val="00BA222C"/>
    <w:rsid w:val="00BA26B4"/>
    <w:rsid w:val="00BA3D40"/>
    <w:rsid w:val="00BA42E9"/>
    <w:rsid w:val="00BA4BB9"/>
    <w:rsid w:val="00BA54EB"/>
    <w:rsid w:val="00BA57B6"/>
    <w:rsid w:val="00BA5CBC"/>
    <w:rsid w:val="00BA6ED6"/>
    <w:rsid w:val="00BA720A"/>
    <w:rsid w:val="00BA747F"/>
    <w:rsid w:val="00BA78FB"/>
    <w:rsid w:val="00BA7FFE"/>
    <w:rsid w:val="00BB04DE"/>
    <w:rsid w:val="00BB05CF"/>
    <w:rsid w:val="00BB0B30"/>
    <w:rsid w:val="00BB0E41"/>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5E30"/>
    <w:rsid w:val="00BB745E"/>
    <w:rsid w:val="00BB7529"/>
    <w:rsid w:val="00BB7F3C"/>
    <w:rsid w:val="00BC04CA"/>
    <w:rsid w:val="00BC0855"/>
    <w:rsid w:val="00BC0C52"/>
    <w:rsid w:val="00BC0CC4"/>
    <w:rsid w:val="00BC0EF9"/>
    <w:rsid w:val="00BC10C3"/>
    <w:rsid w:val="00BC143B"/>
    <w:rsid w:val="00BC16F1"/>
    <w:rsid w:val="00BC1DA3"/>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27B"/>
    <w:rsid w:val="00BD2727"/>
    <w:rsid w:val="00BD2A63"/>
    <w:rsid w:val="00BD2A6C"/>
    <w:rsid w:val="00BD2B17"/>
    <w:rsid w:val="00BD324B"/>
    <w:rsid w:val="00BD37A6"/>
    <w:rsid w:val="00BD43F9"/>
    <w:rsid w:val="00BD4451"/>
    <w:rsid w:val="00BD4AD2"/>
    <w:rsid w:val="00BD4ADB"/>
    <w:rsid w:val="00BD4AFF"/>
    <w:rsid w:val="00BD4D87"/>
    <w:rsid w:val="00BD5202"/>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1F75"/>
    <w:rsid w:val="00BE2285"/>
    <w:rsid w:val="00BE2486"/>
    <w:rsid w:val="00BE251E"/>
    <w:rsid w:val="00BE2819"/>
    <w:rsid w:val="00BE2AB0"/>
    <w:rsid w:val="00BE3228"/>
    <w:rsid w:val="00BE3923"/>
    <w:rsid w:val="00BE4138"/>
    <w:rsid w:val="00BE44BF"/>
    <w:rsid w:val="00BE4DE3"/>
    <w:rsid w:val="00BE5024"/>
    <w:rsid w:val="00BE55D2"/>
    <w:rsid w:val="00BE5D77"/>
    <w:rsid w:val="00BE5D94"/>
    <w:rsid w:val="00BE6049"/>
    <w:rsid w:val="00BE69B0"/>
    <w:rsid w:val="00BE6E5F"/>
    <w:rsid w:val="00BE76C3"/>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74D"/>
    <w:rsid w:val="00C0194C"/>
    <w:rsid w:val="00C01AAA"/>
    <w:rsid w:val="00C01D77"/>
    <w:rsid w:val="00C02929"/>
    <w:rsid w:val="00C02933"/>
    <w:rsid w:val="00C029A2"/>
    <w:rsid w:val="00C02AD1"/>
    <w:rsid w:val="00C02BD7"/>
    <w:rsid w:val="00C032D4"/>
    <w:rsid w:val="00C03692"/>
    <w:rsid w:val="00C03A9E"/>
    <w:rsid w:val="00C03E9E"/>
    <w:rsid w:val="00C0408A"/>
    <w:rsid w:val="00C05B0D"/>
    <w:rsid w:val="00C05BDD"/>
    <w:rsid w:val="00C05CFA"/>
    <w:rsid w:val="00C0676D"/>
    <w:rsid w:val="00C070BF"/>
    <w:rsid w:val="00C07146"/>
    <w:rsid w:val="00C07362"/>
    <w:rsid w:val="00C07ECA"/>
    <w:rsid w:val="00C07FBE"/>
    <w:rsid w:val="00C10A16"/>
    <w:rsid w:val="00C10D65"/>
    <w:rsid w:val="00C10D78"/>
    <w:rsid w:val="00C114A1"/>
    <w:rsid w:val="00C12D12"/>
    <w:rsid w:val="00C12D15"/>
    <w:rsid w:val="00C12F86"/>
    <w:rsid w:val="00C1352D"/>
    <w:rsid w:val="00C135DF"/>
    <w:rsid w:val="00C13707"/>
    <w:rsid w:val="00C14673"/>
    <w:rsid w:val="00C14C69"/>
    <w:rsid w:val="00C14D2B"/>
    <w:rsid w:val="00C14EA7"/>
    <w:rsid w:val="00C14F54"/>
    <w:rsid w:val="00C1570A"/>
    <w:rsid w:val="00C1578D"/>
    <w:rsid w:val="00C15806"/>
    <w:rsid w:val="00C15F3D"/>
    <w:rsid w:val="00C1619B"/>
    <w:rsid w:val="00C16434"/>
    <w:rsid w:val="00C1677B"/>
    <w:rsid w:val="00C1687D"/>
    <w:rsid w:val="00C16B56"/>
    <w:rsid w:val="00C171C7"/>
    <w:rsid w:val="00C1733C"/>
    <w:rsid w:val="00C17808"/>
    <w:rsid w:val="00C17A8F"/>
    <w:rsid w:val="00C20059"/>
    <w:rsid w:val="00C204FE"/>
    <w:rsid w:val="00C2056D"/>
    <w:rsid w:val="00C2095D"/>
    <w:rsid w:val="00C20B23"/>
    <w:rsid w:val="00C20D8A"/>
    <w:rsid w:val="00C20FAA"/>
    <w:rsid w:val="00C21267"/>
    <w:rsid w:val="00C214DD"/>
    <w:rsid w:val="00C215DD"/>
    <w:rsid w:val="00C22512"/>
    <w:rsid w:val="00C230D4"/>
    <w:rsid w:val="00C230F0"/>
    <w:rsid w:val="00C23482"/>
    <w:rsid w:val="00C2397D"/>
    <w:rsid w:val="00C23BE6"/>
    <w:rsid w:val="00C23C02"/>
    <w:rsid w:val="00C24862"/>
    <w:rsid w:val="00C24C46"/>
    <w:rsid w:val="00C24FFF"/>
    <w:rsid w:val="00C25348"/>
    <w:rsid w:val="00C2581A"/>
    <w:rsid w:val="00C25CD0"/>
    <w:rsid w:val="00C26518"/>
    <w:rsid w:val="00C265C3"/>
    <w:rsid w:val="00C267D1"/>
    <w:rsid w:val="00C26EBA"/>
    <w:rsid w:val="00C270DD"/>
    <w:rsid w:val="00C27DF1"/>
    <w:rsid w:val="00C3105E"/>
    <w:rsid w:val="00C3147E"/>
    <w:rsid w:val="00C318C9"/>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5F2"/>
    <w:rsid w:val="00C35D1B"/>
    <w:rsid w:val="00C35F3A"/>
    <w:rsid w:val="00C3615D"/>
    <w:rsid w:val="00C3644A"/>
    <w:rsid w:val="00C364C5"/>
    <w:rsid w:val="00C36CD0"/>
    <w:rsid w:val="00C36CFD"/>
    <w:rsid w:val="00C37204"/>
    <w:rsid w:val="00C373C0"/>
    <w:rsid w:val="00C374E2"/>
    <w:rsid w:val="00C37A1C"/>
    <w:rsid w:val="00C4086E"/>
    <w:rsid w:val="00C40D38"/>
    <w:rsid w:val="00C40EB9"/>
    <w:rsid w:val="00C4168A"/>
    <w:rsid w:val="00C41E56"/>
    <w:rsid w:val="00C41EBF"/>
    <w:rsid w:val="00C422CF"/>
    <w:rsid w:val="00C4281A"/>
    <w:rsid w:val="00C4320E"/>
    <w:rsid w:val="00C433AF"/>
    <w:rsid w:val="00C4343B"/>
    <w:rsid w:val="00C43B36"/>
    <w:rsid w:val="00C441E7"/>
    <w:rsid w:val="00C4422D"/>
    <w:rsid w:val="00C442B3"/>
    <w:rsid w:val="00C442D6"/>
    <w:rsid w:val="00C444B4"/>
    <w:rsid w:val="00C45038"/>
    <w:rsid w:val="00C4616C"/>
    <w:rsid w:val="00C461FD"/>
    <w:rsid w:val="00C46EE3"/>
    <w:rsid w:val="00C4765B"/>
    <w:rsid w:val="00C4794F"/>
    <w:rsid w:val="00C47C24"/>
    <w:rsid w:val="00C47E25"/>
    <w:rsid w:val="00C47F0B"/>
    <w:rsid w:val="00C5004C"/>
    <w:rsid w:val="00C505BD"/>
    <w:rsid w:val="00C506C1"/>
    <w:rsid w:val="00C50D0B"/>
    <w:rsid w:val="00C50EDE"/>
    <w:rsid w:val="00C51164"/>
    <w:rsid w:val="00C51420"/>
    <w:rsid w:val="00C51545"/>
    <w:rsid w:val="00C51AC1"/>
    <w:rsid w:val="00C5244C"/>
    <w:rsid w:val="00C52677"/>
    <w:rsid w:val="00C52733"/>
    <w:rsid w:val="00C52A15"/>
    <w:rsid w:val="00C52FE8"/>
    <w:rsid w:val="00C539A4"/>
    <w:rsid w:val="00C53B5A"/>
    <w:rsid w:val="00C53C5E"/>
    <w:rsid w:val="00C54006"/>
    <w:rsid w:val="00C54047"/>
    <w:rsid w:val="00C545EB"/>
    <w:rsid w:val="00C54897"/>
    <w:rsid w:val="00C54ABC"/>
    <w:rsid w:val="00C5528F"/>
    <w:rsid w:val="00C55AE3"/>
    <w:rsid w:val="00C56444"/>
    <w:rsid w:val="00C56627"/>
    <w:rsid w:val="00C56ED6"/>
    <w:rsid w:val="00C57215"/>
    <w:rsid w:val="00C574BD"/>
    <w:rsid w:val="00C5790C"/>
    <w:rsid w:val="00C57D50"/>
    <w:rsid w:val="00C6043A"/>
    <w:rsid w:val="00C60448"/>
    <w:rsid w:val="00C6070A"/>
    <w:rsid w:val="00C60B83"/>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868"/>
    <w:rsid w:val="00C65D72"/>
    <w:rsid w:val="00C65D79"/>
    <w:rsid w:val="00C65E92"/>
    <w:rsid w:val="00C65F1D"/>
    <w:rsid w:val="00C66291"/>
    <w:rsid w:val="00C664C7"/>
    <w:rsid w:val="00C6682F"/>
    <w:rsid w:val="00C66B94"/>
    <w:rsid w:val="00C66F0B"/>
    <w:rsid w:val="00C67176"/>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6BF"/>
    <w:rsid w:val="00C74A23"/>
    <w:rsid w:val="00C74B46"/>
    <w:rsid w:val="00C74F68"/>
    <w:rsid w:val="00C755C3"/>
    <w:rsid w:val="00C758E0"/>
    <w:rsid w:val="00C760CE"/>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EB8"/>
    <w:rsid w:val="00C85005"/>
    <w:rsid w:val="00C85750"/>
    <w:rsid w:val="00C858C2"/>
    <w:rsid w:val="00C85CB9"/>
    <w:rsid w:val="00C866C2"/>
    <w:rsid w:val="00C86940"/>
    <w:rsid w:val="00C86996"/>
    <w:rsid w:val="00C86A44"/>
    <w:rsid w:val="00C87B76"/>
    <w:rsid w:val="00C87D79"/>
    <w:rsid w:val="00C87FED"/>
    <w:rsid w:val="00C900E3"/>
    <w:rsid w:val="00C90299"/>
    <w:rsid w:val="00C908E2"/>
    <w:rsid w:val="00C91136"/>
    <w:rsid w:val="00C9126E"/>
    <w:rsid w:val="00C914B9"/>
    <w:rsid w:val="00C91692"/>
    <w:rsid w:val="00C9186F"/>
    <w:rsid w:val="00C91A36"/>
    <w:rsid w:val="00C92614"/>
    <w:rsid w:val="00C92779"/>
    <w:rsid w:val="00C92BF9"/>
    <w:rsid w:val="00C92FC9"/>
    <w:rsid w:val="00C931F2"/>
    <w:rsid w:val="00C93376"/>
    <w:rsid w:val="00C93945"/>
    <w:rsid w:val="00C93AB6"/>
    <w:rsid w:val="00C94627"/>
    <w:rsid w:val="00C94D30"/>
    <w:rsid w:val="00C94ECA"/>
    <w:rsid w:val="00C9562A"/>
    <w:rsid w:val="00C95ADE"/>
    <w:rsid w:val="00C95DC2"/>
    <w:rsid w:val="00C966EE"/>
    <w:rsid w:val="00C96783"/>
    <w:rsid w:val="00C96FF2"/>
    <w:rsid w:val="00C97565"/>
    <w:rsid w:val="00C97C9B"/>
    <w:rsid w:val="00CA008E"/>
    <w:rsid w:val="00CA01A5"/>
    <w:rsid w:val="00CA0799"/>
    <w:rsid w:val="00CA0A27"/>
    <w:rsid w:val="00CA0DAC"/>
    <w:rsid w:val="00CA1126"/>
    <w:rsid w:val="00CA144C"/>
    <w:rsid w:val="00CA1451"/>
    <w:rsid w:val="00CA14D5"/>
    <w:rsid w:val="00CA1A88"/>
    <w:rsid w:val="00CA1B69"/>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655"/>
    <w:rsid w:val="00CA7984"/>
    <w:rsid w:val="00CA7A83"/>
    <w:rsid w:val="00CA7C8A"/>
    <w:rsid w:val="00CB0299"/>
    <w:rsid w:val="00CB0DC7"/>
    <w:rsid w:val="00CB0E5C"/>
    <w:rsid w:val="00CB1453"/>
    <w:rsid w:val="00CB14F4"/>
    <w:rsid w:val="00CB1696"/>
    <w:rsid w:val="00CB16E9"/>
    <w:rsid w:val="00CB16F6"/>
    <w:rsid w:val="00CB19D5"/>
    <w:rsid w:val="00CB19F0"/>
    <w:rsid w:val="00CB1AB3"/>
    <w:rsid w:val="00CB1D31"/>
    <w:rsid w:val="00CB24E8"/>
    <w:rsid w:val="00CB2551"/>
    <w:rsid w:val="00CB255F"/>
    <w:rsid w:val="00CB2B53"/>
    <w:rsid w:val="00CB2E1E"/>
    <w:rsid w:val="00CB32E5"/>
    <w:rsid w:val="00CB3AB4"/>
    <w:rsid w:val="00CB3B05"/>
    <w:rsid w:val="00CB3BD5"/>
    <w:rsid w:val="00CB4128"/>
    <w:rsid w:val="00CB4141"/>
    <w:rsid w:val="00CB4247"/>
    <w:rsid w:val="00CB446A"/>
    <w:rsid w:val="00CB4564"/>
    <w:rsid w:val="00CB48FE"/>
    <w:rsid w:val="00CB4BDC"/>
    <w:rsid w:val="00CB4FB8"/>
    <w:rsid w:val="00CB55BE"/>
    <w:rsid w:val="00CB5843"/>
    <w:rsid w:val="00CB5DA3"/>
    <w:rsid w:val="00CB65F2"/>
    <w:rsid w:val="00CB6656"/>
    <w:rsid w:val="00CB7D33"/>
    <w:rsid w:val="00CC0A63"/>
    <w:rsid w:val="00CC0CAE"/>
    <w:rsid w:val="00CC1587"/>
    <w:rsid w:val="00CC1EE2"/>
    <w:rsid w:val="00CC2861"/>
    <w:rsid w:val="00CC2BDC"/>
    <w:rsid w:val="00CC2F5D"/>
    <w:rsid w:val="00CC3093"/>
    <w:rsid w:val="00CC31F9"/>
    <w:rsid w:val="00CC3B25"/>
    <w:rsid w:val="00CC4226"/>
    <w:rsid w:val="00CC4255"/>
    <w:rsid w:val="00CC45A5"/>
    <w:rsid w:val="00CC4FC0"/>
    <w:rsid w:val="00CC5035"/>
    <w:rsid w:val="00CC5B7E"/>
    <w:rsid w:val="00CC5F00"/>
    <w:rsid w:val="00CC6D09"/>
    <w:rsid w:val="00CC7800"/>
    <w:rsid w:val="00CC79CE"/>
    <w:rsid w:val="00CC7A4F"/>
    <w:rsid w:val="00CD0131"/>
    <w:rsid w:val="00CD02EA"/>
    <w:rsid w:val="00CD07CD"/>
    <w:rsid w:val="00CD0B81"/>
    <w:rsid w:val="00CD11AB"/>
    <w:rsid w:val="00CD15A0"/>
    <w:rsid w:val="00CD1A01"/>
    <w:rsid w:val="00CD1AC5"/>
    <w:rsid w:val="00CD1AE8"/>
    <w:rsid w:val="00CD1C9C"/>
    <w:rsid w:val="00CD1EEC"/>
    <w:rsid w:val="00CD2767"/>
    <w:rsid w:val="00CD2A54"/>
    <w:rsid w:val="00CD2B4D"/>
    <w:rsid w:val="00CD2BEE"/>
    <w:rsid w:val="00CD2D7F"/>
    <w:rsid w:val="00CD3AF1"/>
    <w:rsid w:val="00CD3C43"/>
    <w:rsid w:val="00CD441E"/>
    <w:rsid w:val="00CD4496"/>
    <w:rsid w:val="00CD4CCF"/>
    <w:rsid w:val="00CD59CF"/>
    <w:rsid w:val="00CD5BBE"/>
    <w:rsid w:val="00CD5BF0"/>
    <w:rsid w:val="00CD60AC"/>
    <w:rsid w:val="00CD630E"/>
    <w:rsid w:val="00CD6876"/>
    <w:rsid w:val="00CD7D7A"/>
    <w:rsid w:val="00CE0946"/>
    <w:rsid w:val="00CE0C38"/>
    <w:rsid w:val="00CE0D51"/>
    <w:rsid w:val="00CE0E87"/>
    <w:rsid w:val="00CE0F29"/>
    <w:rsid w:val="00CE10A8"/>
    <w:rsid w:val="00CE1665"/>
    <w:rsid w:val="00CE1B84"/>
    <w:rsid w:val="00CE2A41"/>
    <w:rsid w:val="00CE33B0"/>
    <w:rsid w:val="00CE33C3"/>
    <w:rsid w:val="00CE3749"/>
    <w:rsid w:val="00CE3A5E"/>
    <w:rsid w:val="00CE3C20"/>
    <w:rsid w:val="00CE4131"/>
    <w:rsid w:val="00CE4311"/>
    <w:rsid w:val="00CE459E"/>
    <w:rsid w:val="00CE4B34"/>
    <w:rsid w:val="00CE4FC8"/>
    <w:rsid w:val="00CE5087"/>
    <w:rsid w:val="00CE5170"/>
    <w:rsid w:val="00CE5F93"/>
    <w:rsid w:val="00CE6373"/>
    <w:rsid w:val="00CE673C"/>
    <w:rsid w:val="00CE7ABF"/>
    <w:rsid w:val="00CE7ADB"/>
    <w:rsid w:val="00CE7C10"/>
    <w:rsid w:val="00CE7FF3"/>
    <w:rsid w:val="00CF0418"/>
    <w:rsid w:val="00CF0573"/>
    <w:rsid w:val="00CF165C"/>
    <w:rsid w:val="00CF1761"/>
    <w:rsid w:val="00CF1861"/>
    <w:rsid w:val="00CF26A5"/>
    <w:rsid w:val="00CF29C8"/>
    <w:rsid w:val="00CF350F"/>
    <w:rsid w:val="00CF37C4"/>
    <w:rsid w:val="00CF390B"/>
    <w:rsid w:val="00CF3927"/>
    <w:rsid w:val="00CF3EA5"/>
    <w:rsid w:val="00CF4ABF"/>
    <w:rsid w:val="00CF51A2"/>
    <w:rsid w:val="00CF5412"/>
    <w:rsid w:val="00CF5AF0"/>
    <w:rsid w:val="00CF68B3"/>
    <w:rsid w:val="00CF6B1F"/>
    <w:rsid w:val="00CF6BA5"/>
    <w:rsid w:val="00CF6FDA"/>
    <w:rsid w:val="00CF724E"/>
    <w:rsid w:val="00CF7B9E"/>
    <w:rsid w:val="00D0138E"/>
    <w:rsid w:val="00D02732"/>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9EE"/>
    <w:rsid w:val="00D12B1F"/>
    <w:rsid w:val="00D12E2D"/>
    <w:rsid w:val="00D12EF8"/>
    <w:rsid w:val="00D130A3"/>
    <w:rsid w:val="00D138CD"/>
    <w:rsid w:val="00D13AF5"/>
    <w:rsid w:val="00D13E2E"/>
    <w:rsid w:val="00D14130"/>
    <w:rsid w:val="00D14B59"/>
    <w:rsid w:val="00D155AA"/>
    <w:rsid w:val="00D15646"/>
    <w:rsid w:val="00D1591C"/>
    <w:rsid w:val="00D15958"/>
    <w:rsid w:val="00D15B30"/>
    <w:rsid w:val="00D15EA9"/>
    <w:rsid w:val="00D16090"/>
    <w:rsid w:val="00D16295"/>
    <w:rsid w:val="00D162CD"/>
    <w:rsid w:val="00D16571"/>
    <w:rsid w:val="00D168B2"/>
    <w:rsid w:val="00D175B7"/>
    <w:rsid w:val="00D17748"/>
    <w:rsid w:val="00D17A58"/>
    <w:rsid w:val="00D17AEE"/>
    <w:rsid w:val="00D17B45"/>
    <w:rsid w:val="00D17E76"/>
    <w:rsid w:val="00D203CF"/>
    <w:rsid w:val="00D21136"/>
    <w:rsid w:val="00D223E2"/>
    <w:rsid w:val="00D22A91"/>
    <w:rsid w:val="00D22B1C"/>
    <w:rsid w:val="00D22D42"/>
    <w:rsid w:val="00D22DC1"/>
    <w:rsid w:val="00D23001"/>
    <w:rsid w:val="00D233EB"/>
    <w:rsid w:val="00D238D4"/>
    <w:rsid w:val="00D2425A"/>
    <w:rsid w:val="00D24451"/>
    <w:rsid w:val="00D24EF0"/>
    <w:rsid w:val="00D25D70"/>
    <w:rsid w:val="00D25E39"/>
    <w:rsid w:val="00D262B3"/>
    <w:rsid w:val="00D269E7"/>
    <w:rsid w:val="00D26F4D"/>
    <w:rsid w:val="00D26FF3"/>
    <w:rsid w:val="00D271AD"/>
    <w:rsid w:val="00D27D1B"/>
    <w:rsid w:val="00D27EAB"/>
    <w:rsid w:val="00D30759"/>
    <w:rsid w:val="00D30FEC"/>
    <w:rsid w:val="00D31727"/>
    <w:rsid w:val="00D31AEF"/>
    <w:rsid w:val="00D31BC6"/>
    <w:rsid w:val="00D31E4E"/>
    <w:rsid w:val="00D3254A"/>
    <w:rsid w:val="00D32ACC"/>
    <w:rsid w:val="00D32C7E"/>
    <w:rsid w:val="00D33087"/>
    <w:rsid w:val="00D330B2"/>
    <w:rsid w:val="00D3402B"/>
    <w:rsid w:val="00D34702"/>
    <w:rsid w:val="00D34EDF"/>
    <w:rsid w:val="00D350FB"/>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5F77"/>
    <w:rsid w:val="00D46363"/>
    <w:rsid w:val="00D464F5"/>
    <w:rsid w:val="00D4717C"/>
    <w:rsid w:val="00D47C39"/>
    <w:rsid w:val="00D504A0"/>
    <w:rsid w:val="00D5092F"/>
    <w:rsid w:val="00D50A89"/>
    <w:rsid w:val="00D50C96"/>
    <w:rsid w:val="00D50F36"/>
    <w:rsid w:val="00D51923"/>
    <w:rsid w:val="00D51BF0"/>
    <w:rsid w:val="00D51DFD"/>
    <w:rsid w:val="00D51E62"/>
    <w:rsid w:val="00D522B1"/>
    <w:rsid w:val="00D52DAF"/>
    <w:rsid w:val="00D53B48"/>
    <w:rsid w:val="00D53DFA"/>
    <w:rsid w:val="00D5436D"/>
    <w:rsid w:val="00D54378"/>
    <w:rsid w:val="00D54865"/>
    <w:rsid w:val="00D54889"/>
    <w:rsid w:val="00D54CC8"/>
    <w:rsid w:val="00D54D20"/>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3C5"/>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5A7"/>
    <w:rsid w:val="00D80C0E"/>
    <w:rsid w:val="00D81149"/>
    <w:rsid w:val="00D812FB"/>
    <w:rsid w:val="00D816AC"/>
    <w:rsid w:val="00D81B7D"/>
    <w:rsid w:val="00D820DF"/>
    <w:rsid w:val="00D825DC"/>
    <w:rsid w:val="00D82608"/>
    <w:rsid w:val="00D82820"/>
    <w:rsid w:val="00D8285C"/>
    <w:rsid w:val="00D82A0C"/>
    <w:rsid w:val="00D82CAF"/>
    <w:rsid w:val="00D82F60"/>
    <w:rsid w:val="00D82F85"/>
    <w:rsid w:val="00D8302C"/>
    <w:rsid w:val="00D8337B"/>
    <w:rsid w:val="00D8349A"/>
    <w:rsid w:val="00D83659"/>
    <w:rsid w:val="00D83894"/>
    <w:rsid w:val="00D83EE4"/>
    <w:rsid w:val="00D84ABE"/>
    <w:rsid w:val="00D84C29"/>
    <w:rsid w:val="00D85027"/>
    <w:rsid w:val="00D85D5A"/>
    <w:rsid w:val="00D86149"/>
    <w:rsid w:val="00D862F6"/>
    <w:rsid w:val="00D8651E"/>
    <w:rsid w:val="00D86924"/>
    <w:rsid w:val="00D869DD"/>
    <w:rsid w:val="00D86D33"/>
    <w:rsid w:val="00D86E50"/>
    <w:rsid w:val="00D8723C"/>
    <w:rsid w:val="00D87455"/>
    <w:rsid w:val="00D90219"/>
    <w:rsid w:val="00D909DA"/>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70"/>
    <w:rsid w:val="00D9738C"/>
    <w:rsid w:val="00DA046C"/>
    <w:rsid w:val="00DA0B17"/>
    <w:rsid w:val="00DA0CB6"/>
    <w:rsid w:val="00DA1257"/>
    <w:rsid w:val="00DA16F7"/>
    <w:rsid w:val="00DA1B15"/>
    <w:rsid w:val="00DA1D08"/>
    <w:rsid w:val="00DA1DC8"/>
    <w:rsid w:val="00DA248B"/>
    <w:rsid w:val="00DA2754"/>
    <w:rsid w:val="00DA2BBD"/>
    <w:rsid w:val="00DA30F3"/>
    <w:rsid w:val="00DA3692"/>
    <w:rsid w:val="00DA3BB5"/>
    <w:rsid w:val="00DA3FC6"/>
    <w:rsid w:val="00DA4C7B"/>
    <w:rsid w:val="00DA4E24"/>
    <w:rsid w:val="00DA55E3"/>
    <w:rsid w:val="00DA6262"/>
    <w:rsid w:val="00DA645F"/>
    <w:rsid w:val="00DA6802"/>
    <w:rsid w:val="00DA6CA4"/>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693"/>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3B3"/>
    <w:rsid w:val="00DD0678"/>
    <w:rsid w:val="00DD088A"/>
    <w:rsid w:val="00DD14FE"/>
    <w:rsid w:val="00DD15D2"/>
    <w:rsid w:val="00DD187B"/>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C09"/>
    <w:rsid w:val="00DD7F1E"/>
    <w:rsid w:val="00DE01B6"/>
    <w:rsid w:val="00DE07AD"/>
    <w:rsid w:val="00DE0D4B"/>
    <w:rsid w:val="00DE1B1C"/>
    <w:rsid w:val="00DE29C0"/>
    <w:rsid w:val="00DE2EA5"/>
    <w:rsid w:val="00DE311C"/>
    <w:rsid w:val="00DE343B"/>
    <w:rsid w:val="00DE3E10"/>
    <w:rsid w:val="00DE40AA"/>
    <w:rsid w:val="00DE415F"/>
    <w:rsid w:val="00DE490B"/>
    <w:rsid w:val="00DE5926"/>
    <w:rsid w:val="00DE5B36"/>
    <w:rsid w:val="00DE6935"/>
    <w:rsid w:val="00DE6A6D"/>
    <w:rsid w:val="00DE76CC"/>
    <w:rsid w:val="00DE777D"/>
    <w:rsid w:val="00DE7BE2"/>
    <w:rsid w:val="00DE7F13"/>
    <w:rsid w:val="00DE7F9A"/>
    <w:rsid w:val="00DF076D"/>
    <w:rsid w:val="00DF0928"/>
    <w:rsid w:val="00DF0C99"/>
    <w:rsid w:val="00DF102E"/>
    <w:rsid w:val="00DF1136"/>
    <w:rsid w:val="00DF12BD"/>
    <w:rsid w:val="00DF1588"/>
    <w:rsid w:val="00DF182D"/>
    <w:rsid w:val="00DF18EE"/>
    <w:rsid w:val="00DF1AF7"/>
    <w:rsid w:val="00DF1B2E"/>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DF8"/>
    <w:rsid w:val="00DF6FB9"/>
    <w:rsid w:val="00DF70E5"/>
    <w:rsid w:val="00DF75AB"/>
    <w:rsid w:val="00DF77BD"/>
    <w:rsid w:val="00DF7886"/>
    <w:rsid w:val="00DF7959"/>
    <w:rsid w:val="00DF7BB6"/>
    <w:rsid w:val="00DF7CEB"/>
    <w:rsid w:val="00E0001E"/>
    <w:rsid w:val="00E000B1"/>
    <w:rsid w:val="00E00C6E"/>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635"/>
    <w:rsid w:val="00E06764"/>
    <w:rsid w:val="00E06FF0"/>
    <w:rsid w:val="00E10677"/>
    <w:rsid w:val="00E106B0"/>
    <w:rsid w:val="00E10ADD"/>
    <w:rsid w:val="00E10C3C"/>
    <w:rsid w:val="00E10C88"/>
    <w:rsid w:val="00E11883"/>
    <w:rsid w:val="00E11FFF"/>
    <w:rsid w:val="00E1201F"/>
    <w:rsid w:val="00E12079"/>
    <w:rsid w:val="00E12EE7"/>
    <w:rsid w:val="00E13285"/>
    <w:rsid w:val="00E1376B"/>
    <w:rsid w:val="00E138F3"/>
    <w:rsid w:val="00E13950"/>
    <w:rsid w:val="00E13978"/>
    <w:rsid w:val="00E15355"/>
    <w:rsid w:val="00E1550C"/>
    <w:rsid w:val="00E156B0"/>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F9"/>
    <w:rsid w:val="00E23F3A"/>
    <w:rsid w:val="00E24E0E"/>
    <w:rsid w:val="00E24F15"/>
    <w:rsid w:val="00E252BE"/>
    <w:rsid w:val="00E256F0"/>
    <w:rsid w:val="00E258B1"/>
    <w:rsid w:val="00E25A2A"/>
    <w:rsid w:val="00E25AD8"/>
    <w:rsid w:val="00E2740F"/>
    <w:rsid w:val="00E27508"/>
    <w:rsid w:val="00E277DA"/>
    <w:rsid w:val="00E27A3E"/>
    <w:rsid w:val="00E27F1D"/>
    <w:rsid w:val="00E27F2D"/>
    <w:rsid w:val="00E3002E"/>
    <w:rsid w:val="00E30870"/>
    <w:rsid w:val="00E30F9B"/>
    <w:rsid w:val="00E3102D"/>
    <w:rsid w:val="00E31529"/>
    <w:rsid w:val="00E31813"/>
    <w:rsid w:val="00E3198C"/>
    <w:rsid w:val="00E31E0C"/>
    <w:rsid w:val="00E31E1A"/>
    <w:rsid w:val="00E31F6B"/>
    <w:rsid w:val="00E3240B"/>
    <w:rsid w:val="00E324EB"/>
    <w:rsid w:val="00E326C2"/>
    <w:rsid w:val="00E3287A"/>
    <w:rsid w:val="00E32D1D"/>
    <w:rsid w:val="00E33989"/>
    <w:rsid w:val="00E339AD"/>
    <w:rsid w:val="00E33B3E"/>
    <w:rsid w:val="00E33CD1"/>
    <w:rsid w:val="00E33D30"/>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A20"/>
    <w:rsid w:val="00E4511E"/>
    <w:rsid w:val="00E45663"/>
    <w:rsid w:val="00E45EF1"/>
    <w:rsid w:val="00E46001"/>
    <w:rsid w:val="00E46126"/>
    <w:rsid w:val="00E46A36"/>
    <w:rsid w:val="00E46EE7"/>
    <w:rsid w:val="00E47E77"/>
    <w:rsid w:val="00E50190"/>
    <w:rsid w:val="00E501E7"/>
    <w:rsid w:val="00E5020D"/>
    <w:rsid w:val="00E50925"/>
    <w:rsid w:val="00E50EF3"/>
    <w:rsid w:val="00E51335"/>
    <w:rsid w:val="00E517EB"/>
    <w:rsid w:val="00E52BA6"/>
    <w:rsid w:val="00E53631"/>
    <w:rsid w:val="00E53C37"/>
    <w:rsid w:val="00E53D6B"/>
    <w:rsid w:val="00E53E69"/>
    <w:rsid w:val="00E54078"/>
    <w:rsid w:val="00E54336"/>
    <w:rsid w:val="00E543BE"/>
    <w:rsid w:val="00E550B1"/>
    <w:rsid w:val="00E561BB"/>
    <w:rsid w:val="00E562F7"/>
    <w:rsid w:val="00E572CE"/>
    <w:rsid w:val="00E574F3"/>
    <w:rsid w:val="00E60140"/>
    <w:rsid w:val="00E604B2"/>
    <w:rsid w:val="00E60862"/>
    <w:rsid w:val="00E61846"/>
    <w:rsid w:val="00E61F51"/>
    <w:rsid w:val="00E62082"/>
    <w:rsid w:val="00E62084"/>
    <w:rsid w:val="00E6224F"/>
    <w:rsid w:val="00E626D1"/>
    <w:rsid w:val="00E62D84"/>
    <w:rsid w:val="00E63179"/>
    <w:rsid w:val="00E6330D"/>
    <w:rsid w:val="00E6352F"/>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1119"/>
    <w:rsid w:val="00E728F0"/>
    <w:rsid w:val="00E72EE6"/>
    <w:rsid w:val="00E730AB"/>
    <w:rsid w:val="00E730D7"/>
    <w:rsid w:val="00E73151"/>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7765C"/>
    <w:rsid w:val="00E80014"/>
    <w:rsid w:val="00E8007C"/>
    <w:rsid w:val="00E803B7"/>
    <w:rsid w:val="00E805E3"/>
    <w:rsid w:val="00E807C9"/>
    <w:rsid w:val="00E810C1"/>
    <w:rsid w:val="00E81491"/>
    <w:rsid w:val="00E817DF"/>
    <w:rsid w:val="00E82150"/>
    <w:rsid w:val="00E8230D"/>
    <w:rsid w:val="00E8299C"/>
    <w:rsid w:val="00E82BC0"/>
    <w:rsid w:val="00E8344E"/>
    <w:rsid w:val="00E83645"/>
    <w:rsid w:val="00E83877"/>
    <w:rsid w:val="00E83AD6"/>
    <w:rsid w:val="00E84203"/>
    <w:rsid w:val="00E84276"/>
    <w:rsid w:val="00E842FD"/>
    <w:rsid w:val="00E84ABC"/>
    <w:rsid w:val="00E84AD0"/>
    <w:rsid w:val="00E8500A"/>
    <w:rsid w:val="00E853C7"/>
    <w:rsid w:val="00E8573C"/>
    <w:rsid w:val="00E85817"/>
    <w:rsid w:val="00E85AF4"/>
    <w:rsid w:val="00E860B7"/>
    <w:rsid w:val="00E86157"/>
    <w:rsid w:val="00E864BF"/>
    <w:rsid w:val="00E86600"/>
    <w:rsid w:val="00E86CEA"/>
    <w:rsid w:val="00E86CF9"/>
    <w:rsid w:val="00E86EE6"/>
    <w:rsid w:val="00E87015"/>
    <w:rsid w:val="00E8791E"/>
    <w:rsid w:val="00E87F32"/>
    <w:rsid w:val="00E907A3"/>
    <w:rsid w:val="00E9082B"/>
    <w:rsid w:val="00E90D87"/>
    <w:rsid w:val="00E925D9"/>
    <w:rsid w:val="00E92C1D"/>
    <w:rsid w:val="00E92F60"/>
    <w:rsid w:val="00E93233"/>
    <w:rsid w:val="00E935BA"/>
    <w:rsid w:val="00E93A7C"/>
    <w:rsid w:val="00E93D1F"/>
    <w:rsid w:val="00E93E57"/>
    <w:rsid w:val="00E946A9"/>
    <w:rsid w:val="00E94C9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3E3"/>
    <w:rsid w:val="00EA0518"/>
    <w:rsid w:val="00EA0664"/>
    <w:rsid w:val="00EA0FFA"/>
    <w:rsid w:val="00EA1459"/>
    <w:rsid w:val="00EA1966"/>
    <w:rsid w:val="00EA1B8C"/>
    <w:rsid w:val="00EA2197"/>
    <w:rsid w:val="00EA2340"/>
    <w:rsid w:val="00EA26C8"/>
    <w:rsid w:val="00EA2724"/>
    <w:rsid w:val="00EA2E69"/>
    <w:rsid w:val="00EA301F"/>
    <w:rsid w:val="00EA3900"/>
    <w:rsid w:val="00EA42E3"/>
    <w:rsid w:val="00EA43DF"/>
    <w:rsid w:val="00EA44B5"/>
    <w:rsid w:val="00EA4B65"/>
    <w:rsid w:val="00EA53DD"/>
    <w:rsid w:val="00EA56A1"/>
    <w:rsid w:val="00EA5E85"/>
    <w:rsid w:val="00EA5EDB"/>
    <w:rsid w:val="00EA6F74"/>
    <w:rsid w:val="00EA6FB2"/>
    <w:rsid w:val="00EA7404"/>
    <w:rsid w:val="00EA7739"/>
    <w:rsid w:val="00EA7FBA"/>
    <w:rsid w:val="00EB0068"/>
    <w:rsid w:val="00EB05A6"/>
    <w:rsid w:val="00EB0ADE"/>
    <w:rsid w:val="00EB106D"/>
    <w:rsid w:val="00EB154B"/>
    <w:rsid w:val="00EB1B57"/>
    <w:rsid w:val="00EB1FA1"/>
    <w:rsid w:val="00EB2141"/>
    <w:rsid w:val="00EB2A26"/>
    <w:rsid w:val="00EB2DBC"/>
    <w:rsid w:val="00EB39EC"/>
    <w:rsid w:val="00EB3A3D"/>
    <w:rsid w:val="00EB3B99"/>
    <w:rsid w:val="00EB3C38"/>
    <w:rsid w:val="00EB3CD5"/>
    <w:rsid w:val="00EB3E66"/>
    <w:rsid w:val="00EB4209"/>
    <w:rsid w:val="00EB47DE"/>
    <w:rsid w:val="00EB4F07"/>
    <w:rsid w:val="00EB4F13"/>
    <w:rsid w:val="00EB554C"/>
    <w:rsid w:val="00EB55C6"/>
    <w:rsid w:val="00EB5939"/>
    <w:rsid w:val="00EB5CB3"/>
    <w:rsid w:val="00EB603D"/>
    <w:rsid w:val="00EB62E8"/>
    <w:rsid w:val="00EB6517"/>
    <w:rsid w:val="00EB67A5"/>
    <w:rsid w:val="00EB6C13"/>
    <w:rsid w:val="00EB6DED"/>
    <w:rsid w:val="00EB6EF7"/>
    <w:rsid w:val="00EB7053"/>
    <w:rsid w:val="00EB7175"/>
    <w:rsid w:val="00EB747A"/>
    <w:rsid w:val="00EB78C9"/>
    <w:rsid w:val="00EB79C2"/>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BD0"/>
    <w:rsid w:val="00EC5D9D"/>
    <w:rsid w:val="00EC5EBF"/>
    <w:rsid w:val="00EC60C9"/>
    <w:rsid w:val="00EC6540"/>
    <w:rsid w:val="00EC722C"/>
    <w:rsid w:val="00EC73C9"/>
    <w:rsid w:val="00EC7621"/>
    <w:rsid w:val="00EC77C7"/>
    <w:rsid w:val="00EC7A79"/>
    <w:rsid w:val="00EC7EB2"/>
    <w:rsid w:val="00ED00A0"/>
    <w:rsid w:val="00ED04DC"/>
    <w:rsid w:val="00ED12BC"/>
    <w:rsid w:val="00ED1FBC"/>
    <w:rsid w:val="00ED204D"/>
    <w:rsid w:val="00ED223C"/>
    <w:rsid w:val="00ED2816"/>
    <w:rsid w:val="00ED2989"/>
    <w:rsid w:val="00ED2F30"/>
    <w:rsid w:val="00ED34C3"/>
    <w:rsid w:val="00ED3853"/>
    <w:rsid w:val="00ED3C64"/>
    <w:rsid w:val="00ED55F9"/>
    <w:rsid w:val="00ED5E05"/>
    <w:rsid w:val="00ED67E4"/>
    <w:rsid w:val="00ED685E"/>
    <w:rsid w:val="00ED691E"/>
    <w:rsid w:val="00ED7521"/>
    <w:rsid w:val="00ED78D5"/>
    <w:rsid w:val="00ED7CCC"/>
    <w:rsid w:val="00ED7FD1"/>
    <w:rsid w:val="00EE001E"/>
    <w:rsid w:val="00EE037F"/>
    <w:rsid w:val="00EE070C"/>
    <w:rsid w:val="00EE0CF9"/>
    <w:rsid w:val="00EE0EA2"/>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431"/>
    <w:rsid w:val="00EE66D6"/>
    <w:rsid w:val="00EE6891"/>
    <w:rsid w:val="00EE705B"/>
    <w:rsid w:val="00EE72D0"/>
    <w:rsid w:val="00EF03B4"/>
    <w:rsid w:val="00EF07FA"/>
    <w:rsid w:val="00EF089D"/>
    <w:rsid w:val="00EF0CB6"/>
    <w:rsid w:val="00EF11B6"/>
    <w:rsid w:val="00EF1472"/>
    <w:rsid w:val="00EF1584"/>
    <w:rsid w:val="00EF1688"/>
    <w:rsid w:val="00EF1814"/>
    <w:rsid w:val="00EF1A52"/>
    <w:rsid w:val="00EF1D64"/>
    <w:rsid w:val="00EF1E0F"/>
    <w:rsid w:val="00EF1FB7"/>
    <w:rsid w:val="00EF2556"/>
    <w:rsid w:val="00EF26D8"/>
    <w:rsid w:val="00EF2C30"/>
    <w:rsid w:val="00EF2D6E"/>
    <w:rsid w:val="00EF368F"/>
    <w:rsid w:val="00EF371F"/>
    <w:rsid w:val="00EF3B44"/>
    <w:rsid w:val="00EF3C90"/>
    <w:rsid w:val="00EF3C9E"/>
    <w:rsid w:val="00EF47E3"/>
    <w:rsid w:val="00EF502B"/>
    <w:rsid w:val="00EF5207"/>
    <w:rsid w:val="00EF5291"/>
    <w:rsid w:val="00EF539B"/>
    <w:rsid w:val="00EF5CE8"/>
    <w:rsid w:val="00EF5E3C"/>
    <w:rsid w:val="00EF6263"/>
    <w:rsid w:val="00EF6395"/>
    <w:rsid w:val="00EF6595"/>
    <w:rsid w:val="00EF6825"/>
    <w:rsid w:val="00EF6929"/>
    <w:rsid w:val="00EF6EBE"/>
    <w:rsid w:val="00EF6F15"/>
    <w:rsid w:val="00EF7670"/>
    <w:rsid w:val="00F00345"/>
    <w:rsid w:val="00F00CF7"/>
    <w:rsid w:val="00F01277"/>
    <w:rsid w:val="00F01853"/>
    <w:rsid w:val="00F02D2D"/>
    <w:rsid w:val="00F0314E"/>
    <w:rsid w:val="00F032F6"/>
    <w:rsid w:val="00F03410"/>
    <w:rsid w:val="00F03925"/>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6F6"/>
    <w:rsid w:val="00F10C2B"/>
    <w:rsid w:val="00F10CCB"/>
    <w:rsid w:val="00F10CFD"/>
    <w:rsid w:val="00F1116C"/>
    <w:rsid w:val="00F114DE"/>
    <w:rsid w:val="00F11A6F"/>
    <w:rsid w:val="00F120EF"/>
    <w:rsid w:val="00F12153"/>
    <w:rsid w:val="00F121F5"/>
    <w:rsid w:val="00F128BE"/>
    <w:rsid w:val="00F12C6F"/>
    <w:rsid w:val="00F12CC7"/>
    <w:rsid w:val="00F12EF9"/>
    <w:rsid w:val="00F1378A"/>
    <w:rsid w:val="00F1383A"/>
    <w:rsid w:val="00F14009"/>
    <w:rsid w:val="00F14175"/>
    <w:rsid w:val="00F14439"/>
    <w:rsid w:val="00F14456"/>
    <w:rsid w:val="00F1459D"/>
    <w:rsid w:val="00F146E9"/>
    <w:rsid w:val="00F14B3A"/>
    <w:rsid w:val="00F14E78"/>
    <w:rsid w:val="00F14EC9"/>
    <w:rsid w:val="00F156C1"/>
    <w:rsid w:val="00F16967"/>
    <w:rsid w:val="00F17124"/>
    <w:rsid w:val="00F2090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246"/>
    <w:rsid w:val="00F30C37"/>
    <w:rsid w:val="00F31045"/>
    <w:rsid w:val="00F31073"/>
    <w:rsid w:val="00F31B87"/>
    <w:rsid w:val="00F31E5C"/>
    <w:rsid w:val="00F31F26"/>
    <w:rsid w:val="00F3229A"/>
    <w:rsid w:val="00F32A15"/>
    <w:rsid w:val="00F34059"/>
    <w:rsid w:val="00F3464C"/>
    <w:rsid w:val="00F3471C"/>
    <w:rsid w:val="00F34DCC"/>
    <w:rsid w:val="00F35254"/>
    <w:rsid w:val="00F3595A"/>
    <w:rsid w:val="00F35B5A"/>
    <w:rsid w:val="00F35B99"/>
    <w:rsid w:val="00F35CD3"/>
    <w:rsid w:val="00F36390"/>
    <w:rsid w:val="00F364C9"/>
    <w:rsid w:val="00F36940"/>
    <w:rsid w:val="00F36976"/>
    <w:rsid w:val="00F369BD"/>
    <w:rsid w:val="00F36FC3"/>
    <w:rsid w:val="00F371E8"/>
    <w:rsid w:val="00F37490"/>
    <w:rsid w:val="00F377E4"/>
    <w:rsid w:val="00F37B30"/>
    <w:rsid w:val="00F4074F"/>
    <w:rsid w:val="00F407B6"/>
    <w:rsid w:val="00F408E2"/>
    <w:rsid w:val="00F40ABD"/>
    <w:rsid w:val="00F40F31"/>
    <w:rsid w:val="00F416A4"/>
    <w:rsid w:val="00F41799"/>
    <w:rsid w:val="00F41B55"/>
    <w:rsid w:val="00F4221A"/>
    <w:rsid w:val="00F423E7"/>
    <w:rsid w:val="00F42882"/>
    <w:rsid w:val="00F42DE8"/>
    <w:rsid w:val="00F43098"/>
    <w:rsid w:val="00F435CB"/>
    <w:rsid w:val="00F439F4"/>
    <w:rsid w:val="00F43A6F"/>
    <w:rsid w:val="00F44100"/>
    <w:rsid w:val="00F443A6"/>
    <w:rsid w:val="00F4459B"/>
    <w:rsid w:val="00F44B75"/>
    <w:rsid w:val="00F45A56"/>
    <w:rsid w:val="00F45C6B"/>
    <w:rsid w:val="00F45D3D"/>
    <w:rsid w:val="00F46081"/>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091"/>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1F09"/>
    <w:rsid w:val="00F62A9C"/>
    <w:rsid w:val="00F62CF9"/>
    <w:rsid w:val="00F62F43"/>
    <w:rsid w:val="00F6375C"/>
    <w:rsid w:val="00F63C10"/>
    <w:rsid w:val="00F64726"/>
    <w:rsid w:val="00F65927"/>
    <w:rsid w:val="00F65A0B"/>
    <w:rsid w:val="00F65C05"/>
    <w:rsid w:val="00F65C21"/>
    <w:rsid w:val="00F66073"/>
    <w:rsid w:val="00F66419"/>
    <w:rsid w:val="00F66512"/>
    <w:rsid w:val="00F6681D"/>
    <w:rsid w:val="00F66BB5"/>
    <w:rsid w:val="00F66C8C"/>
    <w:rsid w:val="00F66EE8"/>
    <w:rsid w:val="00F670CB"/>
    <w:rsid w:val="00F67104"/>
    <w:rsid w:val="00F67769"/>
    <w:rsid w:val="00F67A1B"/>
    <w:rsid w:val="00F67E0C"/>
    <w:rsid w:val="00F703B4"/>
    <w:rsid w:val="00F704B5"/>
    <w:rsid w:val="00F70769"/>
    <w:rsid w:val="00F71169"/>
    <w:rsid w:val="00F713FB"/>
    <w:rsid w:val="00F72061"/>
    <w:rsid w:val="00F72AFF"/>
    <w:rsid w:val="00F72D07"/>
    <w:rsid w:val="00F72EB6"/>
    <w:rsid w:val="00F73295"/>
    <w:rsid w:val="00F737BE"/>
    <w:rsid w:val="00F73C19"/>
    <w:rsid w:val="00F744C0"/>
    <w:rsid w:val="00F7463A"/>
    <w:rsid w:val="00F74ED5"/>
    <w:rsid w:val="00F7514E"/>
    <w:rsid w:val="00F75329"/>
    <w:rsid w:val="00F75588"/>
    <w:rsid w:val="00F755ED"/>
    <w:rsid w:val="00F756A1"/>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A94"/>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6AB"/>
    <w:rsid w:val="00F95982"/>
    <w:rsid w:val="00F95AA5"/>
    <w:rsid w:val="00F95C3F"/>
    <w:rsid w:val="00F95D85"/>
    <w:rsid w:val="00F9600A"/>
    <w:rsid w:val="00F96101"/>
    <w:rsid w:val="00F961AE"/>
    <w:rsid w:val="00F96635"/>
    <w:rsid w:val="00F966B6"/>
    <w:rsid w:val="00F96B01"/>
    <w:rsid w:val="00F9744D"/>
    <w:rsid w:val="00F977D2"/>
    <w:rsid w:val="00F979DD"/>
    <w:rsid w:val="00FA06F5"/>
    <w:rsid w:val="00FA07EC"/>
    <w:rsid w:val="00FA1045"/>
    <w:rsid w:val="00FA1470"/>
    <w:rsid w:val="00FA1980"/>
    <w:rsid w:val="00FA1A03"/>
    <w:rsid w:val="00FA1B0D"/>
    <w:rsid w:val="00FA1B76"/>
    <w:rsid w:val="00FA1C10"/>
    <w:rsid w:val="00FA22A8"/>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90"/>
    <w:rsid w:val="00FB05BB"/>
    <w:rsid w:val="00FB0BC0"/>
    <w:rsid w:val="00FB0C66"/>
    <w:rsid w:val="00FB0E77"/>
    <w:rsid w:val="00FB1673"/>
    <w:rsid w:val="00FB1C79"/>
    <w:rsid w:val="00FB1E46"/>
    <w:rsid w:val="00FB2241"/>
    <w:rsid w:val="00FB2CDD"/>
    <w:rsid w:val="00FB2DD6"/>
    <w:rsid w:val="00FB3B14"/>
    <w:rsid w:val="00FB3BEC"/>
    <w:rsid w:val="00FB3EC5"/>
    <w:rsid w:val="00FB4190"/>
    <w:rsid w:val="00FB41A1"/>
    <w:rsid w:val="00FB4304"/>
    <w:rsid w:val="00FB4A7E"/>
    <w:rsid w:val="00FB51D3"/>
    <w:rsid w:val="00FB5393"/>
    <w:rsid w:val="00FB5A62"/>
    <w:rsid w:val="00FB5D55"/>
    <w:rsid w:val="00FB6A69"/>
    <w:rsid w:val="00FB6FD5"/>
    <w:rsid w:val="00FB7739"/>
    <w:rsid w:val="00FB7EE1"/>
    <w:rsid w:val="00FC0B07"/>
    <w:rsid w:val="00FC0CD9"/>
    <w:rsid w:val="00FC10D1"/>
    <w:rsid w:val="00FC1FA4"/>
    <w:rsid w:val="00FC1FF9"/>
    <w:rsid w:val="00FC2424"/>
    <w:rsid w:val="00FC2B5B"/>
    <w:rsid w:val="00FC2B62"/>
    <w:rsid w:val="00FC2F92"/>
    <w:rsid w:val="00FC32AB"/>
    <w:rsid w:val="00FC34E5"/>
    <w:rsid w:val="00FC3B6C"/>
    <w:rsid w:val="00FC3FC7"/>
    <w:rsid w:val="00FC42DA"/>
    <w:rsid w:val="00FC4351"/>
    <w:rsid w:val="00FC438B"/>
    <w:rsid w:val="00FC453D"/>
    <w:rsid w:val="00FC46C9"/>
    <w:rsid w:val="00FC4D35"/>
    <w:rsid w:val="00FC5211"/>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100"/>
    <w:rsid w:val="00FD739E"/>
    <w:rsid w:val="00FD76B0"/>
    <w:rsid w:val="00FD7AEB"/>
    <w:rsid w:val="00FD7BDB"/>
    <w:rsid w:val="00FD7DEF"/>
    <w:rsid w:val="00FD7DFA"/>
    <w:rsid w:val="00FD7EF1"/>
    <w:rsid w:val="00FD7F9B"/>
    <w:rsid w:val="00FE0317"/>
    <w:rsid w:val="00FE11AA"/>
    <w:rsid w:val="00FE12BD"/>
    <w:rsid w:val="00FE192C"/>
    <w:rsid w:val="00FE1CA7"/>
    <w:rsid w:val="00FE1D86"/>
    <w:rsid w:val="00FE1F45"/>
    <w:rsid w:val="00FE1F64"/>
    <w:rsid w:val="00FE2372"/>
    <w:rsid w:val="00FE2B4C"/>
    <w:rsid w:val="00FE3553"/>
    <w:rsid w:val="00FE4356"/>
    <w:rsid w:val="00FE4757"/>
    <w:rsid w:val="00FE4C70"/>
    <w:rsid w:val="00FE5669"/>
    <w:rsid w:val="00FE5D3C"/>
    <w:rsid w:val="00FE5D61"/>
    <w:rsid w:val="00FE5F1D"/>
    <w:rsid w:val="00FE5FC8"/>
    <w:rsid w:val="00FE725C"/>
    <w:rsid w:val="00FE76AB"/>
    <w:rsid w:val="00FE7821"/>
    <w:rsid w:val="00FE7C86"/>
    <w:rsid w:val="00FF04EE"/>
    <w:rsid w:val="00FF0A80"/>
    <w:rsid w:val="00FF0B12"/>
    <w:rsid w:val="00FF0D40"/>
    <w:rsid w:val="00FF0E05"/>
    <w:rsid w:val="00FF0EE6"/>
    <w:rsid w:val="00FF20A5"/>
    <w:rsid w:val="00FF21D7"/>
    <w:rsid w:val="00FF26B0"/>
    <w:rsid w:val="00FF2720"/>
    <w:rsid w:val="00FF2BBB"/>
    <w:rsid w:val="00FF2CB1"/>
    <w:rsid w:val="00FF2CBC"/>
    <w:rsid w:val="00FF2F91"/>
    <w:rsid w:val="00FF3811"/>
    <w:rsid w:val="00FF38C4"/>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0B1"/>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52411">
      <w:bodyDiv w:val="1"/>
      <w:marLeft w:val="0"/>
      <w:marRight w:val="0"/>
      <w:marTop w:val="0"/>
      <w:marBottom w:val="0"/>
      <w:divBdr>
        <w:top w:val="none" w:sz="0" w:space="0" w:color="auto"/>
        <w:left w:val="none" w:sz="0" w:space="0" w:color="auto"/>
        <w:bottom w:val="none" w:sz="0" w:space="0" w:color="auto"/>
        <w:right w:val="none" w:sz="0" w:space="0" w:color="auto"/>
      </w:divBdr>
    </w:div>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74405049">
      <w:bodyDiv w:val="1"/>
      <w:marLeft w:val="0"/>
      <w:marRight w:val="0"/>
      <w:marTop w:val="0"/>
      <w:marBottom w:val="0"/>
      <w:divBdr>
        <w:top w:val="none" w:sz="0" w:space="0" w:color="auto"/>
        <w:left w:val="none" w:sz="0" w:space="0" w:color="auto"/>
        <w:bottom w:val="none" w:sz="0" w:space="0" w:color="auto"/>
        <w:right w:val="none" w:sz="0" w:space="0" w:color="auto"/>
      </w:divBdr>
    </w:div>
    <w:div w:id="104152484">
      <w:bodyDiv w:val="1"/>
      <w:marLeft w:val="0"/>
      <w:marRight w:val="0"/>
      <w:marTop w:val="0"/>
      <w:marBottom w:val="0"/>
      <w:divBdr>
        <w:top w:val="none" w:sz="0" w:space="0" w:color="auto"/>
        <w:left w:val="none" w:sz="0" w:space="0" w:color="auto"/>
        <w:bottom w:val="none" w:sz="0" w:space="0" w:color="auto"/>
        <w:right w:val="none" w:sz="0" w:space="0" w:color="auto"/>
      </w:divBdr>
    </w:div>
    <w:div w:id="107822524">
      <w:bodyDiv w:val="1"/>
      <w:marLeft w:val="0"/>
      <w:marRight w:val="0"/>
      <w:marTop w:val="0"/>
      <w:marBottom w:val="0"/>
      <w:divBdr>
        <w:top w:val="none" w:sz="0" w:space="0" w:color="auto"/>
        <w:left w:val="none" w:sz="0" w:space="0" w:color="auto"/>
        <w:bottom w:val="none" w:sz="0" w:space="0" w:color="auto"/>
        <w:right w:val="none" w:sz="0" w:space="0" w:color="auto"/>
      </w:divBdr>
    </w:div>
    <w:div w:id="113797640">
      <w:bodyDiv w:val="1"/>
      <w:marLeft w:val="0"/>
      <w:marRight w:val="0"/>
      <w:marTop w:val="0"/>
      <w:marBottom w:val="0"/>
      <w:divBdr>
        <w:top w:val="none" w:sz="0" w:space="0" w:color="auto"/>
        <w:left w:val="none" w:sz="0" w:space="0" w:color="auto"/>
        <w:bottom w:val="none" w:sz="0" w:space="0" w:color="auto"/>
        <w:right w:val="none" w:sz="0" w:space="0" w:color="auto"/>
      </w:divBdr>
    </w:div>
    <w:div w:id="114254364">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36147302">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07493660">
      <w:bodyDiv w:val="1"/>
      <w:marLeft w:val="0"/>
      <w:marRight w:val="0"/>
      <w:marTop w:val="0"/>
      <w:marBottom w:val="0"/>
      <w:divBdr>
        <w:top w:val="none" w:sz="0" w:space="0" w:color="auto"/>
        <w:left w:val="none" w:sz="0" w:space="0" w:color="auto"/>
        <w:bottom w:val="none" w:sz="0" w:space="0" w:color="auto"/>
        <w:right w:val="none" w:sz="0" w:space="0" w:color="auto"/>
      </w:divBdr>
    </w:div>
    <w:div w:id="210503464">
      <w:bodyDiv w:val="1"/>
      <w:marLeft w:val="0"/>
      <w:marRight w:val="0"/>
      <w:marTop w:val="0"/>
      <w:marBottom w:val="0"/>
      <w:divBdr>
        <w:top w:val="none" w:sz="0" w:space="0" w:color="auto"/>
        <w:left w:val="none" w:sz="0" w:space="0" w:color="auto"/>
        <w:bottom w:val="none" w:sz="0" w:space="0" w:color="auto"/>
        <w:right w:val="none" w:sz="0" w:space="0" w:color="auto"/>
      </w:divBdr>
    </w:div>
    <w:div w:id="218980075">
      <w:bodyDiv w:val="1"/>
      <w:marLeft w:val="0"/>
      <w:marRight w:val="0"/>
      <w:marTop w:val="0"/>
      <w:marBottom w:val="0"/>
      <w:divBdr>
        <w:top w:val="none" w:sz="0" w:space="0" w:color="auto"/>
        <w:left w:val="none" w:sz="0" w:space="0" w:color="auto"/>
        <w:bottom w:val="none" w:sz="0" w:space="0" w:color="auto"/>
        <w:right w:val="none" w:sz="0" w:space="0" w:color="auto"/>
      </w:divBdr>
    </w:div>
    <w:div w:id="219052149">
      <w:bodyDiv w:val="1"/>
      <w:marLeft w:val="0"/>
      <w:marRight w:val="0"/>
      <w:marTop w:val="0"/>
      <w:marBottom w:val="0"/>
      <w:divBdr>
        <w:top w:val="none" w:sz="0" w:space="0" w:color="auto"/>
        <w:left w:val="none" w:sz="0" w:space="0" w:color="auto"/>
        <w:bottom w:val="none" w:sz="0" w:space="0" w:color="auto"/>
        <w:right w:val="none" w:sz="0" w:space="0" w:color="auto"/>
      </w:divBdr>
    </w:div>
    <w:div w:id="219944870">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45716027">
      <w:bodyDiv w:val="1"/>
      <w:marLeft w:val="0"/>
      <w:marRight w:val="0"/>
      <w:marTop w:val="0"/>
      <w:marBottom w:val="0"/>
      <w:divBdr>
        <w:top w:val="none" w:sz="0" w:space="0" w:color="auto"/>
        <w:left w:val="none" w:sz="0" w:space="0" w:color="auto"/>
        <w:bottom w:val="none" w:sz="0" w:space="0" w:color="auto"/>
        <w:right w:val="none" w:sz="0" w:space="0" w:color="auto"/>
      </w:divBdr>
    </w:div>
    <w:div w:id="350567264">
      <w:bodyDiv w:val="1"/>
      <w:marLeft w:val="0"/>
      <w:marRight w:val="0"/>
      <w:marTop w:val="0"/>
      <w:marBottom w:val="0"/>
      <w:divBdr>
        <w:top w:val="none" w:sz="0" w:space="0" w:color="auto"/>
        <w:left w:val="none" w:sz="0" w:space="0" w:color="auto"/>
        <w:bottom w:val="none" w:sz="0" w:space="0" w:color="auto"/>
        <w:right w:val="none" w:sz="0" w:space="0" w:color="auto"/>
      </w:divBdr>
    </w:div>
    <w:div w:id="350767076">
      <w:bodyDiv w:val="1"/>
      <w:marLeft w:val="0"/>
      <w:marRight w:val="0"/>
      <w:marTop w:val="0"/>
      <w:marBottom w:val="0"/>
      <w:divBdr>
        <w:top w:val="none" w:sz="0" w:space="0" w:color="auto"/>
        <w:left w:val="none" w:sz="0" w:space="0" w:color="auto"/>
        <w:bottom w:val="none" w:sz="0" w:space="0" w:color="auto"/>
        <w:right w:val="none" w:sz="0" w:space="0" w:color="auto"/>
      </w:divBdr>
    </w:div>
    <w:div w:id="353922964">
      <w:bodyDiv w:val="1"/>
      <w:marLeft w:val="0"/>
      <w:marRight w:val="0"/>
      <w:marTop w:val="0"/>
      <w:marBottom w:val="0"/>
      <w:divBdr>
        <w:top w:val="none" w:sz="0" w:space="0" w:color="auto"/>
        <w:left w:val="none" w:sz="0" w:space="0" w:color="auto"/>
        <w:bottom w:val="none" w:sz="0" w:space="0" w:color="auto"/>
        <w:right w:val="none" w:sz="0" w:space="0" w:color="auto"/>
      </w:divBdr>
    </w:div>
    <w:div w:id="381635052">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3937312">
      <w:bodyDiv w:val="1"/>
      <w:marLeft w:val="0"/>
      <w:marRight w:val="0"/>
      <w:marTop w:val="0"/>
      <w:marBottom w:val="0"/>
      <w:divBdr>
        <w:top w:val="none" w:sz="0" w:space="0" w:color="auto"/>
        <w:left w:val="none" w:sz="0" w:space="0" w:color="auto"/>
        <w:bottom w:val="none" w:sz="0" w:space="0" w:color="auto"/>
        <w:right w:val="none" w:sz="0" w:space="0" w:color="auto"/>
      </w:divBdr>
      <w:divsChild>
        <w:div w:id="2069374055">
          <w:marLeft w:val="0"/>
          <w:marRight w:val="0"/>
          <w:marTop w:val="0"/>
          <w:marBottom w:val="0"/>
          <w:divBdr>
            <w:top w:val="none" w:sz="0" w:space="0" w:color="auto"/>
            <w:left w:val="none" w:sz="0" w:space="0" w:color="auto"/>
            <w:bottom w:val="none" w:sz="0" w:space="0" w:color="auto"/>
            <w:right w:val="none" w:sz="0" w:space="0" w:color="auto"/>
          </w:divBdr>
        </w:div>
      </w:divsChild>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01829362">
      <w:bodyDiv w:val="1"/>
      <w:marLeft w:val="0"/>
      <w:marRight w:val="0"/>
      <w:marTop w:val="0"/>
      <w:marBottom w:val="0"/>
      <w:divBdr>
        <w:top w:val="none" w:sz="0" w:space="0" w:color="auto"/>
        <w:left w:val="none" w:sz="0" w:space="0" w:color="auto"/>
        <w:bottom w:val="none" w:sz="0" w:space="0" w:color="auto"/>
        <w:right w:val="none" w:sz="0" w:space="0" w:color="auto"/>
      </w:divBdr>
    </w:div>
    <w:div w:id="408768525">
      <w:bodyDiv w:val="1"/>
      <w:marLeft w:val="0"/>
      <w:marRight w:val="0"/>
      <w:marTop w:val="0"/>
      <w:marBottom w:val="0"/>
      <w:divBdr>
        <w:top w:val="none" w:sz="0" w:space="0" w:color="auto"/>
        <w:left w:val="none" w:sz="0" w:space="0" w:color="auto"/>
        <w:bottom w:val="none" w:sz="0" w:space="0" w:color="auto"/>
        <w:right w:val="none" w:sz="0" w:space="0" w:color="auto"/>
      </w:divBdr>
      <w:divsChild>
        <w:div w:id="89787644">
          <w:marLeft w:val="0"/>
          <w:marRight w:val="0"/>
          <w:marTop w:val="0"/>
          <w:marBottom w:val="0"/>
          <w:divBdr>
            <w:top w:val="none" w:sz="0" w:space="0" w:color="auto"/>
            <w:left w:val="none" w:sz="0" w:space="0" w:color="auto"/>
            <w:bottom w:val="none" w:sz="0" w:space="0" w:color="auto"/>
            <w:right w:val="none" w:sz="0" w:space="0" w:color="auto"/>
          </w:divBdr>
        </w:div>
      </w:divsChild>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30667084">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4754916">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486284636">
      <w:bodyDiv w:val="1"/>
      <w:marLeft w:val="0"/>
      <w:marRight w:val="0"/>
      <w:marTop w:val="0"/>
      <w:marBottom w:val="0"/>
      <w:divBdr>
        <w:top w:val="none" w:sz="0" w:space="0" w:color="auto"/>
        <w:left w:val="none" w:sz="0" w:space="0" w:color="auto"/>
        <w:bottom w:val="none" w:sz="0" w:space="0" w:color="auto"/>
        <w:right w:val="none" w:sz="0" w:space="0" w:color="auto"/>
      </w:divBdr>
    </w:div>
    <w:div w:id="494417478">
      <w:bodyDiv w:val="1"/>
      <w:marLeft w:val="0"/>
      <w:marRight w:val="0"/>
      <w:marTop w:val="0"/>
      <w:marBottom w:val="0"/>
      <w:divBdr>
        <w:top w:val="none" w:sz="0" w:space="0" w:color="auto"/>
        <w:left w:val="none" w:sz="0" w:space="0" w:color="auto"/>
        <w:bottom w:val="none" w:sz="0" w:space="0" w:color="auto"/>
        <w:right w:val="none" w:sz="0" w:space="0" w:color="auto"/>
      </w:divBdr>
    </w:div>
    <w:div w:id="564724038">
      <w:bodyDiv w:val="1"/>
      <w:marLeft w:val="0"/>
      <w:marRight w:val="0"/>
      <w:marTop w:val="0"/>
      <w:marBottom w:val="0"/>
      <w:divBdr>
        <w:top w:val="none" w:sz="0" w:space="0" w:color="auto"/>
        <w:left w:val="none" w:sz="0" w:space="0" w:color="auto"/>
        <w:bottom w:val="none" w:sz="0" w:space="0" w:color="auto"/>
        <w:right w:val="none" w:sz="0" w:space="0" w:color="auto"/>
      </w:divBdr>
    </w:div>
    <w:div w:id="568535509">
      <w:bodyDiv w:val="1"/>
      <w:marLeft w:val="0"/>
      <w:marRight w:val="0"/>
      <w:marTop w:val="0"/>
      <w:marBottom w:val="0"/>
      <w:divBdr>
        <w:top w:val="none" w:sz="0" w:space="0" w:color="auto"/>
        <w:left w:val="none" w:sz="0" w:space="0" w:color="auto"/>
        <w:bottom w:val="none" w:sz="0" w:space="0" w:color="auto"/>
        <w:right w:val="none" w:sz="0" w:space="0" w:color="auto"/>
      </w:divBdr>
    </w:div>
    <w:div w:id="573977461">
      <w:bodyDiv w:val="1"/>
      <w:marLeft w:val="0"/>
      <w:marRight w:val="0"/>
      <w:marTop w:val="0"/>
      <w:marBottom w:val="0"/>
      <w:divBdr>
        <w:top w:val="none" w:sz="0" w:space="0" w:color="auto"/>
        <w:left w:val="none" w:sz="0" w:space="0" w:color="auto"/>
        <w:bottom w:val="none" w:sz="0" w:space="0" w:color="auto"/>
        <w:right w:val="none" w:sz="0" w:space="0" w:color="auto"/>
      </w:divBdr>
    </w:div>
    <w:div w:id="586579262">
      <w:bodyDiv w:val="1"/>
      <w:marLeft w:val="0"/>
      <w:marRight w:val="0"/>
      <w:marTop w:val="0"/>
      <w:marBottom w:val="0"/>
      <w:divBdr>
        <w:top w:val="none" w:sz="0" w:space="0" w:color="auto"/>
        <w:left w:val="none" w:sz="0" w:space="0" w:color="auto"/>
        <w:bottom w:val="none" w:sz="0" w:space="0" w:color="auto"/>
        <w:right w:val="none" w:sz="0" w:space="0" w:color="auto"/>
      </w:divBdr>
    </w:div>
    <w:div w:id="588469225">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35331640">
      <w:bodyDiv w:val="1"/>
      <w:marLeft w:val="0"/>
      <w:marRight w:val="0"/>
      <w:marTop w:val="0"/>
      <w:marBottom w:val="0"/>
      <w:divBdr>
        <w:top w:val="none" w:sz="0" w:space="0" w:color="auto"/>
        <w:left w:val="none" w:sz="0" w:space="0" w:color="auto"/>
        <w:bottom w:val="none" w:sz="0" w:space="0" w:color="auto"/>
        <w:right w:val="none" w:sz="0" w:space="0" w:color="auto"/>
      </w:divBdr>
    </w:div>
    <w:div w:id="669910974">
      <w:bodyDiv w:val="1"/>
      <w:marLeft w:val="0"/>
      <w:marRight w:val="0"/>
      <w:marTop w:val="0"/>
      <w:marBottom w:val="0"/>
      <w:divBdr>
        <w:top w:val="none" w:sz="0" w:space="0" w:color="auto"/>
        <w:left w:val="none" w:sz="0" w:space="0" w:color="auto"/>
        <w:bottom w:val="none" w:sz="0" w:space="0" w:color="auto"/>
        <w:right w:val="none" w:sz="0" w:space="0" w:color="auto"/>
      </w:divBdr>
    </w:div>
    <w:div w:id="671227921">
      <w:bodyDiv w:val="1"/>
      <w:marLeft w:val="0"/>
      <w:marRight w:val="0"/>
      <w:marTop w:val="0"/>
      <w:marBottom w:val="0"/>
      <w:divBdr>
        <w:top w:val="none" w:sz="0" w:space="0" w:color="auto"/>
        <w:left w:val="none" w:sz="0" w:space="0" w:color="auto"/>
        <w:bottom w:val="none" w:sz="0" w:space="0" w:color="auto"/>
        <w:right w:val="none" w:sz="0" w:space="0" w:color="auto"/>
      </w:divBdr>
    </w:div>
    <w:div w:id="687369066">
      <w:bodyDiv w:val="1"/>
      <w:marLeft w:val="0"/>
      <w:marRight w:val="0"/>
      <w:marTop w:val="0"/>
      <w:marBottom w:val="0"/>
      <w:divBdr>
        <w:top w:val="none" w:sz="0" w:space="0" w:color="auto"/>
        <w:left w:val="none" w:sz="0" w:space="0" w:color="auto"/>
        <w:bottom w:val="none" w:sz="0" w:space="0" w:color="auto"/>
        <w:right w:val="none" w:sz="0" w:space="0" w:color="auto"/>
      </w:divBdr>
    </w:div>
    <w:div w:id="703945560">
      <w:bodyDiv w:val="1"/>
      <w:marLeft w:val="0"/>
      <w:marRight w:val="0"/>
      <w:marTop w:val="0"/>
      <w:marBottom w:val="0"/>
      <w:divBdr>
        <w:top w:val="none" w:sz="0" w:space="0" w:color="auto"/>
        <w:left w:val="none" w:sz="0" w:space="0" w:color="auto"/>
        <w:bottom w:val="none" w:sz="0" w:space="0" w:color="auto"/>
        <w:right w:val="none" w:sz="0" w:space="0" w:color="auto"/>
      </w:divBdr>
    </w:div>
    <w:div w:id="725839819">
      <w:bodyDiv w:val="1"/>
      <w:marLeft w:val="0"/>
      <w:marRight w:val="0"/>
      <w:marTop w:val="0"/>
      <w:marBottom w:val="0"/>
      <w:divBdr>
        <w:top w:val="none" w:sz="0" w:space="0" w:color="auto"/>
        <w:left w:val="none" w:sz="0" w:space="0" w:color="auto"/>
        <w:bottom w:val="none" w:sz="0" w:space="0" w:color="auto"/>
        <w:right w:val="none" w:sz="0" w:space="0" w:color="auto"/>
      </w:divBdr>
    </w:div>
    <w:div w:id="751194676">
      <w:bodyDiv w:val="1"/>
      <w:marLeft w:val="0"/>
      <w:marRight w:val="0"/>
      <w:marTop w:val="0"/>
      <w:marBottom w:val="0"/>
      <w:divBdr>
        <w:top w:val="none" w:sz="0" w:space="0" w:color="auto"/>
        <w:left w:val="none" w:sz="0" w:space="0" w:color="auto"/>
        <w:bottom w:val="none" w:sz="0" w:space="0" w:color="auto"/>
        <w:right w:val="none" w:sz="0" w:space="0" w:color="auto"/>
      </w:divBdr>
    </w:div>
    <w:div w:id="763692169">
      <w:bodyDiv w:val="1"/>
      <w:marLeft w:val="0"/>
      <w:marRight w:val="0"/>
      <w:marTop w:val="0"/>
      <w:marBottom w:val="0"/>
      <w:divBdr>
        <w:top w:val="none" w:sz="0" w:space="0" w:color="auto"/>
        <w:left w:val="none" w:sz="0" w:space="0" w:color="auto"/>
        <w:bottom w:val="none" w:sz="0" w:space="0" w:color="auto"/>
        <w:right w:val="none" w:sz="0" w:space="0" w:color="auto"/>
      </w:divBdr>
    </w:div>
    <w:div w:id="766852492">
      <w:bodyDiv w:val="1"/>
      <w:marLeft w:val="0"/>
      <w:marRight w:val="0"/>
      <w:marTop w:val="0"/>
      <w:marBottom w:val="0"/>
      <w:divBdr>
        <w:top w:val="none" w:sz="0" w:space="0" w:color="auto"/>
        <w:left w:val="none" w:sz="0" w:space="0" w:color="auto"/>
        <w:bottom w:val="none" w:sz="0" w:space="0" w:color="auto"/>
        <w:right w:val="none" w:sz="0" w:space="0" w:color="auto"/>
      </w:divBdr>
    </w:div>
    <w:div w:id="828517260">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39350559">
      <w:bodyDiv w:val="1"/>
      <w:marLeft w:val="0"/>
      <w:marRight w:val="0"/>
      <w:marTop w:val="0"/>
      <w:marBottom w:val="0"/>
      <w:divBdr>
        <w:top w:val="none" w:sz="0" w:space="0" w:color="auto"/>
        <w:left w:val="none" w:sz="0" w:space="0" w:color="auto"/>
        <w:bottom w:val="none" w:sz="0" w:space="0" w:color="auto"/>
        <w:right w:val="none" w:sz="0" w:space="0" w:color="auto"/>
      </w:divBdr>
    </w:div>
    <w:div w:id="865338405">
      <w:bodyDiv w:val="1"/>
      <w:marLeft w:val="0"/>
      <w:marRight w:val="0"/>
      <w:marTop w:val="0"/>
      <w:marBottom w:val="0"/>
      <w:divBdr>
        <w:top w:val="none" w:sz="0" w:space="0" w:color="auto"/>
        <w:left w:val="none" w:sz="0" w:space="0" w:color="auto"/>
        <w:bottom w:val="none" w:sz="0" w:space="0" w:color="auto"/>
        <w:right w:val="none" w:sz="0" w:space="0" w:color="auto"/>
      </w:divBdr>
    </w:div>
    <w:div w:id="865557369">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1725927">
      <w:bodyDiv w:val="1"/>
      <w:marLeft w:val="0"/>
      <w:marRight w:val="0"/>
      <w:marTop w:val="0"/>
      <w:marBottom w:val="0"/>
      <w:divBdr>
        <w:top w:val="none" w:sz="0" w:space="0" w:color="auto"/>
        <w:left w:val="none" w:sz="0" w:space="0" w:color="auto"/>
        <w:bottom w:val="none" w:sz="0" w:space="0" w:color="auto"/>
        <w:right w:val="none" w:sz="0" w:space="0" w:color="auto"/>
      </w:divBdr>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894007863">
      <w:bodyDiv w:val="1"/>
      <w:marLeft w:val="0"/>
      <w:marRight w:val="0"/>
      <w:marTop w:val="0"/>
      <w:marBottom w:val="0"/>
      <w:divBdr>
        <w:top w:val="none" w:sz="0" w:space="0" w:color="auto"/>
        <w:left w:val="none" w:sz="0" w:space="0" w:color="auto"/>
        <w:bottom w:val="none" w:sz="0" w:space="0" w:color="auto"/>
        <w:right w:val="none" w:sz="0" w:space="0" w:color="auto"/>
      </w:divBdr>
      <w:divsChild>
        <w:div w:id="962273013">
          <w:marLeft w:val="0"/>
          <w:marRight w:val="0"/>
          <w:marTop w:val="0"/>
          <w:marBottom w:val="0"/>
          <w:divBdr>
            <w:top w:val="none" w:sz="0" w:space="0" w:color="auto"/>
            <w:left w:val="none" w:sz="0" w:space="0" w:color="auto"/>
            <w:bottom w:val="none" w:sz="0" w:space="0" w:color="auto"/>
            <w:right w:val="none" w:sz="0" w:space="0" w:color="auto"/>
          </w:divBdr>
        </w:div>
      </w:divsChild>
    </w:div>
    <w:div w:id="916091457">
      <w:bodyDiv w:val="1"/>
      <w:marLeft w:val="0"/>
      <w:marRight w:val="0"/>
      <w:marTop w:val="0"/>
      <w:marBottom w:val="0"/>
      <w:divBdr>
        <w:top w:val="none" w:sz="0" w:space="0" w:color="auto"/>
        <w:left w:val="none" w:sz="0" w:space="0" w:color="auto"/>
        <w:bottom w:val="none" w:sz="0" w:space="0" w:color="auto"/>
        <w:right w:val="none" w:sz="0" w:space="0" w:color="auto"/>
      </w:divBdr>
    </w:div>
    <w:div w:id="931162208">
      <w:bodyDiv w:val="1"/>
      <w:marLeft w:val="0"/>
      <w:marRight w:val="0"/>
      <w:marTop w:val="0"/>
      <w:marBottom w:val="0"/>
      <w:divBdr>
        <w:top w:val="none" w:sz="0" w:space="0" w:color="auto"/>
        <w:left w:val="none" w:sz="0" w:space="0" w:color="auto"/>
        <w:bottom w:val="none" w:sz="0" w:space="0" w:color="auto"/>
        <w:right w:val="none" w:sz="0" w:space="0" w:color="auto"/>
      </w:divBdr>
      <w:divsChild>
        <w:div w:id="1223178686">
          <w:marLeft w:val="0"/>
          <w:marRight w:val="0"/>
          <w:marTop w:val="0"/>
          <w:marBottom w:val="0"/>
          <w:divBdr>
            <w:top w:val="none" w:sz="0" w:space="0" w:color="auto"/>
            <w:left w:val="none" w:sz="0" w:space="0" w:color="auto"/>
            <w:bottom w:val="none" w:sz="0" w:space="0" w:color="auto"/>
            <w:right w:val="none" w:sz="0" w:space="0" w:color="auto"/>
          </w:divBdr>
        </w:div>
      </w:divsChild>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79767962">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15158441">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73352238">
      <w:bodyDiv w:val="1"/>
      <w:marLeft w:val="0"/>
      <w:marRight w:val="0"/>
      <w:marTop w:val="0"/>
      <w:marBottom w:val="0"/>
      <w:divBdr>
        <w:top w:val="none" w:sz="0" w:space="0" w:color="auto"/>
        <w:left w:val="none" w:sz="0" w:space="0" w:color="auto"/>
        <w:bottom w:val="none" w:sz="0" w:space="0" w:color="auto"/>
        <w:right w:val="none" w:sz="0" w:space="0" w:color="auto"/>
      </w:divBdr>
      <w:divsChild>
        <w:div w:id="799302574">
          <w:marLeft w:val="0"/>
          <w:marRight w:val="0"/>
          <w:marTop w:val="0"/>
          <w:marBottom w:val="0"/>
          <w:divBdr>
            <w:top w:val="none" w:sz="0" w:space="0" w:color="auto"/>
            <w:left w:val="none" w:sz="0" w:space="0" w:color="auto"/>
            <w:bottom w:val="none" w:sz="0" w:space="0" w:color="auto"/>
            <w:right w:val="none" w:sz="0" w:space="0" w:color="auto"/>
          </w:divBdr>
        </w:div>
      </w:divsChild>
    </w:div>
    <w:div w:id="1073503341">
      <w:bodyDiv w:val="1"/>
      <w:marLeft w:val="0"/>
      <w:marRight w:val="0"/>
      <w:marTop w:val="0"/>
      <w:marBottom w:val="0"/>
      <w:divBdr>
        <w:top w:val="none" w:sz="0" w:space="0" w:color="auto"/>
        <w:left w:val="none" w:sz="0" w:space="0" w:color="auto"/>
        <w:bottom w:val="none" w:sz="0" w:space="0" w:color="auto"/>
        <w:right w:val="none" w:sz="0" w:space="0" w:color="auto"/>
      </w:divBdr>
      <w:divsChild>
        <w:div w:id="1442723832">
          <w:marLeft w:val="0"/>
          <w:marRight w:val="0"/>
          <w:marTop w:val="0"/>
          <w:marBottom w:val="0"/>
          <w:divBdr>
            <w:top w:val="none" w:sz="0" w:space="0" w:color="auto"/>
            <w:left w:val="none" w:sz="0" w:space="0" w:color="auto"/>
            <w:bottom w:val="none" w:sz="0" w:space="0" w:color="auto"/>
            <w:right w:val="none" w:sz="0" w:space="0" w:color="auto"/>
          </w:divBdr>
        </w:div>
      </w:divsChild>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085613295">
      <w:bodyDiv w:val="1"/>
      <w:marLeft w:val="0"/>
      <w:marRight w:val="0"/>
      <w:marTop w:val="0"/>
      <w:marBottom w:val="0"/>
      <w:divBdr>
        <w:top w:val="none" w:sz="0" w:space="0" w:color="auto"/>
        <w:left w:val="none" w:sz="0" w:space="0" w:color="auto"/>
        <w:bottom w:val="none" w:sz="0" w:space="0" w:color="auto"/>
        <w:right w:val="none" w:sz="0" w:space="0" w:color="auto"/>
      </w:divBdr>
    </w:div>
    <w:div w:id="1086150425">
      <w:bodyDiv w:val="1"/>
      <w:marLeft w:val="0"/>
      <w:marRight w:val="0"/>
      <w:marTop w:val="0"/>
      <w:marBottom w:val="0"/>
      <w:divBdr>
        <w:top w:val="none" w:sz="0" w:space="0" w:color="auto"/>
        <w:left w:val="none" w:sz="0" w:space="0" w:color="auto"/>
        <w:bottom w:val="none" w:sz="0" w:space="0" w:color="auto"/>
        <w:right w:val="none" w:sz="0" w:space="0" w:color="auto"/>
      </w:divBdr>
    </w:div>
    <w:div w:id="1094664281">
      <w:bodyDiv w:val="1"/>
      <w:marLeft w:val="0"/>
      <w:marRight w:val="0"/>
      <w:marTop w:val="0"/>
      <w:marBottom w:val="0"/>
      <w:divBdr>
        <w:top w:val="none" w:sz="0" w:space="0" w:color="auto"/>
        <w:left w:val="none" w:sz="0" w:space="0" w:color="auto"/>
        <w:bottom w:val="none" w:sz="0" w:space="0" w:color="auto"/>
        <w:right w:val="none" w:sz="0" w:space="0" w:color="auto"/>
      </w:divBdr>
      <w:divsChild>
        <w:div w:id="382607494">
          <w:marLeft w:val="0"/>
          <w:marRight w:val="0"/>
          <w:marTop w:val="0"/>
          <w:marBottom w:val="0"/>
          <w:divBdr>
            <w:top w:val="none" w:sz="0" w:space="0" w:color="auto"/>
            <w:left w:val="none" w:sz="0" w:space="0" w:color="auto"/>
            <w:bottom w:val="none" w:sz="0" w:space="0" w:color="auto"/>
            <w:right w:val="none" w:sz="0" w:space="0" w:color="auto"/>
          </w:divBdr>
        </w:div>
      </w:divsChild>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06272689">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18599151">
      <w:bodyDiv w:val="1"/>
      <w:marLeft w:val="0"/>
      <w:marRight w:val="0"/>
      <w:marTop w:val="0"/>
      <w:marBottom w:val="0"/>
      <w:divBdr>
        <w:top w:val="none" w:sz="0" w:space="0" w:color="auto"/>
        <w:left w:val="none" w:sz="0" w:space="0" w:color="auto"/>
        <w:bottom w:val="none" w:sz="0" w:space="0" w:color="auto"/>
        <w:right w:val="none" w:sz="0" w:space="0" w:color="auto"/>
      </w:divBdr>
    </w:div>
    <w:div w:id="1119765097">
      <w:bodyDiv w:val="1"/>
      <w:marLeft w:val="0"/>
      <w:marRight w:val="0"/>
      <w:marTop w:val="0"/>
      <w:marBottom w:val="0"/>
      <w:divBdr>
        <w:top w:val="none" w:sz="0" w:space="0" w:color="auto"/>
        <w:left w:val="none" w:sz="0" w:space="0" w:color="auto"/>
        <w:bottom w:val="none" w:sz="0" w:space="0" w:color="auto"/>
        <w:right w:val="none" w:sz="0" w:space="0" w:color="auto"/>
      </w:divBdr>
    </w:div>
    <w:div w:id="1126582156">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59541317">
      <w:bodyDiv w:val="1"/>
      <w:marLeft w:val="0"/>
      <w:marRight w:val="0"/>
      <w:marTop w:val="0"/>
      <w:marBottom w:val="0"/>
      <w:divBdr>
        <w:top w:val="none" w:sz="0" w:space="0" w:color="auto"/>
        <w:left w:val="none" w:sz="0" w:space="0" w:color="auto"/>
        <w:bottom w:val="none" w:sz="0" w:space="0" w:color="auto"/>
        <w:right w:val="none" w:sz="0" w:space="0" w:color="auto"/>
      </w:divBdr>
    </w:div>
    <w:div w:id="1174347117">
      <w:bodyDiv w:val="1"/>
      <w:marLeft w:val="0"/>
      <w:marRight w:val="0"/>
      <w:marTop w:val="0"/>
      <w:marBottom w:val="0"/>
      <w:divBdr>
        <w:top w:val="none" w:sz="0" w:space="0" w:color="auto"/>
        <w:left w:val="none" w:sz="0" w:space="0" w:color="auto"/>
        <w:bottom w:val="none" w:sz="0" w:space="0" w:color="auto"/>
        <w:right w:val="none" w:sz="0" w:space="0" w:color="auto"/>
      </w:divBdr>
      <w:divsChild>
        <w:div w:id="623077532">
          <w:marLeft w:val="0"/>
          <w:marRight w:val="0"/>
          <w:marTop w:val="0"/>
          <w:marBottom w:val="0"/>
          <w:divBdr>
            <w:top w:val="none" w:sz="0" w:space="0" w:color="auto"/>
            <w:left w:val="none" w:sz="0" w:space="0" w:color="auto"/>
            <w:bottom w:val="none" w:sz="0" w:space="0" w:color="auto"/>
            <w:right w:val="none" w:sz="0" w:space="0" w:color="auto"/>
          </w:divBdr>
        </w:div>
      </w:divsChild>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194226191">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07909033">
      <w:bodyDiv w:val="1"/>
      <w:marLeft w:val="0"/>
      <w:marRight w:val="0"/>
      <w:marTop w:val="0"/>
      <w:marBottom w:val="0"/>
      <w:divBdr>
        <w:top w:val="none" w:sz="0" w:space="0" w:color="auto"/>
        <w:left w:val="none" w:sz="0" w:space="0" w:color="auto"/>
        <w:bottom w:val="none" w:sz="0" w:space="0" w:color="auto"/>
        <w:right w:val="none" w:sz="0" w:space="0" w:color="auto"/>
      </w:divBdr>
    </w:div>
    <w:div w:id="1226144171">
      <w:bodyDiv w:val="1"/>
      <w:marLeft w:val="0"/>
      <w:marRight w:val="0"/>
      <w:marTop w:val="0"/>
      <w:marBottom w:val="0"/>
      <w:divBdr>
        <w:top w:val="none" w:sz="0" w:space="0" w:color="auto"/>
        <w:left w:val="none" w:sz="0" w:space="0" w:color="auto"/>
        <w:bottom w:val="none" w:sz="0" w:space="0" w:color="auto"/>
        <w:right w:val="none" w:sz="0" w:space="0" w:color="auto"/>
      </w:divBdr>
    </w:div>
    <w:div w:id="1266577147">
      <w:bodyDiv w:val="1"/>
      <w:marLeft w:val="0"/>
      <w:marRight w:val="0"/>
      <w:marTop w:val="0"/>
      <w:marBottom w:val="0"/>
      <w:divBdr>
        <w:top w:val="none" w:sz="0" w:space="0" w:color="auto"/>
        <w:left w:val="none" w:sz="0" w:space="0" w:color="auto"/>
        <w:bottom w:val="none" w:sz="0" w:space="0" w:color="auto"/>
        <w:right w:val="none" w:sz="0" w:space="0" w:color="auto"/>
      </w:divBdr>
    </w:div>
    <w:div w:id="1280796680">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04964852">
      <w:bodyDiv w:val="1"/>
      <w:marLeft w:val="0"/>
      <w:marRight w:val="0"/>
      <w:marTop w:val="0"/>
      <w:marBottom w:val="0"/>
      <w:divBdr>
        <w:top w:val="none" w:sz="0" w:space="0" w:color="auto"/>
        <w:left w:val="none" w:sz="0" w:space="0" w:color="auto"/>
        <w:bottom w:val="none" w:sz="0" w:space="0" w:color="auto"/>
        <w:right w:val="none" w:sz="0" w:space="0" w:color="auto"/>
      </w:divBdr>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354569246">
      <w:bodyDiv w:val="1"/>
      <w:marLeft w:val="0"/>
      <w:marRight w:val="0"/>
      <w:marTop w:val="0"/>
      <w:marBottom w:val="0"/>
      <w:divBdr>
        <w:top w:val="none" w:sz="0" w:space="0" w:color="auto"/>
        <w:left w:val="none" w:sz="0" w:space="0" w:color="auto"/>
        <w:bottom w:val="none" w:sz="0" w:space="0" w:color="auto"/>
        <w:right w:val="none" w:sz="0" w:space="0" w:color="auto"/>
      </w:divBdr>
    </w:div>
    <w:div w:id="1357196507">
      <w:bodyDiv w:val="1"/>
      <w:marLeft w:val="0"/>
      <w:marRight w:val="0"/>
      <w:marTop w:val="0"/>
      <w:marBottom w:val="0"/>
      <w:divBdr>
        <w:top w:val="none" w:sz="0" w:space="0" w:color="auto"/>
        <w:left w:val="none" w:sz="0" w:space="0" w:color="auto"/>
        <w:bottom w:val="none" w:sz="0" w:space="0" w:color="auto"/>
        <w:right w:val="none" w:sz="0" w:space="0" w:color="auto"/>
      </w:divBdr>
      <w:divsChild>
        <w:div w:id="133068627">
          <w:marLeft w:val="0"/>
          <w:marRight w:val="0"/>
          <w:marTop w:val="0"/>
          <w:marBottom w:val="0"/>
          <w:divBdr>
            <w:top w:val="none" w:sz="0" w:space="0" w:color="auto"/>
            <w:left w:val="none" w:sz="0" w:space="0" w:color="auto"/>
            <w:bottom w:val="none" w:sz="0" w:space="0" w:color="auto"/>
            <w:right w:val="none" w:sz="0" w:space="0" w:color="auto"/>
          </w:divBdr>
        </w:div>
      </w:divsChild>
    </w:div>
    <w:div w:id="1370494342">
      <w:bodyDiv w:val="1"/>
      <w:marLeft w:val="0"/>
      <w:marRight w:val="0"/>
      <w:marTop w:val="0"/>
      <w:marBottom w:val="0"/>
      <w:divBdr>
        <w:top w:val="none" w:sz="0" w:space="0" w:color="auto"/>
        <w:left w:val="none" w:sz="0" w:space="0" w:color="auto"/>
        <w:bottom w:val="none" w:sz="0" w:space="0" w:color="auto"/>
        <w:right w:val="none" w:sz="0" w:space="0" w:color="auto"/>
      </w:divBdr>
    </w:div>
    <w:div w:id="1371341028">
      <w:bodyDiv w:val="1"/>
      <w:marLeft w:val="0"/>
      <w:marRight w:val="0"/>
      <w:marTop w:val="0"/>
      <w:marBottom w:val="0"/>
      <w:divBdr>
        <w:top w:val="none" w:sz="0" w:space="0" w:color="auto"/>
        <w:left w:val="none" w:sz="0" w:space="0" w:color="auto"/>
        <w:bottom w:val="none" w:sz="0" w:space="0" w:color="auto"/>
        <w:right w:val="none" w:sz="0" w:space="0" w:color="auto"/>
      </w:divBdr>
    </w:div>
    <w:div w:id="1389497229">
      <w:bodyDiv w:val="1"/>
      <w:marLeft w:val="0"/>
      <w:marRight w:val="0"/>
      <w:marTop w:val="0"/>
      <w:marBottom w:val="0"/>
      <w:divBdr>
        <w:top w:val="none" w:sz="0" w:space="0" w:color="auto"/>
        <w:left w:val="none" w:sz="0" w:space="0" w:color="auto"/>
        <w:bottom w:val="none" w:sz="0" w:space="0" w:color="auto"/>
        <w:right w:val="none" w:sz="0" w:space="0" w:color="auto"/>
      </w:divBdr>
    </w:div>
    <w:div w:id="1392999421">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474836636">
      <w:bodyDiv w:val="1"/>
      <w:marLeft w:val="0"/>
      <w:marRight w:val="0"/>
      <w:marTop w:val="0"/>
      <w:marBottom w:val="0"/>
      <w:divBdr>
        <w:top w:val="none" w:sz="0" w:space="0" w:color="auto"/>
        <w:left w:val="none" w:sz="0" w:space="0" w:color="auto"/>
        <w:bottom w:val="none" w:sz="0" w:space="0" w:color="auto"/>
        <w:right w:val="none" w:sz="0" w:space="0" w:color="auto"/>
      </w:divBdr>
    </w:div>
    <w:div w:id="1479615899">
      <w:bodyDiv w:val="1"/>
      <w:marLeft w:val="0"/>
      <w:marRight w:val="0"/>
      <w:marTop w:val="0"/>
      <w:marBottom w:val="0"/>
      <w:divBdr>
        <w:top w:val="none" w:sz="0" w:space="0" w:color="auto"/>
        <w:left w:val="none" w:sz="0" w:space="0" w:color="auto"/>
        <w:bottom w:val="none" w:sz="0" w:space="0" w:color="auto"/>
        <w:right w:val="none" w:sz="0" w:space="0" w:color="auto"/>
      </w:divBdr>
    </w:div>
    <w:div w:id="1487739694">
      <w:bodyDiv w:val="1"/>
      <w:marLeft w:val="0"/>
      <w:marRight w:val="0"/>
      <w:marTop w:val="0"/>
      <w:marBottom w:val="0"/>
      <w:divBdr>
        <w:top w:val="none" w:sz="0" w:space="0" w:color="auto"/>
        <w:left w:val="none" w:sz="0" w:space="0" w:color="auto"/>
        <w:bottom w:val="none" w:sz="0" w:space="0" w:color="auto"/>
        <w:right w:val="none" w:sz="0" w:space="0" w:color="auto"/>
      </w:divBdr>
    </w:div>
    <w:div w:id="1503739994">
      <w:bodyDiv w:val="1"/>
      <w:marLeft w:val="0"/>
      <w:marRight w:val="0"/>
      <w:marTop w:val="0"/>
      <w:marBottom w:val="0"/>
      <w:divBdr>
        <w:top w:val="none" w:sz="0" w:space="0" w:color="auto"/>
        <w:left w:val="none" w:sz="0" w:space="0" w:color="auto"/>
        <w:bottom w:val="none" w:sz="0" w:space="0" w:color="auto"/>
        <w:right w:val="none" w:sz="0" w:space="0" w:color="auto"/>
      </w:divBdr>
    </w:div>
    <w:div w:id="1504510062">
      <w:bodyDiv w:val="1"/>
      <w:marLeft w:val="0"/>
      <w:marRight w:val="0"/>
      <w:marTop w:val="0"/>
      <w:marBottom w:val="0"/>
      <w:divBdr>
        <w:top w:val="none" w:sz="0" w:space="0" w:color="auto"/>
        <w:left w:val="none" w:sz="0" w:space="0" w:color="auto"/>
        <w:bottom w:val="none" w:sz="0" w:space="0" w:color="auto"/>
        <w:right w:val="none" w:sz="0" w:space="0" w:color="auto"/>
      </w:divBdr>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47526740">
      <w:bodyDiv w:val="1"/>
      <w:marLeft w:val="0"/>
      <w:marRight w:val="0"/>
      <w:marTop w:val="0"/>
      <w:marBottom w:val="0"/>
      <w:divBdr>
        <w:top w:val="none" w:sz="0" w:space="0" w:color="auto"/>
        <w:left w:val="none" w:sz="0" w:space="0" w:color="auto"/>
        <w:bottom w:val="none" w:sz="0" w:space="0" w:color="auto"/>
        <w:right w:val="none" w:sz="0" w:space="0" w:color="auto"/>
      </w:divBdr>
      <w:divsChild>
        <w:div w:id="463549119">
          <w:marLeft w:val="0"/>
          <w:marRight w:val="0"/>
          <w:marTop w:val="0"/>
          <w:marBottom w:val="0"/>
          <w:divBdr>
            <w:top w:val="none" w:sz="0" w:space="0" w:color="auto"/>
            <w:left w:val="none" w:sz="0" w:space="0" w:color="auto"/>
            <w:bottom w:val="none" w:sz="0" w:space="0" w:color="auto"/>
            <w:right w:val="none" w:sz="0" w:space="0" w:color="auto"/>
          </w:divBdr>
        </w:div>
      </w:divsChild>
    </w:div>
    <w:div w:id="1554346420">
      <w:bodyDiv w:val="1"/>
      <w:marLeft w:val="0"/>
      <w:marRight w:val="0"/>
      <w:marTop w:val="0"/>
      <w:marBottom w:val="0"/>
      <w:divBdr>
        <w:top w:val="none" w:sz="0" w:space="0" w:color="auto"/>
        <w:left w:val="none" w:sz="0" w:space="0" w:color="auto"/>
        <w:bottom w:val="none" w:sz="0" w:space="0" w:color="auto"/>
        <w:right w:val="none" w:sz="0" w:space="0" w:color="auto"/>
      </w:divBdr>
    </w:div>
    <w:div w:id="1567452836">
      <w:bodyDiv w:val="1"/>
      <w:marLeft w:val="0"/>
      <w:marRight w:val="0"/>
      <w:marTop w:val="0"/>
      <w:marBottom w:val="0"/>
      <w:divBdr>
        <w:top w:val="none" w:sz="0" w:space="0" w:color="auto"/>
        <w:left w:val="none" w:sz="0" w:space="0" w:color="auto"/>
        <w:bottom w:val="none" w:sz="0" w:space="0" w:color="auto"/>
        <w:right w:val="none" w:sz="0" w:space="0" w:color="auto"/>
      </w:divBdr>
    </w:div>
    <w:div w:id="1570067966">
      <w:bodyDiv w:val="1"/>
      <w:marLeft w:val="0"/>
      <w:marRight w:val="0"/>
      <w:marTop w:val="0"/>
      <w:marBottom w:val="0"/>
      <w:divBdr>
        <w:top w:val="none" w:sz="0" w:space="0" w:color="auto"/>
        <w:left w:val="none" w:sz="0" w:space="0" w:color="auto"/>
        <w:bottom w:val="none" w:sz="0" w:space="0" w:color="auto"/>
        <w:right w:val="none" w:sz="0" w:space="0" w:color="auto"/>
      </w:divBdr>
      <w:divsChild>
        <w:div w:id="524945384">
          <w:marLeft w:val="0"/>
          <w:marRight w:val="0"/>
          <w:marTop w:val="0"/>
          <w:marBottom w:val="0"/>
          <w:divBdr>
            <w:top w:val="none" w:sz="0" w:space="0" w:color="auto"/>
            <w:left w:val="none" w:sz="0" w:space="0" w:color="auto"/>
            <w:bottom w:val="none" w:sz="0" w:space="0" w:color="auto"/>
            <w:right w:val="none" w:sz="0" w:space="0" w:color="auto"/>
          </w:divBdr>
        </w:div>
      </w:divsChild>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589848901">
      <w:bodyDiv w:val="1"/>
      <w:marLeft w:val="0"/>
      <w:marRight w:val="0"/>
      <w:marTop w:val="0"/>
      <w:marBottom w:val="0"/>
      <w:divBdr>
        <w:top w:val="none" w:sz="0" w:space="0" w:color="auto"/>
        <w:left w:val="none" w:sz="0" w:space="0" w:color="auto"/>
        <w:bottom w:val="none" w:sz="0" w:space="0" w:color="auto"/>
        <w:right w:val="none" w:sz="0" w:space="0" w:color="auto"/>
      </w:divBdr>
    </w:div>
    <w:div w:id="1600721378">
      <w:bodyDiv w:val="1"/>
      <w:marLeft w:val="0"/>
      <w:marRight w:val="0"/>
      <w:marTop w:val="0"/>
      <w:marBottom w:val="0"/>
      <w:divBdr>
        <w:top w:val="none" w:sz="0" w:space="0" w:color="auto"/>
        <w:left w:val="none" w:sz="0" w:space="0" w:color="auto"/>
        <w:bottom w:val="none" w:sz="0" w:space="0" w:color="auto"/>
        <w:right w:val="none" w:sz="0" w:space="0" w:color="auto"/>
      </w:divBdr>
    </w:div>
    <w:div w:id="1607690740">
      <w:bodyDiv w:val="1"/>
      <w:marLeft w:val="0"/>
      <w:marRight w:val="0"/>
      <w:marTop w:val="0"/>
      <w:marBottom w:val="0"/>
      <w:divBdr>
        <w:top w:val="none" w:sz="0" w:space="0" w:color="auto"/>
        <w:left w:val="none" w:sz="0" w:space="0" w:color="auto"/>
        <w:bottom w:val="none" w:sz="0" w:space="0" w:color="auto"/>
        <w:right w:val="none" w:sz="0" w:space="0" w:color="auto"/>
      </w:divBdr>
    </w:div>
    <w:div w:id="1632708267">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61489434">
      <w:bodyDiv w:val="1"/>
      <w:marLeft w:val="0"/>
      <w:marRight w:val="0"/>
      <w:marTop w:val="0"/>
      <w:marBottom w:val="0"/>
      <w:divBdr>
        <w:top w:val="none" w:sz="0" w:space="0" w:color="auto"/>
        <w:left w:val="none" w:sz="0" w:space="0" w:color="auto"/>
        <w:bottom w:val="none" w:sz="0" w:space="0" w:color="auto"/>
        <w:right w:val="none" w:sz="0" w:space="0" w:color="auto"/>
      </w:divBdr>
    </w:div>
    <w:div w:id="1768649751">
      <w:bodyDiv w:val="1"/>
      <w:marLeft w:val="0"/>
      <w:marRight w:val="0"/>
      <w:marTop w:val="0"/>
      <w:marBottom w:val="0"/>
      <w:divBdr>
        <w:top w:val="none" w:sz="0" w:space="0" w:color="auto"/>
        <w:left w:val="none" w:sz="0" w:space="0" w:color="auto"/>
        <w:bottom w:val="none" w:sz="0" w:space="0" w:color="auto"/>
        <w:right w:val="none" w:sz="0" w:space="0" w:color="auto"/>
      </w:divBdr>
    </w:div>
    <w:div w:id="1778795599">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02070609">
      <w:bodyDiv w:val="1"/>
      <w:marLeft w:val="0"/>
      <w:marRight w:val="0"/>
      <w:marTop w:val="0"/>
      <w:marBottom w:val="0"/>
      <w:divBdr>
        <w:top w:val="none" w:sz="0" w:space="0" w:color="auto"/>
        <w:left w:val="none" w:sz="0" w:space="0" w:color="auto"/>
        <w:bottom w:val="none" w:sz="0" w:space="0" w:color="auto"/>
        <w:right w:val="none" w:sz="0" w:space="0" w:color="auto"/>
      </w:divBdr>
    </w:div>
    <w:div w:id="1810707997">
      <w:bodyDiv w:val="1"/>
      <w:marLeft w:val="0"/>
      <w:marRight w:val="0"/>
      <w:marTop w:val="0"/>
      <w:marBottom w:val="0"/>
      <w:divBdr>
        <w:top w:val="none" w:sz="0" w:space="0" w:color="auto"/>
        <w:left w:val="none" w:sz="0" w:space="0" w:color="auto"/>
        <w:bottom w:val="none" w:sz="0" w:space="0" w:color="auto"/>
        <w:right w:val="none" w:sz="0" w:space="0" w:color="auto"/>
      </w:divBdr>
    </w:div>
    <w:div w:id="1813133059">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19304187">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44273121">
      <w:bodyDiv w:val="1"/>
      <w:marLeft w:val="0"/>
      <w:marRight w:val="0"/>
      <w:marTop w:val="0"/>
      <w:marBottom w:val="0"/>
      <w:divBdr>
        <w:top w:val="none" w:sz="0" w:space="0" w:color="auto"/>
        <w:left w:val="none" w:sz="0" w:space="0" w:color="auto"/>
        <w:bottom w:val="none" w:sz="0" w:space="0" w:color="auto"/>
        <w:right w:val="none" w:sz="0" w:space="0" w:color="auto"/>
      </w:divBdr>
    </w:div>
    <w:div w:id="1875774721">
      <w:bodyDiv w:val="1"/>
      <w:marLeft w:val="0"/>
      <w:marRight w:val="0"/>
      <w:marTop w:val="0"/>
      <w:marBottom w:val="0"/>
      <w:divBdr>
        <w:top w:val="none" w:sz="0" w:space="0" w:color="auto"/>
        <w:left w:val="none" w:sz="0" w:space="0" w:color="auto"/>
        <w:bottom w:val="none" w:sz="0" w:space="0" w:color="auto"/>
        <w:right w:val="none" w:sz="0" w:space="0" w:color="auto"/>
      </w:divBdr>
      <w:divsChild>
        <w:div w:id="1597012833">
          <w:marLeft w:val="0"/>
          <w:marRight w:val="0"/>
          <w:marTop w:val="0"/>
          <w:marBottom w:val="0"/>
          <w:divBdr>
            <w:top w:val="none" w:sz="0" w:space="0" w:color="auto"/>
            <w:left w:val="none" w:sz="0" w:space="0" w:color="auto"/>
            <w:bottom w:val="none" w:sz="0" w:space="0" w:color="auto"/>
            <w:right w:val="none" w:sz="0" w:space="0" w:color="auto"/>
          </w:divBdr>
        </w:div>
      </w:divsChild>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895311162">
      <w:bodyDiv w:val="1"/>
      <w:marLeft w:val="0"/>
      <w:marRight w:val="0"/>
      <w:marTop w:val="0"/>
      <w:marBottom w:val="0"/>
      <w:divBdr>
        <w:top w:val="none" w:sz="0" w:space="0" w:color="auto"/>
        <w:left w:val="none" w:sz="0" w:space="0" w:color="auto"/>
        <w:bottom w:val="none" w:sz="0" w:space="0" w:color="auto"/>
        <w:right w:val="none" w:sz="0" w:space="0" w:color="auto"/>
      </w:divBdr>
      <w:divsChild>
        <w:div w:id="1065958894">
          <w:marLeft w:val="0"/>
          <w:marRight w:val="0"/>
          <w:marTop w:val="0"/>
          <w:marBottom w:val="0"/>
          <w:divBdr>
            <w:top w:val="none" w:sz="0" w:space="0" w:color="auto"/>
            <w:left w:val="none" w:sz="0" w:space="0" w:color="auto"/>
            <w:bottom w:val="none" w:sz="0" w:space="0" w:color="auto"/>
            <w:right w:val="none" w:sz="0" w:space="0" w:color="auto"/>
          </w:divBdr>
        </w:div>
      </w:divsChild>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46769948">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1666467">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24167246">
      <w:bodyDiv w:val="1"/>
      <w:marLeft w:val="0"/>
      <w:marRight w:val="0"/>
      <w:marTop w:val="0"/>
      <w:marBottom w:val="0"/>
      <w:divBdr>
        <w:top w:val="none" w:sz="0" w:space="0" w:color="auto"/>
        <w:left w:val="none" w:sz="0" w:space="0" w:color="auto"/>
        <w:bottom w:val="none" w:sz="0" w:space="0" w:color="auto"/>
        <w:right w:val="none" w:sz="0" w:space="0" w:color="auto"/>
      </w:divBdr>
    </w:div>
    <w:div w:id="2029015173">
      <w:bodyDiv w:val="1"/>
      <w:marLeft w:val="0"/>
      <w:marRight w:val="0"/>
      <w:marTop w:val="0"/>
      <w:marBottom w:val="0"/>
      <w:divBdr>
        <w:top w:val="none" w:sz="0" w:space="0" w:color="auto"/>
        <w:left w:val="none" w:sz="0" w:space="0" w:color="auto"/>
        <w:bottom w:val="none" w:sz="0" w:space="0" w:color="auto"/>
        <w:right w:val="none" w:sz="0" w:space="0" w:color="auto"/>
      </w:divBdr>
    </w:div>
    <w:div w:id="2045788401">
      <w:bodyDiv w:val="1"/>
      <w:marLeft w:val="0"/>
      <w:marRight w:val="0"/>
      <w:marTop w:val="0"/>
      <w:marBottom w:val="0"/>
      <w:divBdr>
        <w:top w:val="none" w:sz="0" w:space="0" w:color="auto"/>
        <w:left w:val="none" w:sz="0" w:space="0" w:color="auto"/>
        <w:bottom w:val="none" w:sz="0" w:space="0" w:color="auto"/>
        <w:right w:val="none" w:sz="0" w:space="0" w:color="auto"/>
      </w:divBdr>
    </w:div>
    <w:div w:id="2062752289">
      <w:bodyDiv w:val="1"/>
      <w:marLeft w:val="0"/>
      <w:marRight w:val="0"/>
      <w:marTop w:val="0"/>
      <w:marBottom w:val="0"/>
      <w:divBdr>
        <w:top w:val="none" w:sz="0" w:space="0" w:color="auto"/>
        <w:left w:val="none" w:sz="0" w:space="0" w:color="auto"/>
        <w:bottom w:val="none" w:sz="0" w:space="0" w:color="auto"/>
        <w:right w:val="none" w:sz="0" w:space="0" w:color="auto"/>
      </w:divBdr>
      <w:divsChild>
        <w:div w:id="840705970">
          <w:marLeft w:val="0"/>
          <w:marRight w:val="0"/>
          <w:marTop w:val="0"/>
          <w:marBottom w:val="0"/>
          <w:divBdr>
            <w:top w:val="none" w:sz="0" w:space="0" w:color="auto"/>
            <w:left w:val="none" w:sz="0" w:space="0" w:color="auto"/>
            <w:bottom w:val="none" w:sz="0" w:space="0" w:color="auto"/>
            <w:right w:val="none" w:sz="0" w:space="0" w:color="auto"/>
          </w:divBdr>
        </w:div>
      </w:divsChild>
    </w:div>
    <w:div w:id="2071031973">
      <w:bodyDiv w:val="1"/>
      <w:marLeft w:val="0"/>
      <w:marRight w:val="0"/>
      <w:marTop w:val="0"/>
      <w:marBottom w:val="0"/>
      <w:divBdr>
        <w:top w:val="none" w:sz="0" w:space="0" w:color="auto"/>
        <w:left w:val="none" w:sz="0" w:space="0" w:color="auto"/>
        <w:bottom w:val="none" w:sz="0" w:space="0" w:color="auto"/>
        <w:right w:val="none" w:sz="0" w:space="0" w:color="auto"/>
      </w:divBdr>
    </w:div>
    <w:div w:id="2072653167">
      <w:bodyDiv w:val="1"/>
      <w:marLeft w:val="0"/>
      <w:marRight w:val="0"/>
      <w:marTop w:val="0"/>
      <w:marBottom w:val="0"/>
      <w:divBdr>
        <w:top w:val="none" w:sz="0" w:space="0" w:color="auto"/>
        <w:left w:val="none" w:sz="0" w:space="0" w:color="auto"/>
        <w:bottom w:val="none" w:sz="0" w:space="0" w:color="auto"/>
        <w:right w:val="none" w:sz="0" w:space="0" w:color="auto"/>
      </w:divBdr>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089034774">
      <w:bodyDiv w:val="1"/>
      <w:marLeft w:val="0"/>
      <w:marRight w:val="0"/>
      <w:marTop w:val="0"/>
      <w:marBottom w:val="0"/>
      <w:divBdr>
        <w:top w:val="none" w:sz="0" w:space="0" w:color="auto"/>
        <w:left w:val="none" w:sz="0" w:space="0" w:color="auto"/>
        <w:bottom w:val="none" w:sz="0" w:space="0" w:color="auto"/>
        <w:right w:val="none" w:sz="0" w:space="0" w:color="auto"/>
      </w:divBdr>
      <w:divsChild>
        <w:div w:id="700591324">
          <w:marLeft w:val="0"/>
          <w:marRight w:val="0"/>
          <w:marTop w:val="0"/>
          <w:marBottom w:val="0"/>
          <w:divBdr>
            <w:top w:val="none" w:sz="0" w:space="0" w:color="auto"/>
            <w:left w:val="none" w:sz="0" w:space="0" w:color="auto"/>
            <w:bottom w:val="none" w:sz="0" w:space="0" w:color="auto"/>
            <w:right w:val="none" w:sz="0" w:space="0" w:color="auto"/>
          </w:divBdr>
        </w:div>
      </w:divsChild>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6656195">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30972390">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4.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hart" Target="charts/chart3.xm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g"/><Relationship Id="rId5" Type="http://schemas.openxmlformats.org/officeDocument/2006/relationships/settings" Target="settings.xml"/><Relationship Id="rId15" Type="http://schemas.openxmlformats.org/officeDocument/2006/relationships/image" Target="media/image2.png"/><Relationship Id="rId10" Type="http://schemas.openxmlformats.org/officeDocument/2006/relationships/chart" Target="charts/chart2.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5.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D:\&#32593;&#30424;&#20849;&#20139;\0&#12304;&#20132;&#25509;&#12305;\Chang\2%20&#26216;&#25253;&#21608;&#25253;\&#22266;&#25910;&#21608;&#25253;\&#23500;&#33635;&#22266;&#25910;&#21608;&#25253;-&#26032;&#29256;.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D:\&#32593;&#30424;&#20849;&#20139;\0&#12304;&#20132;&#25509;&#12305;\Chang\2%20&#26216;&#25253;&#21608;&#25253;\&#22266;&#25910;&#21608;&#25253;\&#23500;&#33635;&#22266;&#25910;&#21608;&#25253;-&#26032;&#29256;.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D:\&#32593;&#30424;&#20849;&#20139;\0&#12304;&#20132;&#25509;&#12305;\Chang\2%20&#26216;&#25253;&#21608;&#25253;\&#22266;&#25910;&#21608;&#25253;\&#23500;&#33635;&#22266;&#25910;&#21608;&#25253;-&#26032;&#29256;.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D:\&#32593;&#30424;&#20849;&#20139;\0&#12304;&#20132;&#25509;&#12305;\Chang\2%20&#26216;&#25253;&#21608;&#25253;\&#22266;&#25910;&#21608;&#25253;\&#23500;&#33635;&#22266;&#25910;&#21608;&#25253;-&#26032;&#29256;.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D:\&#32593;&#30424;&#20849;&#20139;\0&#12304;&#20132;&#25509;&#12305;\Chang\2%20&#26216;&#25253;&#21608;&#25253;\&#22266;&#25910;&#21608;&#25253;\&#23500;&#33635;&#22266;&#25910;&#21608;&#25253;-&#26032;&#29256;.xlsx" TargetMode="External"/><Relationship Id="rId1" Type="http://schemas.openxmlformats.org/officeDocument/2006/relationships/themeOverride" Target="../theme/themeOverride5.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invertIfNegative val="0"/>
          <c:val>
            <c:numRef>
              <c:f>利率!$K$3:$Q$3</c:f>
              <c:numCache>
                <c:formatCode>0.0_ ;[Red]\-0.0\ </c:formatCode>
                <c:ptCount val="7"/>
                <c:pt idx="0">
                  <c:v>-9.3000000000000007</c:v>
                </c:pt>
                <c:pt idx="1">
                  <c:v>-7.73</c:v>
                </c:pt>
                <c:pt idx="2">
                  <c:v>-5.01</c:v>
                </c:pt>
                <c:pt idx="3">
                  <c:v>-3.04</c:v>
                </c:pt>
                <c:pt idx="4">
                  <c:v>-0.72</c:v>
                </c:pt>
                <c:pt idx="5">
                  <c:v>0.19</c:v>
                </c:pt>
                <c:pt idx="6">
                  <c:v>0.56999999999999995</c:v>
                </c:pt>
              </c:numCache>
            </c:numRef>
          </c:val>
          <c:extLst xmlns:c16r2="http://schemas.microsoft.com/office/drawing/2015/06/chart">
            <c:ext xmlns:c15="http://schemas.microsoft.com/office/drawing/2012/chart" uri="{02D57815-91ED-43cb-92C2-25804820EDAC}">
              <c15:filteredSeriesTitle>
                <c15:tx>
                  <c:strRef>
                    <c:extLst>
                      <c:ext uri="{02D57815-91ED-43cb-92C2-25804820EDAC}">
                        <c15:formulaRef>
                          <c15:sqref>利率!$J$3</c15:sqref>
                        </c15:formulaRef>
                      </c:ext>
                    </c:extLst>
                    <c:strCache>
                      <c:ptCount val="1"/>
                      <c:pt idx="0">
                        <c:v>变化(左)</c:v>
                      </c:pt>
                    </c:strCache>
                  </c:strRef>
                </c15:tx>
              </c15:filteredSeriesTitle>
            </c:ext>
            <c:ext xmlns:c15="http://schemas.microsoft.com/office/drawing/2012/chart" uri="{02D57815-91ED-43cb-92C2-25804820EDAC}">
              <c15:filteredCategoryTitle>
                <c15:cat>
                  <c:strRef>
                    <c:extLst>
                      <c:ext uri="{02D57815-91ED-43cb-92C2-25804820EDAC}">
                        <c15:formulaRef>
                          <c15:sqref>利率!$K$2:$Q$2</c15:sqref>
                        </c15:formulaRef>
                      </c:ext>
                    </c:extLst>
                    <c:strCache>
                      <c:ptCount val="7"/>
                      <c:pt idx="0">
                        <c:v>1M</c:v>
                      </c:pt>
                      <c:pt idx="1">
                        <c:v>3M</c:v>
                      </c:pt>
                      <c:pt idx="2">
                        <c:v>1Y</c:v>
                      </c:pt>
                      <c:pt idx="3">
                        <c:v>3Y</c:v>
                      </c:pt>
                      <c:pt idx="4">
                        <c:v>5Y</c:v>
                      </c:pt>
                      <c:pt idx="5">
                        <c:v>7Y</c:v>
                      </c:pt>
                      <c:pt idx="6">
                        <c:v>10Y</c:v>
                      </c:pt>
                    </c:strCache>
                  </c:strRef>
                </c15:cat>
              </c15:filteredCategoryTitle>
            </c:ext>
            <c:ext xmlns:c16="http://schemas.microsoft.com/office/drawing/2014/chart" uri="{C3380CC4-5D6E-409C-BE32-E72D297353CC}">
              <c16:uniqueId val="{00000000-1144-48D5-9CAA-B6D8C469242A}"/>
            </c:ext>
          </c:extLst>
        </c:ser>
        <c:dLbls>
          <c:showLegendKey val="0"/>
          <c:showVal val="0"/>
          <c:showCatName val="0"/>
          <c:showSerName val="0"/>
          <c:showPercent val="0"/>
          <c:showBubbleSize val="0"/>
        </c:dLbls>
        <c:gapWidth val="150"/>
        <c:axId val="296294272"/>
        <c:axId val="296296448"/>
      </c:barChart>
      <c:lineChart>
        <c:grouping val="standard"/>
        <c:varyColors val="0"/>
        <c:ser>
          <c:idx val="2"/>
          <c:order val="1"/>
          <c:marker>
            <c:symbol val="diamond"/>
            <c:size val="7"/>
            <c:spPr>
              <a:solidFill>
                <a:sysClr val="window" lastClr="FFFFFF"/>
              </a:solidFill>
              <a:ln w="15875">
                <a:solidFill>
                  <a:srgbClr val="BF5711"/>
                </a:solidFill>
                <a:prstDash val="solid"/>
              </a:ln>
            </c:spPr>
          </c:marker>
          <c:val>
            <c:numRef>
              <c:f>利率!$K$4:$Q$4</c:f>
              <c:numCache>
                <c:formatCode>###,###,###,###,##0.00</c:formatCode>
                <c:ptCount val="7"/>
                <c:pt idx="0">
                  <c:v>1.8452</c:v>
                </c:pt>
                <c:pt idx="1">
                  <c:v>1.9561999999999999</c:v>
                </c:pt>
                <c:pt idx="2">
                  <c:v>2.3327</c:v>
                </c:pt>
                <c:pt idx="3">
                  <c:v>2.5122</c:v>
                </c:pt>
                <c:pt idx="4">
                  <c:v>2.7134</c:v>
                </c:pt>
                <c:pt idx="5">
                  <c:v>2.8540000000000001</c:v>
                </c:pt>
                <c:pt idx="6">
                  <c:v>2.8776000000000002</c:v>
                </c:pt>
              </c:numCache>
            </c:numRef>
          </c:val>
          <c:smooth val="0"/>
          <c:extLst xmlns:c16r2="http://schemas.microsoft.com/office/drawing/2015/06/chart">
            <c:ext xmlns:c15="http://schemas.microsoft.com/office/drawing/2012/chart" uri="{02D57815-91ED-43cb-92C2-25804820EDAC}">
              <c15:filteredSeriesTitle>
                <c15:tx>
                  <c:strRef>
                    <c:extLst>
                      <c:ext uri="{02D57815-91ED-43cb-92C2-25804820EDAC}">
                        <c15:formulaRef>
                          <c15:sqref>利率!$J$4</c15:sqref>
                        </c15:formulaRef>
                      </c:ext>
                    </c:extLst>
                    <c:strCache>
                      <c:ptCount val="1"/>
                      <c:pt idx="0">
                        <c:v>本周</c:v>
                      </c:pt>
                    </c:strCache>
                  </c:strRef>
                </c15:tx>
              </c15:filteredSeriesTitle>
            </c:ext>
            <c:ext xmlns:c15="http://schemas.microsoft.com/office/drawing/2012/chart" uri="{02D57815-91ED-43cb-92C2-25804820EDAC}">
              <c15:filteredCategoryTitle>
                <c15:cat>
                  <c:strRef>
                    <c:extLst>
                      <c:ext uri="{02D57815-91ED-43cb-92C2-25804820EDAC}">
                        <c15:formulaRef>
                          <c15:sqref>利率!$K$2:$Q$2</c15:sqref>
                        </c15:formulaRef>
                      </c:ext>
                    </c:extLst>
                    <c:strCache>
                      <c:ptCount val="7"/>
                      <c:pt idx="0">
                        <c:v>1M</c:v>
                      </c:pt>
                      <c:pt idx="1">
                        <c:v>3M</c:v>
                      </c:pt>
                      <c:pt idx="2">
                        <c:v>1Y</c:v>
                      </c:pt>
                      <c:pt idx="3">
                        <c:v>3Y</c:v>
                      </c:pt>
                      <c:pt idx="4">
                        <c:v>5Y</c:v>
                      </c:pt>
                      <c:pt idx="5">
                        <c:v>7Y</c:v>
                      </c:pt>
                      <c:pt idx="6">
                        <c:v>10Y</c:v>
                      </c:pt>
                    </c:strCache>
                  </c:strRef>
                </c15:cat>
              </c15:filteredCategoryTitle>
            </c:ext>
            <c:ext xmlns:c16="http://schemas.microsoft.com/office/drawing/2014/chart" uri="{C3380CC4-5D6E-409C-BE32-E72D297353CC}">
              <c16:uniqueId val="{00000008-1144-48D5-9CAA-B6D8C469242A}"/>
            </c:ext>
          </c:extLst>
        </c:ser>
        <c:ser>
          <c:idx val="1"/>
          <c:order val="2"/>
          <c:spPr>
            <a:ln w="22225">
              <a:solidFill>
                <a:srgbClr val="ED7D31"/>
              </a:solidFill>
              <a:prstDash val="sysDash"/>
            </a:ln>
          </c:spPr>
          <c:marker>
            <c:symbol val="diamond"/>
            <c:size val="7"/>
            <c:spPr>
              <a:solidFill>
                <a:sysClr val="window" lastClr="FFFFFF"/>
              </a:solidFill>
              <a:ln w="15875">
                <a:solidFill>
                  <a:srgbClr val="ED7D31"/>
                </a:solidFill>
              </a:ln>
            </c:spPr>
          </c:marker>
          <c:val>
            <c:numRef>
              <c:f>利率!$K$5:$Q$5</c:f>
              <c:numCache>
                <c:formatCode>###,###,###,###,##0.00</c:formatCode>
                <c:ptCount val="7"/>
                <c:pt idx="0">
                  <c:v>1.9381999999999999</c:v>
                </c:pt>
                <c:pt idx="1">
                  <c:v>2.0335000000000001</c:v>
                </c:pt>
                <c:pt idx="2">
                  <c:v>2.3828</c:v>
                </c:pt>
                <c:pt idx="3">
                  <c:v>2.5426000000000002</c:v>
                </c:pt>
                <c:pt idx="4">
                  <c:v>2.7206000000000001</c:v>
                </c:pt>
                <c:pt idx="5">
                  <c:v>2.8521000000000001</c:v>
                </c:pt>
                <c:pt idx="6">
                  <c:v>2.8719000000000001</c:v>
                </c:pt>
              </c:numCache>
            </c:numRef>
          </c:val>
          <c:smooth val="0"/>
          <c:extLst xmlns:c16r2="http://schemas.microsoft.com/office/drawing/2015/06/chart">
            <c:ext xmlns:c15="http://schemas.microsoft.com/office/drawing/2012/chart" uri="{02D57815-91ED-43cb-92C2-25804820EDAC}">
              <c15:filteredSeriesTitle>
                <c15:tx>
                  <c:strRef>
                    <c:extLst>
                      <c:ext uri="{02D57815-91ED-43cb-92C2-25804820EDAC}">
                        <c15:formulaRef>
                          <c15:sqref>利率!$J$5</c15:sqref>
                        </c15:formulaRef>
                      </c:ext>
                    </c:extLst>
                    <c:strCache>
                      <c:ptCount val="1"/>
                      <c:pt idx="0">
                        <c:v>上周</c:v>
                      </c:pt>
                    </c:strCache>
                  </c:strRef>
                </c15:tx>
              </c15:filteredSeriesTitle>
            </c:ext>
            <c:ext xmlns:c15="http://schemas.microsoft.com/office/drawing/2012/chart" uri="{02D57815-91ED-43cb-92C2-25804820EDAC}">
              <c15:filteredCategoryTitle>
                <c15:cat>
                  <c:strRef>
                    <c:extLst>
                      <c:ext uri="{02D57815-91ED-43cb-92C2-25804820EDAC}">
                        <c15:formulaRef>
                          <c15:sqref>利率!$K$2:$Q$2</c15:sqref>
                        </c15:formulaRef>
                      </c:ext>
                    </c:extLst>
                    <c:strCache>
                      <c:ptCount val="7"/>
                      <c:pt idx="0">
                        <c:v>1M</c:v>
                      </c:pt>
                      <c:pt idx="1">
                        <c:v>3M</c:v>
                      </c:pt>
                      <c:pt idx="2">
                        <c:v>1Y</c:v>
                      </c:pt>
                      <c:pt idx="3">
                        <c:v>3Y</c:v>
                      </c:pt>
                      <c:pt idx="4">
                        <c:v>5Y</c:v>
                      </c:pt>
                      <c:pt idx="5">
                        <c:v>7Y</c:v>
                      </c:pt>
                      <c:pt idx="6">
                        <c:v>10Y</c:v>
                      </c:pt>
                    </c:strCache>
                  </c:strRef>
                </c15:cat>
              </c15:filteredCategoryTitle>
            </c:ext>
            <c:ext xmlns:c16="http://schemas.microsoft.com/office/drawing/2014/chart" uri="{C3380CC4-5D6E-409C-BE32-E72D297353CC}">
              <c16:uniqueId val="{00000009-1144-48D5-9CAA-B6D8C469242A}"/>
            </c:ext>
          </c:extLst>
        </c:ser>
        <c:dLbls>
          <c:showLegendKey val="0"/>
          <c:showVal val="0"/>
          <c:showCatName val="0"/>
          <c:showSerName val="0"/>
          <c:showPercent val="0"/>
          <c:showBubbleSize val="0"/>
        </c:dLbls>
        <c:marker val="1"/>
        <c:smooth val="0"/>
        <c:axId val="296299520"/>
        <c:axId val="296297984"/>
      </c:lineChart>
      <c:dateAx>
        <c:axId val="296294272"/>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96296448"/>
        <c:crosses val="autoZero"/>
        <c:auto val="0"/>
        <c:lblOffset val="0"/>
        <c:baseTimeUnit val="days"/>
      </c:dateAx>
      <c:valAx>
        <c:axId val="296296448"/>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96294272"/>
        <c:crosses val="autoZero"/>
        <c:crossBetween val="between"/>
      </c:valAx>
      <c:valAx>
        <c:axId val="296297984"/>
        <c:scaling>
          <c:orientation val="minMax"/>
        </c:scaling>
        <c:delete val="0"/>
        <c:axPos val="r"/>
        <c:numFmt formatCode="#,##0.0_);[Red]\(#,##0.0\)" sourceLinked="0"/>
        <c:majorTickMark val="out"/>
        <c:minorTickMark val="none"/>
        <c:tickLblPos val="nextTo"/>
        <c:spPr>
          <a:ln w="3175">
            <a:solidFill>
              <a:sysClr val="windowText" lastClr="000000"/>
            </a:solidFill>
          </a:ln>
        </c:spPr>
        <c:crossAx val="296299520"/>
        <c:crosses val="max"/>
        <c:crossBetween val="between"/>
      </c:valAx>
      <c:dateAx>
        <c:axId val="296299520"/>
        <c:scaling>
          <c:orientation val="minMax"/>
        </c:scaling>
        <c:delete val="1"/>
        <c:axPos val="b"/>
        <c:numFmt formatCode="General" sourceLinked="1"/>
        <c:majorTickMark val="out"/>
        <c:minorTickMark val="none"/>
        <c:tickLblPos val="nextTo"/>
        <c:crossAx val="296297984"/>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利率!$J$8</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利率!$K$7:$Q$7</c:f>
              <c:strCache>
                <c:ptCount val="7"/>
                <c:pt idx="0">
                  <c:v>1M</c:v>
                </c:pt>
                <c:pt idx="1">
                  <c:v>3M</c:v>
                </c:pt>
                <c:pt idx="2">
                  <c:v>1Y</c:v>
                </c:pt>
                <c:pt idx="3">
                  <c:v>3Y</c:v>
                </c:pt>
                <c:pt idx="4">
                  <c:v>5Y</c:v>
                </c:pt>
                <c:pt idx="5">
                  <c:v>7Y</c:v>
                </c:pt>
                <c:pt idx="6">
                  <c:v>10Y</c:v>
                </c:pt>
              </c:strCache>
            </c:strRef>
          </c:cat>
          <c:val>
            <c:numRef>
              <c:f>利率!$K$8:$Q$8</c:f>
              <c:numCache>
                <c:formatCode>0.0_ ;[Red]\-0.0\ </c:formatCode>
                <c:ptCount val="7"/>
                <c:pt idx="0">
                  <c:v>-2.61</c:v>
                </c:pt>
                <c:pt idx="1">
                  <c:v>3.2</c:v>
                </c:pt>
                <c:pt idx="2">
                  <c:v>-2.11</c:v>
                </c:pt>
                <c:pt idx="3">
                  <c:v>-2.73</c:v>
                </c:pt>
                <c:pt idx="4">
                  <c:v>0.06</c:v>
                </c:pt>
                <c:pt idx="5">
                  <c:v>-2.74</c:v>
                </c:pt>
                <c:pt idx="6">
                  <c:v>1.51</c:v>
                </c:pt>
              </c:numCache>
            </c:numRef>
          </c:val>
          <c:extLst xmlns:c16r2="http://schemas.microsoft.com/office/drawing/2015/06/chart">
            <c:ext xmlns:c16="http://schemas.microsoft.com/office/drawing/2014/chart" uri="{C3380CC4-5D6E-409C-BE32-E72D297353CC}">
              <c16:uniqueId val="{00000000-E394-4558-B758-EE4B65CC4CE6}"/>
            </c:ext>
          </c:extLst>
        </c:ser>
        <c:dLbls>
          <c:showLegendKey val="0"/>
          <c:showVal val="0"/>
          <c:showCatName val="0"/>
          <c:showSerName val="0"/>
          <c:showPercent val="0"/>
          <c:showBubbleSize val="0"/>
        </c:dLbls>
        <c:gapWidth val="150"/>
        <c:axId val="296352000"/>
        <c:axId val="298000768"/>
      </c:barChart>
      <c:lineChart>
        <c:grouping val="standard"/>
        <c:varyColors val="0"/>
        <c:ser>
          <c:idx val="2"/>
          <c:order val="1"/>
          <c:tx>
            <c:strRef>
              <c:f>利率!$J$9</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E394-4558-B758-EE4B65CC4CE6}"/>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E394-4558-B758-EE4B65CC4CE6}"/>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E394-4558-B758-EE4B65CC4CE6}"/>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E394-4558-B758-EE4B65CC4CE6}"/>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E394-4558-B758-EE4B65CC4CE6}"/>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E394-4558-B758-EE4B65CC4CE6}"/>
                </c:ext>
              </c:extLst>
            </c:dLbl>
            <c:dLbl>
              <c:idx val="6"/>
              <c:layout>
                <c:manualLayout>
                  <c:x val="-6.9613476610968131E-2"/>
                  <c:y val="-7.6829097978928243E-2"/>
                </c:manualLayout>
              </c:layout>
              <c:dLblPos val="r"/>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E394-4558-B758-EE4B65CC4CE6}"/>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利率!$K$7:$Q$7</c:f>
              <c:strCache>
                <c:ptCount val="7"/>
                <c:pt idx="0">
                  <c:v>1M</c:v>
                </c:pt>
                <c:pt idx="1">
                  <c:v>3M</c:v>
                </c:pt>
                <c:pt idx="2">
                  <c:v>1Y</c:v>
                </c:pt>
                <c:pt idx="3">
                  <c:v>3Y</c:v>
                </c:pt>
                <c:pt idx="4">
                  <c:v>5Y</c:v>
                </c:pt>
                <c:pt idx="5">
                  <c:v>7Y</c:v>
                </c:pt>
                <c:pt idx="6">
                  <c:v>10Y</c:v>
                </c:pt>
              </c:strCache>
            </c:strRef>
          </c:cat>
          <c:val>
            <c:numRef>
              <c:f>利率!$K$9:$Q$9</c:f>
              <c:numCache>
                <c:formatCode>###,###,###,###,##0.00</c:formatCode>
                <c:ptCount val="7"/>
                <c:pt idx="0">
                  <c:v>1.9188000000000001</c:v>
                </c:pt>
                <c:pt idx="1">
                  <c:v>2.1280999999999999</c:v>
                </c:pt>
                <c:pt idx="2">
                  <c:v>2.3957000000000002</c:v>
                </c:pt>
                <c:pt idx="3">
                  <c:v>2.77</c:v>
                </c:pt>
                <c:pt idx="4">
                  <c:v>2.9870000000000001</c:v>
                </c:pt>
                <c:pt idx="5">
                  <c:v>3.1627999999999998</c:v>
                </c:pt>
                <c:pt idx="6">
                  <c:v>3.1976</c:v>
                </c:pt>
              </c:numCache>
            </c:numRef>
          </c:val>
          <c:smooth val="0"/>
          <c:extLst xmlns:c16r2="http://schemas.microsoft.com/office/drawing/2015/06/chart">
            <c:ext xmlns:c16="http://schemas.microsoft.com/office/drawing/2014/chart" uri="{C3380CC4-5D6E-409C-BE32-E72D297353CC}">
              <c16:uniqueId val="{00000008-E394-4558-B758-EE4B65CC4CE6}"/>
            </c:ext>
          </c:extLst>
        </c:ser>
        <c:ser>
          <c:idx val="1"/>
          <c:order val="2"/>
          <c:tx>
            <c:strRef>
              <c:f>利率!$J$10</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利率!$K$7:$Q$7</c:f>
              <c:strCache>
                <c:ptCount val="7"/>
                <c:pt idx="0">
                  <c:v>1M</c:v>
                </c:pt>
                <c:pt idx="1">
                  <c:v>3M</c:v>
                </c:pt>
                <c:pt idx="2">
                  <c:v>1Y</c:v>
                </c:pt>
                <c:pt idx="3">
                  <c:v>3Y</c:v>
                </c:pt>
                <c:pt idx="4">
                  <c:v>5Y</c:v>
                </c:pt>
                <c:pt idx="5">
                  <c:v>7Y</c:v>
                </c:pt>
                <c:pt idx="6">
                  <c:v>10Y</c:v>
                </c:pt>
              </c:strCache>
            </c:strRef>
          </c:cat>
          <c:val>
            <c:numRef>
              <c:f>利率!$K$10:$Q$10</c:f>
              <c:numCache>
                <c:formatCode>###,###,###,###,##0.00</c:formatCode>
                <c:ptCount val="7"/>
                <c:pt idx="0">
                  <c:v>1.9449000000000001</c:v>
                </c:pt>
                <c:pt idx="1">
                  <c:v>2.0960999999999999</c:v>
                </c:pt>
                <c:pt idx="2">
                  <c:v>2.4167999999999998</c:v>
                </c:pt>
                <c:pt idx="3">
                  <c:v>2.7972999999999999</c:v>
                </c:pt>
                <c:pt idx="4">
                  <c:v>2.9864000000000002</c:v>
                </c:pt>
                <c:pt idx="5">
                  <c:v>3.1901999999999999</c:v>
                </c:pt>
                <c:pt idx="6">
                  <c:v>3.1825000000000001</c:v>
                </c:pt>
              </c:numCache>
            </c:numRef>
          </c:val>
          <c:smooth val="0"/>
          <c:extLst xmlns:c16r2="http://schemas.microsoft.com/office/drawing/2015/06/chart">
            <c:ext xmlns:c16="http://schemas.microsoft.com/office/drawing/2014/chart" uri="{C3380CC4-5D6E-409C-BE32-E72D297353CC}">
              <c16:uniqueId val="{00000009-E394-4558-B758-EE4B65CC4CE6}"/>
            </c:ext>
          </c:extLst>
        </c:ser>
        <c:dLbls>
          <c:showLegendKey val="0"/>
          <c:showVal val="0"/>
          <c:showCatName val="0"/>
          <c:showSerName val="0"/>
          <c:showPercent val="0"/>
          <c:showBubbleSize val="0"/>
        </c:dLbls>
        <c:marker val="1"/>
        <c:smooth val="0"/>
        <c:axId val="298003840"/>
        <c:axId val="298002304"/>
      </c:lineChart>
      <c:dateAx>
        <c:axId val="296352000"/>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98000768"/>
        <c:crosses val="autoZero"/>
        <c:auto val="0"/>
        <c:lblOffset val="0"/>
        <c:baseTimeUnit val="days"/>
      </c:dateAx>
      <c:valAx>
        <c:axId val="298000768"/>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96352000"/>
        <c:crosses val="autoZero"/>
        <c:crossBetween val="between"/>
      </c:valAx>
      <c:valAx>
        <c:axId val="298002304"/>
        <c:scaling>
          <c:orientation val="minMax"/>
        </c:scaling>
        <c:delete val="0"/>
        <c:axPos val="r"/>
        <c:numFmt formatCode="#,##0.0_);[Red]\(#,##0.0\)" sourceLinked="0"/>
        <c:majorTickMark val="out"/>
        <c:minorTickMark val="none"/>
        <c:tickLblPos val="nextTo"/>
        <c:spPr>
          <a:ln w="3175">
            <a:solidFill>
              <a:sysClr val="windowText" lastClr="000000"/>
            </a:solidFill>
          </a:ln>
        </c:spPr>
        <c:crossAx val="298003840"/>
        <c:crosses val="max"/>
        <c:crossBetween val="between"/>
      </c:valAx>
      <c:dateAx>
        <c:axId val="298003840"/>
        <c:scaling>
          <c:orientation val="minMax"/>
        </c:scaling>
        <c:delete val="1"/>
        <c:axPos val="b"/>
        <c:numFmt formatCode="General" sourceLinked="1"/>
        <c:majorTickMark val="out"/>
        <c:minorTickMark val="none"/>
        <c:tickLblPos val="nextTo"/>
        <c:crossAx val="298002304"/>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44469</c:v>
                </c:pt>
                <c:pt idx="1">
                  <c:v>44463</c:v>
                </c:pt>
                <c:pt idx="2">
                  <c:v>44456</c:v>
                </c:pt>
                <c:pt idx="3">
                  <c:v>44449</c:v>
                </c:pt>
                <c:pt idx="4">
                  <c:v>44442</c:v>
                </c:pt>
                <c:pt idx="5">
                  <c:v>44435</c:v>
                </c:pt>
                <c:pt idx="6">
                  <c:v>44428</c:v>
                </c:pt>
                <c:pt idx="7">
                  <c:v>44421</c:v>
                </c:pt>
                <c:pt idx="8">
                  <c:v>44414</c:v>
                </c:pt>
                <c:pt idx="9">
                  <c:v>44407</c:v>
                </c:pt>
                <c:pt idx="10">
                  <c:v>44400</c:v>
                </c:pt>
                <c:pt idx="11">
                  <c:v>44393</c:v>
                </c:pt>
                <c:pt idx="12">
                  <c:v>44386</c:v>
                </c:pt>
                <c:pt idx="13">
                  <c:v>44379</c:v>
                </c:pt>
                <c:pt idx="14">
                  <c:v>44372</c:v>
                </c:pt>
                <c:pt idx="15">
                  <c:v>44365</c:v>
                </c:pt>
                <c:pt idx="16">
                  <c:v>44358</c:v>
                </c:pt>
                <c:pt idx="17">
                  <c:v>44351</c:v>
                </c:pt>
                <c:pt idx="18">
                  <c:v>44344</c:v>
                </c:pt>
                <c:pt idx="19">
                  <c:v>44337</c:v>
                </c:pt>
                <c:pt idx="20">
                  <c:v>44330</c:v>
                </c:pt>
                <c:pt idx="21">
                  <c:v>44323</c:v>
                </c:pt>
                <c:pt idx="22">
                  <c:v>44316</c:v>
                </c:pt>
                <c:pt idx="23">
                  <c:v>44309</c:v>
                </c:pt>
              </c:numCache>
            </c:numRef>
          </c:cat>
          <c:val>
            <c:numRef>
              <c:f>转债!$H$5:$H$28</c:f>
              <c:numCache>
                <c:formatCode>General</c:formatCode>
                <c:ptCount val="24"/>
                <c:pt idx="0">
                  <c:v>9.7519698161648414</c:v>
                </c:pt>
                <c:pt idx="1">
                  <c:v>11.50562177698875</c:v>
                </c:pt>
                <c:pt idx="2">
                  <c:v>11.284907597812355</c:v>
                </c:pt>
                <c:pt idx="3">
                  <c:v>14.267322078471722</c:v>
                </c:pt>
                <c:pt idx="4">
                  <c:v>11.911781097195529</c:v>
                </c:pt>
                <c:pt idx="5">
                  <c:v>9.509448063783644</c:v>
                </c:pt>
                <c:pt idx="6">
                  <c:v>7.5494587683405667</c:v>
                </c:pt>
                <c:pt idx="7">
                  <c:v>8.7365176697880909</c:v>
                </c:pt>
                <c:pt idx="8">
                  <c:v>7.5385819046680513</c:v>
                </c:pt>
                <c:pt idx="9">
                  <c:v>6.1963930812377832</c:v>
                </c:pt>
                <c:pt idx="10">
                  <c:v>7.1432725252038809</c:v>
                </c:pt>
                <c:pt idx="11">
                  <c:v>5.6586075568356486</c:v>
                </c:pt>
                <c:pt idx="12">
                  <c:v>4.2481152602935834</c:v>
                </c:pt>
                <c:pt idx="13">
                  <c:v>2.3127873686228373</c:v>
                </c:pt>
                <c:pt idx="14">
                  <c:v>3.3073473214107807</c:v>
                </c:pt>
                <c:pt idx="15">
                  <c:v>1.2836583738657925</c:v>
                </c:pt>
                <c:pt idx="16">
                  <c:v>2.976626050734632</c:v>
                </c:pt>
                <c:pt idx="17">
                  <c:v>3.1465366612228429</c:v>
                </c:pt>
                <c:pt idx="18">
                  <c:v>3.0658755632949841</c:v>
                </c:pt>
                <c:pt idx="19">
                  <c:v>1.3925616252403517</c:v>
                </c:pt>
                <c:pt idx="20">
                  <c:v>1.1670013186851014</c:v>
                </c:pt>
                <c:pt idx="21">
                  <c:v>0.28115615676251871</c:v>
                </c:pt>
                <c:pt idx="22">
                  <c:v>-1.8846050917731283E-3</c:v>
                </c:pt>
                <c:pt idx="23">
                  <c:v>0</c:v>
                </c:pt>
              </c:numCache>
            </c:numRef>
          </c:val>
          <c:smooth val="1"/>
          <c:extLst xmlns:c16r2="http://schemas.microsoft.com/office/drawing/2015/06/chart">
            <c:ext xmlns:c16="http://schemas.microsoft.com/office/drawing/2014/chart" uri="{C3380CC4-5D6E-409C-BE32-E72D297353CC}">
              <c16:uniqueId val="{00000000-E2E7-40DE-8DE4-02481DCD7C57}"/>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44469</c:v>
                </c:pt>
                <c:pt idx="1">
                  <c:v>44463</c:v>
                </c:pt>
                <c:pt idx="2">
                  <c:v>44456</c:v>
                </c:pt>
                <c:pt idx="3">
                  <c:v>44449</c:v>
                </c:pt>
                <c:pt idx="4">
                  <c:v>44442</c:v>
                </c:pt>
                <c:pt idx="5">
                  <c:v>44435</c:v>
                </c:pt>
                <c:pt idx="6">
                  <c:v>44428</c:v>
                </c:pt>
                <c:pt idx="7">
                  <c:v>44421</c:v>
                </c:pt>
                <c:pt idx="8">
                  <c:v>44414</c:v>
                </c:pt>
                <c:pt idx="9">
                  <c:v>44407</c:v>
                </c:pt>
                <c:pt idx="10">
                  <c:v>44400</c:v>
                </c:pt>
                <c:pt idx="11">
                  <c:v>44393</c:v>
                </c:pt>
                <c:pt idx="12">
                  <c:v>44386</c:v>
                </c:pt>
                <c:pt idx="13">
                  <c:v>44379</c:v>
                </c:pt>
                <c:pt idx="14">
                  <c:v>44372</c:v>
                </c:pt>
                <c:pt idx="15">
                  <c:v>44365</c:v>
                </c:pt>
                <c:pt idx="16">
                  <c:v>44358</c:v>
                </c:pt>
                <c:pt idx="17">
                  <c:v>44351</c:v>
                </c:pt>
                <c:pt idx="18">
                  <c:v>44344</c:v>
                </c:pt>
                <c:pt idx="19">
                  <c:v>44337</c:v>
                </c:pt>
                <c:pt idx="20">
                  <c:v>44330</c:v>
                </c:pt>
                <c:pt idx="21">
                  <c:v>44323</c:v>
                </c:pt>
                <c:pt idx="22">
                  <c:v>44316</c:v>
                </c:pt>
                <c:pt idx="23">
                  <c:v>44309</c:v>
                </c:pt>
              </c:numCache>
            </c:numRef>
          </c:cat>
          <c:val>
            <c:numRef>
              <c:f>转债!$I$5:$I$28</c:f>
              <c:numCache>
                <c:formatCode>General</c:formatCode>
                <c:ptCount val="24"/>
                <c:pt idx="0">
                  <c:v>1.332981055765714</c:v>
                </c:pt>
                <c:pt idx="1">
                  <c:v>1.3490706562101051</c:v>
                </c:pt>
                <c:pt idx="2">
                  <c:v>1.2795466458687343</c:v>
                </c:pt>
                <c:pt idx="3">
                  <c:v>1.3842984129726066</c:v>
                </c:pt>
                <c:pt idx="4">
                  <c:v>1.5462952848155576</c:v>
                </c:pt>
                <c:pt idx="5">
                  <c:v>1.3873469688463036</c:v>
                </c:pt>
                <c:pt idx="6">
                  <c:v>1.4999741719571746</c:v>
                </c:pt>
                <c:pt idx="7">
                  <c:v>1.3159599521376686</c:v>
                </c:pt>
                <c:pt idx="8">
                  <c:v>1.6178516657394004</c:v>
                </c:pt>
                <c:pt idx="9">
                  <c:v>1.4489108610730828</c:v>
                </c:pt>
                <c:pt idx="10">
                  <c:v>1.1608223310105137</c:v>
                </c:pt>
                <c:pt idx="11">
                  <c:v>0.89856184376659876</c:v>
                </c:pt>
                <c:pt idx="12">
                  <c:v>0.5699952662701735</c:v>
                </c:pt>
                <c:pt idx="13">
                  <c:v>0.15683126327921126</c:v>
                </c:pt>
                <c:pt idx="14">
                  <c:v>0.12803934669447514</c:v>
                </c:pt>
                <c:pt idx="15">
                  <c:v>-7.7738174778796409E-2</c:v>
                </c:pt>
                <c:pt idx="16">
                  <c:v>-4.2341053800853956E-4</c:v>
                </c:pt>
                <c:pt idx="17">
                  <c:v>0.21424573223347565</c:v>
                </c:pt>
                <c:pt idx="18">
                  <c:v>0.31129142754555694</c:v>
                </c:pt>
                <c:pt idx="19">
                  <c:v>0.37522641878520169</c:v>
                </c:pt>
                <c:pt idx="20">
                  <c:v>0.10729223033194568</c:v>
                </c:pt>
                <c:pt idx="21">
                  <c:v>1.7783242596447479E-2</c:v>
                </c:pt>
                <c:pt idx="22">
                  <c:v>-3.9377180035016224E-2</c:v>
                </c:pt>
                <c:pt idx="23">
                  <c:v>0</c:v>
                </c:pt>
              </c:numCache>
            </c:numRef>
          </c:val>
          <c:smooth val="1"/>
          <c:extLst xmlns:c16r2="http://schemas.microsoft.com/office/drawing/2015/06/chart">
            <c:ext xmlns:c16="http://schemas.microsoft.com/office/drawing/2014/chart" uri="{C3380CC4-5D6E-409C-BE32-E72D297353CC}">
              <c16:uniqueId val="{00000001-E2E7-40DE-8DE4-02481DCD7C57}"/>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44469</c:v>
                </c:pt>
                <c:pt idx="1">
                  <c:v>44463</c:v>
                </c:pt>
                <c:pt idx="2">
                  <c:v>44456</c:v>
                </c:pt>
                <c:pt idx="3">
                  <c:v>44449</c:v>
                </c:pt>
                <c:pt idx="4">
                  <c:v>44442</c:v>
                </c:pt>
                <c:pt idx="5">
                  <c:v>44435</c:v>
                </c:pt>
                <c:pt idx="6">
                  <c:v>44428</c:v>
                </c:pt>
                <c:pt idx="7">
                  <c:v>44421</c:v>
                </c:pt>
                <c:pt idx="8">
                  <c:v>44414</c:v>
                </c:pt>
                <c:pt idx="9">
                  <c:v>44407</c:v>
                </c:pt>
                <c:pt idx="10">
                  <c:v>44400</c:v>
                </c:pt>
                <c:pt idx="11">
                  <c:v>44393</c:v>
                </c:pt>
                <c:pt idx="12">
                  <c:v>44386</c:v>
                </c:pt>
                <c:pt idx="13">
                  <c:v>44379</c:v>
                </c:pt>
                <c:pt idx="14">
                  <c:v>44372</c:v>
                </c:pt>
                <c:pt idx="15">
                  <c:v>44365</c:v>
                </c:pt>
                <c:pt idx="16">
                  <c:v>44358</c:v>
                </c:pt>
                <c:pt idx="17">
                  <c:v>44351</c:v>
                </c:pt>
                <c:pt idx="18">
                  <c:v>44344</c:v>
                </c:pt>
                <c:pt idx="19">
                  <c:v>44337</c:v>
                </c:pt>
                <c:pt idx="20">
                  <c:v>44330</c:v>
                </c:pt>
                <c:pt idx="21">
                  <c:v>44323</c:v>
                </c:pt>
                <c:pt idx="22">
                  <c:v>44316</c:v>
                </c:pt>
                <c:pt idx="23">
                  <c:v>44309</c:v>
                </c:pt>
              </c:numCache>
            </c:numRef>
          </c:cat>
          <c:val>
            <c:numRef>
              <c:f>转债!$J$5:$J$28</c:f>
              <c:numCache>
                <c:formatCode>General</c:formatCode>
                <c:ptCount val="24"/>
                <c:pt idx="0">
                  <c:v>-5.2394750578400817</c:v>
                </c:pt>
                <c:pt idx="1">
                  <c:v>-5.5696289640170811</c:v>
                </c:pt>
                <c:pt idx="2">
                  <c:v>-5.4428144552923108</c:v>
                </c:pt>
                <c:pt idx="3">
                  <c:v>-2.3743083716814661</c:v>
                </c:pt>
                <c:pt idx="4">
                  <c:v>-5.6935771240763433</c:v>
                </c:pt>
                <c:pt idx="5">
                  <c:v>-6.005508685951666</c:v>
                </c:pt>
                <c:pt idx="6">
                  <c:v>-7.1305408009349369</c:v>
                </c:pt>
                <c:pt idx="7">
                  <c:v>-3.6894600192458271</c:v>
                </c:pt>
                <c:pt idx="8">
                  <c:v>-4.1649428656095004</c:v>
                </c:pt>
                <c:pt idx="9">
                  <c:v>-6.3146108968684338</c:v>
                </c:pt>
                <c:pt idx="10">
                  <c:v>-0.90011915987789903</c:v>
                </c:pt>
                <c:pt idx="11">
                  <c:v>-0.79215400922535428</c:v>
                </c:pt>
                <c:pt idx="12">
                  <c:v>-1.2855203787848657</c:v>
                </c:pt>
                <c:pt idx="13">
                  <c:v>-1.0580604236424485</c:v>
                </c:pt>
                <c:pt idx="14">
                  <c:v>2.0351659699608948</c:v>
                </c:pt>
                <c:pt idx="15">
                  <c:v>-0.64235224099201682</c:v>
                </c:pt>
                <c:pt idx="16">
                  <c:v>1.737910814262289</c:v>
                </c:pt>
                <c:pt idx="17">
                  <c:v>2.859023119555526</c:v>
                </c:pt>
                <c:pt idx="18">
                  <c:v>3.6147772268754208</c:v>
                </c:pt>
                <c:pt idx="19">
                  <c:v>-2.5413530186069178E-2</c:v>
                </c:pt>
                <c:pt idx="20">
                  <c:v>-0.48415004603098444</c:v>
                </c:pt>
                <c:pt idx="21">
                  <c:v>-2.7144769729582241</c:v>
                </c:pt>
                <c:pt idx="22">
                  <c:v>-0.23297650797494684</c:v>
                </c:pt>
                <c:pt idx="23">
                  <c:v>0</c:v>
                </c:pt>
              </c:numCache>
            </c:numRef>
          </c:val>
          <c:smooth val="1"/>
          <c:extLst xmlns:c16r2="http://schemas.microsoft.com/office/drawing/2015/06/chart">
            <c:ext xmlns:c16="http://schemas.microsoft.com/office/drawing/2014/chart" uri="{C3380CC4-5D6E-409C-BE32-E72D297353CC}">
              <c16:uniqueId val="{00000002-E2E7-40DE-8DE4-02481DCD7C57}"/>
            </c:ext>
          </c:extLst>
        </c:ser>
        <c:dLbls>
          <c:showLegendKey val="0"/>
          <c:showVal val="0"/>
          <c:showCatName val="0"/>
          <c:showSerName val="0"/>
          <c:showPercent val="0"/>
          <c:showBubbleSize val="0"/>
        </c:dLbls>
        <c:marker val="1"/>
        <c:smooth val="0"/>
        <c:axId val="298046592"/>
        <c:axId val="298048128"/>
      </c:lineChart>
      <c:dateAx>
        <c:axId val="298046592"/>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98048128"/>
        <c:crosses val="autoZero"/>
        <c:auto val="0"/>
        <c:lblOffset val="0"/>
        <c:baseTimeUnit val="days"/>
      </c:dateAx>
      <c:valAx>
        <c:axId val="298048128"/>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98046592"/>
        <c:crosses val="autoZero"/>
        <c:crossBetween val="between"/>
      </c:valAx>
    </c:plotArea>
    <c:legend>
      <c:legendPos val="r"/>
      <c:layout>
        <c:manualLayout>
          <c:xMode val="edge"/>
          <c:yMode val="edge"/>
          <c:x val="9.9472362946142159E-2"/>
          <c:y val="9.1259531804523744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85830096237970255"/>
          <c:h val="0.81409120734908136"/>
        </c:manualLayout>
      </c:layout>
      <c:lineChart>
        <c:grouping val="standard"/>
        <c:varyColors val="0"/>
        <c:ser>
          <c:idx val="0"/>
          <c:order val="0"/>
          <c:tx>
            <c:strRef>
              <c:f>汇率!$B$2</c:f>
              <c:strCache>
                <c:ptCount val="1"/>
                <c:pt idx="0">
                  <c:v>美元兑人民币</c:v>
                </c:pt>
              </c:strCache>
            </c:strRef>
          </c:tx>
          <c:spPr>
            <a:ln w="25400">
              <a:solidFill>
                <a:srgbClr val="ED7D31">
                  <a:lumMod val="75000"/>
                </a:srgbClr>
              </a:solidFill>
            </a:ln>
          </c:spPr>
          <c:marker>
            <c:symbol val="none"/>
          </c:marker>
          <c:cat>
            <c:numRef>
              <c:f>汇率!$A$3:$A$24</c:f>
              <c:numCache>
                <c:formatCode>yyyy/mm/dd;@</c:formatCode>
                <c:ptCount val="22"/>
                <c:pt idx="0">
                  <c:v>44478</c:v>
                </c:pt>
                <c:pt idx="1">
                  <c:v>44471</c:v>
                </c:pt>
                <c:pt idx="2">
                  <c:v>44464</c:v>
                </c:pt>
                <c:pt idx="3">
                  <c:v>44457</c:v>
                </c:pt>
                <c:pt idx="4">
                  <c:v>44450</c:v>
                </c:pt>
                <c:pt idx="5">
                  <c:v>44443</c:v>
                </c:pt>
                <c:pt idx="6">
                  <c:v>44436</c:v>
                </c:pt>
                <c:pt idx="7">
                  <c:v>44429</c:v>
                </c:pt>
                <c:pt idx="8">
                  <c:v>44422</c:v>
                </c:pt>
                <c:pt idx="9">
                  <c:v>44415</c:v>
                </c:pt>
                <c:pt idx="10">
                  <c:v>44408</c:v>
                </c:pt>
                <c:pt idx="11">
                  <c:v>44401</c:v>
                </c:pt>
                <c:pt idx="12">
                  <c:v>44394</c:v>
                </c:pt>
                <c:pt idx="13">
                  <c:v>44387</c:v>
                </c:pt>
                <c:pt idx="14">
                  <c:v>44380</c:v>
                </c:pt>
                <c:pt idx="15">
                  <c:v>44373</c:v>
                </c:pt>
                <c:pt idx="16">
                  <c:v>44366</c:v>
                </c:pt>
                <c:pt idx="17">
                  <c:v>44359</c:v>
                </c:pt>
                <c:pt idx="18">
                  <c:v>44352</c:v>
                </c:pt>
                <c:pt idx="19">
                  <c:v>44345</c:v>
                </c:pt>
                <c:pt idx="20">
                  <c:v>44338</c:v>
                </c:pt>
                <c:pt idx="21">
                  <c:v>44331</c:v>
                </c:pt>
              </c:numCache>
            </c:numRef>
          </c:cat>
          <c:val>
            <c:numRef>
              <c:f>汇率!$B$3:$B$24</c:f>
              <c:numCache>
                <c:formatCode>###,###,###,###,##0.00</c:formatCode>
                <c:ptCount val="22"/>
                <c:pt idx="1">
                  <c:v>6.4626000000000001</c:v>
                </c:pt>
                <c:pt idx="2">
                  <c:v>6.4645000000000001</c:v>
                </c:pt>
                <c:pt idx="3">
                  <c:v>6.4520999999999997</c:v>
                </c:pt>
                <c:pt idx="4">
                  <c:v>6.4408000000000003</c:v>
                </c:pt>
                <c:pt idx="5">
                  <c:v>6.4565000000000001</c:v>
                </c:pt>
                <c:pt idx="6">
                  <c:v>6.4797000000000002</c:v>
                </c:pt>
                <c:pt idx="7">
                  <c:v>6.5</c:v>
                </c:pt>
                <c:pt idx="8">
                  <c:v>6.4829999999999997</c:v>
                </c:pt>
                <c:pt idx="9">
                  <c:v>6.4687999999999999</c:v>
                </c:pt>
                <c:pt idx="10">
                  <c:v>6.4560000000000004</c:v>
                </c:pt>
                <c:pt idx="11">
                  <c:v>6.4759000000000002</c:v>
                </c:pt>
                <c:pt idx="12">
                  <c:v>6.4678000000000004</c:v>
                </c:pt>
                <c:pt idx="13">
                  <c:v>6.4847000000000001</c:v>
                </c:pt>
                <c:pt idx="14">
                  <c:v>6.4824999999999999</c:v>
                </c:pt>
                <c:pt idx="15">
                  <c:v>6.4553000000000003</c:v>
                </c:pt>
                <c:pt idx="16">
                  <c:v>6.4408000000000003</c:v>
                </c:pt>
                <c:pt idx="17">
                  <c:v>6.3914</c:v>
                </c:pt>
                <c:pt idx="18">
                  <c:v>6.4092000000000002</c:v>
                </c:pt>
                <c:pt idx="19">
                  <c:v>6.3654000000000002</c:v>
                </c:pt>
                <c:pt idx="20">
                  <c:v>6.4337</c:v>
                </c:pt>
                <c:pt idx="21">
                  <c:v>6.4347000000000003</c:v>
                </c:pt>
              </c:numCache>
            </c:numRef>
          </c:val>
          <c:smooth val="1"/>
          <c:extLst xmlns:c16r2="http://schemas.microsoft.com/office/drawing/2015/06/chart">
            <c:ext xmlns:c16="http://schemas.microsoft.com/office/drawing/2014/chart" uri="{C3380CC4-5D6E-409C-BE32-E72D297353CC}">
              <c16:uniqueId val="{00000000-9A47-4637-AAA2-2ABF052588E4}"/>
            </c:ext>
          </c:extLst>
        </c:ser>
        <c:dLbls>
          <c:showLegendKey val="0"/>
          <c:showVal val="0"/>
          <c:showCatName val="0"/>
          <c:showSerName val="0"/>
          <c:showPercent val="0"/>
          <c:showBubbleSize val="0"/>
        </c:dLbls>
        <c:marker val="1"/>
        <c:smooth val="0"/>
        <c:axId val="303792896"/>
        <c:axId val="303794432"/>
      </c:lineChart>
      <c:lineChart>
        <c:grouping val="standard"/>
        <c:varyColors val="0"/>
        <c:ser>
          <c:idx val="2"/>
          <c:order val="1"/>
          <c:tx>
            <c:strRef>
              <c:f>汇率!$C$2</c:f>
              <c:strCache>
                <c:ptCount val="1"/>
                <c:pt idx="0">
                  <c:v>中美利差</c:v>
                </c:pt>
              </c:strCache>
            </c:strRef>
          </c:tx>
          <c:spPr>
            <a:ln w="25400">
              <a:solidFill>
                <a:srgbClr val="ED7D31"/>
              </a:solidFill>
              <a:prstDash val="sysDash"/>
            </a:ln>
          </c:spPr>
          <c:marker>
            <c:symbol val="none"/>
          </c:marker>
          <c:cat>
            <c:numRef>
              <c:f>汇率!$A$3:$A$24</c:f>
              <c:numCache>
                <c:formatCode>yyyy/mm/dd;@</c:formatCode>
                <c:ptCount val="22"/>
                <c:pt idx="0">
                  <c:v>44478</c:v>
                </c:pt>
                <c:pt idx="1">
                  <c:v>44471</c:v>
                </c:pt>
                <c:pt idx="2">
                  <c:v>44464</c:v>
                </c:pt>
                <c:pt idx="3">
                  <c:v>44457</c:v>
                </c:pt>
                <c:pt idx="4">
                  <c:v>44450</c:v>
                </c:pt>
                <c:pt idx="5">
                  <c:v>44443</c:v>
                </c:pt>
                <c:pt idx="6">
                  <c:v>44436</c:v>
                </c:pt>
                <c:pt idx="7">
                  <c:v>44429</c:v>
                </c:pt>
                <c:pt idx="8">
                  <c:v>44422</c:v>
                </c:pt>
                <c:pt idx="9">
                  <c:v>44415</c:v>
                </c:pt>
                <c:pt idx="10">
                  <c:v>44408</c:v>
                </c:pt>
                <c:pt idx="11">
                  <c:v>44401</c:v>
                </c:pt>
                <c:pt idx="12">
                  <c:v>44394</c:v>
                </c:pt>
                <c:pt idx="13">
                  <c:v>44387</c:v>
                </c:pt>
                <c:pt idx="14">
                  <c:v>44380</c:v>
                </c:pt>
                <c:pt idx="15">
                  <c:v>44373</c:v>
                </c:pt>
                <c:pt idx="16">
                  <c:v>44366</c:v>
                </c:pt>
                <c:pt idx="17">
                  <c:v>44359</c:v>
                </c:pt>
                <c:pt idx="18">
                  <c:v>44352</c:v>
                </c:pt>
                <c:pt idx="19">
                  <c:v>44345</c:v>
                </c:pt>
                <c:pt idx="20">
                  <c:v>44338</c:v>
                </c:pt>
                <c:pt idx="21">
                  <c:v>44331</c:v>
                </c:pt>
              </c:numCache>
            </c:numRef>
          </c:cat>
          <c:val>
            <c:numRef>
              <c:f>汇率!$C$3:$C$24</c:f>
              <c:numCache>
                <c:formatCode>###,###,###,###,##0.00</c:formatCode>
                <c:ptCount val="22"/>
                <c:pt idx="1">
                  <c:v>135.76000000000002</c:v>
                </c:pt>
                <c:pt idx="2">
                  <c:v>140.19000000000003</c:v>
                </c:pt>
                <c:pt idx="3">
                  <c:v>150.84999999999997</c:v>
                </c:pt>
                <c:pt idx="4">
                  <c:v>151.56</c:v>
                </c:pt>
                <c:pt idx="5">
                  <c:v>150.26999999999998</c:v>
                </c:pt>
                <c:pt idx="6">
                  <c:v>155.98000000000002</c:v>
                </c:pt>
                <c:pt idx="7">
                  <c:v>159.19999999999999</c:v>
                </c:pt>
                <c:pt idx="8">
                  <c:v>158.91999999999999</c:v>
                </c:pt>
                <c:pt idx="9">
                  <c:v>150.38999999999999</c:v>
                </c:pt>
                <c:pt idx="10">
                  <c:v>159.63</c:v>
                </c:pt>
                <c:pt idx="11">
                  <c:v>161.34</c:v>
                </c:pt>
                <c:pt idx="12">
                  <c:v>163.32</c:v>
                </c:pt>
                <c:pt idx="13">
                  <c:v>164.04999999999998</c:v>
                </c:pt>
                <c:pt idx="14">
                  <c:v>164.02999999999997</c:v>
                </c:pt>
                <c:pt idx="15">
                  <c:v>154.26999999999998</c:v>
                </c:pt>
                <c:pt idx="16">
                  <c:v>167.02</c:v>
                </c:pt>
                <c:pt idx="17">
                  <c:v>165.76000000000002</c:v>
                </c:pt>
                <c:pt idx="18">
                  <c:v>153.24999999999997</c:v>
                </c:pt>
                <c:pt idx="19">
                  <c:v>150.25</c:v>
                </c:pt>
                <c:pt idx="20">
                  <c:v>145.76000000000002</c:v>
                </c:pt>
                <c:pt idx="21">
                  <c:v>151.22</c:v>
                </c:pt>
              </c:numCache>
            </c:numRef>
          </c:val>
          <c:smooth val="1"/>
          <c:extLst xmlns:c16r2="http://schemas.microsoft.com/office/drawing/2015/06/chart">
            <c:ext xmlns:c16="http://schemas.microsoft.com/office/drawing/2014/chart" uri="{C3380CC4-5D6E-409C-BE32-E72D297353CC}">
              <c16:uniqueId val="{00000001-9A47-4637-AAA2-2ABF052588E4}"/>
            </c:ext>
          </c:extLst>
        </c:ser>
        <c:dLbls>
          <c:showLegendKey val="0"/>
          <c:showVal val="0"/>
          <c:showCatName val="0"/>
          <c:showSerName val="0"/>
          <c:showPercent val="0"/>
          <c:showBubbleSize val="0"/>
        </c:dLbls>
        <c:marker val="1"/>
        <c:smooth val="0"/>
        <c:axId val="303805952"/>
        <c:axId val="303804416"/>
      </c:lineChart>
      <c:dateAx>
        <c:axId val="303792896"/>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03794432"/>
        <c:crosses val="autoZero"/>
        <c:auto val="0"/>
        <c:lblOffset val="0"/>
        <c:baseTimeUnit val="days"/>
      </c:dateAx>
      <c:valAx>
        <c:axId val="303794432"/>
        <c:scaling>
          <c:orientation val="minMax"/>
          <c:min val="6.35"/>
        </c:scaling>
        <c:delete val="0"/>
        <c:axPos val="l"/>
        <c:numFmt formatCode="#,##0.00_);[Red]\(#,##0.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03792896"/>
        <c:crosses val="autoZero"/>
        <c:crossBetween val="between"/>
      </c:valAx>
      <c:valAx>
        <c:axId val="303804416"/>
        <c:scaling>
          <c:orientation val="minMax"/>
        </c:scaling>
        <c:delete val="0"/>
        <c:axPos val="r"/>
        <c:numFmt formatCode="#,##0_);[Red]\(#,##0\)" sourceLinked="0"/>
        <c:majorTickMark val="out"/>
        <c:minorTickMark val="none"/>
        <c:tickLblPos val="nextTo"/>
        <c:spPr>
          <a:ln w="3175">
            <a:solidFill>
              <a:sysClr val="windowText" lastClr="000000"/>
            </a:solidFill>
          </a:ln>
        </c:spPr>
        <c:crossAx val="303805952"/>
        <c:crosses val="max"/>
        <c:crossBetween val="between"/>
      </c:valAx>
      <c:dateAx>
        <c:axId val="303805952"/>
        <c:scaling>
          <c:orientation val="minMax"/>
        </c:scaling>
        <c:delete val="1"/>
        <c:axPos val="b"/>
        <c:numFmt formatCode="yyyy/mm/dd;@" sourceLinked="1"/>
        <c:majorTickMark val="out"/>
        <c:minorTickMark val="none"/>
        <c:tickLblPos val="nextTo"/>
        <c:crossAx val="303804416"/>
        <c:crosses val="autoZero"/>
        <c:auto val="0"/>
        <c:lblOffset val="100"/>
        <c:baseTimeUnit val="years"/>
      </c:dateAx>
    </c:plotArea>
    <c:legend>
      <c:legendPos val="r"/>
      <c:layout>
        <c:manualLayout>
          <c:xMode val="edge"/>
          <c:yMode val="edge"/>
          <c:x val="0.15225"/>
          <c:y val="2.3337707786526686E-3"/>
          <c:w val="0.690571084864392"/>
          <c:h val="8.584900845727618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85830096237970255"/>
          <c:h val="0.81409120734908136"/>
        </c:manualLayout>
      </c:layout>
      <c:lineChart>
        <c:grouping val="standard"/>
        <c:varyColors val="0"/>
        <c:ser>
          <c:idx val="0"/>
          <c:order val="0"/>
          <c:tx>
            <c:strRef>
              <c:f>汇率!$L$2</c:f>
              <c:strCache>
                <c:ptCount val="1"/>
                <c:pt idx="0">
                  <c:v>现货结算价:LME铜:周</c:v>
                </c:pt>
              </c:strCache>
            </c:strRef>
          </c:tx>
          <c:spPr>
            <a:ln>
              <a:solidFill>
                <a:srgbClr val="ED7D31">
                  <a:lumMod val="75000"/>
                </a:srgbClr>
              </a:solidFill>
            </a:ln>
          </c:spPr>
          <c:marker>
            <c:symbol val="none"/>
          </c:marker>
          <c:cat>
            <c:numRef>
              <c:f>汇率!$K$3:$K$100</c:f>
              <c:numCache>
                <c:formatCode>yyyy/mm/dd;@</c:formatCode>
                <c:ptCount val="98"/>
                <c:pt idx="0">
                  <c:v>44471</c:v>
                </c:pt>
                <c:pt idx="1">
                  <c:v>44464</c:v>
                </c:pt>
                <c:pt idx="2">
                  <c:v>44457</c:v>
                </c:pt>
                <c:pt idx="3">
                  <c:v>44450</c:v>
                </c:pt>
                <c:pt idx="4">
                  <c:v>44443</c:v>
                </c:pt>
                <c:pt idx="5">
                  <c:v>44436</c:v>
                </c:pt>
                <c:pt idx="6">
                  <c:v>44429</c:v>
                </c:pt>
                <c:pt idx="7">
                  <c:v>44422</c:v>
                </c:pt>
                <c:pt idx="8">
                  <c:v>44415</c:v>
                </c:pt>
                <c:pt idx="9">
                  <c:v>44408</c:v>
                </c:pt>
                <c:pt idx="10">
                  <c:v>44401</c:v>
                </c:pt>
                <c:pt idx="11">
                  <c:v>44394</c:v>
                </c:pt>
                <c:pt idx="12">
                  <c:v>44387</c:v>
                </c:pt>
                <c:pt idx="13">
                  <c:v>44380</c:v>
                </c:pt>
                <c:pt idx="14">
                  <c:v>44373</c:v>
                </c:pt>
                <c:pt idx="15">
                  <c:v>44366</c:v>
                </c:pt>
                <c:pt idx="16">
                  <c:v>44359</c:v>
                </c:pt>
                <c:pt idx="17">
                  <c:v>44352</c:v>
                </c:pt>
                <c:pt idx="18">
                  <c:v>44345</c:v>
                </c:pt>
                <c:pt idx="19">
                  <c:v>44338</c:v>
                </c:pt>
                <c:pt idx="20">
                  <c:v>44331</c:v>
                </c:pt>
                <c:pt idx="21">
                  <c:v>44324</c:v>
                </c:pt>
                <c:pt idx="22">
                  <c:v>44317</c:v>
                </c:pt>
                <c:pt idx="23">
                  <c:v>44310</c:v>
                </c:pt>
                <c:pt idx="24">
                  <c:v>44303</c:v>
                </c:pt>
                <c:pt idx="25">
                  <c:v>44296</c:v>
                </c:pt>
                <c:pt idx="26">
                  <c:v>44289</c:v>
                </c:pt>
                <c:pt idx="27">
                  <c:v>44282</c:v>
                </c:pt>
                <c:pt idx="28">
                  <c:v>44275</c:v>
                </c:pt>
                <c:pt idx="29">
                  <c:v>44268</c:v>
                </c:pt>
                <c:pt idx="30">
                  <c:v>44261</c:v>
                </c:pt>
                <c:pt idx="31">
                  <c:v>44254</c:v>
                </c:pt>
                <c:pt idx="32">
                  <c:v>44247</c:v>
                </c:pt>
                <c:pt idx="33">
                  <c:v>44240</c:v>
                </c:pt>
                <c:pt idx="34">
                  <c:v>44233</c:v>
                </c:pt>
                <c:pt idx="35">
                  <c:v>44226</c:v>
                </c:pt>
                <c:pt idx="36">
                  <c:v>44219</c:v>
                </c:pt>
                <c:pt idx="37">
                  <c:v>44212</c:v>
                </c:pt>
                <c:pt idx="38">
                  <c:v>44205</c:v>
                </c:pt>
                <c:pt idx="39">
                  <c:v>44198</c:v>
                </c:pt>
                <c:pt idx="40">
                  <c:v>44191</c:v>
                </c:pt>
                <c:pt idx="41">
                  <c:v>44184</c:v>
                </c:pt>
                <c:pt idx="42">
                  <c:v>44177</c:v>
                </c:pt>
                <c:pt idx="43">
                  <c:v>44170</c:v>
                </c:pt>
                <c:pt idx="44">
                  <c:v>44163</c:v>
                </c:pt>
                <c:pt idx="45">
                  <c:v>44156</c:v>
                </c:pt>
                <c:pt idx="46">
                  <c:v>44149</c:v>
                </c:pt>
                <c:pt idx="47">
                  <c:v>44142</c:v>
                </c:pt>
                <c:pt idx="48">
                  <c:v>44135</c:v>
                </c:pt>
                <c:pt idx="49">
                  <c:v>44128</c:v>
                </c:pt>
                <c:pt idx="50">
                  <c:v>44121</c:v>
                </c:pt>
                <c:pt idx="51">
                  <c:v>44114</c:v>
                </c:pt>
                <c:pt idx="52">
                  <c:v>44107</c:v>
                </c:pt>
                <c:pt idx="53">
                  <c:v>44100</c:v>
                </c:pt>
                <c:pt idx="54">
                  <c:v>44093</c:v>
                </c:pt>
                <c:pt idx="55">
                  <c:v>44086</c:v>
                </c:pt>
                <c:pt idx="56">
                  <c:v>44079</c:v>
                </c:pt>
                <c:pt idx="57">
                  <c:v>44072</c:v>
                </c:pt>
                <c:pt idx="58">
                  <c:v>44065</c:v>
                </c:pt>
                <c:pt idx="59">
                  <c:v>44058</c:v>
                </c:pt>
                <c:pt idx="60">
                  <c:v>44051</c:v>
                </c:pt>
                <c:pt idx="61">
                  <c:v>44044</c:v>
                </c:pt>
                <c:pt idx="62">
                  <c:v>44037</c:v>
                </c:pt>
                <c:pt idx="63">
                  <c:v>44030</c:v>
                </c:pt>
                <c:pt idx="64">
                  <c:v>44023</c:v>
                </c:pt>
                <c:pt idx="65">
                  <c:v>44016</c:v>
                </c:pt>
                <c:pt idx="66">
                  <c:v>44009</c:v>
                </c:pt>
                <c:pt idx="67">
                  <c:v>44002</c:v>
                </c:pt>
                <c:pt idx="68">
                  <c:v>43995</c:v>
                </c:pt>
                <c:pt idx="69">
                  <c:v>43988</c:v>
                </c:pt>
                <c:pt idx="70">
                  <c:v>43981</c:v>
                </c:pt>
                <c:pt idx="71">
                  <c:v>43974</c:v>
                </c:pt>
                <c:pt idx="72">
                  <c:v>43967</c:v>
                </c:pt>
                <c:pt idx="73">
                  <c:v>43960</c:v>
                </c:pt>
                <c:pt idx="74">
                  <c:v>43953</c:v>
                </c:pt>
                <c:pt idx="75">
                  <c:v>43946</c:v>
                </c:pt>
                <c:pt idx="76">
                  <c:v>43939</c:v>
                </c:pt>
                <c:pt idx="77">
                  <c:v>43932</c:v>
                </c:pt>
                <c:pt idx="78">
                  <c:v>43925</c:v>
                </c:pt>
                <c:pt idx="79">
                  <c:v>43918</c:v>
                </c:pt>
                <c:pt idx="80">
                  <c:v>43911</c:v>
                </c:pt>
                <c:pt idx="81">
                  <c:v>43904</c:v>
                </c:pt>
                <c:pt idx="82">
                  <c:v>43897</c:v>
                </c:pt>
                <c:pt idx="83">
                  <c:v>43890</c:v>
                </c:pt>
                <c:pt idx="84">
                  <c:v>43883</c:v>
                </c:pt>
                <c:pt idx="85">
                  <c:v>43876</c:v>
                </c:pt>
                <c:pt idx="86">
                  <c:v>43869</c:v>
                </c:pt>
                <c:pt idx="87">
                  <c:v>43862</c:v>
                </c:pt>
                <c:pt idx="88">
                  <c:v>43855</c:v>
                </c:pt>
                <c:pt idx="89">
                  <c:v>43848</c:v>
                </c:pt>
                <c:pt idx="90">
                  <c:v>43841</c:v>
                </c:pt>
                <c:pt idx="91">
                  <c:v>43834</c:v>
                </c:pt>
                <c:pt idx="92">
                  <c:v>43827</c:v>
                </c:pt>
                <c:pt idx="93">
                  <c:v>43820</c:v>
                </c:pt>
                <c:pt idx="94">
                  <c:v>43813</c:v>
                </c:pt>
                <c:pt idx="95">
                  <c:v>43806</c:v>
                </c:pt>
                <c:pt idx="96">
                  <c:v>43799</c:v>
                </c:pt>
                <c:pt idx="97">
                  <c:v>43792</c:v>
                </c:pt>
              </c:numCache>
            </c:numRef>
          </c:cat>
          <c:val>
            <c:numRef>
              <c:f>汇率!$L$3:$L$100</c:f>
              <c:numCache>
                <c:formatCode>###,###,###,###,##0.00</c:formatCode>
                <c:ptCount val="98"/>
                <c:pt idx="0">
                  <c:v>9113</c:v>
                </c:pt>
                <c:pt idx="1">
                  <c:v>9275</c:v>
                </c:pt>
                <c:pt idx="2">
                  <c:v>9435.5</c:v>
                </c:pt>
                <c:pt idx="3">
                  <c:v>9515</c:v>
                </c:pt>
                <c:pt idx="4">
                  <c:v>9361</c:v>
                </c:pt>
                <c:pt idx="5">
                  <c:v>9352</c:v>
                </c:pt>
                <c:pt idx="6">
                  <c:v>8922</c:v>
                </c:pt>
                <c:pt idx="7">
                  <c:v>9429.5</c:v>
                </c:pt>
                <c:pt idx="8">
                  <c:v>9529.5</c:v>
                </c:pt>
                <c:pt idx="9">
                  <c:v>9747.5</c:v>
                </c:pt>
                <c:pt idx="10">
                  <c:v>9433.5</c:v>
                </c:pt>
                <c:pt idx="11">
                  <c:v>9396.5</c:v>
                </c:pt>
                <c:pt idx="12">
                  <c:v>9437.5</c:v>
                </c:pt>
                <c:pt idx="13">
                  <c:v>9296.5</c:v>
                </c:pt>
                <c:pt idx="14">
                  <c:v>9432.5</c:v>
                </c:pt>
                <c:pt idx="15">
                  <c:v>9206</c:v>
                </c:pt>
                <c:pt idx="16">
                  <c:v>10029</c:v>
                </c:pt>
                <c:pt idx="17">
                  <c:v>9852</c:v>
                </c:pt>
                <c:pt idx="18">
                  <c:v>10159.5</c:v>
                </c:pt>
                <c:pt idx="19">
                  <c:v>10011</c:v>
                </c:pt>
                <c:pt idx="20">
                  <c:v>10212</c:v>
                </c:pt>
                <c:pt idx="21">
                  <c:v>10361</c:v>
                </c:pt>
                <c:pt idx="22">
                  <c:v>9949</c:v>
                </c:pt>
                <c:pt idx="23">
                  <c:v>9545.5</c:v>
                </c:pt>
                <c:pt idx="24">
                  <c:v>9336</c:v>
                </c:pt>
                <c:pt idx="25">
                  <c:v>8993</c:v>
                </c:pt>
                <c:pt idx="26">
                  <c:v>8768</c:v>
                </c:pt>
                <c:pt idx="27">
                  <c:v>8929</c:v>
                </c:pt>
                <c:pt idx="28">
                  <c:v>9036</c:v>
                </c:pt>
                <c:pt idx="29">
                  <c:v>9052.5</c:v>
                </c:pt>
                <c:pt idx="30">
                  <c:v>9021.5</c:v>
                </c:pt>
                <c:pt idx="31">
                  <c:v>9172.5</c:v>
                </c:pt>
                <c:pt idx="32">
                  <c:v>8806.5</c:v>
                </c:pt>
                <c:pt idx="33">
                  <c:v>8270.5</c:v>
                </c:pt>
                <c:pt idx="34">
                  <c:v>7936.5</c:v>
                </c:pt>
                <c:pt idx="35">
                  <c:v>7877</c:v>
                </c:pt>
                <c:pt idx="36">
                  <c:v>7872</c:v>
                </c:pt>
                <c:pt idx="37">
                  <c:v>7979.5</c:v>
                </c:pt>
                <c:pt idx="38">
                  <c:v>8146</c:v>
                </c:pt>
                <c:pt idx="39">
                  <c:v>7741.5</c:v>
                </c:pt>
                <c:pt idx="40">
                  <c:v>7793</c:v>
                </c:pt>
                <c:pt idx="41">
                  <c:v>7964</c:v>
                </c:pt>
                <c:pt idx="42">
                  <c:v>7741</c:v>
                </c:pt>
                <c:pt idx="43">
                  <c:v>7741.5</c:v>
                </c:pt>
                <c:pt idx="44">
                  <c:v>7462</c:v>
                </c:pt>
                <c:pt idx="45">
                  <c:v>7178.5</c:v>
                </c:pt>
                <c:pt idx="46">
                  <c:v>6926</c:v>
                </c:pt>
                <c:pt idx="47">
                  <c:v>6938.5</c:v>
                </c:pt>
                <c:pt idx="48">
                  <c:v>6694.5</c:v>
                </c:pt>
                <c:pt idx="49">
                  <c:v>6879.5</c:v>
                </c:pt>
                <c:pt idx="50">
                  <c:v>6728</c:v>
                </c:pt>
                <c:pt idx="51">
                  <c:v>6740.5</c:v>
                </c:pt>
                <c:pt idx="52">
                  <c:v>6409.5</c:v>
                </c:pt>
                <c:pt idx="53">
                  <c:v>6529</c:v>
                </c:pt>
                <c:pt idx="54">
                  <c:v>6833.5</c:v>
                </c:pt>
                <c:pt idx="55">
                  <c:v>6757.5</c:v>
                </c:pt>
                <c:pt idx="56">
                  <c:v>6678</c:v>
                </c:pt>
                <c:pt idx="57">
                  <c:v>6728</c:v>
                </c:pt>
                <c:pt idx="58">
                  <c:v>6564.5</c:v>
                </c:pt>
                <c:pt idx="59">
                  <c:v>6342.5</c:v>
                </c:pt>
                <c:pt idx="60">
                  <c:v>6437</c:v>
                </c:pt>
                <c:pt idx="61">
                  <c:v>6446.5</c:v>
                </c:pt>
                <c:pt idx="62">
                  <c:v>6412.5</c:v>
                </c:pt>
                <c:pt idx="63">
                  <c:v>6454.5</c:v>
                </c:pt>
                <c:pt idx="64">
                  <c:v>6322.5</c:v>
                </c:pt>
                <c:pt idx="65">
                  <c:v>6022.5</c:v>
                </c:pt>
                <c:pt idx="66">
                  <c:v>5985.5</c:v>
                </c:pt>
                <c:pt idx="67">
                  <c:v>5835.5</c:v>
                </c:pt>
                <c:pt idx="68">
                  <c:v>5785.5</c:v>
                </c:pt>
                <c:pt idx="69">
                  <c:v>5588</c:v>
                </c:pt>
                <c:pt idx="70">
                  <c:v>5332.5</c:v>
                </c:pt>
                <c:pt idx="71">
                  <c:v>5242.5</c:v>
                </c:pt>
                <c:pt idx="72">
                  <c:v>5165</c:v>
                </c:pt>
                <c:pt idx="73">
                  <c:v>5227.5</c:v>
                </c:pt>
                <c:pt idx="74">
                  <c:v>5061</c:v>
                </c:pt>
                <c:pt idx="75">
                  <c:v>5118</c:v>
                </c:pt>
                <c:pt idx="76">
                  <c:v>5175.5</c:v>
                </c:pt>
                <c:pt idx="77">
                  <c:v>4963.5</c:v>
                </c:pt>
                <c:pt idx="78">
                  <c:v>4863.5</c:v>
                </c:pt>
                <c:pt idx="79">
                  <c:v>4774</c:v>
                </c:pt>
                <c:pt idx="80">
                  <c:v>4855</c:v>
                </c:pt>
                <c:pt idx="81">
                  <c:v>5530.5</c:v>
                </c:pt>
                <c:pt idx="82">
                  <c:v>5624</c:v>
                </c:pt>
                <c:pt idx="83">
                  <c:v>5573</c:v>
                </c:pt>
                <c:pt idx="84">
                  <c:v>5702</c:v>
                </c:pt>
                <c:pt idx="85">
                  <c:v>5737</c:v>
                </c:pt>
                <c:pt idx="86">
                  <c:v>5653</c:v>
                </c:pt>
                <c:pt idx="87">
                  <c:v>5570</c:v>
                </c:pt>
                <c:pt idx="88">
                  <c:v>5968</c:v>
                </c:pt>
                <c:pt idx="89">
                  <c:v>6276.5</c:v>
                </c:pt>
                <c:pt idx="90">
                  <c:v>6157</c:v>
                </c:pt>
                <c:pt idx="91">
                  <c:v>6077</c:v>
                </c:pt>
                <c:pt idx="92">
                  <c:v>6211</c:v>
                </c:pt>
                <c:pt idx="93">
                  <c:v>6155.5</c:v>
                </c:pt>
                <c:pt idx="94">
                  <c:v>6154</c:v>
                </c:pt>
                <c:pt idx="95">
                  <c:v>5867.5</c:v>
                </c:pt>
                <c:pt idx="96">
                  <c:v>5854</c:v>
                </c:pt>
                <c:pt idx="97">
                  <c:v>5834</c:v>
                </c:pt>
              </c:numCache>
            </c:numRef>
          </c:val>
          <c:smooth val="1"/>
          <c:extLst xmlns:c16r2="http://schemas.microsoft.com/office/drawing/2015/06/chart">
            <c:ext xmlns:c16="http://schemas.microsoft.com/office/drawing/2014/chart" uri="{C3380CC4-5D6E-409C-BE32-E72D297353CC}">
              <c16:uniqueId val="{00000000-F221-44FA-AE40-7588EB20D5E5}"/>
            </c:ext>
          </c:extLst>
        </c:ser>
        <c:dLbls>
          <c:showLegendKey val="0"/>
          <c:showVal val="0"/>
          <c:showCatName val="0"/>
          <c:showSerName val="0"/>
          <c:showPercent val="0"/>
          <c:showBubbleSize val="0"/>
        </c:dLbls>
        <c:marker val="1"/>
        <c:smooth val="0"/>
        <c:axId val="303966848"/>
        <c:axId val="303968640"/>
      </c:lineChart>
      <c:lineChart>
        <c:grouping val="standard"/>
        <c:varyColors val="0"/>
        <c:ser>
          <c:idx val="2"/>
          <c:order val="1"/>
          <c:tx>
            <c:strRef>
              <c:f>汇率!$M$2</c:f>
              <c:strCache>
                <c:ptCount val="1"/>
                <c:pt idx="0">
                  <c:v>期货结算价(连续):布伦特原油:周</c:v>
                </c:pt>
              </c:strCache>
            </c:strRef>
          </c:tx>
          <c:spPr>
            <a:ln>
              <a:solidFill>
                <a:srgbClr val="ED7D31"/>
              </a:solidFill>
              <a:prstDash val="sysDash"/>
            </a:ln>
          </c:spPr>
          <c:marker>
            <c:symbol val="none"/>
          </c:marker>
          <c:cat>
            <c:numRef>
              <c:f>汇率!$K$3:$K$100</c:f>
              <c:numCache>
                <c:formatCode>yyyy/mm/dd;@</c:formatCode>
                <c:ptCount val="98"/>
                <c:pt idx="0">
                  <c:v>44471</c:v>
                </c:pt>
                <c:pt idx="1">
                  <c:v>44464</c:v>
                </c:pt>
                <c:pt idx="2">
                  <c:v>44457</c:v>
                </c:pt>
                <c:pt idx="3">
                  <c:v>44450</c:v>
                </c:pt>
                <c:pt idx="4">
                  <c:v>44443</c:v>
                </c:pt>
                <c:pt idx="5">
                  <c:v>44436</c:v>
                </c:pt>
                <c:pt idx="6">
                  <c:v>44429</c:v>
                </c:pt>
                <c:pt idx="7">
                  <c:v>44422</c:v>
                </c:pt>
                <c:pt idx="8">
                  <c:v>44415</c:v>
                </c:pt>
                <c:pt idx="9">
                  <c:v>44408</c:v>
                </c:pt>
                <c:pt idx="10">
                  <c:v>44401</c:v>
                </c:pt>
                <c:pt idx="11">
                  <c:v>44394</c:v>
                </c:pt>
                <c:pt idx="12">
                  <c:v>44387</c:v>
                </c:pt>
                <c:pt idx="13">
                  <c:v>44380</c:v>
                </c:pt>
                <c:pt idx="14">
                  <c:v>44373</c:v>
                </c:pt>
                <c:pt idx="15">
                  <c:v>44366</c:v>
                </c:pt>
                <c:pt idx="16">
                  <c:v>44359</c:v>
                </c:pt>
                <c:pt idx="17">
                  <c:v>44352</c:v>
                </c:pt>
                <c:pt idx="18">
                  <c:v>44345</c:v>
                </c:pt>
                <c:pt idx="19">
                  <c:v>44338</c:v>
                </c:pt>
                <c:pt idx="20">
                  <c:v>44331</c:v>
                </c:pt>
                <c:pt idx="21">
                  <c:v>44324</c:v>
                </c:pt>
                <c:pt idx="22">
                  <c:v>44317</c:v>
                </c:pt>
                <c:pt idx="23">
                  <c:v>44310</c:v>
                </c:pt>
                <c:pt idx="24">
                  <c:v>44303</c:v>
                </c:pt>
                <c:pt idx="25">
                  <c:v>44296</c:v>
                </c:pt>
                <c:pt idx="26">
                  <c:v>44289</c:v>
                </c:pt>
                <c:pt idx="27">
                  <c:v>44282</c:v>
                </c:pt>
                <c:pt idx="28">
                  <c:v>44275</c:v>
                </c:pt>
                <c:pt idx="29">
                  <c:v>44268</c:v>
                </c:pt>
                <c:pt idx="30">
                  <c:v>44261</c:v>
                </c:pt>
                <c:pt idx="31">
                  <c:v>44254</c:v>
                </c:pt>
                <c:pt idx="32">
                  <c:v>44247</c:v>
                </c:pt>
                <c:pt idx="33">
                  <c:v>44240</c:v>
                </c:pt>
                <c:pt idx="34">
                  <c:v>44233</c:v>
                </c:pt>
                <c:pt idx="35">
                  <c:v>44226</c:v>
                </c:pt>
                <c:pt idx="36">
                  <c:v>44219</c:v>
                </c:pt>
                <c:pt idx="37">
                  <c:v>44212</c:v>
                </c:pt>
                <c:pt idx="38">
                  <c:v>44205</c:v>
                </c:pt>
                <c:pt idx="39">
                  <c:v>44198</c:v>
                </c:pt>
                <c:pt idx="40">
                  <c:v>44191</c:v>
                </c:pt>
                <c:pt idx="41">
                  <c:v>44184</c:v>
                </c:pt>
                <c:pt idx="42">
                  <c:v>44177</c:v>
                </c:pt>
                <c:pt idx="43">
                  <c:v>44170</c:v>
                </c:pt>
                <c:pt idx="44">
                  <c:v>44163</c:v>
                </c:pt>
                <c:pt idx="45">
                  <c:v>44156</c:v>
                </c:pt>
                <c:pt idx="46">
                  <c:v>44149</c:v>
                </c:pt>
                <c:pt idx="47">
                  <c:v>44142</c:v>
                </c:pt>
                <c:pt idx="48">
                  <c:v>44135</c:v>
                </c:pt>
                <c:pt idx="49">
                  <c:v>44128</c:v>
                </c:pt>
                <c:pt idx="50">
                  <c:v>44121</c:v>
                </c:pt>
                <c:pt idx="51">
                  <c:v>44114</c:v>
                </c:pt>
                <c:pt idx="52">
                  <c:v>44107</c:v>
                </c:pt>
                <c:pt idx="53">
                  <c:v>44100</c:v>
                </c:pt>
                <c:pt idx="54">
                  <c:v>44093</c:v>
                </c:pt>
                <c:pt idx="55">
                  <c:v>44086</c:v>
                </c:pt>
                <c:pt idx="56">
                  <c:v>44079</c:v>
                </c:pt>
                <c:pt idx="57">
                  <c:v>44072</c:v>
                </c:pt>
                <c:pt idx="58">
                  <c:v>44065</c:v>
                </c:pt>
                <c:pt idx="59">
                  <c:v>44058</c:v>
                </c:pt>
                <c:pt idx="60">
                  <c:v>44051</c:v>
                </c:pt>
                <c:pt idx="61">
                  <c:v>44044</c:v>
                </c:pt>
                <c:pt idx="62">
                  <c:v>44037</c:v>
                </c:pt>
                <c:pt idx="63">
                  <c:v>44030</c:v>
                </c:pt>
                <c:pt idx="64">
                  <c:v>44023</c:v>
                </c:pt>
                <c:pt idx="65">
                  <c:v>44016</c:v>
                </c:pt>
                <c:pt idx="66">
                  <c:v>44009</c:v>
                </c:pt>
                <c:pt idx="67">
                  <c:v>44002</c:v>
                </c:pt>
                <c:pt idx="68">
                  <c:v>43995</c:v>
                </c:pt>
                <c:pt idx="69">
                  <c:v>43988</c:v>
                </c:pt>
                <c:pt idx="70">
                  <c:v>43981</c:v>
                </c:pt>
                <c:pt idx="71">
                  <c:v>43974</c:v>
                </c:pt>
                <c:pt idx="72">
                  <c:v>43967</c:v>
                </c:pt>
                <c:pt idx="73">
                  <c:v>43960</c:v>
                </c:pt>
                <c:pt idx="74">
                  <c:v>43953</c:v>
                </c:pt>
                <c:pt idx="75">
                  <c:v>43946</c:v>
                </c:pt>
                <c:pt idx="76">
                  <c:v>43939</c:v>
                </c:pt>
                <c:pt idx="77">
                  <c:v>43932</c:v>
                </c:pt>
                <c:pt idx="78">
                  <c:v>43925</c:v>
                </c:pt>
                <c:pt idx="79">
                  <c:v>43918</c:v>
                </c:pt>
                <c:pt idx="80">
                  <c:v>43911</c:v>
                </c:pt>
                <c:pt idx="81">
                  <c:v>43904</c:v>
                </c:pt>
                <c:pt idx="82">
                  <c:v>43897</c:v>
                </c:pt>
                <c:pt idx="83">
                  <c:v>43890</c:v>
                </c:pt>
                <c:pt idx="84">
                  <c:v>43883</c:v>
                </c:pt>
                <c:pt idx="85">
                  <c:v>43876</c:v>
                </c:pt>
                <c:pt idx="86">
                  <c:v>43869</c:v>
                </c:pt>
                <c:pt idx="87">
                  <c:v>43862</c:v>
                </c:pt>
                <c:pt idx="88">
                  <c:v>43855</c:v>
                </c:pt>
                <c:pt idx="89">
                  <c:v>43848</c:v>
                </c:pt>
                <c:pt idx="90">
                  <c:v>43841</c:v>
                </c:pt>
                <c:pt idx="91">
                  <c:v>43834</c:v>
                </c:pt>
                <c:pt idx="92">
                  <c:v>43827</c:v>
                </c:pt>
                <c:pt idx="93">
                  <c:v>43820</c:v>
                </c:pt>
                <c:pt idx="94">
                  <c:v>43813</c:v>
                </c:pt>
                <c:pt idx="95">
                  <c:v>43806</c:v>
                </c:pt>
                <c:pt idx="96">
                  <c:v>43799</c:v>
                </c:pt>
                <c:pt idx="97">
                  <c:v>43792</c:v>
                </c:pt>
              </c:numCache>
            </c:numRef>
          </c:cat>
          <c:val>
            <c:numRef>
              <c:f>汇率!$M$3:$M$100</c:f>
              <c:numCache>
                <c:formatCode>###,###,###,###,##0.00</c:formatCode>
                <c:ptCount val="98"/>
                <c:pt idx="0">
                  <c:v>79.28</c:v>
                </c:pt>
                <c:pt idx="1">
                  <c:v>78.09</c:v>
                </c:pt>
                <c:pt idx="2">
                  <c:v>75.34</c:v>
                </c:pt>
                <c:pt idx="3">
                  <c:v>72.92</c:v>
                </c:pt>
                <c:pt idx="4">
                  <c:v>72.61</c:v>
                </c:pt>
                <c:pt idx="5">
                  <c:v>72.7</c:v>
                </c:pt>
                <c:pt idx="6">
                  <c:v>65.180000000000007</c:v>
                </c:pt>
                <c:pt idx="7">
                  <c:v>70.59</c:v>
                </c:pt>
                <c:pt idx="8">
                  <c:v>70.7</c:v>
                </c:pt>
                <c:pt idx="9">
                  <c:v>76.33</c:v>
                </c:pt>
                <c:pt idx="10">
                  <c:v>74.099999999999994</c:v>
                </c:pt>
                <c:pt idx="11">
                  <c:v>73.59</c:v>
                </c:pt>
                <c:pt idx="12">
                  <c:v>75.55</c:v>
                </c:pt>
                <c:pt idx="13">
                  <c:v>76.17</c:v>
                </c:pt>
                <c:pt idx="14">
                  <c:v>76.180000000000007</c:v>
                </c:pt>
                <c:pt idx="15">
                  <c:v>73.510000000000005</c:v>
                </c:pt>
                <c:pt idx="16">
                  <c:v>72.69</c:v>
                </c:pt>
                <c:pt idx="17">
                  <c:v>71.89</c:v>
                </c:pt>
                <c:pt idx="18">
                  <c:v>69.63</c:v>
                </c:pt>
                <c:pt idx="19">
                  <c:v>66.44</c:v>
                </c:pt>
                <c:pt idx="20">
                  <c:v>68.709999999999994</c:v>
                </c:pt>
                <c:pt idx="21">
                  <c:v>68.28</c:v>
                </c:pt>
                <c:pt idx="22">
                  <c:v>67.25</c:v>
                </c:pt>
                <c:pt idx="23">
                  <c:v>66.11</c:v>
                </c:pt>
                <c:pt idx="24">
                  <c:v>66.77</c:v>
                </c:pt>
                <c:pt idx="25">
                  <c:v>62.95</c:v>
                </c:pt>
                <c:pt idx="26">
                  <c:v>63.54</c:v>
                </c:pt>
                <c:pt idx="27">
                  <c:v>64.569999999999993</c:v>
                </c:pt>
                <c:pt idx="28">
                  <c:v>64.53</c:v>
                </c:pt>
                <c:pt idx="29">
                  <c:v>69.22</c:v>
                </c:pt>
                <c:pt idx="30">
                  <c:v>69.36</c:v>
                </c:pt>
                <c:pt idx="31">
                  <c:v>66.13</c:v>
                </c:pt>
                <c:pt idx="32">
                  <c:v>62.91</c:v>
                </c:pt>
                <c:pt idx="33">
                  <c:v>62.43</c:v>
                </c:pt>
                <c:pt idx="34">
                  <c:v>59.34</c:v>
                </c:pt>
                <c:pt idx="35">
                  <c:v>55.88</c:v>
                </c:pt>
                <c:pt idx="36">
                  <c:v>55.41</c:v>
                </c:pt>
                <c:pt idx="37">
                  <c:v>55.1</c:v>
                </c:pt>
                <c:pt idx="38">
                  <c:v>55.99</c:v>
                </c:pt>
                <c:pt idx="39">
                  <c:v>51.8</c:v>
                </c:pt>
                <c:pt idx="40">
                  <c:v>51.29</c:v>
                </c:pt>
                <c:pt idx="41">
                  <c:v>52.26</c:v>
                </c:pt>
                <c:pt idx="42">
                  <c:v>49.97</c:v>
                </c:pt>
                <c:pt idx="43">
                  <c:v>49.25</c:v>
                </c:pt>
                <c:pt idx="44">
                  <c:v>48.18</c:v>
                </c:pt>
                <c:pt idx="45">
                  <c:v>44.96</c:v>
                </c:pt>
                <c:pt idx="46">
                  <c:v>42.78</c:v>
                </c:pt>
                <c:pt idx="47">
                  <c:v>39.450000000000003</c:v>
                </c:pt>
                <c:pt idx="48">
                  <c:v>37.46</c:v>
                </c:pt>
                <c:pt idx="49">
                  <c:v>41.77</c:v>
                </c:pt>
                <c:pt idx="50">
                  <c:v>42.93</c:v>
                </c:pt>
                <c:pt idx="51">
                  <c:v>42.85</c:v>
                </c:pt>
                <c:pt idx="52">
                  <c:v>39.270000000000003</c:v>
                </c:pt>
                <c:pt idx="53">
                  <c:v>41.92</c:v>
                </c:pt>
                <c:pt idx="54">
                  <c:v>43.15</c:v>
                </c:pt>
                <c:pt idx="55">
                  <c:v>39.83</c:v>
                </c:pt>
                <c:pt idx="56">
                  <c:v>42.66</c:v>
                </c:pt>
                <c:pt idx="57">
                  <c:v>45.05</c:v>
                </c:pt>
                <c:pt idx="58">
                  <c:v>44.35</c:v>
                </c:pt>
                <c:pt idx="59">
                  <c:v>44.8</c:v>
                </c:pt>
                <c:pt idx="60">
                  <c:v>44.4</c:v>
                </c:pt>
                <c:pt idx="61">
                  <c:v>43.3</c:v>
                </c:pt>
                <c:pt idx="62">
                  <c:v>43.34</c:v>
                </c:pt>
                <c:pt idx="63">
                  <c:v>43.14</c:v>
                </c:pt>
                <c:pt idx="64">
                  <c:v>43.24</c:v>
                </c:pt>
                <c:pt idx="65">
                  <c:v>42.8</c:v>
                </c:pt>
                <c:pt idx="66">
                  <c:v>41.02</c:v>
                </c:pt>
                <c:pt idx="67">
                  <c:v>42.19</c:v>
                </c:pt>
                <c:pt idx="68">
                  <c:v>38.729999999999997</c:v>
                </c:pt>
                <c:pt idx="69">
                  <c:v>42.3</c:v>
                </c:pt>
                <c:pt idx="70">
                  <c:v>35.33</c:v>
                </c:pt>
                <c:pt idx="71">
                  <c:v>35.130000000000003</c:v>
                </c:pt>
                <c:pt idx="72">
                  <c:v>32.5</c:v>
                </c:pt>
                <c:pt idx="73">
                  <c:v>30.97</c:v>
                </c:pt>
                <c:pt idx="74">
                  <c:v>26.44</c:v>
                </c:pt>
                <c:pt idx="75">
                  <c:v>21.44</c:v>
                </c:pt>
                <c:pt idx="76">
                  <c:v>28.08</c:v>
                </c:pt>
                <c:pt idx="77">
                  <c:v>31.48</c:v>
                </c:pt>
                <c:pt idx="78">
                  <c:v>34.11</c:v>
                </c:pt>
                <c:pt idx="79">
                  <c:v>24.93</c:v>
                </c:pt>
                <c:pt idx="80">
                  <c:v>26.98</c:v>
                </c:pt>
                <c:pt idx="81">
                  <c:v>33.85</c:v>
                </c:pt>
                <c:pt idx="82">
                  <c:v>45.27</c:v>
                </c:pt>
                <c:pt idx="83">
                  <c:v>50.52</c:v>
                </c:pt>
                <c:pt idx="84">
                  <c:v>58.5</c:v>
                </c:pt>
                <c:pt idx="85">
                  <c:v>57.32</c:v>
                </c:pt>
                <c:pt idx="86">
                  <c:v>54.54</c:v>
                </c:pt>
                <c:pt idx="87">
                  <c:v>58.16</c:v>
                </c:pt>
                <c:pt idx="88">
                  <c:v>60.69</c:v>
                </c:pt>
                <c:pt idx="89">
                  <c:v>64.849999999999994</c:v>
                </c:pt>
                <c:pt idx="90">
                  <c:v>64.98</c:v>
                </c:pt>
                <c:pt idx="91">
                  <c:v>68.599999999999994</c:v>
                </c:pt>
                <c:pt idx="92">
                  <c:v>68.16</c:v>
                </c:pt>
                <c:pt idx="93">
                  <c:v>66.14</c:v>
                </c:pt>
                <c:pt idx="94">
                  <c:v>65.22</c:v>
                </c:pt>
                <c:pt idx="95">
                  <c:v>64.39</c:v>
                </c:pt>
                <c:pt idx="96">
                  <c:v>62.43</c:v>
                </c:pt>
                <c:pt idx="97">
                  <c:v>63.39</c:v>
                </c:pt>
              </c:numCache>
            </c:numRef>
          </c:val>
          <c:smooth val="1"/>
          <c:extLst xmlns:c16r2="http://schemas.microsoft.com/office/drawing/2015/06/chart">
            <c:ext xmlns:c16="http://schemas.microsoft.com/office/drawing/2014/chart" uri="{C3380CC4-5D6E-409C-BE32-E72D297353CC}">
              <c16:uniqueId val="{00000001-F221-44FA-AE40-7588EB20D5E5}"/>
            </c:ext>
          </c:extLst>
        </c:ser>
        <c:dLbls>
          <c:showLegendKey val="0"/>
          <c:showVal val="0"/>
          <c:showCatName val="0"/>
          <c:showSerName val="0"/>
          <c:showPercent val="0"/>
          <c:showBubbleSize val="0"/>
        </c:dLbls>
        <c:marker val="1"/>
        <c:smooth val="0"/>
        <c:axId val="303971712"/>
        <c:axId val="303970176"/>
      </c:lineChart>
      <c:dateAx>
        <c:axId val="303966848"/>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03968640"/>
        <c:crosses val="autoZero"/>
        <c:auto val="0"/>
        <c:lblOffset val="0"/>
        <c:baseTimeUnit val="days"/>
      </c:dateAx>
      <c:valAx>
        <c:axId val="303968640"/>
        <c:scaling>
          <c:orientation val="minMax"/>
          <c:min val="4000"/>
        </c:scaling>
        <c:delete val="0"/>
        <c:axPos val="l"/>
        <c:numFmt formatCode="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03966848"/>
        <c:crosses val="autoZero"/>
        <c:crossBetween val="between"/>
      </c:valAx>
      <c:valAx>
        <c:axId val="303970176"/>
        <c:scaling>
          <c:orientation val="minMax"/>
          <c:min val="20"/>
        </c:scaling>
        <c:delete val="0"/>
        <c:axPos val="r"/>
        <c:numFmt formatCode="#,##0_);[Red]\(#,##0\)" sourceLinked="0"/>
        <c:majorTickMark val="out"/>
        <c:minorTickMark val="none"/>
        <c:tickLblPos val="nextTo"/>
        <c:spPr>
          <a:ln w="3175">
            <a:solidFill>
              <a:sysClr val="windowText" lastClr="000000"/>
            </a:solidFill>
          </a:ln>
        </c:spPr>
        <c:crossAx val="303971712"/>
        <c:crosses val="max"/>
        <c:crossBetween val="between"/>
      </c:valAx>
      <c:dateAx>
        <c:axId val="303971712"/>
        <c:scaling>
          <c:orientation val="minMax"/>
        </c:scaling>
        <c:delete val="1"/>
        <c:axPos val="b"/>
        <c:numFmt formatCode="yyyy/mm/dd;@" sourceLinked="1"/>
        <c:majorTickMark val="out"/>
        <c:minorTickMark val="none"/>
        <c:tickLblPos val="nextTo"/>
        <c:crossAx val="303970176"/>
        <c:crosses val="autoZero"/>
        <c:auto val="0"/>
        <c:lblOffset val="100"/>
        <c:baseTimeUnit val="years"/>
      </c:dateAx>
    </c:plotArea>
    <c:legend>
      <c:legendPos val="r"/>
      <c:layout>
        <c:manualLayout>
          <c:xMode val="edge"/>
          <c:yMode val="edge"/>
          <c:x val="9.8452539198019592E-2"/>
          <c:y val="2.3337707786526686E-3"/>
          <c:w val="0.82506483230016781"/>
          <c:h val="0.1375287391401656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10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10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6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6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9DB292-C530-4CC3-A35A-E699491CBD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684</Words>
  <Characters>3904</Characters>
  <Application>Microsoft Office Word</Application>
  <DocSecurity>0</DocSecurity>
  <Lines>32</Lines>
  <Paragraphs>9</Paragraphs>
  <ScaleCrop>false</ScaleCrop>
  <Company>Microsoft</Company>
  <LinksUpToDate>false</LinksUpToDate>
  <CharactersWithSpaces>4579</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creator>钱伟</dc:creator>
  <cp:lastModifiedBy>Administrator</cp:lastModifiedBy>
  <cp:revision>4</cp:revision>
  <cp:lastPrinted>2019-06-26T06:05:00Z</cp:lastPrinted>
  <dcterms:created xsi:type="dcterms:W3CDTF">2021-10-11T05:32:00Z</dcterms:created>
  <dcterms:modified xsi:type="dcterms:W3CDTF">2021-10-11T08:00:00Z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