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5790CD12"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381256">
        <w:rPr>
          <w:rFonts w:ascii="楷体" w:eastAsia="楷体" w:hAnsi="楷体" w:hint="eastAsia"/>
          <w:sz w:val="28"/>
          <w:szCs w:val="28"/>
        </w:rPr>
        <w:t>理财监管趋严</w:t>
      </w:r>
      <w:r w:rsidR="00CD02EA" w:rsidRPr="00C67176">
        <w:rPr>
          <w:rFonts w:ascii="楷体" w:eastAsia="楷体" w:hAnsi="楷体" w:hint="eastAsia"/>
          <w:sz w:val="28"/>
          <w:szCs w:val="28"/>
        </w:rPr>
        <w:t>，</w:t>
      </w:r>
      <w:r w:rsidR="00381256">
        <w:rPr>
          <w:rFonts w:ascii="楷体" w:eastAsia="楷体" w:hAnsi="楷体" w:hint="eastAsia"/>
          <w:sz w:val="28"/>
          <w:szCs w:val="28"/>
        </w:rPr>
        <w:t>银行资本债震荡调整</w:t>
      </w:r>
    </w:p>
    <w:p w14:paraId="0A7A9383" w14:textId="7688377A" w:rsidR="00FF57FB" w:rsidRPr="004C3E2B" w:rsidRDefault="00DD41CD" w:rsidP="009A2BA0">
      <w:pPr>
        <w:tabs>
          <w:tab w:val="center" w:pos="4873"/>
          <w:tab w:val="left" w:pos="8920"/>
        </w:tabs>
        <w:spacing w:afterLines="50" w:after="156"/>
        <w:jc w:val="center"/>
        <w:rPr>
          <w:rFonts w:ascii="楷体" w:eastAsia="楷体" w:hAnsi="楷体"/>
          <w:sz w:val="28"/>
          <w:szCs w:val="28"/>
        </w:rPr>
      </w:pPr>
      <w:r w:rsidRPr="004C3E2B">
        <w:rPr>
          <w:rFonts w:ascii="楷体" w:eastAsia="楷体" w:hAnsi="楷体"/>
          <w:sz w:val="28"/>
          <w:szCs w:val="28"/>
        </w:rPr>
        <w:t>2020</w:t>
      </w:r>
      <w:r w:rsidR="009C30E2" w:rsidRPr="004C3E2B">
        <w:rPr>
          <w:rFonts w:ascii="楷体" w:eastAsia="楷体" w:hAnsi="楷体"/>
          <w:sz w:val="28"/>
          <w:szCs w:val="28"/>
        </w:rPr>
        <w:t>年</w:t>
      </w:r>
      <w:r w:rsidR="00A146F9">
        <w:rPr>
          <w:rFonts w:ascii="楷体" w:eastAsia="楷体" w:hAnsi="楷体"/>
          <w:sz w:val="28"/>
          <w:szCs w:val="28"/>
        </w:rPr>
        <w:t>10</w:t>
      </w:r>
      <w:r w:rsidR="009C30E2" w:rsidRPr="004C3E2B">
        <w:rPr>
          <w:rFonts w:ascii="楷体" w:eastAsia="楷体" w:hAnsi="楷体"/>
          <w:sz w:val="28"/>
          <w:szCs w:val="28"/>
        </w:rPr>
        <w:t>月</w:t>
      </w:r>
      <w:r w:rsidR="00F26C8F">
        <w:rPr>
          <w:rFonts w:ascii="楷体" w:eastAsia="楷体" w:hAnsi="楷体" w:hint="eastAsia"/>
          <w:sz w:val="28"/>
          <w:szCs w:val="28"/>
        </w:rPr>
        <w:t>1</w:t>
      </w:r>
      <w:r w:rsidR="00A146F9">
        <w:rPr>
          <w:rFonts w:ascii="楷体" w:eastAsia="楷体" w:hAnsi="楷体"/>
          <w:sz w:val="28"/>
          <w:szCs w:val="28"/>
        </w:rPr>
        <w:t>8</w:t>
      </w:r>
      <w:r w:rsidR="00F82A54" w:rsidRPr="004C3E2B">
        <w:rPr>
          <w:rFonts w:ascii="楷体" w:eastAsia="楷体" w:hAnsi="楷体" w:hint="eastAsia"/>
          <w:sz w:val="28"/>
          <w:szCs w:val="28"/>
        </w:rPr>
        <w:t>日</w:t>
      </w:r>
    </w:p>
    <w:p w14:paraId="782ED204" w14:textId="0A0F3009" w:rsidR="003E4A57" w:rsidRDefault="005E5CB1" w:rsidP="009A2BA0">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B76849">
        <w:rPr>
          <w:rFonts w:hint="eastAsia"/>
          <w:color w:val="C45911" w:themeColor="accent2" w:themeShade="BF"/>
        </w:rPr>
        <w:t>本周专题</w:t>
      </w:r>
    </w:p>
    <w:p w14:paraId="3DED0752" w14:textId="71D34F18" w:rsidR="008A575D" w:rsidRPr="008A575D" w:rsidRDefault="00381256" w:rsidP="008A575D">
      <w:pPr>
        <w:pStyle w:val="Header1"/>
        <w:spacing w:before="240"/>
        <w:ind w:firstLineChars="200" w:firstLine="480"/>
        <w:rPr>
          <w:rFonts w:ascii="华文楷体" w:hAnsi="华文楷体"/>
          <w:bCs/>
          <w:color w:val="auto"/>
          <w:sz w:val="24"/>
          <w:szCs w:val="24"/>
        </w:rPr>
      </w:pPr>
      <w:r>
        <w:rPr>
          <w:rFonts w:ascii="华文楷体" w:hAnsi="华文楷体" w:hint="eastAsia"/>
          <w:bCs/>
          <w:color w:val="auto"/>
          <w:sz w:val="24"/>
          <w:szCs w:val="24"/>
        </w:rPr>
        <w:t>随着理财投资银行资本债监管趋严，8月以来该品种整体估值出现明显上行。</w:t>
      </w:r>
    </w:p>
    <w:p w14:paraId="0B9CE48E" w14:textId="77777777" w:rsidR="00381256" w:rsidRPr="00381256" w:rsidRDefault="00381256" w:rsidP="00381256">
      <w:pPr>
        <w:pStyle w:val="Header1"/>
        <w:spacing w:before="240"/>
        <w:ind w:firstLineChars="200" w:firstLine="480"/>
        <w:rPr>
          <w:rFonts w:ascii="华文楷体" w:hAnsi="华文楷体"/>
          <w:b w:val="0"/>
          <w:color w:val="auto"/>
          <w:sz w:val="24"/>
          <w:szCs w:val="24"/>
        </w:rPr>
      </w:pPr>
      <w:r w:rsidRPr="00381256">
        <w:rPr>
          <w:rFonts w:ascii="华文楷体" w:hAnsi="华文楷体" w:hint="eastAsia"/>
          <w:b w:val="0"/>
          <w:color w:val="auto"/>
          <w:sz w:val="24"/>
          <w:szCs w:val="24"/>
        </w:rPr>
        <w:t>1、随着</w:t>
      </w:r>
      <w:proofErr w:type="gramStart"/>
      <w:r w:rsidRPr="00381256">
        <w:rPr>
          <w:rFonts w:ascii="华文楷体" w:hAnsi="华文楷体" w:hint="eastAsia"/>
          <w:b w:val="0"/>
          <w:color w:val="auto"/>
          <w:sz w:val="24"/>
          <w:szCs w:val="24"/>
        </w:rPr>
        <w:t>资管新规</w:t>
      </w:r>
      <w:proofErr w:type="gramEnd"/>
      <w:r w:rsidRPr="00381256">
        <w:rPr>
          <w:rFonts w:ascii="华文楷体" w:hAnsi="华文楷体" w:hint="eastAsia"/>
          <w:b w:val="0"/>
          <w:color w:val="auto"/>
          <w:sz w:val="24"/>
          <w:szCs w:val="24"/>
        </w:rPr>
        <w:t>过渡期临近结束，对理财投资银行资本债监管趋严。6月现金管理产品新</w:t>
      </w:r>
      <w:proofErr w:type="gramStart"/>
      <w:r w:rsidRPr="00381256">
        <w:rPr>
          <w:rFonts w:ascii="华文楷体" w:hAnsi="华文楷体" w:hint="eastAsia"/>
          <w:b w:val="0"/>
          <w:color w:val="auto"/>
          <w:sz w:val="24"/>
          <w:szCs w:val="24"/>
        </w:rPr>
        <w:t>规</w:t>
      </w:r>
      <w:proofErr w:type="gramEnd"/>
      <w:r w:rsidRPr="00381256">
        <w:rPr>
          <w:rFonts w:ascii="华文楷体" w:hAnsi="华文楷体" w:hint="eastAsia"/>
          <w:b w:val="0"/>
          <w:color w:val="auto"/>
          <w:sz w:val="24"/>
          <w:szCs w:val="24"/>
        </w:rPr>
        <w:t>落地，间接限制其投资长久期银行资本债；8月监管对六大行理财子投资债券进行市价法估值做出限期调整指导；9月底财政部在文件中进一步明确了理财投资银行资本债市价法估值的要求。市价法要求下，资本</w:t>
      </w:r>
      <w:proofErr w:type="gramStart"/>
      <w:r w:rsidRPr="00381256">
        <w:rPr>
          <w:rFonts w:ascii="华文楷体" w:hAnsi="华文楷体" w:hint="eastAsia"/>
          <w:b w:val="0"/>
          <w:color w:val="auto"/>
          <w:sz w:val="24"/>
          <w:szCs w:val="24"/>
        </w:rPr>
        <w:t>债久期</w:t>
      </w:r>
      <w:proofErr w:type="gramEnd"/>
      <w:r w:rsidRPr="00381256">
        <w:rPr>
          <w:rFonts w:ascii="华文楷体" w:hAnsi="华文楷体" w:hint="eastAsia"/>
          <w:b w:val="0"/>
          <w:color w:val="auto"/>
          <w:sz w:val="24"/>
          <w:szCs w:val="24"/>
        </w:rPr>
        <w:t>长、净值波动大的缺陷显现，若发行较晚</w:t>
      </w:r>
      <w:proofErr w:type="gramStart"/>
      <w:r w:rsidRPr="00381256">
        <w:rPr>
          <w:rFonts w:ascii="华文楷体" w:hAnsi="华文楷体" w:hint="eastAsia"/>
          <w:b w:val="0"/>
          <w:color w:val="auto"/>
          <w:sz w:val="24"/>
          <w:szCs w:val="24"/>
        </w:rPr>
        <w:t>浮盈也</w:t>
      </w:r>
      <w:proofErr w:type="gramEnd"/>
      <w:r w:rsidRPr="00381256">
        <w:rPr>
          <w:rFonts w:ascii="华文楷体" w:hAnsi="华文楷体" w:hint="eastAsia"/>
          <w:b w:val="0"/>
          <w:color w:val="auto"/>
          <w:sz w:val="24"/>
          <w:szCs w:val="24"/>
        </w:rPr>
        <w:t>较少，因而自8月初来产生了明显的估值波动。</w:t>
      </w:r>
    </w:p>
    <w:p w14:paraId="1CF8D5F5" w14:textId="77777777" w:rsidR="00381256" w:rsidRPr="00381256" w:rsidRDefault="00381256" w:rsidP="00381256">
      <w:pPr>
        <w:pStyle w:val="Header1"/>
        <w:spacing w:before="240"/>
        <w:ind w:firstLineChars="200" w:firstLine="480"/>
        <w:rPr>
          <w:rFonts w:ascii="华文楷体" w:hAnsi="华文楷体"/>
          <w:b w:val="0"/>
          <w:color w:val="auto"/>
          <w:sz w:val="24"/>
          <w:szCs w:val="24"/>
        </w:rPr>
      </w:pPr>
      <w:r w:rsidRPr="00381256">
        <w:rPr>
          <w:rFonts w:ascii="华文楷体" w:hAnsi="华文楷体" w:hint="eastAsia"/>
          <w:b w:val="0"/>
          <w:color w:val="auto"/>
          <w:sz w:val="24"/>
          <w:szCs w:val="24"/>
        </w:rPr>
        <w:t>2、从绝对收益看，整体利率基本回到了6月中旬利率二次快速下行前的高点。5年AAA银行二级资本债和永续债估值在3.80%和4.00%附近，较年初4.25%和4.45%附近下行了约40BP和45BP，较8月监管指导时3.44%和3.52%则上行了36BP和48BP，接近6月中旬水平。</w:t>
      </w:r>
    </w:p>
    <w:p w14:paraId="1134DE97" w14:textId="77777777" w:rsidR="00381256" w:rsidRPr="00381256" w:rsidRDefault="00381256" w:rsidP="00381256">
      <w:pPr>
        <w:pStyle w:val="Header1"/>
        <w:spacing w:before="240"/>
        <w:ind w:firstLineChars="200" w:firstLine="480"/>
        <w:rPr>
          <w:rFonts w:ascii="华文楷体" w:hAnsi="华文楷体"/>
          <w:b w:val="0"/>
          <w:color w:val="auto"/>
          <w:sz w:val="24"/>
          <w:szCs w:val="24"/>
        </w:rPr>
      </w:pPr>
      <w:r w:rsidRPr="00381256">
        <w:rPr>
          <w:rFonts w:ascii="华文楷体" w:hAnsi="华文楷体" w:hint="eastAsia"/>
          <w:b w:val="0"/>
          <w:color w:val="auto"/>
          <w:sz w:val="24"/>
          <w:szCs w:val="24"/>
        </w:rPr>
        <w:t>3、从相对收益看，相对</w:t>
      </w:r>
      <w:proofErr w:type="gramStart"/>
      <w:r w:rsidRPr="00381256">
        <w:rPr>
          <w:rFonts w:ascii="华文楷体" w:hAnsi="华文楷体" w:hint="eastAsia"/>
          <w:b w:val="0"/>
          <w:color w:val="auto"/>
          <w:sz w:val="24"/>
          <w:szCs w:val="24"/>
        </w:rPr>
        <w:t>国开债的</w:t>
      </w:r>
      <w:proofErr w:type="gramEnd"/>
      <w:r w:rsidRPr="00381256">
        <w:rPr>
          <w:rFonts w:ascii="华文楷体" w:hAnsi="华文楷体" w:hint="eastAsia"/>
          <w:b w:val="0"/>
          <w:color w:val="auto"/>
          <w:sz w:val="24"/>
          <w:szCs w:val="24"/>
        </w:rPr>
        <w:t>利差具有一定吸引力。目前5年期AAA银行二级资本</w:t>
      </w:r>
      <w:proofErr w:type="gramStart"/>
      <w:r w:rsidRPr="00381256">
        <w:rPr>
          <w:rFonts w:ascii="华文楷体" w:hAnsi="华文楷体" w:hint="eastAsia"/>
          <w:b w:val="0"/>
          <w:color w:val="auto"/>
          <w:sz w:val="24"/>
          <w:szCs w:val="24"/>
        </w:rPr>
        <w:t>债相对</w:t>
      </w:r>
      <w:proofErr w:type="gramEnd"/>
      <w:r w:rsidRPr="00381256">
        <w:rPr>
          <w:rFonts w:ascii="华文楷体" w:hAnsi="华文楷体" w:hint="eastAsia"/>
          <w:b w:val="0"/>
          <w:color w:val="auto"/>
          <w:sz w:val="24"/>
          <w:szCs w:val="24"/>
        </w:rPr>
        <w:t>于AAA利差为17BP，相对于5年期国开债利差为70BP，分别位于2015以来的29.10%和63.95%历史分位数，</w:t>
      </w:r>
      <w:proofErr w:type="gramStart"/>
      <w:r w:rsidRPr="00381256">
        <w:rPr>
          <w:rFonts w:ascii="华文楷体" w:hAnsi="华文楷体" w:hint="eastAsia"/>
          <w:b w:val="0"/>
          <w:color w:val="auto"/>
          <w:sz w:val="24"/>
          <w:szCs w:val="24"/>
        </w:rPr>
        <w:t>降准前夕利差分别约</w:t>
      </w:r>
      <w:proofErr w:type="gramEnd"/>
      <w:r w:rsidRPr="00381256">
        <w:rPr>
          <w:rFonts w:ascii="华文楷体" w:hAnsi="华文楷体" w:hint="eastAsia"/>
          <w:b w:val="0"/>
          <w:color w:val="auto"/>
          <w:sz w:val="24"/>
          <w:szCs w:val="24"/>
        </w:rPr>
        <w:t>为17BP和50BP，而其2015年以来最高点分别为59BP和109BP。5年期银行永续债方面，以21工商银行永续债01为例，相对于5年期AAA信用债和国开债利差分别为38BP和88BP，</w:t>
      </w:r>
      <w:proofErr w:type="gramStart"/>
      <w:r w:rsidRPr="00381256">
        <w:rPr>
          <w:rFonts w:ascii="华文楷体" w:hAnsi="华文楷体" w:hint="eastAsia"/>
          <w:b w:val="0"/>
          <w:color w:val="auto"/>
          <w:sz w:val="24"/>
          <w:szCs w:val="24"/>
        </w:rPr>
        <w:t>降准前夕</w:t>
      </w:r>
      <w:proofErr w:type="gramEnd"/>
      <w:r w:rsidRPr="00381256">
        <w:rPr>
          <w:rFonts w:ascii="华文楷体" w:hAnsi="华文楷体" w:hint="eastAsia"/>
          <w:b w:val="0"/>
          <w:color w:val="auto"/>
          <w:sz w:val="24"/>
          <w:szCs w:val="24"/>
        </w:rPr>
        <w:t>利差则分别为31BP和60BP。</w:t>
      </w:r>
    </w:p>
    <w:p w14:paraId="344BFE61" w14:textId="57F3AEC1" w:rsidR="00381256" w:rsidRPr="00381256" w:rsidRDefault="00381256" w:rsidP="00381256">
      <w:pPr>
        <w:pStyle w:val="Header1"/>
        <w:spacing w:before="240"/>
        <w:ind w:firstLineChars="200" w:firstLine="480"/>
        <w:rPr>
          <w:rFonts w:ascii="华文楷体" w:hAnsi="华文楷体"/>
          <w:b w:val="0"/>
          <w:color w:val="auto"/>
          <w:sz w:val="24"/>
          <w:szCs w:val="24"/>
        </w:rPr>
      </w:pPr>
      <w:r w:rsidRPr="00381256">
        <w:rPr>
          <w:rFonts w:ascii="华文楷体" w:hAnsi="华文楷体" w:hint="eastAsia"/>
          <w:b w:val="0"/>
          <w:color w:val="auto"/>
          <w:sz w:val="24"/>
          <w:szCs w:val="24"/>
        </w:rPr>
        <w:t>4、从换手</w:t>
      </w:r>
      <w:proofErr w:type="gramStart"/>
      <w:r w:rsidRPr="00381256">
        <w:rPr>
          <w:rFonts w:ascii="华文楷体" w:hAnsi="华文楷体" w:hint="eastAsia"/>
          <w:b w:val="0"/>
          <w:color w:val="auto"/>
          <w:sz w:val="24"/>
          <w:szCs w:val="24"/>
        </w:rPr>
        <w:t>率角度</w:t>
      </w:r>
      <w:proofErr w:type="gramEnd"/>
      <w:r w:rsidRPr="00381256">
        <w:rPr>
          <w:rFonts w:ascii="华文楷体" w:hAnsi="华文楷体" w:hint="eastAsia"/>
          <w:b w:val="0"/>
          <w:color w:val="auto"/>
          <w:sz w:val="24"/>
          <w:szCs w:val="24"/>
        </w:rPr>
        <w:t>看，四大行和全国股份制</w:t>
      </w:r>
      <w:r w:rsidR="00C528F0">
        <w:rPr>
          <w:rFonts w:ascii="华文楷体" w:hAnsi="华文楷体" w:hint="eastAsia"/>
          <w:b w:val="0"/>
          <w:color w:val="auto"/>
          <w:sz w:val="24"/>
          <w:szCs w:val="24"/>
        </w:rPr>
        <w:t>银行20</w:t>
      </w:r>
      <w:r w:rsidRPr="00381256">
        <w:rPr>
          <w:rFonts w:ascii="华文楷体" w:hAnsi="华文楷体" w:hint="eastAsia"/>
          <w:b w:val="0"/>
          <w:color w:val="auto"/>
          <w:sz w:val="24"/>
          <w:szCs w:val="24"/>
        </w:rPr>
        <w:t>21年的新债在8月监管指导后换手较为充分，</w:t>
      </w:r>
      <w:r w:rsidR="00C528F0">
        <w:rPr>
          <w:rFonts w:ascii="华文楷体" w:hAnsi="华文楷体" w:hint="eastAsia"/>
          <w:b w:val="0"/>
          <w:color w:val="auto"/>
          <w:sz w:val="24"/>
          <w:szCs w:val="24"/>
        </w:rPr>
        <w:t>20</w:t>
      </w:r>
      <w:r w:rsidRPr="00381256">
        <w:rPr>
          <w:rFonts w:ascii="华文楷体" w:hAnsi="华文楷体" w:hint="eastAsia"/>
          <w:b w:val="0"/>
          <w:color w:val="auto"/>
          <w:sz w:val="24"/>
          <w:szCs w:val="24"/>
        </w:rPr>
        <w:t>20年的二级</w:t>
      </w:r>
      <w:proofErr w:type="gramStart"/>
      <w:r w:rsidRPr="00381256">
        <w:rPr>
          <w:rFonts w:ascii="华文楷体" w:hAnsi="华文楷体" w:hint="eastAsia"/>
          <w:b w:val="0"/>
          <w:color w:val="auto"/>
          <w:sz w:val="24"/>
          <w:szCs w:val="24"/>
        </w:rPr>
        <w:t>债成交</w:t>
      </w:r>
      <w:proofErr w:type="gramEnd"/>
      <w:r w:rsidRPr="00381256">
        <w:rPr>
          <w:rFonts w:ascii="华文楷体" w:hAnsi="华文楷体" w:hint="eastAsia"/>
          <w:b w:val="0"/>
          <w:color w:val="auto"/>
          <w:sz w:val="24"/>
          <w:szCs w:val="24"/>
        </w:rPr>
        <w:t>情况次之，而更老债和更弱一级银行明显尚未得到充分的交易。例如21工商银行永续债01 自2021年8月4日以来换手超过1.1</w:t>
      </w:r>
      <w:r w:rsidR="00C528F0">
        <w:rPr>
          <w:rFonts w:ascii="华文楷体" w:hAnsi="华文楷体" w:hint="eastAsia"/>
          <w:b w:val="0"/>
          <w:color w:val="auto"/>
          <w:sz w:val="24"/>
          <w:szCs w:val="24"/>
        </w:rPr>
        <w:t>%</w:t>
      </w:r>
      <w:r w:rsidRPr="00381256">
        <w:rPr>
          <w:rFonts w:ascii="华文楷体" w:hAnsi="华文楷体" w:hint="eastAsia"/>
          <w:b w:val="0"/>
          <w:color w:val="auto"/>
          <w:sz w:val="24"/>
          <w:szCs w:val="24"/>
        </w:rPr>
        <w:t>，21工商银行二级01 换手率超过0.8</w:t>
      </w:r>
      <w:r w:rsidR="00C528F0">
        <w:rPr>
          <w:rFonts w:ascii="华文楷体" w:hAnsi="华文楷体" w:hint="eastAsia"/>
          <w:b w:val="0"/>
          <w:color w:val="auto"/>
          <w:sz w:val="24"/>
          <w:szCs w:val="24"/>
        </w:rPr>
        <w:t>%</w:t>
      </w:r>
      <w:r w:rsidRPr="00381256">
        <w:rPr>
          <w:rFonts w:ascii="华文楷体" w:hAnsi="华文楷体" w:hint="eastAsia"/>
          <w:b w:val="0"/>
          <w:color w:val="auto"/>
          <w:sz w:val="24"/>
          <w:szCs w:val="24"/>
        </w:rPr>
        <w:t>，其他六大行和优质股份制情况类似。</w:t>
      </w:r>
    </w:p>
    <w:p w14:paraId="626A9991" w14:textId="77777777" w:rsidR="00381256" w:rsidRPr="00381256" w:rsidRDefault="00381256" w:rsidP="00381256">
      <w:pPr>
        <w:pStyle w:val="Header1"/>
        <w:spacing w:before="240"/>
        <w:ind w:firstLineChars="200" w:firstLine="480"/>
        <w:rPr>
          <w:rFonts w:ascii="华文楷体" w:hAnsi="华文楷体"/>
          <w:b w:val="0"/>
          <w:color w:val="auto"/>
          <w:sz w:val="24"/>
          <w:szCs w:val="24"/>
        </w:rPr>
      </w:pPr>
      <w:r w:rsidRPr="00381256">
        <w:rPr>
          <w:rFonts w:ascii="华文楷体" w:hAnsi="华文楷体" w:hint="eastAsia"/>
          <w:b w:val="0"/>
          <w:color w:val="auto"/>
          <w:sz w:val="24"/>
          <w:szCs w:val="24"/>
        </w:rPr>
        <w:t>5、系统重要性银行附加监管要求落地，名单短于预期，资本附加要求也略低于征求意见稿阶段，体现了监管意图平稳的考虑，而在册大行的资本要求基本满足条件，无现时调整压力。短期而言，2022年基本无到期的大行永续和二级债，再发行压力也不大。当然部分银行接近监管线，以及行业随着业务发展补充资本的需求也会持续存在。</w:t>
      </w:r>
    </w:p>
    <w:p w14:paraId="7EEDEF05" w14:textId="74B04DF2" w:rsidR="00E0626C" w:rsidRPr="003E4A57" w:rsidRDefault="00381256" w:rsidP="00381256">
      <w:pPr>
        <w:pStyle w:val="Header1"/>
        <w:spacing w:before="240"/>
        <w:ind w:firstLineChars="200" w:firstLine="480"/>
        <w:rPr>
          <w:rFonts w:ascii="华文楷体" w:hAnsi="华文楷体"/>
          <w:b w:val="0"/>
          <w:color w:val="auto"/>
          <w:sz w:val="24"/>
          <w:szCs w:val="24"/>
        </w:rPr>
      </w:pPr>
      <w:r w:rsidRPr="00381256">
        <w:rPr>
          <w:rFonts w:ascii="华文楷体" w:hAnsi="华文楷体" w:hint="eastAsia"/>
          <w:b w:val="0"/>
          <w:color w:val="auto"/>
          <w:sz w:val="24"/>
          <w:szCs w:val="24"/>
        </w:rPr>
        <w:t>6、</w:t>
      </w:r>
      <w:r w:rsidR="00C528F0">
        <w:rPr>
          <w:rFonts w:ascii="华文楷体" w:hAnsi="华文楷体" w:hint="eastAsia"/>
          <w:b w:val="0"/>
          <w:color w:val="auto"/>
          <w:sz w:val="24"/>
          <w:szCs w:val="24"/>
        </w:rPr>
        <w:t>上</w:t>
      </w:r>
      <w:r w:rsidRPr="00381256">
        <w:rPr>
          <w:rFonts w:ascii="华文楷体" w:hAnsi="华文楷体" w:hint="eastAsia"/>
          <w:b w:val="0"/>
          <w:color w:val="auto"/>
          <w:sz w:val="24"/>
          <w:szCs w:val="24"/>
        </w:rPr>
        <w:t>周五下午传言监管到访大行不再要求10月底估值调整完毕后，银行资本</w:t>
      </w:r>
      <w:proofErr w:type="gramStart"/>
      <w:r w:rsidRPr="00381256">
        <w:rPr>
          <w:rFonts w:ascii="华文楷体" w:hAnsi="华文楷体" w:hint="eastAsia"/>
          <w:b w:val="0"/>
          <w:color w:val="auto"/>
          <w:sz w:val="24"/>
          <w:szCs w:val="24"/>
        </w:rPr>
        <w:t>债出现</w:t>
      </w:r>
      <w:proofErr w:type="gramEnd"/>
      <w:r w:rsidRPr="00381256">
        <w:rPr>
          <w:rFonts w:ascii="华文楷体" w:hAnsi="华文楷体" w:hint="eastAsia"/>
          <w:b w:val="0"/>
          <w:color w:val="auto"/>
          <w:sz w:val="24"/>
          <w:szCs w:val="24"/>
        </w:rPr>
        <w:t>大面积低估值成交，可见市场对该品种交易仍存在较大预期差。从</w:t>
      </w:r>
      <w:proofErr w:type="gramStart"/>
      <w:r w:rsidRPr="00381256">
        <w:rPr>
          <w:rFonts w:ascii="华文楷体" w:hAnsi="华文楷体" w:hint="eastAsia"/>
          <w:b w:val="0"/>
          <w:color w:val="auto"/>
          <w:sz w:val="24"/>
          <w:szCs w:val="24"/>
        </w:rPr>
        <w:t>当前宽</w:t>
      </w:r>
      <w:proofErr w:type="gramEnd"/>
      <w:r w:rsidRPr="00381256">
        <w:rPr>
          <w:rFonts w:ascii="华文楷体" w:hAnsi="华文楷体" w:hint="eastAsia"/>
          <w:b w:val="0"/>
          <w:color w:val="auto"/>
          <w:sz w:val="24"/>
          <w:szCs w:val="24"/>
        </w:rPr>
        <w:t>信用需求较迫切和交易角度对绝对利率、相对利差、换手率的</w:t>
      </w:r>
      <w:proofErr w:type="gramStart"/>
      <w:r w:rsidRPr="00381256">
        <w:rPr>
          <w:rFonts w:ascii="华文楷体" w:hAnsi="华文楷体" w:hint="eastAsia"/>
          <w:b w:val="0"/>
          <w:color w:val="auto"/>
          <w:sz w:val="24"/>
          <w:szCs w:val="24"/>
        </w:rPr>
        <w:t>考量</w:t>
      </w:r>
      <w:proofErr w:type="gramEnd"/>
      <w:r w:rsidRPr="00381256">
        <w:rPr>
          <w:rFonts w:ascii="华文楷体" w:hAnsi="华文楷体" w:hint="eastAsia"/>
          <w:b w:val="0"/>
          <w:color w:val="auto"/>
          <w:sz w:val="24"/>
          <w:szCs w:val="24"/>
        </w:rPr>
        <w:t>，我们建议关注21年新券（永续和二级）和20年次新券（二级优于永续）的交易机会。因政策处于传言阶段且无风险利率本身有一定上行压力，目前可根据组合的具体情况适当左侧参与。</w:t>
      </w:r>
      <w:r w:rsidR="003E4A57"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1EA914A9" w14:textId="77777777" w:rsidR="00EC64B5" w:rsidRDefault="00E0626C" w:rsidP="00EC64B5">
      <w:pPr>
        <w:pStyle w:val="Header2"/>
        <w:rPr>
          <w:rFonts w:eastAsia="PMingLiU"/>
          <w:sz w:val="28"/>
          <w:szCs w:val="21"/>
        </w:rPr>
      </w:pPr>
      <w:r w:rsidRPr="00500BB1">
        <w:rPr>
          <w:rFonts w:hint="eastAsia"/>
          <w:sz w:val="28"/>
          <w:szCs w:val="21"/>
          <w:lang w:eastAsia="zh-CN"/>
        </w:rPr>
        <w:lastRenderedPageBreak/>
        <w:t>1</w:t>
      </w:r>
      <w:r w:rsidRPr="00500BB1">
        <w:rPr>
          <w:rFonts w:hint="eastAsia"/>
          <w:sz w:val="28"/>
          <w:szCs w:val="21"/>
          <w:lang w:eastAsia="zh-CN"/>
        </w:rPr>
        <w:t>、</w:t>
      </w:r>
      <w:r w:rsidRPr="00CD2B4D">
        <w:rPr>
          <w:rFonts w:hint="eastAsia"/>
          <w:sz w:val="28"/>
          <w:szCs w:val="21"/>
        </w:rPr>
        <w:t>利率债</w:t>
      </w:r>
    </w:p>
    <w:p w14:paraId="33F356F9" w14:textId="4BAF49A5" w:rsidR="00A917BC" w:rsidRPr="00EC64B5" w:rsidRDefault="00EC64B5" w:rsidP="00EC64B5">
      <w:pPr>
        <w:pStyle w:val="Header2"/>
        <w:ind w:firstLineChars="200" w:firstLine="480"/>
        <w:rPr>
          <w:sz w:val="28"/>
          <w:szCs w:val="21"/>
        </w:rPr>
      </w:pPr>
      <w:r w:rsidRPr="00EC64B5">
        <w:rPr>
          <w:rFonts w:ascii="华文楷体" w:hAnsi="华文楷体" w:hint="eastAsia"/>
          <w:b w:val="0"/>
          <w:szCs w:val="24"/>
        </w:rPr>
        <w:t>央行等额续作MLF，主要官员表达后续货币政策操作思路或以公开市场操作和MLF为主，前期的过度宽松预期有所落空。数据方面，PPI进一步走高突破至10.7%，出口依旧强势，M2数据略超预期，但社融数据回落。利率对利空更敏感，全周整体上行，1Y、5Y、10Y国债分别变动1.09BP、6.70BP和5.53BP，10-1Y国债利差上行3.88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r w:rsidRPr="00B41E24">
              <w:rPr>
                <w:rFonts w:hint="eastAsia"/>
              </w:rPr>
              <w:t>国开债收益率曲线和变化</w:t>
            </w:r>
          </w:p>
        </w:tc>
      </w:tr>
      <w:tr w:rsidR="00E0626C" w:rsidRPr="00B41E24" w14:paraId="1094FBBD" w14:textId="77777777" w:rsidTr="00EC64B5">
        <w:tblPrEx>
          <w:tblCellMar>
            <w:left w:w="108" w:type="dxa"/>
            <w:right w:w="108" w:type="dxa"/>
          </w:tblCellMar>
        </w:tblPrEx>
        <w:trPr>
          <w:trHeight w:val="2854"/>
          <w:jc w:val="center"/>
        </w:trPr>
        <w:tc>
          <w:tcPr>
            <w:tcW w:w="4939" w:type="dxa"/>
            <w:vAlign w:val="center"/>
          </w:tcPr>
          <w:p w14:paraId="678C97B0" w14:textId="18B172A5" w:rsidR="00E0626C" w:rsidRPr="00B41E24" w:rsidRDefault="00EC64B5" w:rsidP="002104B2">
            <w:pPr>
              <w:rPr>
                <w:noProof/>
              </w:rPr>
            </w:pPr>
            <w:r>
              <w:rPr>
                <w:noProof/>
              </w:rPr>
              <w:drawing>
                <wp:inline distT="0" distB="0" distL="0" distR="0" wp14:anchorId="6A87D89D" wp14:editId="788DF378">
                  <wp:extent cx="2797391" cy="1732209"/>
                  <wp:effectExtent l="0" t="0" r="3175" b="1905"/>
                  <wp:docPr id="2" name="图表 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1DA7B4DC" w:rsidR="00E0626C" w:rsidRPr="00B41E24" w:rsidRDefault="00EC64B5" w:rsidP="009A2BA0">
            <w:pPr>
              <w:jc w:val="center"/>
              <w:rPr>
                <w:noProof/>
                <w:szCs w:val="18"/>
              </w:rPr>
            </w:pPr>
            <w:r>
              <w:rPr>
                <w:noProof/>
              </w:rPr>
              <w:drawing>
                <wp:inline distT="0" distB="0" distL="0" distR="0" wp14:anchorId="45D22F78" wp14:editId="2B73D660">
                  <wp:extent cx="2830095" cy="1767769"/>
                  <wp:effectExtent l="0" t="0" r="8890" b="4445"/>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18D67482" w14:textId="428AE6CE" w:rsidR="00E0626C" w:rsidRPr="00CD2B4D" w:rsidRDefault="00A314E6" w:rsidP="00A314E6">
      <w:pPr>
        <w:pStyle w:val="Header2"/>
        <w:rPr>
          <w:rFonts w:eastAsia="PMingLiU"/>
          <w:sz w:val="28"/>
          <w:szCs w:val="21"/>
        </w:rPr>
      </w:pPr>
      <w:r w:rsidRPr="003E4A57">
        <w:rPr>
          <w:rFonts w:ascii="华文楷体" w:hAnsi="华文楷体"/>
          <w:b w:val="0"/>
          <w:szCs w:val="24"/>
        </w:rPr>
        <w:cr/>
      </w:r>
      <w:r w:rsidR="007A1586">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5C0F9F33" w:rsidR="00CD1AE8" w:rsidRPr="00EC64B5" w:rsidRDefault="00EC64B5" w:rsidP="00EC64B5">
      <w:pPr>
        <w:pStyle w:val="Body-text"/>
        <w:spacing w:after="240"/>
        <w:ind w:firstLineChars="200" w:firstLine="480"/>
        <w:rPr>
          <w:rFonts w:ascii="华文楷体" w:eastAsia="PMingLiU" w:hAnsi="华文楷体"/>
          <w:sz w:val="24"/>
          <w:szCs w:val="24"/>
        </w:rPr>
      </w:pPr>
      <w:r w:rsidRPr="00EC64B5">
        <w:rPr>
          <w:rFonts w:ascii="华文楷体" w:hAnsi="华文楷体" w:hint="eastAsia"/>
          <w:sz w:val="24"/>
          <w:szCs w:val="24"/>
        </w:rPr>
        <w:t>1Y期限短融变化0~1BP，3年AAA企业债变化7~11BP，5Y企业债变化8~11BP左右， 城投债3Y期限品种变化5~9BP，5Y品种变化3~9BP，7Y品种变化-9~2BP左右。具体来看收益率分位数，1Y品种收益率分位数在17%~20%以内；3Y品种收益率分位数在11%~24%区间</w:t>
      </w:r>
      <w:r w:rsidR="00C528F0">
        <w:rPr>
          <w:rFonts w:ascii="华文楷体" w:hAnsi="华文楷体" w:hint="eastAsia"/>
          <w:sz w:val="24"/>
          <w:szCs w:val="24"/>
          <w:lang w:eastAsia="zh-CN"/>
        </w:rPr>
        <w:t>；</w:t>
      </w:r>
      <w:r w:rsidRPr="00EC64B5">
        <w:rPr>
          <w:rFonts w:ascii="华文楷体" w:hAnsi="华文楷体" w:hint="eastAsia"/>
          <w:sz w:val="24"/>
          <w:szCs w:val="24"/>
        </w:rPr>
        <w:t>5Y及7Y等中长期限品种处于6%~21%分位数。</w:t>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r w:rsidRPr="00EC64B5">
        <w:rPr>
          <w:rFonts w:ascii="华文楷体" w:hAnsi="华文楷体" w:hint="eastAsia"/>
          <w:sz w:val="24"/>
          <w:szCs w:val="24"/>
        </w:rPr>
        <w:tab/>
      </w:r>
    </w:p>
    <w:tbl>
      <w:tblPr>
        <w:tblW w:w="9840"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8A575D" w:rsidRPr="003F4793" w14:paraId="15070232" w14:textId="77777777" w:rsidTr="00416E34">
              <w:trPr>
                <w:trHeight w:val="310"/>
              </w:trPr>
              <w:tc>
                <w:tcPr>
                  <w:tcW w:w="1309" w:type="dxa"/>
                  <w:tcBorders>
                    <w:top w:val="nil"/>
                    <w:left w:val="nil"/>
                    <w:bottom w:val="single" w:sz="12" w:space="0" w:color="FFFFFF"/>
                    <w:right w:val="single" w:sz="8" w:space="0" w:color="FFFFFF"/>
                  </w:tcBorders>
                  <w:shd w:val="clear" w:color="000000" w:fill="F79646"/>
                  <w:noWrap/>
                  <w:hideMark/>
                </w:tcPr>
                <w:p w14:paraId="413AFE14" w14:textId="103E4EF5"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收益率</w:t>
                  </w:r>
                  <w:r w:rsidRPr="00B73352">
                    <w:rPr>
                      <w:rFonts w:hint="eastAsia"/>
                    </w:rPr>
                    <w:t>(%)</w:t>
                  </w:r>
                </w:p>
              </w:tc>
              <w:tc>
                <w:tcPr>
                  <w:tcW w:w="740" w:type="dxa"/>
                  <w:tcBorders>
                    <w:top w:val="nil"/>
                    <w:left w:val="nil"/>
                    <w:bottom w:val="single" w:sz="12" w:space="0" w:color="FFFFFF"/>
                    <w:right w:val="single" w:sz="8" w:space="0" w:color="FFFFFF"/>
                  </w:tcBorders>
                  <w:shd w:val="clear" w:color="000000" w:fill="F79646"/>
                  <w:noWrap/>
                  <w:hideMark/>
                </w:tcPr>
                <w:p w14:paraId="0F3218AA" w14:textId="47C83865"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0FE8EB9B" w14:textId="1011E4A9"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75A35579" w14:textId="0DCC3CF8"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12FDB1" w14:textId="4644A5BC"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719B3728" w14:textId="04EA0783"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6A9FDAC9" w14:textId="1CFDCD5F"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1994889" w14:textId="09624B9B"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40805862" w14:textId="2EEC83F9"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CB6C50" w14:textId="1C14BF08"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r>
            <w:tr w:rsidR="008A575D" w:rsidRPr="003F4793" w14:paraId="759A3C98" w14:textId="77777777" w:rsidTr="00416E34">
              <w:trPr>
                <w:trHeight w:val="321"/>
              </w:trPr>
              <w:tc>
                <w:tcPr>
                  <w:tcW w:w="1309" w:type="dxa"/>
                  <w:tcBorders>
                    <w:top w:val="nil"/>
                    <w:left w:val="nil"/>
                    <w:bottom w:val="single" w:sz="8" w:space="0" w:color="FFFFFF"/>
                    <w:right w:val="single" w:sz="8" w:space="0" w:color="FFFFFF"/>
                  </w:tcBorders>
                  <w:shd w:val="clear" w:color="000000" w:fill="FCD5B4"/>
                  <w:noWrap/>
                  <w:hideMark/>
                </w:tcPr>
                <w:p w14:paraId="48EBF66E" w14:textId="5E7EFBED"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740" w:type="dxa"/>
                  <w:tcBorders>
                    <w:top w:val="nil"/>
                    <w:left w:val="nil"/>
                    <w:bottom w:val="single" w:sz="8" w:space="0" w:color="FFFFFF"/>
                    <w:right w:val="single" w:sz="8" w:space="0" w:color="FFFFFF"/>
                  </w:tcBorders>
                  <w:shd w:val="clear" w:color="000000" w:fill="FCD5B4"/>
                  <w:noWrap/>
                  <w:hideMark/>
                </w:tcPr>
                <w:p w14:paraId="1F59B1A1" w14:textId="61D74ABC" w:rsidR="008A575D" w:rsidRPr="003F4793" w:rsidRDefault="008A575D" w:rsidP="008A575D">
                  <w:pPr>
                    <w:widowControl/>
                    <w:jc w:val="center"/>
                    <w:rPr>
                      <w:rFonts w:ascii="KaiTi" w:eastAsia="KaiTi" w:hAnsi="KaiTi" w:cs="Calibri"/>
                      <w:color w:val="000000"/>
                      <w:kern w:val="0"/>
                      <w:szCs w:val="21"/>
                    </w:rPr>
                  </w:pPr>
                  <w:r w:rsidRPr="00B73352">
                    <w:t xml:space="preserve">2.85 </w:t>
                  </w:r>
                </w:p>
              </w:tc>
              <w:tc>
                <w:tcPr>
                  <w:tcW w:w="920" w:type="dxa"/>
                  <w:tcBorders>
                    <w:top w:val="nil"/>
                    <w:left w:val="nil"/>
                    <w:bottom w:val="single" w:sz="8" w:space="0" w:color="FFFFFF"/>
                    <w:right w:val="single" w:sz="8" w:space="0" w:color="FFFFFF"/>
                  </w:tcBorders>
                  <w:shd w:val="clear" w:color="000000" w:fill="FCD5B4"/>
                  <w:noWrap/>
                  <w:hideMark/>
                </w:tcPr>
                <w:p w14:paraId="4F0034E5" w14:textId="0B31C540" w:rsidR="008A575D" w:rsidRPr="003F4793" w:rsidRDefault="008A575D" w:rsidP="008A575D">
                  <w:pPr>
                    <w:widowControl/>
                    <w:jc w:val="center"/>
                    <w:rPr>
                      <w:rFonts w:ascii="KaiTi" w:eastAsia="KaiTi" w:hAnsi="KaiTi" w:cs="Calibri"/>
                      <w:color w:val="000000"/>
                      <w:kern w:val="0"/>
                      <w:szCs w:val="21"/>
                    </w:rPr>
                  </w:pPr>
                  <w:r w:rsidRPr="00B73352">
                    <w:t xml:space="preserve">2.99 </w:t>
                  </w:r>
                </w:p>
              </w:tc>
              <w:tc>
                <w:tcPr>
                  <w:tcW w:w="920" w:type="dxa"/>
                  <w:tcBorders>
                    <w:top w:val="nil"/>
                    <w:left w:val="nil"/>
                    <w:bottom w:val="single" w:sz="8" w:space="0" w:color="FFFFFF"/>
                    <w:right w:val="single" w:sz="8" w:space="0" w:color="FFFFFF"/>
                  </w:tcBorders>
                  <w:shd w:val="clear" w:color="000000" w:fill="FCD5B4"/>
                  <w:noWrap/>
                  <w:hideMark/>
                </w:tcPr>
                <w:p w14:paraId="55FA1300" w14:textId="45467A4B" w:rsidR="008A575D" w:rsidRPr="003F4793" w:rsidRDefault="008A575D" w:rsidP="008A575D">
                  <w:pPr>
                    <w:widowControl/>
                    <w:jc w:val="center"/>
                    <w:rPr>
                      <w:rFonts w:ascii="KaiTi" w:eastAsia="KaiTi" w:hAnsi="KaiTi" w:cs="Calibri"/>
                      <w:color w:val="000000"/>
                      <w:kern w:val="0"/>
                      <w:szCs w:val="21"/>
                    </w:rPr>
                  </w:pPr>
                  <w:r w:rsidRPr="00B73352">
                    <w:t xml:space="preserve">3.15 </w:t>
                  </w:r>
                </w:p>
              </w:tc>
              <w:tc>
                <w:tcPr>
                  <w:tcW w:w="920" w:type="dxa"/>
                  <w:tcBorders>
                    <w:top w:val="nil"/>
                    <w:left w:val="nil"/>
                    <w:bottom w:val="single" w:sz="8" w:space="0" w:color="FFFFFF"/>
                    <w:right w:val="single" w:sz="8" w:space="0" w:color="FFFFFF"/>
                  </w:tcBorders>
                  <w:shd w:val="clear" w:color="000000" w:fill="FCD5B4"/>
                  <w:noWrap/>
                  <w:hideMark/>
                </w:tcPr>
                <w:p w14:paraId="75B7D0B9" w14:textId="78E73F8F" w:rsidR="008A575D" w:rsidRPr="003F4793" w:rsidRDefault="008A575D" w:rsidP="008A575D">
                  <w:pPr>
                    <w:widowControl/>
                    <w:jc w:val="center"/>
                    <w:rPr>
                      <w:rFonts w:ascii="KaiTi" w:eastAsia="KaiTi" w:hAnsi="KaiTi" w:cs="Calibri"/>
                      <w:color w:val="000000"/>
                      <w:kern w:val="0"/>
                      <w:szCs w:val="21"/>
                    </w:rPr>
                  </w:pPr>
                  <w:r w:rsidRPr="00B73352">
                    <w:t xml:space="preserve">5.48 </w:t>
                  </w:r>
                </w:p>
              </w:tc>
              <w:tc>
                <w:tcPr>
                  <w:tcW w:w="1149" w:type="dxa"/>
                  <w:tcBorders>
                    <w:top w:val="nil"/>
                    <w:left w:val="nil"/>
                    <w:bottom w:val="single" w:sz="8" w:space="0" w:color="FFFFFF"/>
                    <w:right w:val="single" w:sz="8" w:space="0" w:color="FFFFFF"/>
                  </w:tcBorders>
                  <w:shd w:val="clear" w:color="000000" w:fill="FCD5B4"/>
                  <w:noWrap/>
                  <w:hideMark/>
                </w:tcPr>
                <w:p w14:paraId="27CF2E5D" w14:textId="3797FDF9"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920" w:type="dxa"/>
                  <w:tcBorders>
                    <w:top w:val="nil"/>
                    <w:left w:val="nil"/>
                    <w:bottom w:val="single" w:sz="8" w:space="0" w:color="FFFFFF"/>
                    <w:right w:val="single" w:sz="8" w:space="0" w:color="FFFFFF"/>
                  </w:tcBorders>
                  <w:shd w:val="clear" w:color="000000" w:fill="FCD5B4"/>
                  <w:noWrap/>
                  <w:hideMark/>
                </w:tcPr>
                <w:p w14:paraId="523261A7" w14:textId="0B701605" w:rsidR="008A575D" w:rsidRPr="003F4793" w:rsidRDefault="008A575D" w:rsidP="008A575D">
                  <w:pPr>
                    <w:widowControl/>
                    <w:jc w:val="center"/>
                    <w:rPr>
                      <w:rFonts w:ascii="KaiTi" w:eastAsia="KaiTi" w:hAnsi="KaiTi" w:cs="Calibri"/>
                      <w:color w:val="000000"/>
                      <w:kern w:val="0"/>
                      <w:szCs w:val="21"/>
                    </w:rPr>
                  </w:pPr>
                  <w:r w:rsidRPr="00B73352">
                    <w:t xml:space="preserve">0.52 </w:t>
                  </w:r>
                </w:p>
              </w:tc>
              <w:tc>
                <w:tcPr>
                  <w:tcW w:w="920" w:type="dxa"/>
                  <w:tcBorders>
                    <w:top w:val="nil"/>
                    <w:left w:val="nil"/>
                    <w:bottom w:val="single" w:sz="8" w:space="0" w:color="FFFFFF"/>
                    <w:right w:val="single" w:sz="8" w:space="0" w:color="FFFFFF"/>
                  </w:tcBorders>
                  <w:shd w:val="clear" w:color="000000" w:fill="FCD5B4"/>
                  <w:noWrap/>
                  <w:hideMark/>
                </w:tcPr>
                <w:p w14:paraId="71D92286" w14:textId="1565A3BD" w:rsidR="008A575D" w:rsidRPr="003F4793" w:rsidRDefault="008A575D" w:rsidP="008A575D">
                  <w:pPr>
                    <w:widowControl/>
                    <w:jc w:val="center"/>
                    <w:rPr>
                      <w:rFonts w:ascii="KaiTi" w:eastAsia="KaiTi" w:hAnsi="KaiTi" w:cs="Calibri"/>
                      <w:color w:val="000000"/>
                      <w:kern w:val="0"/>
                      <w:szCs w:val="21"/>
                    </w:rPr>
                  </w:pPr>
                  <w:r w:rsidRPr="00B73352">
                    <w:t xml:space="preserve">0.65 </w:t>
                  </w:r>
                </w:p>
              </w:tc>
              <w:tc>
                <w:tcPr>
                  <w:tcW w:w="920" w:type="dxa"/>
                  <w:tcBorders>
                    <w:top w:val="nil"/>
                    <w:left w:val="nil"/>
                    <w:bottom w:val="single" w:sz="8" w:space="0" w:color="FFFFFF"/>
                    <w:right w:val="single" w:sz="8" w:space="0" w:color="FFFFFF"/>
                  </w:tcBorders>
                  <w:shd w:val="clear" w:color="000000" w:fill="FCD5B4"/>
                  <w:noWrap/>
                  <w:hideMark/>
                </w:tcPr>
                <w:p w14:paraId="320E6D3C" w14:textId="026E9FFD" w:rsidR="008A575D" w:rsidRPr="003F4793" w:rsidRDefault="008A575D" w:rsidP="008A575D">
                  <w:pPr>
                    <w:widowControl/>
                    <w:jc w:val="center"/>
                    <w:rPr>
                      <w:rFonts w:ascii="KaiTi" w:eastAsia="KaiTi" w:hAnsi="KaiTi" w:cs="Calibri"/>
                      <w:color w:val="000000"/>
                      <w:kern w:val="0"/>
                      <w:szCs w:val="21"/>
                    </w:rPr>
                  </w:pPr>
                  <w:r w:rsidRPr="00B73352">
                    <w:t xml:space="preserve">0.81 </w:t>
                  </w:r>
                </w:p>
              </w:tc>
              <w:tc>
                <w:tcPr>
                  <w:tcW w:w="920" w:type="dxa"/>
                  <w:tcBorders>
                    <w:top w:val="nil"/>
                    <w:left w:val="nil"/>
                    <w:bottom w:val="single" w:sz="8" w:space="0" w:color="FFFFFF"/>
                    <w:right w:val="single" w:sz="8" w:space="0" w:color="FFFFFF"/>
                  </w:tcBorders>
                  <w:shd w:val="clear" w:color="000000" w:fill="FCD5B4"/>
                  <w:noWrap/>
                  <w:hideMark/>
                </w:tcPr>
                <w:p w14:paraId="6E8168B1" w14:textId="31FCAAD1" w:rsidR="008A575D" w:rsidRPr="003F4793" w:rsidRDefault="008A575D" w:rsidP="008A575D">
                  <w:pPr>
                    <w:widowControl/>
                    <w:jc w:val="center"/>
                    <w:rPr>
                      <w:rFonts w:ascii="KaiTi" w:eastAsia="KaiTi" w:hAnsi="KaiTi" w:cs="Calibri"/>
                      <w:color w:val="000000"/>
                      <w:kern w:val="0"/>
                      <w:szCs w:val="21"/>
                    </w:rPr>
                  </w:pPr>
                  <w:r w:rsidRPr="00B73352">
                    <w:t xml:space="preserve">3.14 </w:t>
                  </w:r>
                </w:p>
              </w:tc>
            </w:tr>
            <w:tr w:rsidR="008A575D" w:rsidRPr="003F4793" w14:paraId="3A66D0A6"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39137B72" w14:textId="265EB6AE"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740" w:type="dxa"/>
                  <w:tcBorders>
                    <w:top w:val="nil"/>
                    <w:left w:val="nil"/>
                    <w:bottom w:val="single" w:sz="8" w:space="0" w:color="FFFFFF"/>
                    <w:right w:val="single" w:sz="8" w:space="0" w:color="FFFFFF"/>
                  </w:tcBorders>
                  <w:shd w:val="clear" w:color="000000" w:fill="FDE9D9"/>
                  <w:noWrap/>
                  <w:hideMark/>
                </w:tcPr>
                <w:p w14:paraId="3B73915E" w14:textId="13F0FC5B" w:rsidR="008A575D" w:rsidRPr="003F4793" w:rsidRDefault="008A575D" w:rsidP="008A575D">
                  <w:pPr>
                    <w:widowControl/>
                    <w:jc w:val="center"/>
                    <w:rPr>
                      <w:rFonts w:ascii="KaiTi" w:eastAsia="KaiTi" w:hAnsi="KaiTi" w:cs="Calibri"/>
                      <w:color w:val="000000"/>
                      <w:kern w:val="0"/>
                      <w:szCs w:val="21"/>
                    </w:rPr>
                  </w:pPr>
                  <w:r w:rsidRPr="00B73352">
                    <w:t xml:space="preserve">3.19 </w:t>
                  </w:r>
                </w:p>
              </w:tc>
              <w:tc>
                <w:tcPr>
                  <w:tcW w:w="920" w:type="dxa"/>
                  <w:tcBorders>
                    <w:top w:val="nil"/>
                    <w:left w:val="nil"/>
                    <w:bottom w:val="single" w:sz="8" w:space="0" w:color="FFFFFF"/>
                    <w:right w:val="single" w:sz="8" w:space="0" w:color="FFFFFF"/>
                  </w:tcBorders>
                  <w:shd w:val="clear" w:color="000000" w:fill="FDE9D9"/>
                  <w:noWrap/>
                  <w:hideMark/>
                </w:tcPr>
                <w:p w14:paraId="5B9C8B87" w14:textId="76DD23B8" w:rsidR="008A575D" w:rsidRPr="003F4793" w:rsidRDefault="008A575D" w:rsidP="008A575D">
                  <w:pPr>
                    <w:widowControl/>
                    <w:jc w:val="center"/>
                    <w:rPr>
                      <w:rFonts w:ascii="KaiTi" w:eastAsia="KaiTi" w:hAnsi="KaiTi" w:cs="Calibri"/>
                      <w:color w:val="000000"/>
                      <w:kern w:val="0"/>
                      <w:szCs w:val="21"/>
                    </w:rPr>
                  </w:pPr>
                  <w:r w:rsidRPr="00B73352">
                    <w:t xml:space="preserve">3.38 </w:t>
                  </w:r>
                </w:p>
              </w:tc>
              <w:tc>
                <w:tcPr>
                  <w:tcW w:w="920" w:type="dxa"/>
                  <w:tcBorders>
                    <w:top w:val="nil"/>
                    <w:left w:val="nil"/>
                    <w:bottom w:val="single" w:sz="8" w:space="0" w:color="FFFFFF"/>
                    <w:right w:val="single" w:sz="8" w:space="0" w:color="FFFFFF"/>
                  </w:tcBorders>
                  <w:shd w:val="clear" w:color="000000" w:fill="FDE9D9"/>
                  <w:noWrap/>
                  <w:hideMark/>
                </w:tcPr>
                <w:p w14:paraId="1FA1A5B8" w14:textId="2E584B3F" w:rsidR="008A575D" w:rsidRPr="003F4793" w:rsidRDefault="008A575D" w:rsidP="008A575D">
                  <w:pPr>
                    <w:widowControl/>
                    <w:jc w:val="center"/>
                    <w:rPr>
                      <w:rFonts w:ascii="KaiTi" w:eastAsia="KaiTi" w:hAnsi="KaiTi" w:cs="Calibri"/>
                      <w:color w:val="000000"/>
                      <w:kern w:val="0"/>
                      <w:szCs w:val="21"/>
                    </w:rPr>
                  </w:pPr>
                  <w:r w:rsidRPr="00B73352">
                    <w:t xml:space="preserve">3.90 </w:t>
                  </w:r>
                </w:p>
              </w:tc>
              <w:tc>
                <w:tcPr>
                  <w:tcW w:w="920" w:type="dxa"/>
                  <w:tcBorders>
                    <w:top w:val="nil"/>
                    <w:left w:val="nil"/>
                    <w:bottom w:val="single" w:sz="8" w:space="0" w:color="FFFFFF"/>
                    <w:right w:val="single" w:sz="8" w:space="0" w:color="FFFFFF"/>
                  </w:tcBorders>
                  <w:shd w:val="clear" w:color="000000" w:fill="FDE9D9"/>
                  <w:noWrap/>
                  <w:hideMark/>
                </w:tcPr>
                <w:p w14:paraId="175F37FF" w14:textId="49A48E18" w:rsidR="008A575D" w:rsidRPr="003F4793" w:rsidRDefault="008A575D" w:rsidP="008A575D">
                  <w:pPr>
                    <w:widowControl/>
                    <w:jc w:val="center"/>
                    <w:rPr>
                      <w:rFonts w:ascii="KaiTi" w:eastAsia="KaiTi" w:hAnsi="KaiTi" w:cs="Calibri"/>
                      <w:color w:val="000000"/>
                      <w:kern w:val="0"/>
                      <w:szCs w:val="21"/>
                    </w:rPr>
                  </w:pPr>
                  <w:r w:rsidRPr="00B73352">
                    <w:t xml:space="preserve">6.24 </w:t>
                  </w:r>
                </w:p>
              </w:tc>
              <w:tc>
                <w:tcPr>
                  <w:tcW w:w="1149" w:type="dxa"/>
                  <w:tcBorders>
                    <w:top w:val="nil"/>
                    <w:left w:val="nil"/>
                    <w:bottom w:val="single" w:sz="8" w:space="0" w:color="FFFFFF"/>
                    <w:right w:val="single" w:sz="8" w:space="0" w:color="FFFFFF"/>
                  </w:tcBorders>
                  <w:shd w:val="clear" w:color="000000" w:fill="FDE9D9"/>
                  <w:noWrap/>
                  <w:hideMark/>
                </w:tcPr>
                <w:p w14:paraId="3AF3F54C" w14:textId="2355F902"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920" w:type="dxa"/>
                  <w:tcBorders>
                    <w:top w:val="nil"/>
                    <w:left w:val="nil"/>
                    <w:bottom w:val="single" w:sz="8" w:space="0" w:color="FFFFFF"/>
                    <w:right w:val="single" w:sz="8" w:space="0" w:color="FFFFFF"/>
                  </w:tcBorders>
                  <w:shd w:val="clear" w:color="000000" w:fill="FDE9D9"/>
                  <w:noWrap/>
                  <w:hideMark/>
                </w:tcPr>
                <w:p w14:paraId="3C163F46" w14:textId="6005854E" w:rsidR="008A575D" w:rsidRPr="003F4793" w:rsidRDefault="008A575D" w:rsidP="008A575D">
                  <w:pPr>
                    <w:widowControl/>
                    <w:jc w:val="center"/>
                    <w:rPr>
                      <w:rFonts w:ascii="KaiTi" w:eastAsia="KaiTi" w:hAnsi="KaiTi" w:cs="Calibri"/>
                      <w:color w:val="000000"/>
                      <w:kern w:val="0"/>
                      <w:szCs w:val="21"/>
                    </w:rPr>
                  </w:pPr>
                  <w:r w:rsidRPr="00B73352">
                    <w:t xml:space="preserve">0.68 </w:t>
                  </w:r>
                </w:p>
              </w:tc>
              <w:tc>
                <w:tcPr>
                  <w:tcW w:w="920" w:type="dxa"/>
                  <w:tcBorders>
                    <w:top w:val="nil"/>
                    <w:left w:val="nil"/>
                    <w:bottom w:val="single" w:sz="8" w:space="0" w:color="FFFFFF"/>
                    <w:right w:val="single" w:sz="8" w:space="0" w:color="FFFFFF"/>
                  </w:tcBorders>
                  <w:shd w:val="clear" w:color="000000" w:fill="FDE9D9"/>
                  <w:noWrap/>
                  <w:hideMark/>
                </w:tcPr>
                <w:p w14:paraId="3C863207" w14:textId="4B7E6DD2" w:rsidR="008A575D" w:rsidRPr="003F4793" w:rsidRDefault="008A575D" w:rsidP="008A575D">
                  <w:pPr>
                    <w:widowControl/>
                    <w:jc w:val="center"/>
                    <w:rPr>
                      <w:rFonts w:ascii="KaiTi" w:eastAsia="KaiTi" w:hAnsi="KaiTi" w:cs="Calibri"/>
                      <w:color w:val="000000"/>
                      <w:kern w:val="0"/>
                      <w:szCs w:val="21"/>
                    </w:rPr>
                  </w:pPr>
                  <w:r w:rsidRPr="00B73352">
                    <w:t xml:space="preserve">0.86 </w:t>
                  </w:r>
                </w:p>
              </w:tc>
              <w:tc>
                <w:tcPr>
                  <w:tcW w:w="920" w:type="dxa"/>
                  <w:tcBorders>
                    <w:top w:val="nil"/>
                    <w:left w:val="nil"/>
                    <w:bottom w:val="single" w:sz="8" w:space="0" w:color="FFFFFF"/>
                    <w:right w:val="single" w:sz="8" w:space="0" w:color="FFFFFF"/>
                  </w:tcBorders>
                  <w:shd w:val="clear" w:color="000000" w:fill="FDE9D9"/>
                  <w:noWrap/>
                  <w:hideMark/>
                </w:tcPr>
                <w:p w14:paraId="033A08F8" w14:textId="7C5C5672" w:rsidR="008A575D" w:rsidRPr="003F4793" w:rsidRDefault="008A575D" w:rsidP="008A575D">
                  <w:pPr>
                    <w:widowControl/>
                    <w:jc w:val="center"/>
                    <w:rPr>
                      <w:rFonts w:ascii="KaiTi" w:eastAsia="KaiTi" w:hAnsi="KaiTi" w:cs="Calibri"/>
                      <w:color w:val="000000"/>
                      <w:kern w:val="0"/>
                      <w:szCs w:val="21"/>
                    </w:rPr>
                  </w:pPr>
                  <w:r w:rsidRPr="00B73352">
                    <w:t xml:space="preserve">1.38 </w:t>
                  </w:r>
                </w:p>
              </w:tc>
              <w:tc>
                <w:tcPr>
                  <w:tcW w:w="920" w:type="dxa"/>
                  <w:tcBorders>
                    <w:top w:val="nil"/>
                    <w:left w:val="nil"/>
                    <w:bottom w:val="single" w:sz="8" w:space="0" w:color="FFFFFF"/>
                    <w:right w:val="single" w:sz="8" w:space="0" w:color="FFFFFF"/>
                  </w:tcBorders>
                  <w:shd w:val="clear" w:color="000000" w:fill="FDE9D9"/>
                  <w:noWrap/>
                  <w:hideMark/>
                </w:tcPr>
                <w:p w14:paraId="6476BE13" w14:textId="62DDAC38" w:rsidR="008A575D" w:rsidRPr="003F4793" w:rsidRDefault="008A575D" w:rsidP="008A575D">
                  <w:pPr>
                    <w:widowControl/>
                    <w:jc w:val="center"/>
                    <w:rPr>
                      <w:rFonts w:ascii="KaiTi" w:eastAsia="KaiTi" w:hAnsi="KaiTi" w:cs="Calibri"/>
                      <w:color w:val="000000"/>
                      <w:kern w:val="0"/>
                      <w:szCs w:val="21"/>
                    </w:rPr>
                  </w:pPr>
                  <w:r w:rsidRPr="00B73352">
                    <w:t xml:space="preserve">3.72 </w:t>
                  </w:r>
                </w:p>
              </w:tc>
            </w:tr>
            <w:tr w:rsidR="008A575D" w:rsidRPr="003F4793" w14:paraId="1D6AAB92"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155F3072" w14:textId="38EFC1BE"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740" w:type="dxa"/>
                  <w:tcBorders>
                    <w:top w:val="nil"/>
                    <w:left w:val="nil"/>
                    <w:bottom w:val="single" w:sz="8" w:space="0" w:color="FFFFFF"/>
                    <w:right w:val="single" w:sz="8" w:space="0" w:color="FFFFFF"/>
                  </w:tcBorders>
                  <w:shd w:val="clear" w:color="000000" w:fill="FCD5B4"/>
                  <w:noWrap/>
                  <w:hideMark/>
                </w:tcPr>
                <w:p w14:paraId="7FD24B78" w14:textId="4DD95CD2" w:rsidR="008A575D" w:rsidRPr="003F4793" w:rsidRDefault="008A575D" w:rsidP="008A575D">
                  <w:pPr>
                    <w:widowControl/>
                    <w:jc w:val="center"/>
                    <w:rPr>
                      <w:rFonts w:ascii="KaiTi" w:eastAsia="KaiTi" w:hAnsi="KaiTi" w:cs="Calibri"/>
                      <w:color w:val="000000"/>
                      <w:kern w:val="0"/>
                      <w:szCs w:val="21"/>
                    </w:rPr>
                  </w:pPr>
                  <w:r w:rsidRPr="00B73352">
                    <w:t xml:space="preserve">3.52 </w:t>
                  </w:r>
                </w:p>
              </w:tc>
              <w:tc>
                <w:tcPr>
                  <w:tcW w:w="920" w:type="dxa"/>
                  <w:tcBorders>
                    <w:top w:val="nil"/>
                    <w:left w:val="nil"/>
                    <w:bottom w:val="single" w:sz="8" w:space="0" w:color="FFFFFF"/>
                    <w:right w:val="single" w:sz="8" w:space="0" w:color="FFFFFF"/>
                  </w:tcBorders>
                  <w:shd w:val="clear" w:color="000000" w:fill="FCD5B4"/>
                  <w:noWrap/>
                  <w:hideMark/>
                </w:tcPr>
                <w:p w14:paraId="41A6346D" w14:textId="4DA46A5D" w:rsidR="008A575D" w:rsidRPr="003F4793" w:rsidRDefault="008A575D" w:rsidP="008A575D">
                  <w:pPr>
                    <w:widowControl/>
                    <w:jc w:val="center"/>
                    <w:rPr>
                      <w:rFonts w:ascii="KaiTi" w:eastAsia="KaiTi" w:hAnsi="KaiTi" w:cs="Calibri"/>
                      <w:color w:val="000000"/>
                      <w:kern w:val="0"/>
                      <w:szCs w:val="21"/>
                    </w:rPr>
                  </w:pPr>
                  <w:r w:rsidRPr="00B73352">
                    <w:t xml:space="preserve">3.74 </w:t>
                  </w:r>
                </w:p>
              </w:tc>
              <w:tc>
                <w:tcPr>
                  <w:tcW w:w="920" w:type="dxa"/>
                  <w:tcBorders>
                    <w:top w:val="nil"/>
                    <w:left w:val="nil"/>
                    <w:bottom w:val="single" w:sz="8" w:space="0" w:color="FFFFFF"/>
                    <w:right w:val="single" w:sz="8" w:space="0" w:color="FFFFFF"/>
                  </w:tcBorders>
                  <w:shd w:val="clear" w:color="000000" w:fill="FCD5B4"/>
                  <w:noWrap/>
                  <w:hideMark/>
                </w:tcPr>
                <w:p w14:paraId="203620ED" w14:textId="5C038B50" w:rsidR="008A575D" w:rsidRPr="003F4793" w:rsidRDefault="008A575D" w:rsidP="008A575D">
                  <w:pPr>
                    <w:widowControl/>
                    <w:jc w:val="center"/>
                    <w:rPr>
                      <w:rFonts w:ascii="KaiTi" w:eastAsia="KaiTi" w:hAnsi="KaiTi" w:cs="Calibri"/>
                      <w:color w:val="000000"/>
                      <w:kern w:val="0"/>
                      <w:szCs w:val="21"/>
                    </w:rPr>
                  </w:pPr>
                  <w:r w:rsidRPr="00B73352">
                    <w:t xml:space="preserve">4.37 </w:t>
                  </w:r>
                </w:p>
              </w:tc>
              <w:tc>
                <w:tcPr>
                  <w:tcW w:w="920" w:type="dxa"/>
                  <w:tcBorders>
                    <w:top w:val="nil"/>
                    <w:left w:val="nil"/>
                    <w:bottom w:val="single" w:sz="8" w:space="0" w:color="FFFFFF"/>
                    <w:right w:val="single" w:sz="8" w:space="0" w:color="FFFFFF"/>
                  </w:tcBorders>
                  <w:shd w:val="clear" w:color="000000" w:fill="FCD5B4"/>
                  <w:noWrap/>
                  <w:hideMark/>
                </w:tcPr>
                <w:p w14:paraId="5799EA14" w14:textId="36C774EA" w:rsidR="008A575D" w:rsidRPr="003F4793" w:rsidRDefault="008A575D" w:rsidP="008A575D">
                  <w:pPr>
                    <w:widowControl/>
                    <w:jc w:val="center"/>
                    <w:rPr>
                      <w:rFonts w:ascii="KaiTi" w:eastAsia="KaiTi" w:hAnsi="KaiTi" w:cs="Calibri"/>
                      <w:color w:val="000000"/>
                      <w:kern w:val="0"/>
                      <w:szCs w:val="21"/>
                    </w:rPr>
                  </w:pPr>
                  <w:r w:rsidRPr="00B73352">
                    <w:t xml:space="preserve">6.71 </w:t>
                  </w:r>
                </w:p>
              </w:tc>
              <w:tc>
                <w:tcPr>
                  <w:tcW w:w="1149" w:type="dxa"/>
                  <w:tcBorders>
                    <w:top w:val="nil"/>
                    <w:left w:val="nil"/>
                    <w:bottom w:val="single" w:sz="8" w:space="0" w:color="FFFFFF"/>
                    <w:right w:val="single" w:sz="8" w:space="0" w:color="FFFFFF"/>
                  </w:tcBorders>
                  <w:shd w:val="clear" w:color="000000" w:fill="FCD5B4"/>
                  <w:noWrap/>
                  <w:hideMark/>
                </w:tcPr>
                <w:p w14:paraId="46B5F421" w14:textId="678F6C80"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920" w:type="dxa"/>
                  <w:tcBorders>
                    <w:top w:val="nil"/>
                    <w:left w:val="nil"/>
                    <w:bottom w:val="single" w:sz="8" w:space="0" w:color="FFFFFF"/>
                    <w:right w:val="single" w:sz="8" w:space="0" w:color="FFFFFF"/>
                  </w:tcBorders>
                  <w:shd w:val="clear" w:color="000000" w:fill="FCD5B4"/>
                  <w:noWrap/>
                  <w:hideMark/>
                </w:tcPr>
                <w:p w14:paraId="4D638149" w14:textId="02F30DD8" w:rsidR="008A575D" w:rsidRPr="003F4793" w:rsidRDefault="008A575D" w:rsidP="008A575D">
                  <w:pPr>
                    <w:widowControl/>
                    <w:jc w:val="center"/>
                    <w:rPr>
                      <w:rFonts w:ascii="KaiTi" w:eastAsia="KaiTi" w:hAnsi="KaiTi" w:cs="Calibri"/>
                      <w:color w:val="000000"/>
                      <w:kern w:val="0"/>
                      <w:szCs w:val="21"/>
                    </w:rPr>
                  </w:pPr>
                  <w:r w:rsidRPr="00B73352">
                    <w:t xml:space="preserve">0.81 </w:t>
                  </w:r>
                </w:p>
              </w:tc>
              <w:tc>
                <w:tcPr>
                  <w:tcW w:w="920" w:type="dxa"/>
                  <w:tcBorders>
                    <w:top w:val="nil"/>
                    <w:left w:val="nil"/>
                    <w:bottom w:val="single" w:sz="8" w:space="0" w:color="FFFFFF"/>
                    <w:right w:val="single" w:sz="8" w:space="0" w:color="FFFFFF"/>
                  </w:tcBorders>
                  <w:shd w:val="clear" w:color="000000" w:fill="FCD5B4"/>
                  <w:noWrap/>
                  <w:hideMark/>
                </w:tcPr>
                <w:p w14:paraId="7D63AB8D" w14:textId="1D680FE7" w:rsidR="008A575D" w:rsidRPr="003F4793" w:rsidRDefault="008A575D" w:rsidP="008A575D">
                  <w:pPr>
                    <w:widowControl/>
                    <w:jc w:val="center"/>
                    <w:rPr>
                      <w:rFonts w:ascii="KaiTi" w:eastAsia="KaiTi" w:hAnsi="KaiTi" w:cs="Calibri"/>
                      <w:color w:val="000000"/>
                      <w:kern w:val="0"/>
                      <w:szCs w:val="21"/>
                    </w:rPr>
                  </w:pPr>
                  <w:r w:rsidRPr="00B73352">
                    <w:t xml:space="preserve">1.03 </w:t>
                  </w:r>
                </w:p>
              </w:tc>
              <w:tc>
                <w:tcPr>
                  <w:tcW w:w="920" w:type="dxa"/>
                  <w:tcBorders>
                    <w:top w:val="nil"/>
                    <w:left w:val="nil"/>
                    <w:bottom w:val="single" w:sz="8" w:space="0" w:color="FFFFFF"/>
                    <w:right w:val="single" w:sz="8" w:space="0" w:color="FFFFFF"/>
                  </w:tcBorders>
                  <w:shd w:val="clear" w:color="000000" w:fill="FCD5B4"/>
                  <w:noWrap/>
                  <w:hideMark/>
                </w:tcPr>
                <w:p w14:paraId="73B93ED9" w14:textId="2099D481" w:rsidR="008A575D" w:rsidRPr="003F4793" w:rsidRDefault="008A575D" w:rsidP="008A575D">
                  <w:pPr>
                    <w:widowControl/>
                    <w:jc w:val="center"/>
                    <w:rPr>
                      <w:rFonts w:ascii="KaiTi" w:eastAsia="KaiTi" w:hAnsi="KaiTi" w:cs="Calibri"/>
                      <w:color w:val="000000"/>
                      <w:kern w:val="0"/>
                      <w:szCs w:val="21"/>
                    </w:rPr>
                  </w:pPr>
                  <w:r w:rsidRPr="00B73352">
                    <w:t xml:space="preserve">1.66 </w:t>
                  </w:r>
                </w:p>
              </w:tc>
              <w:tc>
                <w:tcPr>
                  <w:tcW w:w="920" w:type="dxa"/>
                  <w:tcBorders>
                    <w:top w:val="nil"/>
                    <w:left w:val="nil"/>
                    <w:bottom w:val="single" w:sz="8" w:space="0" w:color="FFFFFF"/>
                    <w:right w:val="single" w:sz="8" w:space="0" w:color="FFFFFF"/>
                  </w:tcBorders>
                  <w:shd w:val="clear" w:color="000000" w:fill="FCD5B4"/>
                  <w:noWrap/>
                  <w:hideMark/>
                </w:tcPr>
                <w:p w14:paraId="24AD0A23" w14:textId="12769AE3" w:rsidR="008A575D" w:rsidRPr="003F4793" w:rsidRDefault="008A575D" w:rsidP="008A575D">
                  <w:pPr>
                    <w:widowControl/>
                    <w:jc w:val="center"/>
                    <w:rPr>
                      <w:rFonts w:ascii="KaiTi" w:eastAsia="KaiTi" w:hAnsi="KaiTi" w:cs="Calibri"/>
                      <w:color w:val="000000"/>
                      <w:kern w:val="0"/>
                      <w:szCs w:val="21"/>
                    </w:rPr>
                  </w:pPr>
                  <w:r w:rsidRPr="00B73352">
                    <w:t xml:space="preserve">4.00 </w:t>
                  </w:r>
                </w:p>
              </w:tc>
            </w:tr>
            <w:tr w:rsidR="008A575D" w:rsidRPr="003F4793" w14:paraId="3DB9FAE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2044C520" w14:textId="5E1EBFFD"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094B223D" w14:textId="241A32B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3.16 </w:t>
                  </w:r>
                </w:p>
              </w:tc>
              <w:tc>
                <w:tcPr>
                  <w:tcW w:w="920" w:type="dxa"/>
                  <w:tcBorders>
                    <w:top w:val="nil"/>
                    <w:left w:val="nil"/>
                    <w:bottom w:val="single" w:sz="8" w:space="0" w:color="FFFFFF"/>
                    <w:right w:val="single" w:sz="8" w:space="0" w:color="FFFFFF"/>
                  </w:tcBorders>
                  <w:shd w:val="clear" w:color="000000" w:fill="FDE9D9"/>
                  <w:noWrap/>
                  <w:hideMark/>
                </w:tcPr>
                <w:p w14:paraId="226D27D3" w14:textId="0126CCD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3.34 </w:t>
                  </w:r>
                </w:p>
              </w:tc>
              <w:tc>
                <w:tcPr>
                  <w:tcW w:w="920" w:type="dxa"/>
                  <w:tcBorders>
                    <w:top w:val="nil"/>
                    <w:left w:val="nil"/>
                    <w:bottom w:val="single" w:sz="8" w:space="0" w:color="FFFFFF"/>
                    <w:right w:val="single" w:sz="8" w:space="0" w:color="FFFFFF"/>
                  </w:tcBorders>
                  <w:shd w:val="clear" w:color="000000" w:fill="FDE9D9"/>
                  <w:noWrap/>
                  <w:hideMark/>
                </w:tcPr>
                <w:p w14:paraId="509D7CD4" w14:textId="6363481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3.99 </w:t>
                  </w:r>
                </w:p>
              </w:tc>
              <w:tc>
                <w:tcPr>
                  <w:tcW w:w="920" w:type="dxa"/>
                  <w:tcBorders>
                    <w:top w:val="nil"/>
                    <w:left w:val="nil"/>
                    <w:bottom w:val="single" w:sz="8" w:space="0" w:color="FFFFFF"/>
                    <w:right w:val="single" w:sz="8" w:space="0" w:color="FFFFFF"/>
                  </w:tcBorders>
                  <w:shd w:val="clear" w:color="000000" w:fill="FDE9D9"/>
                  <w:noWrap/>
                  <w:hideMark/>
                </w:tcPr>
                <w:p w14:paraId="44CAAD2D" w14:textId="5AB9313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6.33 </w:t>
                  </w:r>
                </w:p>
              </w:tc>
              <w:tc>
                <w:tcPr>
                  <w:tcW w:w="1149" w:type="dxa"/>
                  <w:tcBorders>
                    <w:top w:val="nil"/>
                    <w:left w:val="nil"/>
                    <w:bottom w:val="single" w:sz="8" w:space="0" w:color="FFFFFF"/>
                    <w:right w:val="single" w:sz="8" w:space="0" w:color="FFFFFF"/>
                  </w:tcBorders>
                  <w:shd w:val="clear" w:color="000000" w:fill="FDE9D9"/>
                  <w:noWrap/>
                  <w:hideMark/>
                </w:tcPr>
                <w:p w14:paraId="2E628139" w14:textId="267B29AF"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14043470" w14:textId="7BBD7E5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0.64 </w:t>
                  </w:r>
                </w:p>
              </w:tc>
              <w:tc>
                <w:tcPr>
                  <w:tcW w:w="920" w:type="dxa"/>
                  <w:tcBorders>
                    <w:top w:val="nil"/>
                    <w:left w:val="nil"/>
                    <w:bottom w:val="single" w:sz="8" w:space="0" w:color="FFFFFF"/>
                    <w:right w:val="single" w:sz="8" w:space="0" w:color="FFFFFF"/>
                  </w:tcBorders>
                  <w:shd w:val="clear" w:color="000000" w:fill="FDE9D9"/>
                  <w:noWrap/>
                  <w:hideMark/>
                </w:tcPr>
                <w:p w14:paraId="005C602B" w14:textId="75DB571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0.82 </w:t>
                  </w:r>
                </w:p>
              </w:tc>
              <w:tc>
                <w:tcPr>
                  <w:tcW w:w="920" w:type="dxa"/>
                  <w:tcBorders>
                    <w:top w:val="nil"/>
                    <w:left w:val="nil"/>
                    <w:bottom w:val="single" w:sz="8" w:space="0" w:color="FFFFFF"/>
                    <w:right w:val="single" w:sz="8" w:space="0" w:color="FFFFFF"/>
                  </w:tcBorders>
                  <w:shd w:val="clear" w:color="000000" w:fill="FDE9D9"/>
                  <w:noWrap/>
                  <w:hideMark/>
                </w:tcPr>
                <w:p w14:paraId="72E1FCED" w14:textId="2276C95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1.47 </w:t>
                  </w:r>
                </w:p>
              </w:tc>
              <w:tc>
                <w:tcPr>
                  <w:tcW w:w="920" w:type="dxa"/>
                  <w:tcBorders>
                    <w:top w:val="nil"/>
                    <w:left w:val="nil"/>
                    <w:bottom w:val="single" w:sz="8" w:space="0" w:color="FFFFFF"/>
                    <w:right w:val="single" w:sz="8" w:space="0" w:color="FFFFFF"/>
                  </w:tcBorders>
                  <w:shd w:val="clear" w:color="000000" w:fill="FDE9D9"/>
                  <w:noWrap/>
                  <w:hideMark/>
                </w:tcPr>
                <w:p w14:paraId="62B10FDA" w14:textId="7410E52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3.81 </w:t>
                  </w:r>
                </w:p>
              </w:tc>
            </w:tr>
            <w:tr w:rsidR="008A575D" w:rsidRPr="003F4793" w14:paraId="6E6959B5"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22DA7E07" w14:textId="5075B868"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3321A8C9" w14:textId="0A974C2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3.50 </w:t>
                  </w:r>
                </w:p>
              </w:tc>
              <w:tc>
                <w:tcPr>
                  <w:tcW w:w="920" w:type="dxa"/>
                  <w:tcBorders>
                    <w:top w:val="nil"/>
                    <w:left w:val="nil"/>
                    <w:bottom w:val="single" w:sz="8" w:space="0" w:color="FFFFFF"/>
                    <w:right w:val="single" w:sz="8" w:space="0" w:color="FFFFFF"/>
                  </w:tcBorders>
                  <w:shd w:val="clear" w:color="000000" w:fill="FCD5B4"/>
                  <w:noWrap/>
                  <w:hideMark/>
                </w:tcPr>
                <w:p w14:paraId="2D55037C" w14:textId="02F6306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3.68 </w:t>
                  </w:r>
                </w:p>
              </w:tc>
              <w:tc>
                <w:tcPr>
                  <w:tcW w:w="920" w:type="dxa"/>
                  <w:tcBorders>
                    <w:top w:val="nil"/>
                    <w:left w:val="nil"/>
                    <w:bottom w:val="single" w:sz="8" w:space="0" w:color="FFFFFF"/>
                    <w:right w:val="single" w:sz="8" w:space="0" w:color="FFFFFF"/>
                  </w:tcBorders>
                  <w:shd w:val="clear" w:color="000000" w:fill="FCD5B4"/>
                  <w:noWrap/>
                  <w:hideMark/>
                </w:tcPr>
                <w:p w14:paraId="31736512" w14:textId="03E7A71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4.40 </w:t>
                  </w:r>
                </w:p>
              </w:tc>
              <w:tc>
                <w:tcPr>
                  <w:tcW w:w="920" w:type="dxa"/>
                  <w:tcBorders>
                    <w:top w:val="nil"/>
                    <w:left w:val="nil"/>
                    <w:bottom w:val="single" w:sz="8" w:space="0" w:color="FFFFFF"/>
                    <w:right w:val="single" w:sz="8" w:space="0" w:color="FFFFFF"/>
                  </w:tcBorders>
                  <w:shd w:val="clear" w:color="000000" w:fill="FCD5B4"/>
                  <w:noWrap/>
                  <w:hideMark/>
                </w:tcPr>
                <w:p w14:paraId="32F91FC8" w14:textId="35F7E13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6.75 </w:t>
                  </w:r>
                </w:p>
              </w:tc>
              <w:tc>
                <w:tcPr>
                  <w:tcW w:w="1149" w:type="dxa"/>
                  <w:tcBorders>
                    <w:top w:val="nil"/>
                    <w:left w:val="nil"/>
                    <w:bottom w:val="single" w:sz="8" w:space="0" w:color="FFFFFF"/>
                    <w:right w:val="single" w:sz="8" w:space="0" w:color="FFFFFF"/>
                  </w:tcBorders>
                  <w:shd w:val="clear" w:color="000000" w:fill="FCD5B4"/>
                  <w:noWrap/>
                  <w:hideMark/>
                </w:tcPr>
                <w:p w14:paraId="1A4516FF" w14:textId="49263F40"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678FF838" w14:textId="740C0D8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0.79 </w:t>
                  </w:r>
                </w:p>
              </w:tc>
              <w:tc>
                <w:tcPr>
                  <w:tcW w:w="920" w:type="dxa"/>
                  <w:tcBorders>
                    <w:top w:val="nil"/>
                    <w:left w:val="nil"/>
                    <w:bottom w:val="single" w:sz="8" w:space="0" w:color="FFFFFF"/>
                    <w:right w:val="single" w:sz="8" w:space="0" w:color="FFFFFF"/>
                  </w:tcBorders>
                  <w:shd w:val="clear" w:color="000000" w:fill="FCD5B4"/>
                  <w:noWrap/>
                  <w:hideMark/>
                </w:tcPr>
                <w:p w14:paraId="19327668" w14:textId="2B4A8AA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0.97 </w:t>
                  </w:r>
                </w:p>
              </w:tc>
              <w:tc>
                <w:tcPr>
                  <w:tcW w:w="920" w:type="dxa"/>
                  <w:tcBorders>
                    <w:top w:val="nil"/>
                    <w:left w:val="nil"/>
                    <w:bottom w:val="single" w:sz="8" w:space="0" w:color="FFFFFF"/>
                    <w:right w:val="single" w:sz="8" w:space="0" w:color="FFFFFF"/>
                  </w:tcBorders>
                  <w:shd w:val="clear" w:color="000000" w:fill="FCD5B4"/>
                  <w:noWrap/>
                  <w:hideMark/>
                </w:tcPr>
                <w:p w14:paraId="3FF52323" w14:textId="0C3E6F7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1.69 </w:t>
                  </w:r>
                </w:p>
              </w:tc>
              <w:tc>
                <w:tcPr>
                  <w:tcW w:w="920" w:type="dxa"/>
                  <w:tcBorders>
                    <w:top w:val="nil"/>
                    <w:left w:val="nil"/>
                    <w:bottom w:val="single" w:sz="8" w:space="0" w:color="FFFFFF"/>
                    <w:right w:val="single" w:sz="8" w:space="0" w:color="FFFFFF"/>
                  </w:tcBorders>
                  <w:shd w:val="clear" w:color="000000" w:fill="FCD5B4"/>
                  <w:noWrap/>
                  <w:hideMark/>
                </w:tcPr>
                <w:p w14:paraId="3A51C7C3" w14:textId="739B166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4.04 </w:t>
                  </w:r>
                </w:p>
              </w:tc>
            </w:tr>
            <w:tr w:rsidR="008A575D" w:rsidRPr="003F4793" w14:paraId="10282E85"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5AA354BC" w14:textId="3EF720FE"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46F6A45C" w14:textId="4ED761F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3.70 </w:t>
                  </w:r>
                </w:p>
              </w:tc>
              <w:tc>
                <w:tcPr>
                  <w:tcW w:w="920" w:type="dxa"/>
                  <w:tcBorders>
                    <w:top w:val="nil"/>
                    <w:left w:val="nil"/>
                    <w:bottom w:val="single" w:sz="8" w:space="0" w:color="FFFFFF"/>
                    <w:right w:val="single" w:sz="8" w:space="0" w:color="FFFFFF"/>
                  </w:tcBorders>
                  <w:shd w:val="clear" w:color="000000" w:fill="FDE9D9"/>
                  <w:noWrap/>
                  <w:hideMark/>
                </w:tcPr>
                <w:p w14:paraId="7F0C451E" w14:textId="5127562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3.89 </w:t>
                  </w:r>
                </w:p>
              </w:tc>
              <w:tc>
                <w:tcPr>
                  <w:tcW w:w="920" w:type="dxa"/>
                  <w:tcBorders>
                    <w:top w:val="nil"/>
                    <w:left w:val="nil"/>
                    <w:bottom w:val="single" w:sz="8" w:space="0" w:color="FFFFFF"/>
                    <w:right w:val="single" w:sz="8" w:space="0" w:color="FFFFFF"/>
                  </w:tcBorders>
                  <w:shd w:val="clear" w:color="000000" w:fill="FDE9D9"/>
                  <w:noWrap/>
                  <w:hideMark/>
                </w:tcPr>
                <w:p w14:paraId="14C49F17" w14:textId="53D2C37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4.61 </w:t>
                  </w:r>
                </w:p>
              </w:tc>
              <w:tc>
                <w:tcPr>
                  <w:tcW w:w="920" w:type="dxa"/>
                  <w:tcBorders>
                    <w:top w:val="nil"/>
                    <w:left w:val="nil"/>
                    <w:bottom w:val="single" w:sz="8" w:space="0" w:color="FFFFFF"/>
                    <w:right w:val="single" w:sz="8" w:space="0" w:color="FFFFFF"/>
                  </w:tcBorders>
                  <w:shd w:val="clear" w:color="000000" w:fill="FDE9D9"/>
                  <w:noWrap/>
                  <w:hideMark/>
                </w:tcPr>
                <w:p w14:paraId="5617ED53" w14:textId="6520B19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6.95 </w:t>
                  </w:r>
                </w:p>
              </w:tc>
              <w:tc>
                <w:tcPr>
                  <w:tcW w:w="1149" w:type="dxa"/>
                  <w:tcBorders>
                    <w:top w:val="nil"/>
                    <w:left w:val="nil"/>
                    <w:bottom w:val="single" w:sz="8" w:space="0" w:color="FFFFFF"/>
                    <w:right w:val="single" w:sz="8" w:space="0" w:color="FFFFFF"/>
                  </w:tcBorders>
                  <w:shd w:val="clear" w:color="000000" w:fill="FDE9D9"/>
                  <w:noWrap/>
                  <w:hideMark/>
                </w:tcPr>
                <w:p w14:paraId="6EF87D4A" w14:textId="45D7669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4DEB6E8D" w14:textId="3ADA3B8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0.85 </w:t>
                  </w:r>
                </w:p>
              </w:tc>
              <w:tc>
                <w:tcPr>
                  <w:tcW w:w="920" w:type="dxa"/>
                  <w:tcBorders>
                    <w:top w:val="nil"/>
                    <w:left w:val="nil"/>
                    <w:bottom w:val="single" w:sz="8" w:space="0" w:color="FFFFFF"/>
                    <w:right w:val="single" w:sz="8" w:space="0" w:color="FFFFFF"/>
                  </w:tcBorders>
                  <w:shd w:val="clear" w:color="000000" w:fill="FDE9D9"/>
                  <w:noWrap/>
                  <w:hideMark/>
                </w:tcPr>
                <w:p w14:paraId="5BFCFC00" w14:textId="218EBE90"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1.04 </w:t>
                  </w:r>
                </w:p>
              </w:tc>
              <w:tc>
                <w:tcPr>
                  <w:tcW w:w="920" w:type="dxa"/>
                  <w:tcBorders>
                    <w:top w:val="nil"/>
                    <w:left w:val="nil"/>
                    <w:bottom w:val="single" w:sz="8" w:space="0" w:color="FFFFFF"/>
                    <w:right w:val="single" w:sz="8" w:space="0" w:color="FFFFFF"/>
                  </w:tcBorders>
                  <w:shd w:val="clear" w:color="000000" w:fill="FDE9D9"/>
                  <w:noWrap/>
                  <w:hideMark/>
                </w:tcPr>
                <w:p w14:paraId="135C719B" w14:textId="0F281A8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1.76 </w:t>
                  </w:r>
                </w:p>
              </w:tc>
              <w:tc>
                <w:tcPr>
                  <w:tcW w:w="920" w:type="dxa"/>
                  <w:tcBorders>
                    <w:top w:val="nil"/>
                    <w:left w:val="nil"/>
                    <w:bottom w:val="single" w:sz="8" w:space="0" w:color="FFFFFF"/>
                    <w:right w:val="single" w:sz="8" w:space="0" w:color="FFFFFF"/>
                  </w:tcBorders>
                  <w:shd w:val="clear" w:color="000000" w:fill="FDE9D9"/>
                  <w:noWrap/>
                  <w:hideMark/>
                </w:tcPr>
                <w:p w14:paraId="5C7F0679" w14:textId="32D1447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4.10 </w:t>
                  </w:r>
                </w:p>
              </w:tc>
            </w:tr>
            <w:tr w:rsidR="008A575D" w:rsidRPr="003F4793" w14:paraId="4B34B1BF"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708D60A2" w14:textId="4ACD8447"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7AC10927" w14:textId="63568B2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3.19 </w:t>
                  </w:r>
                </w:p>
              </w:tc>
              <w:tc>
                <w:tcPr>
                  <w:tcW w:w="920" w:type="dxa"/>
                  <w:tcBorders>
                    <w:top w:val="nil"/>
                    <w:left w:val="nil"/>
                    <w:bottom w:val="single" w:sz="8" w:space="0" w:color="FFFFFF"/>
                    <w:right w:val="single" w:sz="8" w:space="0" w:color="FFFFFF"/>
                  </w:tcBorders>
                  <w:shd w:val="clear" w:color="000000" w:fill="FCD5B4"/>
                  <w:noWrap/>
                  <w:hideMark/>
                </w:tcPr>
                <w:p w14:paraId="5A89295C" w14:textId="3F03ED2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3.36 </w:t>
                  </w:r>
                </w:p>
              </w:tc>
              <w:tc>
                <w:tcPr>
                  <w:tcW w:w="920" w:type="dxa"/>
                  <w:tcBorders>
                    <w:top w:val="nil"/>
                    <w:left w:val="nil"/>
                    <w:bottom w:val="single" w:sz="8" w:space="0" w:color="FFFFFF"/>
                    <w:right w:val="single" w:sz="8" w:space="0" w:color="FFFFFF"/>
                  </w:tcBorders>
                  <w:shd w:val="clear" w:color="000000" w:fill="FCD5B4"/>
                  <w:noWrap/>
                  <w:hideMark/>
                </w:tcPr>
                <w:p w14:paraId="5B048291" w14:textId="474970E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3.56 </w:t>
                  </w:r>
                </w:p>
              </w:tc>
              <w:tc>
                <w:tcPr>
                  <w:tcW w:w="920" w:type="dxa"/>
                  <w:tcBorders>
                    <w:top w:val="nil"/>
                    <w:left w:val="nil"/>
                    <w:bottom w:val="single" w:sz="8" w:space="0" w:color="FFFFFF"/>
                    <w:right w:val="single" w:sz="8" w:space="0" w:color="FFFFFF"/>
                  </w:tcBorders>
                  <w:shd w:val="clear" w:color="000000" w:fill="FCD5B4"/>
                  <w:noWrap/>
                  <w:hideMark/>
                </w:tcPr>
                <w:p w14:paraId="5711CDD7" w14:textId="3CC04A0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6.05 </w:t>
                  </w:r>
                </w:p>
              </w:tc>
              <w:tc>
                <w:tcPr>
                  <w:tcW w:w="1149" w:type="dxa"/>
                  <w:tcBorders>
                    <w:top w:val="nil"/>
                    <w:left w:val="nil"/>
                    <w:bottom w:val="single" w:sz="8" w:space="0" w:color="FFFFFF"/>
                    <w:right w:val="single" w:sz="8" w:space="0" w:color="FFFFFF"/>
                  </w:tcBorders>
                  <w:shd w:val="clear" w:color="000000" w:fill="FCD5B4"/>
                  <w:noWrap/>
                  <w:hideMark/>
                </w:tcPr>
                <w:p w14:paraId="611290CA" w14:textId="4262F1C3"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20496D80" w14:textId="31CBF27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0.68 </w:t>
                  </w:r>
                </w:p>
              </w:tc>
              <w:tc>
                <w:tcPr>
                  <w:tcW w:w="920" w:type="dxa"/>
                  <w:tcBorders>
                    <w:top w:val="nil"/>
                    <w:left w:val="nil"/>
                    <w:bottom w:val="single" w:sz="8" w:space="0" w:color="FFFFFF"/>
                    <w:right w:val="single" w:sz="8" w:space="0" w:color="FFFFFF"/>
                  </w:tcBorders>
                  <w:shd w:val="clear" w:color="000000" w:fill="FCD5B4"/>
                  <w:noWrap/>
                  <w:hideMark/>
                </w:tcPr>
                <w:p w14:paraId="3BFA925B" w14:textId="5D4D995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0.85 </w:t>
                  </w:r>
                </w:p>
              </w:tc>
              <w:tc>
                <w:tcPr>
                  <w:tcW w:w="920" w:type="dxa"/>
                  <w:tcBorders>
                    <w:top w:val="nil"/>
                    <w:left w:val="nil"/>
                    <w:bottom w:val="single" w:sz="8" w:space="0" w:color="FFFFFF"/>
                    <w:right w:val="single" w:sz="8" w:space="0" w:color="FFFFFF"/>
                  </w:tcBorders>
                  <w:shd w:val="clear" w:color="000000" w:fill="FCD5B4"/>
                  <w:noWrap/>
                  <w:hideMark/>
                </w:tcPr>
                <w:p w14:paraId="16CD7225" w14:textId="2D08E28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1.05 </w:t>
                  </w:r>
                </w:p>
              </w:tc>
              <w:tc>
                <w:tcPr>
                  <w:tcW w:w="920" w:type="dxa"/>
                  <w:tcBorders>
                    <w:top w:val="nil"/>
                    <w:left w:val="nil"/>
                    <w:bottom w:val="single" w:sz="8" w:space="0" w:color="FFFFFF"/>
                    <w:right w:val="single" w:sz="8" w:space="0" w:color="FFFFFF"/>
                  </w:tcBorders>
                  <w:shd w:val="clear" w:color="000000" w:fill="FCD5B4"/>
                  <w:noWrap/>
                  <w:hideMark/>
                </w:tcPr>
                <w:p w14:paraId="62A0BB0C" w14:textId="454C356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3.54 </w:t>
                  </w:r>
                </w:p>
              </w:tc>
            </w:tr>
            <w:tr w:rsidR="008A575D" w:rsidRPr="003F4793" w14:paraId="410B429A"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3F93C5ED" w14:textId="4C77A377"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31CF143" w14:textId="7F18BF5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3.53 </w:t>
                  </w:r>
                </w:p>
              </w:tc>
              <w:tc>
                <w:tcPr>
                  <w:tcW w:w="920" w:type="dxa"/>
                  <w:tcBorders>
                    <w:top w:val="nil"/>
                    <w:left w:val="nil"/>
                    <w:bottom w:val="single" w:sz="8" w:space="0" w:color="FFFFFF"/>
                    <w:right w:val="single" w:sz="8" w:space="0" w:color="FFFFFF"/>
                  </w:tcBorders>
                  <w:shd w:val="clear" w:color="000000" w:fill="FDE9D9"/>
                  <w:noWrap/>
                  <w:hideMark/>
                </w:tcPr>
                <w:p w14:paraId="28605ADA" w14:textId="4C2987A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3.78 </w:t>
                  </w:r>
                </w:p>
              </w:tc>
              <w:tc>
                <w:tcPr>
                  <w:tcW w:w="920" w:type="dxa"/>
                  <w:tcBorders>
                    <w:top w:val="nil"/>
                    <w:left w:val="nil"/>
                    <w:bottom w:val="single" w:sz="8" w:space="0" w:color="FFFFFF"/>
                    <w:right w:val="single" w:sz="8" w:space="0" w:color="FFFFFF"/>
                  </w:tcBorders>
                  <w:shd w:val="clear" w:color="000000" w:fill="FDE9D9"/>
                  <w:noWrap/>
                  <w:hideMark/>
                </w:tcPr>
                <w:p w14:paraId="138A29ED" w14:textId="254B9DC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4.08 </w:t>
                  </w:r>
                </w:p>
              </w:tc>
              <w:tc>
                <w:tcPr>
                  <w:tcW w:w="920" w:type="dxa"/>
                  <w:tcBorders>
                    <w:top w:val="nil"/>
                    <w:left w:val="nil"/>
                    <w:bottom w:val="single" w:sz="8" w:space="0" w:color="FFFFFF"/>
                    <w:right w:val="single" w:sz="8" w:space="0" w:color="FFFFFF"/>
                  </w:tcBorders>
                  <w:shd w:val="clear" w:color="000000" w:fill="FDE9D9"/>
                  <w:noWrap/>
                  <w:hideMark/>
                </w:tcPr>
                <w:p w14:paraId="36771C93" w14:textId="032420F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6.72 </w:t>
                  </w:r>
                </w:p>
              </w:tc>
              <w:tc>
                <w:tcPr>
                  <w:tcW w:w="1149" w:type="dxa"/>
                  <w:tcBorders>
                    <w:top w:val="nil"/>
                    <w:left w:val="nil"/>
                    <w:bottom w:val="single" w:sz="8" w:space="0" w:color="FFFFFF"/>
                    <w:right w:val="single" w:sz="8" w:space="0" w:color="FFFFFF"/>
                  </w:tcBorders>
                  <w:shd w:val="clear" w:color="000000" w:fill="FDE9D9"/>
                  <w:noWrap/>
                  <w:hideMark/>
                </w:tcPr>
                <w:p w14:paraId="12900514" w14:textId="6B8B9C57"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1F834B" w14:textId="3778BB4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0.82 </w:t>
                  </w:r>
                </w:p>
              </w:tc>
              <w:tc>
                <w:tcPr>
                  <w:tcW w:w="920" w:type="dxa"/>
                  <w:tcBorders>
                    <w:top w:val="nil"/>
                    <w:left w:val="nil"/>
                    <w:bottom w:val="single" w:sz="8" w:space="0" w:color="FFFFFF"/>
                    <w:right w:val="single" w:sz="8" w:space="0" w:color="FFFFFF"/>
                  </w:tcBorders>
                  <w:shd w:val="clear" w:color="000000" w:fill="FDE9D9"/>
                  <w:noWrap/>
                  <w:hideMark/>
                </w:tcPr>
                <w:p w14:paraId="65FCA278" w14:textId="01CD7F5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1.07 </w:t>
                  </w:r>
                </w:p>
              </w:tc>
              <w:tc>
                <w:tcPr>
                  <w:tcW w:w="920" w:type="dxa"/>
                  <w:tcBorders>
                    <w:top w:val="nil"/>
                    <w:left w:val="nil"/>
                    <w:bottom w:val="single" w:sz="8" w:space="0" w:color="FFFFFF"/>
                    <w:right w:val="single" w:sz="8" w:space="0" w:color="FFFFFF"/>
                  </w:tcBorders>
                  <w:shd w:val="clear" w:color="000000" w:fill="FDE9D9"/>
                  <w:noWrap/>
                  <w:hideMark/>
                </w:tcPr>
                <w:p w14:paraId="27F1C7B6" w14:textId="44046FB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1.37 </w:t>
                  </w:r>
                </w:p>
              </w:tc>
              <w:tc>
                <w:tcPr>
                  <w:tcW w:w="920" w:type="dxa"/>
                  <w:tcBorders>
                    <w:top w:val="nil"/>
                    <w:left w:val="nil"/>
                    <w:bottom w:val="single" w:sz="8" w:space="0" w:color="FFFFFF"/>
                    <w:right w:val="single" w:sz="8" w:space="0" w:color="FFFFFF"/>
                  </w:tcBorders>
                  <w:shd w:val="clear" w:color="000000" w:fill="FDE9D9"/>
                  <w:noWrap/>
                  <w:hideMark/>
                </w:tcPr>
                <w:p w14:paraId="01875D19" w14:textId="7A1B0DE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4.01 </w:t>
                  </w:r>
                </w:p>
              </w:tc>
            </w:tr>
            <w:tr w:rsidR="008A575D" w:rsidRPr="003F4793" w14:paraId="3E035994" w14:textId="77777777" w:rsidTr="00416E34">
              <w:trPr>
                <w:trHeight w:val="310"/>
              </w:trPr>
              <w:tc>
                <w:tcPr>
                  <w:tcW w:w="1309" w:type="dxa"/>
                  <w:tcBorders>
                    <w:top w:val="nil"/>
                    <w:left w:val="nil"/>
                    <w:bottom w:val="nil"/>
                    <w:right w:val="nil"/>
                  </w:tcBorders>
                  <w:shd w:val="clear" w:color="000000" w:fill="FCD5B4"/>
                  <w:noWrap/>
                  <w:hideMark/>
                </w:tcPr>
                <w:p w14:paraId="6806E277" w14:textId="23EB04C9"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6B2AD056" w14:textId="0B508E6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3.76 </w:t>
                  </w:r>
                </w:p>
              </w:tc>
              <w:tc>
                <w:tcPr>
                  <w:tcW w:w="920" w:type="dxa"/>
                  <w:tcBorders>
                    <w:top w:val="nil"/>
                    <w:left w:val="nil"/>
                    <w:bottom w:val="single" w:sz="8" w:space="0" w:color="FFFFFF"/>
                    <w:right w:val="single" w:sz="8" w:space="0" w:color="FFFFFF"/>
                  </w:tcBorders>
                  <w:shd w:val="clear" w:color="000000" w:fill="FCD5B4"/>
                  <w:noWrap/>
                  <w:hideMark/>
                </w:tcPr>
                <w:p w14:paraId="64875CAA" w14:textId="5EF8EE1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4.01 </w:t>
                  </w:r>
                </w:p>
              </w:tc>
              <w:tc>
                <w:tcPr>
                  <w:tcW w:w="920" w:type="dxa"/>
                  <w:tcBorders>
                    <w:top w:val="nil"/>
                    <w:left w:val="nil"/>
                    <w:bottom w:val="single" w:sz="8" w:space="0" w:color="FFFFFF"/>
                    <w:right w:val="single" w:sz="8" w:space="0" w:color="FFFFFF"/>
                  </w:tcBorders>
                  <w:shd w:val="clear" w:color="000000" w:fill="FCD5B4"/>
                  <w:noWrap/>
                  <w:hideMark/>
                </w:tcPr>
                <w:p w14:paraId="37FAD57A" w14:textId="6277870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4.41 </w:t>
                  </w:r>
                </w:p>
              </w:tc>
              <w:tc>
                <w:tcPr>
                  <w:tcW w:w="920" w:type="dxa"/>
                  <w:tcBorders>
                    <w:top w:val="nil"/>
                    <w:left w:val="nil"/>
                    <w:bottom w:val="single" w:sz="8" w:space="0" w:color="FFFFFF"/>
                    <w:right w:val="single" w:sz="8" w:space="0" w:color="FFFFFF"/>
                  </w:tcBorders>
                  <w:shd w:val="clear" w:color="000000" w:fill="FCD5B4"/>
                  <w:noWrap/>
                  <w:hideMark/>
                </w:tcPr>
                <w:p w14:paraId="2CDC7C7E" w14:textId="574610A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7.10 </w:t>
                  </w:r>
                </w:p>
              </w:tc>
              <w:tc>
                <w:tcPr>
                  <w:tcW w:w="1149" w:type="dxa"/>
                  <w:tcBorders>
                    <w:top w:val="nil"/>
                    <w:left w:val="nil"/>
                    <w:bottom w:val="nil"/>
                    <w:right w:val="nil"/>
                  </w:tcBorders>
                  <w:shd w:val="clear" w:color="000000" w:fill="FCD5B4"/>
                  <w:noWrap/>
                  <w:hideMark/>
                </w:tcPr>
                <w:p w14:paraId="21A0B914" w14:textId="721ECBC4"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2DE8FCCC" w14:textId="0EFD89A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0.90 </w:t>
                  </w:r>
                </w:p>
              </w:tc>
              <w:tc>
                <w:tcPr>
                  <w:tcW w:w="920" w:type="dxa"/>
                  <w:tcBorders>
                    <w:top w:val="nil"/>
                    <w:left w:val="nil"/>
                    <w:bottom w:val="single" w:sz="8" w:space="0" w:color="FFFFFF"/>
                    <w:right w:val="single" w:sz="8" w:space="0" w:color="FFFFFF"/>
                  </w:tcBorders>
                  <w:shd w:val="clear" w:color="000000" w:fill="FCD5B4"/>
                  <w:noWrap/>
                  <w:hideMark/>
                </w:tcPr>
                <w:p w14:paraId="5E36F15A" w14:textId="3B4AE39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1.15 </w:t>
                  </w:r>
                </w:p>
              </w:tc>
              <w:tc>
                <w:tcPr>
                  <w:tcW w:w="920" w:type="dxa"/>
                  <w:tcBorders>
                    <w:top w:val="nil"/>
                    <w:left w:val="nil"/>
                    <w:bottom w:val="single" w:sz="8" w:space="0" w:color="FFFFFF"/>
                    <w:right w:val="single" w:sz="8" w:space="0" w:color="FFFFFF"/>
                  </w:tcBorders>
                  <w:shd w:val="clear" w:color="000000" w:fill="FCD5B4"/>
                  <w:noWrap/>
                  <w:hideMark/>
                </w:tcPr>
                <w:p w14:paraId="7CD60254" w14:textId="05E529D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1.55 </w:t>
                  </w:r>
                </w:p>
              </w:tc>
              <w:tc>
                <w:tcPr>
                  <w:tcW w:w="920" w:type="dxa"/>
                  <w:tcBorders>
                    <w:top w:val="nil"/>
                    <w:left w:val="nil"/>
                    <w:bottom w:val="single" w:sz="8" w:space="0" w:color="FFFFFF"/>
                    <w:right w:val="single" w:sz="8" w:space="0" w:color="FFFFFF"/>
                  </w:tcBorders>
                  <w:shd w:val="clear" w:color="000000" w:fill="FCD5B4"/>
                  <w:noWrap/>
                  <w:hideMark/>
                </w:tcPr>
                <w:p w14:paraId="39243B4A" w14:textId="1E6BC7C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4.24 </w:t>
                  </w:r>
                </w:p>
              </w:tc>
            </w:tr>
            <w:tr w:rsidR="008A575D" w:rsidRPr="003F4793" w14:paraId="7406B1F6" w14:textId="77777777" w:rsidTr="00416E34">
              <w:trPr>
                <w:trHeight w:val="160"/>
              </w:trPr>
              <w:tc>
                <w:tcPr>
                  <w:tcW w:w="1309" w:type="dxa"/>
                  <w:tcBorders>
                    <w:top w:val="nil"/>
                    <w:left w:val="nil"/>
                    <w:bottom w:val="nil"/>
                    <w:right w:val="nil"/>
                  </w:tcBorders>
                  <w:shd w:val="clear" w:color="auto" w:fill="auto"/>
                  <w:noWrap/>
                  <w:hideMark/>
                </w:tcPr>
                <w:p w14:paraId="2190587C" w14:textId="77777777" w:rsidR="008A575D" w:rsidRPr="003F4793" w:rsidRDefault="008A575D" w:rsidP="008A575D">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399F5F18"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20FF196"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8B3E77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8C400F3" w14:textId="77777777" w:rsidR="008A575D" w:rsidRPr="003F4793" w:rsidRDefault="008A575D" w:rsidP="008A575D">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326524A6"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6D3BBAE2"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77D745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E56B1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64A8616" w14:textId="77777777" w:rsidR="008A575D" w:rsidRPr="003F4793" w:rsidRDefault="008A575D" w:rsidP="008A575D">
                  <w:pPr>
                    <w:widowControl/>
                    <w:jc w:val="center"/>
                    <w:rPr>
                      <w:rFonts w:ascii="KaiTi" w:eastAsia="KaiTi" w:hAnsi="KaiTi"/>
                      <w:kern w:val="0"/>
                      <w:sz w:val="20"/>
                      <w:szCs w:val="20"/>
                    </w:rPr>
                  </w:pPr>
                </w:p>
              </w:tc>
            </w:tr>
            <w:tr w:rsidR="008A575D" w:rsidRPr="003F4793" w14:paraId="67AF4F87" w14:textId="77777777" w:rsidTr="00416E34">
              <w:trPr>
                <w:trHeight w:val="74"/>
              </w:trPr>
              <w:tc>
                <w:tcPr>
                  <w:tcW w:w="1309" w:type="dxa"/>
                  <w:tcBorders>
                    <w:top w:val="nil"/>
                    <w:left w:val="nil"/>
                    <w:bottom w:val="single" w:sz="12" w:space="0" w:color="FFFFFF"/>
                    <w:right w:val="single" w:sz="8" w:space="0" w:color="FFFFFF"/>
                  </w:tcBorders>
                  <w:shd w:val="clear" w:color="000000" w:fill="F79646"/>
                  <w:noWrap/>
                  <w:hideMark/>
                </w:tcPr>
                <w:p w14:paraId="3FE61E82" w14:textId="475DC984" w:rsidR="008A575D" w:rsidRPr="003F4793" w:rsidRDefault="008A575D" w:rsidP="008A575D">
                  <w:pPr>
                    <w:widowControl/>
                    <w:jc w:val="center"/>
                    <w:rPr>
                      <w:rFonts w:ascii="KaiTi" w:eastAsia="KaiTi" w:hAnsi="KaiTi" w:cs="宋体"/>
                      <w:b/>
                      <w:bCs/>
                      <w:color w:val="FFFFFF"/>
                      <w:kern w:val="0"/>
                      <w:sz w:val="20"/>
                      <w:szCs w:val="20"/>
                    </w:rPr>
                  </w:pPr>
                  <w:proofErr w:type="gramStart"/>
                  <w:r w:rsidRPr="00B73352">
                    <w:rPr>
                      <w:rFonts w:hint="eastAsia"/>
                    </w:rPr>
                    <w:t>周变化</w:t>
                  </w:r>
                  <w:proofErr w:type="gramEnd"/>
                  <w:r w:rsidRPr="00B73352">
                    <w:rPr>
                      <w:rFonts w:hint="eastAsia"/>
                    </w:rPr>
                    <w:t>(BP)</w:t>
                  </w:r>
                </w:p>
              </w:tc>
              <w:tc>
                <w:tcPr>
                  <w:tcW w:w="740" w:type="dxa"/>
                  <w:tcBorders>
                    <w:top w:val="nil"/>
                    <w:left w:val="nil"/>
                    <w:bottom w:val="single" w:sz="12" w:space="0" w:color="FFFFFF"/>
                    <w:right w:val="single" w:sz="8" w:space="0" w:color="FFFFFF"/>
                  </w:tcBorders>
                  <w:shd w:val="clear" w:color="000000" w:fill="F79646"/>
                  <w:noWrap/>
                  <w:hideMark/>
                </w:tcPr>
                <w:p w14:paraId="7A2D29AE" w14:textId="0D40D0E9"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31A4EADA" w14:textId="7E172F00"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ED283BD" w14:textId="0A05570A"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D14BBA3" w14:textId="44D8A71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6F6F04C0" w14:textId="780C8F8C"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11161DDB" w14:textId="36333A5D"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88427D0" w14:textId="0F84AB8E"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0F81475" w14:textId="3ADE6948"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8358154" w14:textId="39852046"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r>
            <w:tr w:rsidR="008A575D" w:rsidRPr="003F4793" w14:paraId="691FA2FB" w14:textId="77777777" w:rsidTr="00416E34">
              <w:trPr>
                <w:trHeight w:val="321"/>
              </w:trPr>
              <w:tc>
                <w:tcPr>
                  <w:tcW w:w="1309" w:type="dxa"/>
                  <w:tcBorders>
                    <w:top w:val="nil"/>
                    <w:left w:val="nil"/>
                    <w:bottom w:val="single" w:sz="8" w:space="0" w:color="FFFFFF"/>
                    <w:right w:val="single" w:sz="8" w:space="0" w:color="FFFFFF"/>
                  </w:tcBorders>
                  <w:shd w:val="clear" w:color="000000" w:fill="FCD5B4"/>
                  <w:noWrap/>
                  <w:hideMark/>
                </w:tcPr>
                <w:p w14:paraId="4B8AC9FB" w14:textId="39B94530"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740" w:type="dxa"/>
                  <w:tcBorders>
                    <w:top w:val="nil"/>
                    <w:left w:val="nil"/>
                    <w:bottom w:val="single" w:sz="8" w:space="0" w:color="FFFFFF"/>
                    <w:right w:val="single" w:sz="8" w:space="0" w:color="FFFFFF"/>
                  </w:tcBorders>
                  <w:shd w:val="clear" w:color="000000" w:fill="FCD5B4"/>
                  <w:noWrap/>
                  <w:hideMark/>
                </w:tcPr>
                <w:p w14:paraId="26737727" w14:textId="00A5FEC1" w:rsidR="008A575D" w:rsidRPr="003F4793" w:rsidRDefault="008A575D" w:rsidP="008A575D">
                  <w:pPr>
                    <w:widowControl/>
                    <w:jc w:val="center"/>
                    <w:rPr>
                      <w:rFonts w:ascii="KaiTi" w:eastAsia="KaiTi" w:hAnsi="KaiTi" w:cs="Calibri"/>
                      <w:color w:val="000000"/>
                      <w:kern w:val="0"/>
                      <w:szCs w:val="21"/>
                    </w:rPr>
                  </w:pPr>
                  <w:r w:rsidRPr="00B73352">
                    <w:t xml:space="preserve">15.8 </w:t>
                  </w:r>
                </w:p>
              </w:tc>
              <w:tc>
                <w:tcPr>
                  <w:tcW w:w="920" w:type="dxa"/>
                  <w:tcBorders>
                    <w:top w:val="nil"/>
                    <w:left w:val="nil"/>
                    <w:bottom w:val="single" w:sz="8" w:space="0" w:color="FFFFFF"/>
                    <w:right w:val="single" w:sz="8" w:space="0" w:color="FFFFFF"/>
                  </w:tcBorders>
                  <w:shd w:val="clear" w:color="000000" w:fill="FCD5B4"/>
                  <w:noWrap/>
                  <w:hideMark/>
                </w:tcPr>
                <w:p w14:paraId="36AEEC42" w14:textId="362CD53F" w:rsidR="008A575D" w:rsidRPr="003F4793" w:rsidRDefault="008A575D" w:rsidP="008A575D">
                  <w:pPr>
                    <w:widowControl/>
                    <w:jc w:val="center"/>
                    <w:rPr>
                      <w:rFonts w:ascii="KaiTi" w:eastAsia="KaiTi" w:hAnsi="KaiTi" w:cs="Calibri"/>
                      <w:color w:val="000000"/>
                      <w:kern w:val="0"/>
                      <w:szCs w:val="21"/>
                    </w:rPr>
                  </w:pPr>
                  <w:r w:rsidRPr="00B73352">
                    <w:t xml:space="preserve">19.8 </w:t>
                  </w:r>
                </w:p>
              </w:tc>
              <w:tc>
                <w:tcPr>
                  <w:tcW w:w="920" w:type="dxa"/>
                  <w:tcBorders>
                    <w:top w:val="nil"/>
                    <w:left w:val="nil"/>
                    <w:bottom w:val="single" w:sz="8" w:space="0" w:color="FFFFFF"/>
                    <w:right w:val="single" w:sz="8" w:space="0" w:color="FFFFFF"/>
                  </w:tcBorders>
                  <w:shd w:val="clear" w:color="000000" w:fill="FCD5B4"/>
                  <w:noWrap/>
                  <w:hideMark/>
                </w:tcPr>
                <w:p w14:paraId="6FAA78B0" w14:textId="4EBD4FB9" w:rsidR="008A575D" w:rsidRPr="003F4793" w:rsidRDefault="008A575D" w:rsidP="008A575D">
                  <w:pPr>
                    <w:widowControl/>
                    <w:jc w:val="center"/>
                    <w:rPr>
                      <w:rFonts w:ascii="KaiTi" w:eastAsia="KaiTi" w:hAnsi="KaiTi" w:cs="Calibri"/>
                      <w:color w:val="000000"/>
                      <w:kern w:val="0"/>
                      <w:szCs w:val="21"/>
                    </w:rPr>
                  </w:pPr>
                  <w:r w:rsidRPr="00B73352">
                    <w:t xml:space="preserve">16.8 </w:t>
                  </w:r>
                </w:p>
              </w:tc>
              <w:tc>
                <w:tcPr>
                  <w:tcW w:w="920" w:type="dxa"/>
                  <w:tcBorders>
                    <w:top w:val="nil"/>
                    <w:left w:val="nil"/>
                    <w:bottom w:val="single" w:sz="8" w:space="0" w:color="FFFFFF"/>
                    <w:right w:val="single" w:sz="8" w:space="0" w:color="FFFFFF"/>
                  </w:tcBorders>
                  <w:shd w:val="clear" w:color="000000" w:fill="FCD5B4"/>
                  <w:noWrap/>
                  <w:hideMark/>
                </w:tcPr>
                <w:p w14:paraId="79E4FA89" w14:textId="08CFE6CA" w:rsidR="008A575D" w:rsidRPr="003F4793" w:rsidRDefault="008A575D" w:rsidP="008A575D">
                  <w:pPr>
                    <w:widowControl/>
                    <w:jc w:val="center"/>
                    <w:rPr>
                      <w:rFonts w:ascii="KaiTi" w:eastAsia="KaiTi" w:hAnsi="KaiTi" w:cs="Calibri"/>
                      <w:color w:val="000000"/>
                      <w:kern w:val="0"/>
                      <w:szCs w:val="21"/>
                    </w:rPr>
                  </w:pPr>
                  <w:r w:rsidRPr="00B73352">
                    <w:t xml:space="preserve">15.8 </w:t>
                  </w:r>
                </w:p>
              </w:tc>
              <w:tc>
                <w:tcPr>
                  <w:tcW w:w="1149" w:type="dxa"/>
                  <w:tcBorders>
                    <w:top w:val="nil"/>
                    <w:left w:val="nil"/>
                    <w:bottom w:val="single" w:sz="8" w:space="0" w:color="FFFFFF"/>
                    <w:right w:val="single" w:sz="8" w:space="0" w:color="FFFFFF"/>
                  </w:tcBorders>
                  <w:shd w:val="clear" w:color="000000" w:fill="FCD5B4"/>
                  <w:noWrap/>
                  <w:hideMark/>
                </w:tcPr>
                <w:p w14:paraId="606C4AAF" w14:textId="5CEE343B"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920" w:type="dxa"/>
                  <w:tcBorders>
                    <w:top w:val="nil"/>
                    <w:left w:val="nil"/>
                    <w:bottom w:val="single" w:sz="8" w:space="0" w:color="FFFFFF"/>
                    <w:right w:val="single" w:sz="8" w:space="0" w:color="FFFFFF"/>
                  </w:tcBorders>
                  <w:shd w:val="clear" w:color="000000" w:fill="FCD5B4"/>
                  <w:noWrap/>
                  <w:hideMark/>
                </w:tcPr>
                <w:p w14:paraId="357A1196" w14:textId="4AC8E32B" w:rsidR="008A575D" w:rsidRPr="003F4793" w:rsidRDefault="008A575D" w:rsidP="008A575D">
                  <w:pPr>
                    <w:widowControl/>
                    <w:jc w:val="center"/>
                    <w:rPr>
                      <w:rFonts w:ascii="KaiTi" w:eastAsia="KaiTi" w:hAnsi="KaiTi" w:cs="Calibri"/>
                      <w:color w:val="000000"/>
                      <w:kern w:val="0"/>
                      <w:szCs w:val="21"/>
                    </w:rPr>
                  </w:pPr>
                  <w:r w:rsidRPr="00B73352">
                    <w:t xml:space="preserve">14.9 </w:t>
                  </w:r>
                </w:p>
              </w:tc>
              <w:tc>
                <w:tcPr>
                  <w:tcW w:w="920" w:type="dxa"/>
                  <w:tcBorders>
                    <w:top w:val="nil"/>
                    <w:left w:val="nil"/>
                    <w:bottom w:val="single" w:sz="8" w:space="0" w:color="FFFFFF"/>
                    <w:right w:val="single" w:sz="8" w:space="0" w:color="FFFFFF"/>
                  </w:tcBorders>
                  <w:shd w:val="clear" w:color="000000" w:fill="FCD5B4"/>
                  <w:noWrap/>
                  <w:hideMark/>
                </w:tcPr>
                <w:p w14:paraId="2701848E" w14:textId="33FE2A3F" w:rsidR="008A575D" w:rsidRPr="003F4793" w:rsidRDefault="008A575D" w:rsidP="008A575D">
                  <w:pPr>
                    <w:widowControl/>
                    <w:jc w:val="center"/>
                    <w:rPr>
                      <w:rFonts w:ascii="KaiTi" w:eastAsia="KaiTi" w:hAnsi="KaiTi" w:cs="Calibri"/>
                      <w:color w:val="000000"/>
                      <w:kern w:val="0"/>
                      <w:szCs w:val="21"/>
                    </w:rPr>
                  </w:pPr>
                  <w:r w:rsidRPr="00B73352">
                    <w:t xml:space="preserve">18.9 </w:t>
                  </w:r>
                </w:p>
              </w:tc>
              <w:tc>
                <w:tcPr>
                  <w:tcW w:w="920" w:type="dxa"/>
                  <w:tcBorders>
                    <w:top w:val="nil"/>
                    <w:left w:val="nil"/>
                    <w:bottom w:val="single" w:sz="8" w:space="0" w:color="FFFFFF"/>
                    <w:right w:val="single" w:sz="8" w:space="0" w:color="FFFFFF"/>
                  </w:tcBorders>
                  <w:shd w:val="clear" w:color="000000" w:fill="FCD5B4"/>
                  <w:noWrap/>
                  <w:hideMark/>
                </w:tcPr>
                <w:p w14:paraId="004705FE" w14:textId="0BA9B175" w:rsidR="008A575D" w:rsidRPr="003F4793" w:rsidRDefault="008A575D" w:rsidP="008A575D">
                  <w:pPr>
                    <w:widowControl/>
                    <w:jc w:val="center"/>
                    <w:rPr>
                      <w:rFonts w:ascii="KaiTi" w:eastAsia="KaiTi" w:hAnsi="KaiTi" w:cs="Calibri"/>
                      <w:color w:val="000000"/>
                      <w:kern w:val="0"/>
                      <w:szCs w:val="21"/>
                    </w:rPr>
                  </w:pPr>
                  <w:r w:rsidRPr="00B73352">
                    <w:t xml:space="preserve">15.9 </w:t>
                  </w:r>
                </w:p>
              </w:tc>
              <w:tc>
                <w:tcPr>
                  <w:tcW w:w="920" w:type="dxa"/>
                  <w:tcBorders>
                    <w:top w:val="nil"/>
                    <w:left w:val="nil"/>
                    <w:bottom w:val="single" w:sz="8" w:space="0" w:color="FFFFFF"/>
                    <w:right w:val="single" w:sz="8" w:space="0" w:color="FFFFFF"/>
                  </w:tcBorders>
                  <w:shd w:val="clear" w:color="000000" w:fill="FCD5B4"/>
                  <w:noWrap/>
                  <w:hideMark/>
                </w:tcPr>
                <w:p w14:paraId="3FBDA2E9" w14:textId="713A9275" w:rsidR="008A575D" w:rsidRPr="003F4793" w:rsidRDefault="008A575D" w:rsidP="008A575D">
                  <w:pPr>
                    <w:widowControl/>
                    <w:jc w:val="center"/>
                    <w:rPr>
                      <w:rFonts w:ascii="KaiTi" w:eastAsia="KaiTi" w:hAnsi="KaiTi" w:cs="Calibri"/>
                      <w:color w:val="000000"/>
                      <w:kern w:val="0"/>
                      <w:szCs w:val="21"/>
                    </w:rPr>
                  </w:pPr>
                  <w:r w:rsidRPr="00B73352">
                    <w:t xml:space="preserve">14.9 </w:t>
                  </w:r>
                </w:p>
              </w:tc>
            </w:tr>
            <w:tr w:rsidR="008A575D" w:rsidRPr="003F4793" w14:paraId="497D492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7DBC5358" w14:textId="0C64A77A"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740" w:type="dxa"/>
                  <w:tcBorders>
                    <w:top w:val="nil"/>
                    <w:left w:val="nil"/>
                    <w:bottom w:val="single" w:sz="8" w:space="0" w:color="FFFFFF"/>
                    <w:right w:val="single" w:sz="8" w:space="0" w:color="FFFFFF"/>
                  </w:tcBorders>
                  <w:shd w:val="clear" w:color="000000" w:fill="FDE9D9"/>
                  <w:noWrap/>
                  <w:hideMark/>
                </w:tcPr>
                <w:p w14:paraId="3CD640D8" w14:textId="304045F5" w:rsidR="008A575D" w:rsidRPr="003F4793" w:rsidRDefault="008A575D" w:rsidP="008A575D">
                  <w:pPr>
                    <w:widowControl/>
                    <w:jc w:val="center"/>
                    <w:rPr>
                      <w:rFonts w:ascii="KaiTi" w:eastAsia="KaiTi" w:hAnsi="KaiTi" w:cs="Calibri"/>
                      <w:color w:val="000000"/>
                      <w:kern w:val="0"/>
                      <w:szCs w:val="21"/>
                    </w:rPr>
                  </w:pPr>
                  <w:r w:rsidRPr="00B73352">
                    <w:t xml:space="preserve">9.4 </w:t>
                  </w:r>
                </w:p>
              </w:tc>
              <w:tc>
                <w:tcPr>
                  <w:tcW w:w="920" w:type="dxa"/>
                  <w:tcBorders>
                    <w:top w:val="nil"/>
                    <w:left w:val="nil"/>
                    <w:bottom w:val="single" w:sz="8" w:space="0" w:color="FFFFFF"/>
                    <w:right w:val="single" w:sz="8" w:space="0" w:color="FFFFFF"/>
                  </w:tcBorders>
                  <w:shd w:val="clear" w:color="000000" w:fill="FDE9D9"/>
                  <w:noWrap/>
                  <w:hideMark/>
                </w:tcPr>
                <w:p w14:paraId="02826B46" w14:textId="267FFDF4" w:rsidR="008A575D" w:rsidRPr="003F4793" w:rsidRDefault="008A575D" w:rsidP="008A575D">
                  <w:pPr>
                    <w:widowControl/>
                    <w:jc w:val="center"/>
                    <w:rPr>
                      <w:rFonts w:ascii="KaiTi" w:eastAsia="KaiTi" w:hAnsi="KaiTi" w:cs="Calibri"/>
                      <w:color w:val="000000"/>
                      <w:kern w:val="0"/>
                      <w:szCs w:val="21"/>
                    </w:rPr>
                  </w:pPr>
                  <w:r w:rsidRPr="00B73352">
                    <w:t xml:space="preserve">11.4 </w:t>
                  </w:r>
                </w:p>
              </w:tc>
              <w:tc>
                <w:tcPr>
                  <w:tcW w:w="920" w:type="dxa"/>
                  <w:tcBorders>
                    <w:top w:val="nil"/>
                    <w:left w:val="nil"/>
                    <w:bottom w:val="single" w:sz="8" w:space="0" w:color="FFFFFF"/>
                    <w:right w:val="single" w:sz="8" w:space="0" w:color="FFFFFF"/>
                  </w:tcBorders>
                  <w:shd w:val="clear" w:color="000000" w:fill="FDE9D9"/>
                  <w:noWrap/>
                  <w:hideMark/>
                </w:tcPr>
                <w:p w14:paraId="605A16DF" w14:textId="4CD06A75" w:rsidR="008A575D" w:rsidRPr="003F4793" w:rsidRDefault="008A575D" w:rsidP="008A575D">
                  <w:pPr>
                    <w:widowControl/>
                    <w:jc w:val="center"/>
                    <w:rPr>
                      <w:rFonts w:ascii="KaiTi" w:eastAsia="KaiTi" w:hAnsi="KaiTi" w:cs="Calibri"/>
                      <w:color w:val="000000"/>
                      <w:kern w:val="0"/>
                      <w:szCs w:val="21"/>
                    </w:rPr>
                  </w:pPr>
                  <w:r w:rsidRPr="00B73352">
                    <w:t xml:space="preserve">11.4 </w:t>
                  </w:r>
                </w:p>
              </w:tc>
              <w:tc>
                <w:tcPr>
                  <w:tcW w:w="920" w:type="dxa"/>
                  <w:tcBorders>
                    <w:top w:val="nil"/>
                    <w:left w:val="nil"/>
                    <w:bottom w:val="single" w:sz="8" w:space="0" w:color="FFFFFF"/>
                    <w:right w:val="single" w:sz="8" w:space="0" w:color="FFFFFF"/>
                  </w:tcBorders>
                  <w:shd w:val="clear" w:color="000000" w:fill="FDE9D9"/>
                  <w:noWrap/>
                  <w:hideMark/>
                </w:tcPr>
                <w:p w14:paraId="7B2C5CED" w14:textId="3ED67023" w:rsidR="008A575D" w:rsidRPr="003F4793" w:rsidRDefault="008A575D" w:rsidP="008A575D">
                  <w:pPr>
                    <w:widowControl/>
                    <w:jc w:val="center"/>
                    <w:rPr>
                      <w:rFonts w:ascii="KaiTi" w:eastAsia="KaiTi" w:hAnsi="KaiTi" w:cs="Calibri"/>
                      <w:color w:val="000000"/>
                      <w:kern w:val="0"/>
                      <w:szCs w:val="21"/>
                    </w:rPr>
                  </w:pPr>
                  <w:r w:rsidRPr="00B73352">
                    <w:t xml:space="preserve">12.4 </w:t>
                  </w:r>
                </w:p>
              </w:tc>
              <w:tc>
                <w:tcPr>
                  <w:tcW w:w="1149" w:type="dxa"/>
                  <w:tcBorders>
                    <w:top w:val="nil"/>
                    <w:left w:val="nil"/>
                    <w:bottom w:val="single" w:sz="8" w:space="0" w:color="FFFFFF"/>
                    <w:right w:val="single" w:sz="8" w:space="0" w:color="FFFFFF"/>
                  </w:tcBorders>
                  <w:shd w:val="clear" w:color="000000" w:fill="FDE9D9"/>
                  <w:noWrap/>
                  <w:hideMark/>
                </w:tcPr>
                <w:p w14:paraId="6FF5E0DD" w14:textId="56614C1F"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920" w:type="dxa"/>
                  <w:tcBorders>
                    <w:top w:val="nil"/>
                    <w:left w:val="nil"/>
                    <w:bottom w:val="single" w:sz="8" w:space="0" w:color="FFFFFF"/>
                    <w:right w:val="single" w:sz="8" w:space="0" w:color="FFFFFF"/>
                  </w:tcBorders>
                  <w:shd w:val="clear" w:color="000000" w:fill="FDE9D9"/>
                  <w:noWrap/>
                  <w:hideMark/>
                </w:tcPr>
                <w:p w14:paraId="46C0665C" w14:textId="64D7C557" w:rsidR="008A575D" w:rsidRPr="003F4793" w:rsidRDefault="008A575D" w:rsidP="008A575D">
                  <w:pPr>
                    <w:widowControl/>
                    <w:jc w:val="center"/>
                    <w:rPr>
                      <w:rFonts w:ascii="KaiTi" w:eastAsia="KaiTi" w:hAnsi="KaiTi" w:cs="Calibri"/>
                      <w:color w:val="000000"/>
                      <w:kern w:val="0"/>
                      <w:szCs w:val="21"/>
                    </w:rPr>
                  </w:pPr>
                  <w:r w:rsidRPr="00B73352">
                    <w:t xml:space="preserve">14.5 </w:t>
                  </w:r>
                </w:p>
              </w:tc>
              <w:tc>
                <w:tcPr>
                  <w:tcW w:w="920" w:type="dxa"/>
                  <w:tcBorders>
                    <w:top w:val="nil"/>
                    <w:left w:val="nil"/>
                    <w:bottom w:val="single" w:sz="8" w:space="0" w:color="FFFFFF"/>
                    <w:right w:val="single" w:sz="8" w:space="0" w:color="FFFFFF"/>
                  </w:tcBorders>
                  <w:shd w:val="clear" w:color="000000" w:fill="FDE9D9"/>
                  <w:noWrap/>
                  <w:hideMark/>
                </w:tcPr>
                <w:p w14:paraId="5E23BCCC" w14:textId="420BF453" w:rsidR="008A575D" w:rsidRPr="003F4793" w:rsidRDefault="008A575D" w:rsidP="008A575D">
                  <w:pPr>
                    <w:widowControl/>
                    <w:jc w:val="center"/>
                    <w:rPr>
                      <w:rFonts w:ascii="KaiTi" w:eastAsia="KaiTi" w:hAnsi="KaiTi" w:cs="Calibri"/>
                      <w:color w:val="000000"/>
                      <w:kern w:val="0"/>
                      <w:szCs w:val="21"/>
                    </w:rPr>
                  </w:pPr>
                  <w:r w:rsidRPr="00B73352">
                    <w:t xml:space="preserve">16.5 </w:t>
                  </w:r>
                </w:p>
              </w:tc>
              <w:tc>
                <w:tcPr>
                  <w:tcW w:w="920" w:type="dxa"/>
                  <w:tcBorders>
                    <w:top w:val="nil"/>
                    <w:left w:val="nil"/>
                    <w:bottom w:val="single" w:sz="8" w:space="0" w:color="FFFFFF"/>
                    <w:right w:val="single" w:sz="8" w:space="0" w:color="FFFFFF"/>
                  </w:tcBorders>
                  <w:shd w:val="clear" w:color="000000" w:fill="FDE9D9"/>
                  <w:noWrap/>
                  <w:hideMark/>
                </w:tcPr>
                <w:p w14:paraId="1C0ED519" w14:textId="6F37B583" w:rsidR="008A575D" w:rsidRPr="003F4793" w:rsidRDefault="008A575D" w:rsidP="008A575D">
                  <w:pPr>
                    <w:widowControl/>
                    <w:jc w:val="center"/>
                    <w:rPr>
                      <w:rFonts w:ascii="KaiTi" w:eastAsia="KaiTi" w:hAnsi="KaiTi" w:cs="Calibri"/>
                      <w:color w:val="000000"/>
                      <w:kern w:val="0"/>
                      <w:szCs w:val="21"/>
                    </w:rPr>
                  </w:pPr>
                  <w:r w:rsidRPr="00B73352">
                    <w:t xml:space="preserve">16.5 </w:t>
                  </w:r>
                </w:p>
              </w:tc>
              <w:tc>
                <w:tcPr>
                  <w:tcW w:w="920" w:type="dxa"/>
                  <w:tcBorders>
                    <w:top w:val="nil"/>
                    <w:left w:val="nil"/>
                    <w:bottom w:val="single" w:sz="8" w:space="0" w:color="FFFFFF"/>
                    <w:right w:val="single" w:sz="8" w:space="0" w:color="FFFFFF"/>
                  </w:tcBorders>
                  <w:shd w:val="clear" w:color="000000" w:fill="FDE9D9"/>
                  <w:noWrap/>
                  <w:hideMark/>
                </w:tcPr>
                <w:p w14:paraId="0011E4A5" w14:textId="49477A27" w:rsidR="008A575D" w:rsidRPr="003F4793" w:rsidRDefault="008A575D" w:rsidP="008A575D">
                  <w:pPr>
                    <w:widowControl/>
                    <w:jc w:val="center"/>
                    <w:rPr>
                      <w:rFonts w:ascii="KaiTi" w:eastAsia="KaiTi" w:hAnsi="KaiTi" w:cs="Calibri"/>
                      <w:color w:val="000000"/>
                      <w:kern w:val="0"/>
                      <w:szCs w:val="21"/>
                    </w:rPr>
                  </w:pPr>
                  <w:r w:rsidRPr="00B73352">
                    <w:t xml:space="preserve">17.5 </w:t>
                  </w:r>
                </w:p>
              </w:tc>
            </w:tr>
            <w:tr w:rsidR="008A575D" w:rsidRPr="003F4793" w14:paraId="0CE9EDD9"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666B8A39" w14:textId="0B38351E"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740" w:type="dxa"/>
                  <w:tcBorders>
                    <w:top w:val="nil"/>
                    <w:left w:val="nil"/>
                    <w:bottom w:val="single" w:sz="8" w:space="0" w:color="FFFFFF"/>
                    <w:right w:val="single" w:sz="8" w:space="0" w:color="FFFFFF"/>
                  </w:tcBorders>
                  <w:shd w:val="clear" w:color="000000" w:fill="FCD5B4"/>
                  <w:noWrap/>
                  <w:hideMark/>
                </w:tcPr>
                <w:p w14:paraId="46A29143" w14:textId="58704B61" w:rsidR="008A575D" w:rsidRPr="003F4793" w:rsidRDefault="008A575D" w:rsidP="008A575D">
                  <w:pPr>
                    <w:widowControl/>
                    <w:jc w:val="center"/>
                    <w:rPr>
                      <w:rFonts w:ascii="KaiTi" w:eastAsia="KaiTi" w:hAnsi="KaiTi" w:cs="Calibri"/>
                      <w:color w:val="000000"/>
                      <w:kern w:val="0"/>
                      <w:szCs w:val="21"/>
                    </w:rPr>
                  </w:pPr>
                  <w:r w:rsidRPr="00B73352">
                    <w:t xml:space="preserve">10.8 </w:t>
                  </w:r>
                </w:p>
              </w:tc>
              <w:tc>
                <w:tcPr>
                  <w:tcW w:w="920" w:type="dxa"/>
                  <w:tcBorders>
                    <w:top w:val="nil"/>
                    <w:left w:val="nil"/>
                    <w:bottom w:val="single" w:sz="8" w:space="0" w:color="FFFFFF"/>
                    <w:right w:val="single" w:sz="8" w:space="0" w:color="FFFFFF"/>
                  </w:tcBorders>
                  <w:shd w:val="clear" w:color="000000" w:fill="FCD5B4"/>
                  <w:noWrap/>
                  <w:hideMark/>
                </w:tcPr>
                <w:p w14:paraId="65AB8809" w14:textId="5477A5D2"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008EB32A" w14:textId="5101F02F"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7D7C0954" w14:textId="7F9DB3AA" w:rsidR="008A575D" w:rsidRPr="003F4793" w:rsidRDefault="008A575D" w:rsidP="008A575D">
                  <w:pPr>
                    <w:widowControl/>
                    <w:jc w:val="center"/>
                    <w:rPr>
                      <w:rFonts w:ascii="KaiTi" w:eastAsia="KaiTi" w:hAnsi="KaiTi" w:cs="Calibri"/>
                      <w:color w:val="000000"/>
                      <w:kern w:val="0"/>
                      <w:szCs w:val="21"/>
                    </w:rPr>
                  </w:pPr>
                  <w:r w:rsidRPr="00B73352">
                    <w:t xml:space="preserve">10.8 </w:t>
                  </w:r>
                </w:p>
              </w:tc>
              <w:tc>
                <w:tcPr>
                  <w:tcW w:w="1149" w:type="dxa"/>
                  <w:tcBorders>
                    <w:top w:val="nil"/>
                    <w:left w:val="nil"/>
                    <w:bottom w:val="single" w:sz="8" w:space="0" w:color="FFFFFF"/>
                    <w:right w:val="single" w:sz="8" w:space="0" w:color="FFFFFF"/>
                  </w:tcBorders>
                  <w:shd w:val="clear" w:color="000000" w:fill="FCD5B4"/>
                  <w:noWrap/>
                  <w:hideMark/>
                </w:tcPr>
                <w:p w14:paraId="1A7EC8C4" w14:textId="5C3C81FA"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920" w:type="dxa"/>
                  <w:tcBorders>
                    <w:top w:val="nil"/>
                    <w:left w:val="nil"/>
                    <w:bottom w:val="single" w:sz="8" w:space="0" w:color="FFFFFF"/>
                    <w:right w:val="single" w:sz="8" w:space="0" w:color="FFFFFF"/>
                  </w:tcBorders>
                  <w:shd w:val="clear" w:color="000000" w:fill="FCD5B4"/>
                  <w:noWrap/>
                  <w:hideMark/>
                </w:tcPr>
                <w:p w14:paraId="0CE8BFC7" w14:textId="4AD794E2" w:rsidR="008A575D" w:rsidRPr="003F4793" w:rsidRDefault="008A575D" w:rsidP="008A575D">
                  <w:pPr>
                    <w:widowControl/>
                    <w:jc w:val="center"/>
                    <w:rPr>
                      <w:rFonts w:ascii="KaiTi" w:eastAsia="KaiTi" w:hAnsi="KaiTi" w:cs="Calibri"/>
                      <w:color w:val="000000"/>
                      <w:kern w:val="0"/>
                      <w:szCs w:val="21"/>
                    </w:rPr>
                  </w:pPr>
                  <w:r w:rsidRPr="00B73352">
                    <w:t xml:space="preserve">10.8 </w:t>
                  </w:r>
                </w:p>
              </w:tc>
              <w:tc>
                <w:tcPr>
                  <w:tcW w:w="920" w:type="dxa"/>
                  <w:tcBorders>
                    <w:top w:val="nil"/>
                    <w:left w:val="nil"/>
                    <w:bottom w:val="single" w:sz="8" w:space="0" w:color="FFFFFF"/>
                    <w:right w:val="single" w:sz="8" w:space="0" w:color="FFFFFF"/>
                  </w:tcBorders>
                  <w:shd w:val="clear" w:color="000000" w:fill="FCD5B4"/>
                  <w:noWrap/>
                  <w:hideMark/>
                </w:tcPr>
                <w:p w14:paraId="5811EE16" w14:textId="43EE664C"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42E7B60E" w14:textId="7E1FE4D1"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4E401EC9" w14:textId="3AB308CF" w:rsidR="008A575D" w:rsidRPr="003F4793" w:rsidRDefault="008A575D" w:rsidP="008A575D">
                  <w:pPr>
                    <w:widowControl/>
                    <w:jc w:val="center"/>
                    <w:rPr>
                      <w:rFonts w:ascii="KaiTi" w:eastAsia="KaiTi" w:hAnsi="KaiTi" w:cs="Calibri"/>
                      <w:color w:val="000000"/>
                      <w:kern w:val="0"/>
                      <w:szCs w:val="21"/>
                    </w:rPr>
                  </w:pPr>
                  <w:r w:rsidRPr="00B73352">
                    <w:t xml:space="preserve">10.8 </w:t>
                  </w:r>
                </w:p>
              </w:tc>
            </w:tr>
            <w:tr w:rsidR="008A575D" w:rsidRPr="003F4793" w14:paraId="4B96FC1F"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055655BC" w14:textId="39D0ADF3"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5C23ADBD" w14:textId="53FEC0C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7.3 </w:t>
                  </w:r>
                </w:p>
              </w:tc>
              <w:tc>
                <w:tcPr>
                  <w:tcW w:w="920" w:type="dxa"/>
                  <w:tcBorders>
                    <w:top w:val="nil"/>
                    <w:left w:val="nil"/>
                    <w:bottom w:val="single" w:sz="8" w:space="0" w:color="FFFFFF"/>
                    <w:right w:val="single" w:sz="8" w:space="0" w:color="FFFFFF"/>
                  </w:tcBorders>
                  <w:shd w:val="clear" w:color="000000" w:fill="FDE9D9"/>
                  <w:noWrap/>
                  <w:hideMark/>
                </w:tcPr>
                <w:p w14:paraId="5FCD1E73" w14:textId="05F8DD2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10.3 </w:t>
                  </w:r>
                </w:p>
              </w:tc>
              <w:tc>
                <w:tcPr>
                  <w:tcW w:w="920" w:type="dxa"/>
                  <w:tcBorders>
                    <w:top w:val="nil"/>
                    <w:left w:val="nil"/>
                    <w:bottom w:val="single" w:sz="8" w:space="0" w:color="FFFFFF"/>
                    <w:right w:val="single" w:sz="8" w:space="0" w:color="FFFFFF"/>
                  </w:tcBorders>
                  <w:shd w:val="clear" w:color="000000" w:fill="FDE9D9"/>
                  <w:noWrap/>
                  <w:hideMark/>
                </w:tcPr>
                <w:p w14:paraId="5B16061B" w14:textId="00A808E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16.3 </w:t>
                  </w:r>
                </w:p>
              </w:tc>
              <w:tc>
                <w:tcPr>
                  <w:tcW w:w="920" w:type="dxa"/>
                  <w:tcBorders>
                    <w:top w:val="nil"/>
                    <w:left w:val="nil"/>
                    <w:bottom w:val="single" w:sz="8" w:space="0" w:color="FFFFFF"/>
                    <w:right w:val="single" w:sz="8" w:space="0" w:color="FFFFFF"/>
                  </w:tcBorders>
                  <w:shd w:val="clear" w:color="000000" w:fill="FDE9D9"/>
                  <w:noWrap/>
                  <w:hideMark/>
                </w:tcPr>
                <w:p w14:paraId="76F51BF6" w14:textId="7C39955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17.3 </w:t>
                  </w:r>
                </w:p>
              </w:tc>
              <w:tc>
                <w:tcPr>
                  <w:tcW w:w="1149" w:type="dxa"/>
                  <w:tcBorders>
                    <w:top w:val="nil"/>
                    <w:left w:val="nil"/>
                    <w:bottom w:val="single" w:sz="8" w:space="0" w:color="FFFFFF"/>
                    <w:right w:val="single" w:sz="8" w:space="0" w:color="FFFFFF"/>
                  </w:tcBorders>
                  <w:shd w:val="clear" w:color="000000" w:fill="FDE9D9"/>
                  <w:noWrap/>
                  <w:hideMark/>
                </w:tcPr>
                <w:p w14:paraId="343EAA9F" w14:textId="2B95611C"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63247225" w14:textId="53D398F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12.4 </w:t>
                  </w:r>
                </w:p>
              </w:tc>
              <w:tc>
                <w:tcPr>
                  <w:tcW w:w="920" w:type="dxa"/>
                  <w:tcBorders>
                    <w:top w:val="nil"/>
                    <w:left w:val="nil"/>
                    <w:bottom w:val="single" w:sz="8" w:space="0" w:color="FFFFFF"/>
                    <w:right w:val="single" w:sz="8" w:space="0" w:color="FFFFFF"/>
                  </w:tcBorders>
                  <w:shd w:val="clear" w:color="000000" w:fill="FDE9D9"/>
                  <w:noWrap/>
                  <w:hideMark/>
                </w:tcPr>
                <w:p w14:paraId="083BF439" w14:textId="548AA6A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15.4 </w:t>
                  </w:r>
                </w:p>
              </w:tc>
              <w:tc>
                <w:tcPr>
                  <w:tcW w:w="920" w:type="dxa"/>
                  <w:tcBorders>
                    <w:top w:val="nil"/>
                    <w:left w:val="nil"/>
                    <w:bottom w:val="single" w:sz="8" w:space="0" w:color="FFFFFF"/>
                    <w:right w:val="single" w:sz="8" w:space="0" w:color="FFFFFF"/>
                  </w:tcBorders>
                  <w:shd w:val="clear" w:color="000000" w:fill="FDE9D9"/>
                  <w:noWrap/>
                  <w:hideMark/>
                </w:tcPr>
                <w:p w14:paraId="7F14EF11" w14:textId="299C3BC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21.4 </w:t>
                  </w:r>
                </w:p>
              </w:tc>
              <w:tc>
                <w:tcPr>
                  <w:tcW w:w="920" w:type="dxa"/>
                  <w:tcBorders>
                    <w:top w:val="nil"/>
                    <w:left w:val="nil"/>
                    <w:bottom w:val="single" w:sz="8" w:space="0" w:color="FFFFFF"/>
                    <w:right w:val="single" w:sz="8" w:space="0" w:color="FFFFFF"/>
                  </w:tcBorders>
                  <w:shd w:val="clear" w:color="000000" w:fill="FDE9D9"/>
                  <w:noWrap/>
                  <w:hideMark/>
                </w:tcPr>
                <w:p w14:paraId="61246080" w14:textId="7B47DAE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22.4 </w:t>
                  </w:r>
                </w:p>
              </w:tc>
            </w:tr>
            <w:tr w:rsidR="008A575D" w:rsidRPr="003F4793" w14:paraId="445C2E7B"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7A530122" w14:textId="214F7C9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5D5F6751" w14:textId="1FEB4FC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12.3 </w:t>
                  </w:r>
                </w:p>
              </w:tc>
              <w:tc>
                <w:tcPr>
                  <w:tcW w:w="920" w:type="dxa"/>
                  <w:tcBorders>
                    <w:top w:val="nil"/>
                    <w:left w:val="nil"/>
                    <w:bottom w:val="single" w:sz="8" w:space="0" w:color="FFFFFF"/>
                    <w:right w:val="single" w:sz="8" w:space="0" w:color="FFFFFF"/>
                  </w:tcBorders>
                  <w:shd w:val="clear" w:color="000000" w:fill="FCD5B4"/>
                  <w:noWrap/>
                  <w:hideMark/>
                </w:tcPr>
                <w:p w14:paraId="300B72E8" w14:textId="2349ABD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8.3 </w:t>
                  </w:r>
                </w:p>
              </w:tc>
              <w:tc>
                <w:tcPr>
                  <w:tcW w:w="920" w:type="dxa"/>
                  <w:tcBorders>
                    <w:top w:val="nil"/>
                    <w:left w:val="nil"/>
                    <w:bottom w:val="single" w:sz="8" w:space="0" w:color="FFFFFF"/>
                    <w:right w:val="single" w:sz="8" w:space="0" w:color="FFFFFF"/>
                  </w:tcBorders>
                  <w:shd w:val="clear" w:color="000000" w:fill="FCD5B4"/>
                  <w:noWrap/>
                  <w:hideMark/>
                </w:tcPr>
                <w:p w14:paraId="4243F803" w14:textId="5BB48CE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13.3 </w:t>
                  </w:r>
                </w:p>
              </w:tc>
              <w:tc>
                <w:tcPr>
                  <w:tcW w:w="920" w:type="dxa"/>
                  <w:tcBorders>
                    <w:top w:val="nil"/>
                    <w:left w:val="nil"/>
                    <w:bottom w:val="single" w:sz="8" w:space="0" w:color="FFFFFF"/>
                    <w:right w:val="single" w:sz="8" w:space="0" w:color="FFFFFF"/>
                  </w:tcBorders>
                  <w:shd w:val="clear" w:color="000000" w:fill="FCD5B4"/>
                  <w:noWrap/>
                  <w:hideMark/>
                </w:tcPr>
                <w:p w14:paraId="448E5ABD" w14:textId="56BD380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15.3 </w:t>
                  </w:r>
                </w:p>
              </w:tc>
              <w:tc>
                <w:tcPr>
                  <w:tcW w:w="1149" w:type="dxa"/>
                  <w:tcBorders>
                    <w:top w:val="nil"/>
                    <w:left w:val="nil"/>
                    <w:bottom w:val="single" w:sz="8" w:space="0" w:color="FFFFFF"/>
                    <w:right w:val="single" w:sz="8" w:space="0" w:color="FFFFFF"/>
                  </w:tcBorders>
                  <w:shd w:val="clear" w:color="000000" w:fill="FCD5B4"/>
                  <w:noWrap/>
                  <w:hideMark/>
                </w:tcPr>
                <w:p w14:paraId="243BE1B9" w14:textId="1B28573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284F409D" w14:textId="1FBDF10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12.3 </w:t>
                  </w:r>
                </w:p>
              </w:tc>
              <w:tc>
                <w:tcPr>
                  <w:tcW w:w="920" w:type="dxa"/>
                  <w:tcBorders>
                    <w:top w:val="nil"/>
                    <w:left w:val="nil"/>
                    <w:bottom w:val="single" w:sz="8" w:space="0" w:color="FFFFFF"/>
                    <w:right w:val="single" w:sz="8" w:space="0" w:color="FFFFFF"/>
                  </w:tcBorders>
                  <w:shd w:val="clear" w:color="000000" w:fill="FCD5B4"/>
                  <w:noWrap/>
                  <w:hideMark/>
                </w:tcPr>
                <w:p w14:paraId="036E88AD" w14:textId="744754B0"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8.3 </w:t>
                  </w:r>
                </w:p>
              </w:tc>
              <w:tc>
                <w:tcPr>
                  <w:tcW w:w="920" w:type="dxa"/>
                  <w:tcBorders>
                    <w:top w:val="nil"/>
                    <w:left w:val="nil"/>
                    <w:bottom w:val="single" w:sz="8" w:space="0" w:color="FFFFFF"/>
                    <w:right w:val="single" w:sz="8" w:space="0" w:color="FFFFFF"/>
                  </w:tcBorders>
                  <w:shd w:val="clear" w:color="000000" w:fill="FCD5B4"/>
                  <w:noWrap/>
                  <w:hideMark/>
                </w:tcPr>
                <w:p w14:paraId="427E0CD2" w14:textId="6D9FF91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13.3 </w:t>
                  </w:r>
                </w:p>
              </w:tc>
              <w:tc>
                <w:tcPr>
                  <w:tcW w:w="920" w:type="dxa"/>
                  <w:tcBorders>
                    <w:top w:val="nil"/>
                    <w:left w:val="nil"/>
                    <w:bottom w:val="single" w:sz="8" w:space="0" w:color="FFFFFF"/>
                    <w:right w:val="single" w:sz="8" w:space="0" w:color="FFFFFF"/>
                  </w:tcBorders>
                  <w:shd w:val="clear" w:color="000000" w:fill="FCD5B4"/>
                  <w:noWrap/>
                  <w:hideMark/>
                </w:tcPr>
                <w:p w14:paraId="78BEA210" w14:textId="0152F18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15.3 </w:t>
                  </w:r>
                </w:p>
              </w:tc>
            </w:tr>
            <w:tr w:rsidR="008A575D" w:rsidRPr="003F4793" w14:paraId="3191787A"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1F700977" w14:textId="144B9B4B"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2827D979" w14:textId="6879D48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7.9 </w:t>
                  </w:r>
                </w:p>
              </w:tc>
              <w:tc>
                <w:tcPr>
                  <w:tcW w:w="920" w:type="dxa"/>
                  <w:tcBorders>
                    <w:top w:val="nil"/>
                    <w:left w:val="nil"/>
                    <w:bottom w:val="single" w:sz="8" w:space="0" w:color="FFFFFF"/>
                    <w:right w:val="single" w:sz="8" w:space="0" w:color="FFFFFF"/>
                  </w:tcBorders>
                  <w:shd w:val="clear" w:color="000000" w:fill="FDE9D9"/>
                  <w:noWrap/>
                  <w:hideMark/>
                </w:tcPr>
                <w:p w14:paraId="1BCEB620" w14:textId="09B469F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4.9 </w:t>
                  </w:r>
                </w:p>
              </w:tc>
              <w:tc>
                <w:tcPr>
                  <w:tcW w:w="920" w:type="dxa"/>
                  <w:tcBorders>
                    <w:top w:val="nil"/>
                    <w:left w:val="nil"/>
                    <w:bottom w:val="single" w:sz="8" w:space="0" w:color="FFFFFF"/>
                    <w:right w:val="single" w:sz="8" w:space="0" w:color="FFFFFF"/>
                  </w:tcBorders>
                  <w:shd w:val="clear" w:color="000000" w:fill="FDE9D9"/>
                  <w:noWrap/>
                  <w:hideMark/>
                </w:tcPr>
                <w:p w14:paraId="642DA1D2" w14:textId="7CA908E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9.9 </w:t>
                  </w:r>
                </w:p>
              </w:tc>
              <w:tc>
                <w:tcPr>
                  <w:tcW w:w="920" w:type="dxa"/>
                  <w:tcBorders>
                    <w:top w:val="nil"/>
                    <w:left w:val="nil"/>
                    <w:bottom w:val="single" w:sz="8" w:space="0" w:color="FFFFFF"/>
                    <w:right w:val="single" w:sz="8" w:space="0" w:color="FFFFFF"/>
                  </w:tcBorders>
                  <w:shd w:val="clear" w:color="000000" w:fill="FDE9D9"/>
                  <w:noWrap/>
                  <w:hideMark/>
                </w:tcPr>
                <w:p w14:paraId="45A5D7F8" w14:textId="5D04E39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10.9 </w:t>
                  </w:r>
                </w:p>
              </w:tc>
              <w:tc>
                <w:tcPr>
                  <w:tcW w:w="1149" w:type="dxa"/>
                  <w:tcBorders>
                    <w:top w:val="nil"/>
                    <w:left w:val="nil"/>
                    <w:bottom w:val="single" w:sz="8" w:space="0" w:color="FFFFFF"/>
                    <w:right w:val="single" w:sz="8" w:space="0" w:color="FFFFFF"/>
                  </w:tcBorders>
                  <w:shd w:val="clear" w:color="000000" w:fill="FDE9D9"/>
                  <w:noWrap/>
                  <w:hideMark/>
                </w:tcPr>
                <w:p w14:paraId="065B2767" w14:textId="352520F3"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720359E1" w14:textId="4F6A9DD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10.5 </w:t>
                  </w:r>
                </w:p>
              </w:tc>
              <w:tc>
                <w:tcPr>
                  <w:tcW w:w="920" w:type="dxa"/>
                  <w:tcBorders>
                    <w:top w:val="nil"/>
                    <w:left w:val="nil"/>
                    <w:bottom w:val="single" w:sz="8" w:space="0" w:color="FFFFFF"/>
                    <w:right w:val="single" w:sz="8" w:space="0" w:color="FFFFFF"/>
                  </w:tcBorders>
                  <w:shd w:val="clear" w:color="000000" w:fill="FDE9D9"/>
                  <w:noWrap/>
                  <w:hideMark/>
                </w:tcPr>
                <w:p w14:paraId="059C072D" w14:textId="66CA2A7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7.5 </w:t>
                  </w:r>
                </w:p>
              </w:tc>
              <w:tc>
                <w:tcPr>
                  <w:tcW w:w="920" w:type="dxa"/>
                  <w:tcBorders>
                    <w:top w:val="nil"/>
                    <w:left w:val="nil"/>
                    <w:bottom w:val="single" w:sz="8" w:space="0" w:color="FFFFFF"/>
                    <w:right w:val="single" w:sz="8" w:space="0" w:color="FFFFFF"/>
                  </w:tcBorders>
                  <w:shd w:val="clear" w:color="000000" w:fill="FDE9D9"/>
                  <w:noWrap/>
                  <w:hideMark/>
                </w:tcPr>
                <w:p w14:paraId="4DCBF554" w14:textId="5860645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12.5 </w:t>
                  </w:r>
                </w:p>
              </w:tc>
              <w:tc>
                <w:tcPr>
                  <w:tcW w:w="920" w:type="dxa"/>
                  <w:tcBorders>
                    <w:top w:val="nil"/>
                    <w:left w:val="nil"/>
                    <w:bottom w:val="single" w:sz="8" w:space="0" w:color="FFFFFF"/>
                    <w:right w:val="single" w:sz="8" w:space="0" w:color="FFFFFF"/>
                  </w:tcBorders>
                  <w:shd w:val="clear" w:color="000000" w:fill="FDE9D9"/>
                  <w:noWrap/>
                  <w:hideMark/>
                </w:tcPr>
                <w:p w14:paraId="248F8942" w14:textId="5554CBA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13.5 </w:t>
                  </w:r>
                </w:p>
              </w:tc>
            </w:tr>
            <w:tr w:rsidR="008A575D" w:rsidRPr="003F4793" w14:paraId="30D8B86F"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34C7AF72" w14:textId="4FC769E4"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lastRenderedPageBreak/>
                    <w:t>城投债</w:t>
                  </w:r>
                  <w:proofErr w:type="gramEnd"/>
                  <w:r w:rsidRPr="00B73352">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BA27B0F" w14:textId="2A9E432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10.8 </w:t>
                  </w:r>
                </w:p>
              </w:tc>
              <w:tc>
                <w:tcPr>
                  <w:tcW w:w="920" w:type="dxa"/>
                  <w:tcBorders>
                    <w:top w:val="nil"/>
                    <w:left w:val="nil"/>
                    <w:bottom w:val="single" w:sz="8" w:space="0" w:color="FFFFFF"/>
                    <w:right w:val="single" w:sz="8" w:space="0" w:color="FFFFFF"/>
                  </w:tcBorders>
                  <w:shd w:val="clear" w:color="000000" w:fill="FCD5B4"/>
                  <w:noWrap/>
                  <w:hideMark/>
                </w:tcPr>
                <w:p w14:paraId="5357D5B3" w14:textId="690A42C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14.8 </w:t>
                  </w:r>
                </w:p>
              </w:tc>
              <w:tc>
                <w:tcPr>
                  <w:tcW w:w="920" w:type="dxa"/>
                  <w:tcBorders>
                    <w:top w:val="nil"/>
                    <w:left w:val="nil"/>
                    <w:bottom w:val="single" w:sz="8" w:space="0" w:color="FFFFFF"/>
                    <w:right w:val="single" w:sz="8" w:space="0" w:color="FFFFFF"/>
                  </w:tcBorders>
                  <w:shd w:val="clear" w:color="000000" w:fill="FCD5B4"/>
                  <w:noWrap/>
                  <w:hideMark/>
                </w:tcPr>
                <w:p w14:paraId="6BAE198E" w14:textId="000BD61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19.8 </w:t>
                  </w:r>
                </w:p>
              </w:tc>
              <w:tc>
                <w:tcPr>
                  <w:tcW w:w="920" w:type="dxa"/>
                  <w:tcBorders>
                    <w:top w:val="nil"/>
                    <w:left w:val="nil"/>
                    <w:bottom w:val="single" w:sz="8" w:space="0" w:color="FFFFFF"/>
                    <w:right w:val="single" w:sz="8" w:space="0" w:color="FFFFFF"/>
                  </w:tcBorders>
                  <w:shd w:val="clear" w:color="000000" w:fill="FCD5B4"/>
                  <w:noWrap/>
                  <w:hideMark/>
                </w:tcPr>
                <w:p w14:paraId="11173B26" w14:textId="4F0C09B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10.8 </w:t>
                  </w:r>
                </w:p>
              </w:tc>
              <w:tc>
                <w:tcPr>
                  <w:tcW w:w="1149" w:type="dxa"/>
                  <w:tcBorders>
                    <w:top w:val="nil"/>
                    <w:left w:val="nil"/>
                    <w:bottom w:val="single" w:sz="8" w:space="0" w:color="FFFFFF"/>
                    <w:right w:val="single" w:sz="8" w:space="0" w:color="FFFFFF"/>
                  </w:tcBorders>
                  <w:shd w:val="clear" w:color="000000" w:fill="FCD5B4"/>
                  <w:noWrap/>
                  <w:hideMark/>
                </w:tcPr>
                <w:p w14:paraId="4344DD46" w14:textId="4B73C5E6"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3E9904F" w14:textId="3081273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15.9 </w:t>
                  </w:r>
                </w:p>
              </w:tc>
              <w:tc>
                <w:tcPr>
                  <w:tcW w:w="920" w:type="dxa"/>
                  <w:tcBorders>
                    <w:top w:val="nil"/>
                    <w:left w:val="nil"/>
                    <w:bottom w:val="single" w:sz="8" w:space="0" w:color="FFFFFF"/>
                    <w:right w:val="single" w:sz="8" w:space="0" w:color="FFFFFF"/>
                  </w:tcBorders>
                  <w:shd w:val="clear" w:color="000000" w:fill="FCD5B4"/>
                  <w:noWrap/>
                  <w:hideMark/>
                </w:tcPr>
                <w:p w14:paraId="72520448" w14:textId="7C7A68A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19.9 </w:t>
                  </w:r>
                </w:p>
              </w:tc>
              <w:tc>
                <w:tcPr>
                  <w:tcW w:w="920" w:type="dxa"/>
                  <w:tcBorders>
                    <w:top w:val="nil"/>
                    <w:left w:val="nil"/>
                    <w:bottom w:val="single" w:sz="8" w:space="0" w:color="FFFFFF"/>
                    <w:right w:val="single" w:sz="8" w:space="0" w:color="FFFFFF"/>
                  </w:tcBorders>
                  <w:shd w:val="clear" w:color="000000" w:fill="FCD5B4"/>
                  <w:noWrap/>
                  <w:hideMark/>
                </w:tcPr>
                <w:p w14:paraId="4F7B3956" w14:textId="3A428A8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24.9 </w:t>
                  </w:r>
                </w:p>
              </w:tc>
              <w:tc>
                <w:tcPr>
                  <w:tcW w:w="920" w:type="dxa"/>
                  <w:tcBorders>
                    <w:top w:val="nil"/>
                    <w:left w:val="nil"/>
                    <w:bottom w:val="single" w:sz="8" w:space="0" w:color="FFFFFF"/>
                    <w:right w:val="single" w:sz="8" w:space="0" w:color="FFFFFF"/>
                  </w:tcBorders>
                  <w:shd w:val="clear" w:color="000000" w:fill="FCD5B4"/>
                  <w:noWrap/>
                  <w:hideMark/>
                </w:tcPr>
                <w:p w14:paraId="455389C2" w14:textId="4FFE833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15.9 </w:t>
                  </w:r>
                </w:p>
              </w:tc>
            </w:tr>
            <w:tr w:rsidR="008A575D" w:rsidRPr="003F4793" w14:paraId="6A7B0CBC"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052855D1" w14:textId="0832A44A"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7770DE15" w14:textId="2991C11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11.1 </w:t>
                  </w:r>
                </w:p>
              </w:tc>
              <w:tc>
                <w:tcPr>
                  <w:tcW w:w="920" w:type="dxa"/>
                  <w:tcBorders>
                    <w:top w:val="nil"/>
                    <w:left w:val="nil"/>
                    <w:bottom w:val="single" w:sz="8" w:space="0" w:color="FFFFFF"/>
                    <w:right w:val="single" w:sz="8" w:space="0" w:color="FFFFFF"/>
                  </w:tcBorders>
                  <w:shd w:val="clear" w:color="000000" w:fill="FDE9D9"/>
                  <w:noWrap/>
                  <w:hideMark/>
                </w:tcPr>
                <w:p w14:paraId="4004BD72" w14:textId="1EE3F36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20.2 </w:t>
                  </w:r>
                </w:p>
              </w:tc>
              <w:tc>
                <w:tcPr>
                  <w:tcW w:w="920" w:type="dxa"/>
                  <w:tcBorders>
                    <w:top w:val="nil"/>
                    <w:left w:val="nil"/>
                    <w:bottom w:val="single" w:sz="8" w:space="0" w:color="FFFFFF"/>
                    <w:right w:val="single" w:sz="8" w:space="0" w:color="FFFFFF"/>
                  </w:tcBorders>
                  <w:shd w:val="clear" w:color="000000" w:fill="FDE9D9"/>
                  <w:noWrap/>
                  <w:hideMark/>
                </w:tcPr>
                <w:p w14:paraId="10E494F6" w14:textId="77B7E02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13.2 </w:t>
                  </w:r>
                </w:p>
              </w:tc>
              <w:tc>
                <w:tcPr>
                  <w:tcW w:w="920" w:type="dxa"/>
                  <w:tcBorders>
                    <w:top w:val="nil"/>
                    <w:left w:val="nil"/>
                    <w:bottom w:val="single" w:sz="8" w:space="0" w:color="FFFFFF"/>
                    <w:right w:val="single" w:sz="8" w:space="0" w:color="FFFFFF"/>
                  </w:tcBorders>
                  <w:shd w:val="clear" w:color="000000" w:fill="FDE9D9"/>
                  <w:noWrap/>
                  <w:hideMark/>
                </w:tcPr>
                <w:p w14:paraId="2C334CFA" w14:textId="3A8F4F0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-11.9 </w:t>
                  </w:r>
                </w:p>
              </w:tc>
              <w:tc>
                <w:tcPr>
                  <w:tcW w:w="1149" w:type="dxa"/>
                  <w:tcBorders>
                    <w:top w:val="nil"/>
                    <w:left w:val="nil"/>
                    <w:bottom w:val="single" w:sz="8" w:space="0" w:color="FFFFFF"/>
                    <w:right w:val="single" w:sz="8" w:space="0" w:color="FFFFFF"/>
                  </w:tcBorders>
                  <w:shd w:val="clear" w:color="000000" w:fill="FDE9D9"/>
                  <w:noWrap/>
                  <w:hideMark/>
                </w:tcPr>
                <w:p w14:paraId="471CE1B8" w14:textId="388E717D"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0C33F3" w14:textId="0605620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11.1 </w:t>
                  </w:r>
                </w:p>
              </w:tc>
              <w:tc>
                <w:tcPr>
                  <w:tcW w:w="920" w:type="dxa"/>
                  <w:tcBorders>
                    <w:top w:val="nil"/>
                    <w:left w:val="nil"/>
                    <w:bottom w:val="single" w:sz="8" w:space="0" w:color="FFFFFF"/>
                    <w:right w:val="single" w:sz="8" w:space="0" w:color="FFFFFF"/>
                  </w:tcBorders>
                  <w:shd w:val="clear" w:color="000000" w:fill="FDE9D9"/>
                  <w:noWrap/>
                  <w:hideMark/>
                </w:tcPr>
                <w:p w14:paraId="0131BE88" w14:textId="40FC984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20.1 </w:t>
                  </w:r>
                </w:p>
              </w:tc>
              <w:tc>
                <w:tcPr>
                  <w:tcW w:w="920" w:type="dxa"/>
                  <w:tcBorders>
                    <w:top w:val="nil"/>
                    <w:left w:val="nil"/>
                    <w:bottom w:val="single" w:sz="8" w:space="0" w:color="FFFFFF"/>
                    <w:right w:val="single" w:sz="8" w:space="0" w:color="FFFFFF"/>
                  </w:tcBorders>
                  <w:shd w:val="clear" w:color="000000" w:fill="FDE9D9"/>
                  <w:noWrap/>
                  <w:hideMark/>
                </w:tcPr>
                <w:p w14:paraId="6C67254B" w14:textId="4E38FE9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13.1 </w:t>
                  </w:r>
                </w:p>
              </w:tc>
              <w:tc>
                <w:tcPr>
                  <w:tcW w:w="920" w:type="dxa"/>
                  <w:tcBorders>
                    <w:top w:val="nil"/>
                    <w:left w:val="nil"/>
                    <w:bottom w:val="single" w:sz="8" w:space="0" w:color="FFFFFF"/>
                    <w:right w:val="single" w:sz="8" w:space="0" w:color="FFFFFF"/>
                  </w:tcBorders>
                  <w:shd w:val="clear" w:color="000000" w:fill="FDE9D9"/>
                  <w:noWrap/>
                  <w:hideMark/>
                </w:tcPr>
                <w:p w14:paraId="4C0EAFCC" w14:textId="49F0F71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-11.9 </w:t>
                  </w:r>
                </w:p>
              </w:tc>
            </w:tr>
            <w:tr w:rsidR="008A575D" w:rsidRPr="003F4793" w14:paraId="3B417DAA" w14:textId="77777777" w:rsidTr="00416E34">
              <w:trPr>
                <w:trHeight w:val="310"/>
              </w:trPr>
              <w:tc>
                <w:tcPr>
                  <w:tcW w:w="1309" w:type="dxa"/>
                  <w:tcBorders>
                    <w:top w:val="nil"/>
                    <w:left w:val="nil"/>
                    <w:bottom w:val="nil"/>
                    <w:right w:val="nil"/>
                  </w:tcBorders>
                  <w:shd w:val="clear" w:color="000000" w:fill="FCD5B4"/>
                  <w:noWrap/>
                  <w:hideMark/>
                </w:tcPr>
                <w:p w14:paraId="0DA46A28" w14:textId="419D0520"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77893C8C" w14:textId="3A08500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13.6 </w:t>
                  </w:r>
                </w:p>
              </w:tc>
              <w:tc>
                <w:tcPr>
                  <w:tcW w:w="920" w:type="dxa"/>
                  <w:tcBorders>
                    <w:top w:val="nil"/>
                    <w:left w:val="nil"/>
                    <w:bottom w:val="single" w:sz="8" w:space="0" w:color="FFFFFF"/>
                    <w:right w:val="single" w:sz="8" w:space="0" w:color="FFFFFF"/>
                  </w:tcBorders>
                  <w:shd w:val="clear" w:color="000000" w:fill="FCD5B4"/>
                  <w:noWrap/>
                  <w:hideMark/>
                </w:tcPr>
                <w:p w14:paraId="66E4B3A7" w14:textId="5E70927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17.6 </w:t>
                  </w:r>
                </w:p>
              </w:tc>
              <w:tc>
                <w:tcPr>
                  <w:tcW w:w="920" w:type="dxa"/>
                  <w:tcBorders>
                    <w:top w:val="nil"/>
                    <w:left w:val="nil"/>
                    <w:bottom w:val="single" w:sz="8" w:space="0" w:color="FFFFFF"/>
                    <w:right w:val="single" w:sz="8" w:space="0" w:color="FFFFFF"/>
                  </w:tcBorders>
                  <w:shd w:val="clear" w:color="000000" w:fill="FCD5B4"/>
                  <w:noWrap/>
                  <w:hideMark/>
                </w:tcPr>
                <w:p w14:paraId="6ECD03FA" w14:textId="53284AF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7.5 </w:t>
                  </w:r>
                </w:p>
              </w:tc>
              <w:tc>
                <w:tcPr>
                  <w:tcW w:w="920" w:type="dxa"/>
                  <w:tcBorders>
                    <w:top w:val="nil"/>
                    <w:left w:val="nil"/>
                    <w:bottom w:val="single" w:sz="8" w:space="0" w:color="FFFFFF"/>
                    <w:right w:val="single" w:sz="8" w:space="0" w:color="FFFFFF"/>
                  </w:tcBorders>
                  <w:shd w:val="clear" w:color="000000" w:fill="FCD5B4"/>
                  <w:noWrap/>
                  <w:hideMark/>
                </w:tcPr>
                <w:p w14:paraId="4A1E86C1" w14:textId="1B3F2730"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-14.5 </w:t>
                  </w:r>
                </w:p>
              </w:tc>
              <w:tc>
                <w:tcPr>
                  <w:tcW w:w="1149" w:type="dxa"/>
                  <w:tcBorders>
                    <w:top w:val="nil"/>
                    <w:left w:val="nil"/>
                    <w:bottom w:val="nil"/>
                    <w:right w:val="nil"/>
                  </w:tcBorders>
                  <w:shd w:val="clear" w:color="000000" w:fill="FCD5B4"/>
                  <w:noWrap/>
                  <w:hideMark/>
                </w:tcPr>
                <w:p w14:paraId="10247A8D" w14:textId="0673A9B6"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627E1DEE" w14:textId="75DFE01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16.1 </w:t>
                  </w:r>
                </w:p>
              </w:tc>
              <w:tc>
                <w:tcPr>
                  <w:tcW w:w="920" w:type="dxa"/>
                  <w:tcBorders>
                    <w:top w:val="nil"/>
                    <w:left w:val="nil"/>
                    <w:bottom w:val="single" w:sz="8" w:space="0" w:color="FFFFFF"/>
                    <w:right w:val="single" w:sz="8" w:space="0" w:color="FFFFFF"/>
                  </w:tcBorders>
                  <w:shd w:val="clear" w:color="000000" w:fill="FCD5B4"/>
                  <w:noWrap/>
                  <w:hideMark/>
                </w:tcPr>
                <w:p w14:paraId="1B4F21D5" w14:textId="6F9A64E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20.1 </w:t>
                  </w:r>
                </w:p>
              </w:tc>
              <w:tc>
                <w:tcPr>
                  <w:tcW w:w="920" w:type="dxa"/>
                  <w:tcBorders>
                    <w:top w:val="nil"/>
                    <w:left w:val="nil"/>
                    <w:bottom w:val="single" w:sz="8" w:space="0" w:color="FFFFFF"/>
                    <w:right w:val="single" w:sz="8" w:space="0" w:color="FFFFFF"/>
                  </w:tcBorders>
                  <w:shd w:val="clear" w:color="000000" w:fill="FCD5B4"/>
                  <w:noWrap/>
                  <w:hideMark/>
                </w:tcPr>
                <w:p w14:paraId="45D1B136" w14:textId="3EEDC57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10.1 </w:t>
                  </w:r>
                </w:p>
              </w:tc>
              <w:tc>
                <w:tcPr>
                  <w:tcW w:w="920" w:type="dxa"/>
                  <w:tcBorders>
                    <w:top w:val="nil"/>
                    <w:left w:val="nil"/>
                    <w:bottom w:val="single" w:sz="8" w:space="0" w:color="FFFFFF"/>
                    <w:right w:val="single" w:sz="8" w:space="0" w:color="FFFFFF"/>
                  </w:tcBorders>
                  <w:shd w:val="clear" w:color="000000" w:fill="FCD5B4"/>
                  <w:noWrap/>
                  <w:hideMark/>
                </w:tcPr>
                <w:p w14:paraId="18882D60" w14:textId="205346B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-11.9 </w:t>
                  </w:r>
                </w:p>
              </w:tc>
            </w:tr>
            <w:tr w:rsidR="008A575D" w:rsidRPr="003F4793" w14:paraId="42AE38BD" w14:textId="77777777" w:rsidTr="00416E34">
              <w:trPr>
                <w:trHeight w:val="160"/>
              </w:trPr>
              <w:tc>
                <w:tcPr>
                  <w:tcW w:w="1309" w:type="dxa"/>
                  <w:tcBorders>
                    <w:top w:val="nil"/>
                    <w:left w:val="nil"/>
                    <w:bottom w:val="nil"/>
                    <w:right w:val="nil"/>
                  </w:tcBorders>
                  <w:shd w:val="clear" w:color="auto" w:fill="auto"/>
                  <w:noWrap/>
                  <w:hideMark/>
                </w:tcPr>
                <w:p w14:paraId="5A7EA8AA" w14:textId="77777777" w:rsidR="008A575D" w:rsidRPr="003F4793" w:rsidRDefault="008A575D" w:rsidP="008A575D">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48196DA8"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908F17"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4ECE1CA7"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542E0E74" w14:textId="77777777" w:rsidR="008A575D" w:rsidRPr="003F4793" w:rsidRDefault="008A575D" w:rsidP="008A575D">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05ED658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F5D1A19"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1BF2F6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E8AB294"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9F18CA9" w14:textId="77777777" w:rsidR="008A575D" w:rsidRPr="003F4793" w:rsidRDefault="008A575D" w:rsidP="008A575D">
                  <w:pPr>
                    <w:widowControl/>
                    <w:jc w:val="center"/>
                    <w:rPr>
                      <w:rFonts w:ascii="KaiTi" w:eastAsia="KaiTi" w:hAnsi="KaiTi"/>
                      <w:kern w:val="0"/>
                      <w:sz w:val="20"/>
                      <w:szCs w:val="20"/>
                    </w:rPr>
                  </w:pPr>
                </w:p>
              </w:tc>
            </w:tr>
            <w:tr w:rsidR="008A575D" w:rsidRPr="003F4793" w14:paraId="2463192E" w14:textId="77777777" w:rsidTr="00416E34">
              <w:trPr>
                <w:trHeight w:val="310"/>
              </w:trPr>
              <w:tc>
                <w:tcPr>
                  <w:tcW w:w="1309" w:type="dxa"/>
                  <w:tcBorders>
                    <w:top w:val="nil"/>
                    <w:left w:val="nil"/>
                    <w:bottom w:val="single" w:sz="12" w:space="0" w:color="FFFFFF"/>
                    <w:right w:val="single" w:sz="8" w:space="0" w:color="FFFFFF"/>
                  </w:tcBorders>
                  <w:shd w:val="clear" w:color="000000" w:fill="F79646"/>
                  <w:noWrap/>
                  <w:hideMark/>
                </w:tcPr>
                <w:p w14:paraId="30C3828D" w14:textId="15E74CF0"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收益率分位</w:t>
                  </w:r>
                </w:p>
              </w:tc>
              <w:tc>
                <w:tcPr>
                  <w:tcW w:w="740" w:type="dxa"/>
                  <w:tcBorders>
                    <w:top w:val="nil"/>
                    <w:left w:val="nil"/>
                    <w:bottom w:val="single" w:sz="12" w:space="0" w:color="FFFFFF"/>
                    <w:right w:val="single" w:sz="8" w:space="0" w:color="FFFFFF"/>
                  </w:tcBorders>
                  <w:shd w:val="clear" w:color="000000" w:fill="F79646"/>
                  <w:noWrap/>
                  <w:hideMark/>
                </w:tcPr>
                <w:p w14:paraId="57743789" w14:textId="6061C6EF"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20835438" w14:textId="4E9D39EA"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942ACD3" w14:textId="6EC09802"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3DED1B9B" w14:textId="70F112E4"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4C48D3F0" w14:textId="102C90C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20F774BB" w14:textId="55035D14"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5045FBE8" w14:textId="6ACE1B0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7DDC22F" w14:textId="2C1F2A8E"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16F42D2" w14:textId="0079459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r>
            <w:tr w:rsidR="008A575D" w:rsidRPr="003F4793" w14:paraId="6BCEED0C" w14:textId="77777777" w:rsidTr="00416E34">
              <w:trPr>
                <w:trHeight w:val="321"/>
              </w:trPr>
              <w:tc>
                <w:tcPr>
                  <w:tcW w:w="1309" w:type="dxa"/>
                  <w:tcBorders>
                    <w:top w:val="nil"/>
                    <w:left w:val="nil"/>
                    <w:bottom w:val="single" w:sz="8" w:space="0" w:color="FFFFFF"/>
                    <w:right w:val="single" w:sz="8" w:space="0" w:color="FFFFFF"/>
                  </w:tcBorders>
                  <w:shd w:val="clear" w:color="000000" w:fill="FCD5B4"/>
                  <w:noWrap/>
                  <w:hideMark/>
                </w:tcPr>
                <w:p w14:paraId="08C9B79B" w14:textId="15841718"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740" w:type="dxa"/>
                  <w:tcBorders>
                    <w:top w:val="nil"/>
                    <w:left w:val="nil"/>
                    <w:bottom w:val="single" w:sz="8" w:space="0" w:color="FFFFFF"/>
                    <w:right w:val="single" w:sz="8" w:space="0" w:color="FFFFFF"/>
                  </w:tcBorders>
                  <w:shd w:val="clear" w:color="000000" w:fill="FCD5B4"/>
                  <w:noWrap/>
                  <w:hideMark/>
                </w:tcPr>
                <w:p w14:paraId="3D9575A3" w14:textId="6D0A6591" w:rsidR="008A575D" w:rsidRPr="003F4793" w:rsidRDefault="008A575D" w:rsidP="008A575D">
                  <w:pPr>
                    <w:widowControl/>
                    <w:jc w:val="center"/>
                    <w:rPr>
                      <w:rFonts w:ascii="KaiTi" w:eastAsia="KaiTi" w:hAnsi="KaiTi" w:cs="Calibri"/>
                      <w:color w:val="000000"/>
                      <w:kern w:val="0"/>
                      <w:szCs w:val="21"/>
                    </w:rPr>
                  </w:pPr>
                  <w:r w:rsidRPr="00B73352">
                    <w:t>20%</w:t>
                  </w:r>
                </w:p>
              </w:tc>
              <w:tc>
                <w:tcPr>
                  <w:tcW w:w="920" w:type="dxa"/>
                  <w:tcBorders>
                    <w:top w:val="nil"/>
                    <w:left w:val="nil"/>
                    <w:bottom w:val="single" w:sz="8" w:space="0" w:color="FFFFFF"/>
                    <w:right w:val="single" w:sz="8" w:space="0" w:color="FFFFFF"/>
                  </w:tcBorders>
                  <w:shd w:val="clear" w:color="000000" w:fill="FCD5B4"/>
                  <w:noWrap/>
                  <w:hideMark/>
                </w:tcPr>
                <w:p w14:paraId="29CEB283" w14:textId="42958EE6" w:rsidR="008A575D" w:rsidRPr="003F4793" w:rsidRDefault="008A575D" w:rsidP="008A575D">
                  <w:pPr>
                    <w:widowControl/>
                    <w:jc w:val="center"/>
                    <w:rPr>
                      <w:rFonts w:ascii="KaiTi" w:eastAsia="KaiTi" w:hAnsi="KaiTi" w:cs="Calibri"/>
                      <w:color w:val="000000"/>
                      <w:kern w:val="0"/>
                      <w:szCs w:val="21"/>
                    </w:rPr>
                  </w:pPr>
                  <w:r w:rsidRPr="00B73352">
                    <w:t>18%</w:t>
                  </w:r>
                </w:p>
              </w:tc>
              <w:tc>
                <w:tcPr>
                  <w:tcW w:w="920" w:type="dxa"/>
                  <w:tcBorders>
                    <w:top w:val="nil"/>
                    <w:left w:val="nil"/>
                    <w:bottom w:val="single" w:sz="8" w:space="0" w:color="FFFFFF"/>
                    <w:right w:val="single" w:sz="8" w:space="0" w:color="FFFFFF"/>
                  </w:tcBorders>
                  <w:shd w:val="clear" w:color="000000" w:fill="FCD5B4"/>
                  <w:noWrap/>
                  <w:hideMark/>
                </w:tcPr>
                <w:p w14:paraId="79A327E6" w14:textId="225E98D8" w:rsidR="008A575D" w:rsidRPr="003F4793" w:rsidRDefault="008A575D" w:rsidP="008A575D">
                  <w:pPr>
                    <w:widowControl/>
                    <w:jc w:val="center"/>
                    <w:rPr>
                      <w:rFonts w:ascii="KaiTi" w:eastAsia="KaiTi" w:hAnsi="KaiTi" w:cs="Calibri"/>
                      <w:color w:val="000000"/>
                      <w:kern w:val="0"/>
                      <w:szCs w:val="21"/>
                    </w:rPr>
                  </w:pPr>
                  <w:r w:rsidRPr="00B73352">
                    <w:t>17%</w:t>
                  </w:r>
                </w:p>
              </w:tc>
              <w:tc>
                <w:tcPr>
                  <w:tcW w:w="920" w:type="dxa"/>
                  <w:tcBorders>
                    <w:top w:val="nil"/>
                    <w:left w:val="nil"/>
                    <w:bottom w:val="single" w:sz="8" w:space="0" w:color="FFFFFF"/>
                    <w:right w:val="single" w:sz="8" w:space="0" w:color="FFFFFF"/>
                  </w:tcBorders>
                  <w:shd w:val="clear" w:color="000000" w:fill="FCD5B4"/>
                  <w:noWrap/>
                  <w:hideMark/>
                </w:tcPr>
                <w:p w14:paraId="033E9A5E" w14:textId="6673D07F" w:rsidR="008A575D" w:rsidRPr="003F4793" w:rsidRDefault="008A575D" w:rsidP="008A575D">
                  <w:pPr>
                    <w:widowControl/>
                    <w:jc w:val="center"/>
                    <w:rPr>
                      <w:rFonts w:ascii="KaiTi" w:eastAsia="KaiTi" w:hAnsi="KaiTi" w:cs="Calibri"/>
                      <w:color w:val="000000"/>
                      <w:kern w:val="0"/>
                      <w:szCs w:val="21"/>
                    </w:rPr>
                  </w:pPr>
                  <w:r w:rsidRPr="00B73352">
                    <w:t>50%</w:t>
                  </w:r>
                </w:p>
              </w:tc>
              <w:tc>
                <w:tcPr>
                  <w:tcW w:w="1149" w:type="dxa"/>
                  <w:tcBorders>
                    <w:top w:val="nil"/>
                    <w:left w:val="nil"/>
                    <w:bottom w:val="single" w:sz="8" w:space="0" w:color="FFFFFF"/>
                    <w:right w:val="single" w:sz="8" w:space="0" w:color="FFFFFF"/>
                  </w:tcBorders>
                  <w:shd w:val="clear" w:color="000000" w:fill="FCD5B4"/>
                  <w:noWrap/>
                  <w:hideMark/>
                </w:tcPr>
                <w:p w14:paraId="13B4CCB6" w14:textId="562C2D24"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920" w:type="dxa"/>
                  <w:tcBorders>
                    <w:top w:val="nil"/>
                    <w:left w:val="nil"/>
                    <w:bottom w:val="single" w:sz="8" w:space="0" w:color="FFFFFF"/>
                    <w:right w:val="single" w:sz="8" w:space="0" w:color="FFFFFF"/>
                  </w:tcBorders>
                  <w:shd w:val="clear" w:color="000000" w:fill="FCD5B4"/>
                  <w:noWrap/>
                  <w:hideMark/>
                </w:tcPr>
                <w:p w14:paraId="1A1E1D51" w14:textId="01A484C0" w:rsidR="008A575D" w:rsidRPr="003F4793" w:rsidRDefault="008A575D" w:rsidP="008A575D">
                  <w:pPr>
                    <w:widowControl/>
                    <w:jc w:val="center"/>
                    <w:rPr>
                      <w:rFonts w:ascii="KaiTi" w:eastAsia="KaiTi" w:hAnsi="KaiTi" w:cs="Calibri"/>
                      <w:color w:val="000000"/>
                      <w:kern w:val="0"/>
                      <w:szCs w:val="21"/>
                    </w:rPr>
                  </w:pPr>
                  <w:r w:rsidRPr="00B73352">
                    <w:t>7%</w:t>
                  </w:r>
                </w:p>
              </w:tc>
              <w:tc>
                <w:tcPr>
                  <w:tcW w:w="920" w:type="dxa"/>
                  <w:tcBorders>
                    <w:top w:val="nil"/>
                    <w:left w:val="nil"/>
                    <w:bottom w:val="single" w:sz="8" w:space="0" w:color="FFFFFF"/>
                    <w:right w:val="single" w:sz="8" w:space="0" w:color="FFFFFF"/>
                  </w:tcBorders>
                  <w:shd w:val="clear" w:color="000000" w:fill="FCD5B4"/>
                  <w:noWrap/>
                  <w:hideMark/>
                </w:tcPr>
                <w:p w14:paraId="10576394" w14:textId="5CB09C42" w:rsidR="008A575D" w:rsidRPr="003F4793" w:rsidRDefault="008A575D" w:rsidP="008A575D">
                  <w:pPr>
                    <w:widowControl/>
                    <w:jc w:val="center"/>
                    <w:rPr>
                      <w:rFonts w:ascii="KaiTi" w:eastAsia="KaiTi" w:hAnsi="KaiTi" w:cs="Calibri"/>
                      <w:color w:val="000000"/>
                      <w:kern w:val="0"/>
                      <w:szCs w:val="21"/>
                    </w:rPr>
                  </w:pPr>
                  <w:r w:rsidRPr="00B73352">
                    <w:t>5%</w:t>
                  </w:r>
                </w:p>
              </w:tc>
              <w:tc>
                <w:tcPr>
                  <w:tcW w:w="920" w:type="dxa"/>
                  <w:tcBorders>
                    <w:top w:val="nil"/>
                    <w:left w:val="nil"/>
                    <w:bottom w:val="single" w:sz="8" w:space="0" w:color="FFFFFF"/>
                    <w:right w:val="single" w:sz="8" w:space="0" w:color="FFFFFF"/>
                  </w:tcBorders>
                  <w:shd w:val="clear" w:color="000000" w:fill="FCD5B4"/>
                  <w:noWrap/>
                  <w:hideMark/>
                </w:tcPr>
                <w:p w14:paraId="0393CC42" w14:textId="6473A91B" w:rsidR="008A575D" w:rsidRPr="003F4793" w:rsidRDefault="008A575D" w:rsidP="008A575D">
                  <w:pPr>
                    <w:widowControl/>
                    <w:jc w:val="center"/>
                    <w:rPr>
                      <w:rFonts w:ascii="KaiTi" w:eastAsia="KaiTi" w:hAnsi="KaiTi" w:cs="Calibri"/>
                      <w:color w:val="000000"/>
                      <w:kern w:val="0"/>
                      <w:szCs w:val="21"/>
                    </w:rPr>
                  </w:pPr>
                  <w:r w:rsidRPr="00B73352">
                    <w:t>3%</w:t>
                  </w:r>
                </w:p>
              </w:tc>
              <w:tc>
                <w:tcPr>
                  <w:tcW w:w="920" w:type="dxa"/>
                  <w:tcBorders>
                    <w:top w:val="nil"/>
                    <w:left w:val="nil"/>
                    <w:bottom w:val="single" w:sz="8" w:space="0" w:color="FFFFFF"/>
                    <w:right w:val="single" w:sz="8" w:space="0" w:color="FFFFFF"/>
                  </w:tcBorders>
                  <w:shd w:val="clear" w:color="000000" w:fill="FCD5B4"/>
                  <w:noWrap/>
                  <w:hideMark/>
                </w:tcPr>
                <w:p w14:paraId="580FA8E3" w14:textId="4F50EC25" w:rsidR="008A575D" w:rsidRPr="003F4793" w:rsidRDefault="008A575D" w:rsidP="008A575D">
                  <w:pPr>
                    <w:widowControl/>
                    <w:jc w:val="center"/>
                    <w:rPr>
                      <w:rFonts w:ascii="KaiTi" w:eastAsia="KaiTi" w:hAnsi="KaiTi" w:cs="Calibri"/>
                      <w:color w:val="000000"/>
                      <w:kern w:val="0"/>
                      <w:szCs w:val="21"/>
                    </w:rPr>
                  </w:pPr>
                  <w:r w:rsidRPr="00B73352">
                    <w:t>68%</w:t>
                  </w:r>
                </w:p>
              </w:tc>
            </w:tr>
            <w:tr w:rsidR="008A575D" w:rsidRPr="003F4793" w14:paraId="3DF945E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7C68C45D" w14:textId="43F9DF4B"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740" w:type="dxa"/>
                  <w:tcBorders>
                    <w:top w:val="nil"/>
                    <w:left w:val="nil"/>
                    <w:bottom w:val="single" w:sz="8" w:space="0" w:color="FFFFFF"/>
                    <w:right w:val="single" w:sz="8" w:space="0" w:color="FFFFFF"/>
                  </w:tcBorders>
                  <w:shd w:val="clear" w:color="000000" w:fill="FDE9D9"/>
                  <w:noWrap/>
                  <w:hideMark/>
                </w:tcPr>
                <w:p w14:paraId="5A423046" w14:textId="421E77DE" w:rsidR="008A575D" w:rsidRPr="003F4793" w:rsidRDefault="008A575D" w:rsidP="008A575D">
                  <w:pPr>
                    <w:widowControl/>
                    <w:jc w:val="center"/>
                    <w:rPr>
                      <w:rFonts w:ascii="KaiTi" w:eastAsia="KaiTi" w:hAnsi="KaiTi" w:cs="Calibri"/>
                      <w:color w:val="000000"/>
                      <w:kern w:val="0"/>
                      <w:szCs w:val="21"/>
                    </w:rPr>
                  </w:pPr>
                  <w:r w:rsidRPr="00B73352">
                    <w:t>13%</w:t>
                  </w:r>
                </w:p>
              </w:tc>
              <w:tc>
                <w:tcPr>
                  <w:tcW w:w="920" w:type="dxa"/>
                  <w:tcBorders>
                    <w:top w:val="nil"/>
                    <w:left w:val="nil"/>
                    <w:bottom w:val="single" w:sz="8" w:space="0" w:color="FFFFFF"/>
                    <w:right w:val="single" w:sz="8" w:space="0" w:color="FFFFFF"/>
                  </w:tcBorders>
                  <w:shd w:val="clear" w:color="000000" w:fill="FDE9D9"/>
                  <w:noWrap/>
                  <w:hideMark/>
                </w:tcPr>
                <w:p w14:paraId="3842DD73" w14:textId="05629358" w:rsidR="008A575D" w:rsidRPr="003F4793" w:rsidRDefault="008A575D" w:rsidP="008A575D">
                  <w:pPr>
                    <w:widowControl/>
                    <w:jc w:val="center"/>
                    <w:rPr>
                      <w:rFonts w:ascii="KaiTi" w:eastAsia="KaiTi" w:hAnsi="KaiTi" w:cs="Calibri"/>
                      <w:color w:val="000000"/>
                      <w:kern w:val="0"/>
                      <w:szCs w:val="21"/>
                    </w:rPr>
                  </w:pPr>
                  <w:r w:rsidRPr="00B73352">
                    <w:t>10%</w:t>
                  </w:r>
                </w:p>
              </w:tc>
              <w:tc>
                <w:tcPr>
                  <w:tcW w:w="920" w:type="dxa"/>
                  <w:tcBorders>
                    <w:top w:val="nil"/>
                    <w:left w:val="nil"/>
                    <w:bottom w:val="single" w:sz="8" w:space="0" w:color="FFFFFF"/>
                    <w:right w:val="single" w:sz="8" w:space="0" w:color="FFFFFF"/>
                  </w:tcBorders>
                  <w:shd w:val="clear" w:color="000000" w:fill="FDE9D9"/>
                  <w:noWrap/>
                  <w:hideMark/>
                </w:tcPr>
                <w:p w14:paraId="78364D74" w14:textId="77A85A27" w:rsidR="008A575D" w:rsidRPr="003F4793" w:rsidRDefault="008A575D" w:rsidP="008A575D">
                  <w:pPr>
                    <w:widowControl/>
                    <w:jc w:val="center"/>
                    <w:rPr>
                      <w:rFonts w:ascii="KaiTi" w:eastAsia="KaiTi" w:hAnsi="KaiTi" w:cs="Calibri"/>
                      <w:color w:val="000000"/>
                      <w:kern w:val="0"/>
                      <w:szCs w:val="21"/>
                    </w:rPr>
                  </w:pPr>
                  <w:r w:rsidRPr="00B73352">
                    <w:t>14%</w:t>
                  </w:r>
                </w:p>
              </w:tc>
              <w:tc>
                <w:tcPr>
                  <w:tcW w:w="920" w:type="dxa"/>
                  <w:tcBorders>
                    <w:top w:val="nil"/>
                    <w:left w:val="nil"/>
                    <w:bottom w:val="single" w:sz="8" w:space="0" w:color="FFFFFF"/>
                    <w:right w:val="single" w:sz="8" w:space="0" w:color="FFFFFF"/>
                  </w:tcBorders>
                  <w:shd w:val="clear" w:color="000000" w:fill="FDE9D9"/>
                  <w:noWrap/>
                  <w:hideMark/>
                </w:tcPr>
                <w:p w14:paraId="564662AF" w14:textId="219B6523" w:rsidR="008A575D" w:rsidRPr="003F4793" w:rsidRDefault="008A575D" w:rsidP="008A575D">
                  <w:pPr>
                    <w:widowControl/>
                    <w:jc w:val="center"/>
                    <w:rPr>
                      <w:rFonts w:ascii="KaiTi" w:eastAsia="KaiTi" w:hAnsi="KaiTi" w:cs="Calibri"/>
                      <w:color w:val="000000"/>
                      <w:kern w:val="0"/>
                      <w:szCs w:val="21"/>
                    </w:rPr>
                  </w:pPr>
                  <w:r w:rsidRPr="00B73352">
                    <w:t>60%</w:t>
                  </w:r>
                </w:p>
              </w:tc>
              <w:tc>
                <w:tcPr>
                  <w:tcW w:w="1149" w:type="dxa"/>
                  <w:tcBorders>
                    <w:top w:val="nil"/>
                    <w:left w:val="nil"/>
                    <w:bottom w:val="single" w:sz="8" w:space="0" w:color="FFFFFF"/>
                    <w:right w:val="single" w:sz="8" w:space="0" w:color="FFFFFF"/>
                  </w:tcBorders>
                  <w:shd w:val="clear" w:color="000000" w:fill="FDE9D9"/>
                  <w:noWrap/>
                  <w:hideMark/>
                </w:tcPr>
                <w:p w14:paraId="6544C40A" w14:textId="177382C9"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920" w:type="dxa"/>
                  <w:tcBorders>
                    <w:top w:val="nil"/>
                    <w:left w:val="nil"/>
                    <w:bottom w:val="single" w:sz="8" w:space="0" w:color="FFFFFF"/>
                    <w:right w:val="single" w:sz="8" w:space="0" w:color="FFFFFF"/>
                  </w:tcBorders>
                  <w:shd w:val="clear" w:color="000000" w:fill="FDE9D9"/>
                  <w:noWrap/>
                  <w:hideMark/>
                </w:tcPr>
                <w:p w14:paraId="1A21A620" w14:textId="07D22448" w:rsidR="008A575D" w:rsidRPr="003F4793" w:rsidRDefault="008A575D" w:rsidP="008A575D">
                  <w:pPr>
                    <w:widowControl/>
                    <w:jc w:val="center"/>
                    <w:rPr>
                      <w:rFonts w:ascii="KaiTi" w:eastAsia="KaiTi" w:hAnsi="KaiTi" w:cs="Calibri"/>
                      <w:color w:val="000000"/>
                      <w:kern w:val="0"/>
                      <w:szCs w:val="21"/>
                    </w:rPr>
                  </w:pPr>
                  <w:r w:rsidRPr="00B73352">
                    <w:t>13%</w:t>
                  </w:r>
                </w:p>
              </w:tc>
              <w:tc>
                <w:tcPr>
                  <w:tcW w:w="920" w:type="dxa"/>
                  <w:tcBorders>
                    <w:top w:val="nil"/>
                    <w:left w:val="nil"/>
                    <w:bottom w:val="single" w:sz="8" w:space="0" w:color="FFFFFF"/>
                    <w:right w:val="single" w:sz="8" w:space="0" w:color="FFFFFF"/>
                  </w:tcBorders>
                  <w:shd w:val="clear" w:color="000000" w:fill="FDE9D9"/>
                  <w:noWrap/>
                  <w:hideMark/>
                </w:tcPr>
                <w:p w14:paraId="17EEE215" w14:textId="12EAAFBE" w:rsidR="008A575D" w:rsidRPr="003F4793" w:rsidRDefault="008A575D" w:rsidP="008A575D">
                  <w:pPr>
                    <w:widowControl/>
                    <w:jc w:val="center"/>
                    <w:rPr>
                      <w:rFonts w:ascii="KaiTi" w:eastAsia="KaiTi" w:hAnsi="KaiTi" w:cs="Calibri"/>
                      <w:color w:val="000000"/>
                      <w:kern w:val="0"/>
                      <w:szCs w:val="21"/>
                    </w:rPr>
                  </w:pPr>
                  <w:r w:rsidRPr="00B73352">
                    <w:t>12%</w:t>
                  </w:r>
                </w:p>
              </w:tc>
              <w:tc>
                <w:tcPr>
                  <w:tcW w:w="920" w:type="dxa"/>
                  <w:tcBorders>
                    <w:top w:val="nil"/>
                    <w:left w:val="nil"/>
                    <w:bottom w:val="single" w:sz="8" w:space="0" w:color="FFFFFF"/>
                    <w:right w:val="single" w:sz="8" w:space="0" w:color="FFFFFF"/>
                  </w:tcBorders>
                  <w:shd w:val="clear" w:color="000000" w:fill="FDE9D9"/>
                  <w:noWrap/>
                  <w:hideMark/>
                </w:tcPr>
                <w:p w14:paraId="42640BE8" w14:textId="46CDE3BF" w:rsidR="008A575D" w:rsidRPr="003F4793" w:rsidRDefault="008A575D" w:rsidP="008A575D">
                  <w:pPr>
                    <w:widowControl/>
                    <w:jc w:val="center"/>
                    <w:rPr>
                      <w:rFonts w:ascii="KaiTi" w:eastAsia="KaiTi" w:hAnsi="KaiTi" w:cs="Calibri"/>
                      <w:color w:val="000000"/>
                      <w:kern w:val="0"/>
                      <w:szCs w:val="21"/>
                    </w:rPr>
                  </w:pPr>
                  <w:r w:rsidRPr="00B73352">
                    <w:t>24%</w:t>
                  </w:r>
                </w:p>
              </w:tc>
              <w:tc>
                <w:tcPr>
                  <w:tcW w:w="920" w:type="dxa"/>
                  <w:tcBorders>
                    <w:top w:val="nil"/>
                    <w:left w:val="nil"/>
                    <w:bottom w:val="single" w:sz="8" w:space="0" w:color="FFFFFF"/>
                    <w:right w:val="single" w:sz="8" w:space="0" w:color="FFFFFF"/>
                  </w:tcBorders>
                  <w:shd w:val="clear" w:color="000000" w:fill="FDE9D9"/>
                  <w:noWrap/>
                  <w:hideMark/>
                </w:tcPr>
                <w:p w14:paraId="132999AD" w14:textId="15B11A60" w:rsidR="008A575D" w:rsidRPr="003F4793" w:rsidRDefault="008A575D" w:rsidP="008A575D">
                  <w:pPr>
                    <w:widowControl/>
                    <w:jc w:val="center"/>
                    <w:rPr>
                      <w:rFonts w:ascii="KaiTi" w:eastAsia="KaiTi" w:hAnsi="KaiTi" w:cs="Calibri"/>
                      <w:color w:val="000000"/>
                      <w:kern w:val="0"/>
                      <w:szCs w:val="21"/>
                    </w:rPr>
                  </w:pPr>
                  <w:r w:rsidRPr="00B73352">
                    <w:t>90%</w:t>
                  </w:r>
                </w:p>
              </w:tc>
            </w:tr>
            <w:tr w:rsidR="008A575D" w:rsidRPr="003F4793" w14:paraId="311BF477"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1EFAC63F" w14:textId="2954C0C5"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740" w:type="dxa"/>
                  <w:tcBorders>
                    <w:top w:val="nil"/>
                    <w:left w:val="nil"/>
                    <w:bottom w:val="single" w:sz="8" w:space="0" w:color="FFFFFF"/>
                    <w:right w:val="single" w:sz="8" w:space="0" w:color="FFFFFF"/>
                  </w:tcBorders>
                  <w:shd w:val="clear" w:color="000000" w:fill="FCD5B4"/>
                  <w:noWrap/>
                  <w:hideMark/>
                </w:tcPr>
                <w:p w14:paraId="15941BE2" w14:textId="092D8739" w:rsidR="008A575D" w:rsidRPr="003F4793" w:rsidRDefault="008A575D" w:rsidP="008A575D">
                  <w:pPr>
                    <w:widowControl/>
                    <w:jc w:val="center"/>
                    <w:rPr>
                      <w:rFonts w:ascii="KaiTi" w:eastAsia="KaiTi" w:hAnsi="KaiTi" w:cs="Calibri"/>
                      <w:color w:val="000000"/>
                      <w:kern w:val="0"/>
                      <w:szCs w:val="21"/>
                    </w:rPr>
                  </w:pPr>
                  <w:r w:rsidRPr="00B73352">
                    <w:t>11%</w:t>
                  </w:r>
                </w:p>
              </w:tc>
              <w:tc>
                <w:tcPr>
                  <w:tcW w:w="920" w:type="dxa"/>
                  <w:tcBorders>
                    <w:top w:val="nil"/>
                    <w:left w:val="nil"/>
                    <w:bottom w:val="single" w:sz="8" w:space="0" w:color="FFFFFF"/>
                    <w:right w:val="single" w:sz="8" w:space="0" w:color="FFFFFF"/>
                  </w:tcBorders>
                  <w:shd w:val="clear" w:color="000000" w:fill="FCD5B4"/>
                  <w:noWrap/>
                  <w:hideMark/>
                </w:tcPr>
                <w:p w14:paraId="6DFE5B08" w14:textId="2526EDB4" w:rsidR="008A575D" w:rsidRPr="003F4793" w:rsidRDefault="008A575D" w:rsidP="008A575D">
                  <w:pPr>
                    <w:widowControl/>
                    <w:jc w:val="center"/>
                    <w:rPr>
                      <w:rFonts w:ascii="KaiTi" w:eastAsia="KaiTi" w:hAnsi="KaiTi" w:cs="Calibri"/>
                      <w:color w:val="000000"/>
                      <w:kern w:val="0"/>
                      <w:szCs w:val="21"/>
                    </w:rPr>
                  </w:pPr>
                  <w:r w:rsidRPr="00B73352">
                    <w:t>8%</w:t>
                  </w:r>
                </w:p>
              </w:tc>
              <w:tc>
                <w:tcPr>
                  <w:tcW w:w="920" w:type="dxa"/>
                  <w:tcBorders>
                    <w:top w:val="nil"/>
                    <w:left w:val="nil"/>
                    <w:bottom w:val="single" w:sz="8" w:space="0" w:color="FFFFFF"/>
                    <w:right w:val="single" w:sz="8" w:space="0" w:color="FFFFFF"/>
                  </w:tcBorders>
                  <w:shd w:val="clear" w:color="000000" w:fill="FCD5B4"/>
                  <w:noWrap/>
                  <w:hideMark/>
                </w:tcPr>
                <w:p w14:paraId="51F72902" w14:textId="1999F0F3" w:rsidR="008A575D" w:rsidRPr="003F4793" w:rsidRDefault="008A575D" w:rsidP="008A575D">
                  <w:pPr>
                    <w:widowControl/>
                    <w:jc w:val="center"/>
                    <w:rPr>
                      <w:rFonts w:ascii="KaiTi" w:eastAsia="KaiTi" w:hAnsi="KaiTi" w:cs="Calibri"/>
                      <w:color w:val="000000"/>
                      <w:kern w:val="0"/>
                      <w:szCs w:val="21"/>
                    </w:rPr>
                  </w:pPr>
                  <w:r w:rsidRPr="00B73352">
                    <w:t>12%</w:t>
                  </w:r>
                </w:p>
              </w:tc>
              <w:tc>
                <w:tcPr>
                  <w:tcW w:w="920" w:type="dxa"/>
                  <w:tcBorders>
                    <w:top w:val="nil"/>
                    <w:left w:val="nil"/>
                    <w:bottom w:val="single" w:sz="8" w:space="0" w:color="FFFFFF"/>
                    <w:right w:val="single" w:sz="8" w:space="0" w:color="FFFFFF"/>
                  </w:tcBorders>
                  <w:shd w:val="clear" w:color="000000" w:fill="FCD5B4"/>
                  <w:noWrap/>
                  <w:hideMark/>
                </w:tcPr>
                <w:p w14:paraId="11ED092C" w14:textId="18AFBC04" w:rsidR="008A575D" w:rsidRPr="003F4793" w:rsidRDefault="008A575D" w:rsidP="008A575D">
                  <w:pPr>
                    <w:widowControl/>
                    <w:jc w:val="center"/>
                    <w:rPr>
                      <w:rFonts w:ascii="KaiTi" w:eastAsia="KaiTi" w:hAnsi="KaiTi" w:cs="Calibri"/>
                      <w:color w:val="000000"/>
                      <w:kern w:val="0"/>
                      <w:szCs w:val="21"/>
                    </w:rPr>
                  </w:pPr>
                  <w:r w:rsidRPr="00B73352">
                    <w:t>55%</w:t>
                  </w:r>
                </w:p>
              </w:tc>
              <w:tc>
                <w:tcPr>
                  <w:tcW w:w="1149" w:type="dxa"/>
                  <w:tcBorders>
                    <w:top w:val="nil"/>
                    <w:left w:val="nil"/>
                    <w:bottom w:val="single" w:sz="8" w:space="0" w:color="FFFFFF"/>
                    <w:right w:val="single" w:sz="8" w:space="0" w:color="FFFFFF"/>
                  </w:tcBorders>
                  <w:shd w:val="clear" w:color="000000" w:fill="FCD5B4"/>
                  <w:noWrap/>
                  <w:hideMark/>
                </w:tcPr>
                <w:p w14:paraId="4D858F7C" w14:textId="50666257"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920" w:type="dxa"/>
                  <w:tcBorders>
                    <w:top w:val="nil"/>
                    <w:left w:val="nil"/>
                    <w:bottom w:val="single" w:sz="8" w:space="0" w:color="FFFFFF"/>
                    <w:right w:val="single" w:sz="8" w:space="0" w:color="FFFFFF"/>
                  </w:tcBorders>
                  <w:shd w:val="clear" w:color="000000" w:fill="FCD5B4"/>
                  <w:noWrap/>
                  <w:hideMark/>
                </w:tcPr>
                <w:p w14:paraId="17DE7239" w14:textId="2394C651" w:rsidR="008A575D" w:rsidRPr="003F4793" w:rsidRDefault="008A575D" w:rsidP="008A575D">
                  <w:pPr>
                    <w:widowControl/>
                    <w:jc w:val="center"/>
                    <w:rPr>
                      <w:rFonts w:ascii="KaiTi" w:eastAsia="KaiTi" w:hAnsi="KaiTi" w:cs="Calibri"/>
                      <w:color w:val="000000"/>
                      <w:kern w:val="0"/>
                      <w:szCs w:val="21"/>
                    </w:rPr>
                  </w:pPr>
                  <w:r w:rsidRPr="00B73352">
                    <w:t>18%</w:t>
                  </w:r>
                </w:p>
              </w:tc>
              <w:tc>
                <w:tcPr>
                  <w:tcW w:w="920" w:type="dxa"/>
                  <w:tcBorders>
                    <w:top w:val="nil"/>
                    <w:left w:val="nil"/>
                    <w:bottom w:val="single" w:sz="8" w:space="0" w:color="FFFFFF"/>
                    <w:right w:val="single" w:sz="8" w:space="0" w:color="FFFFFF"/>
                  </w:tcBorders>
                  <w:shd w:val="clear" w:color="000000" w:fill="FCD5B4"/>
                  <w:noWrap/>
                  <w:hideMark/>
                </w:tcPr>
                <w:p w14:paraId="4BD0B6F1" w14:textId="24A30753" w:rsidR="008A575D" w:rsidRPr="003F4793" w:rsidRDefault="008A575D" w:rsidP="008A575D">
                  <w:pPr>
                    <w:widowControl/>
                    <w:jc w:val="center"/>
                    <w:rPr>
                      <w:rFonts w:ascii="KaiTi" w:eastAsia="KaiTi" w:hAnsi="KaiTi" w:cs="Calibri"/>
                      <w:color w:val="000000"/>
                      <w:kern w:val="0"/>
                      <w:szCs w:val="21"/>
                    </w:rPr>
                  </w:pPr>
                  <w:r w:rsidRPr="00B73352">
                    <w:t>9%</w:t>
                  </w:r>
                </w:p>
              </w:tc>
              <w:tc>
                <w:tcPr>
                  <w:tcW w:w="920" w:type="dxa"/>
                  <w:tcBorders>
                    <w:top w:val="nil"/>
                    <w:left w:val="nil"/>
                    <w:bottom w:val="single" w:sz="8" w:space="0" w:color="FFFFFF"/>
                    <w:right w:val="single" w:sz="8" w:space="0" w:color="FFFFFF"/>
                  </w:tcBorders>
                  <w:shd w:val="clear" w:color="000000" w:fill="FCD5B4"/>
                  <w:noWrap/>
                  <w:hideMark/>
                </w:tcPr>
                <w:p w14:paraId="21072B45" w14:textId="0BEE36C3" w:rsidR="008A575D" w:rsidRPr="003F4793" w:rsidRDefault="008A575D" w:rsidP="008A575D">
                  <w:pPr>
                    <w:widowControl/>
                    <w:jc w:val="center"/>
                    <w:rPr>
                      <w:rFonts w:ascii="KaiTi" w:eastAsia="KaiTi" w:hAnsi="KaiTi" w:cs="Calibri"/>
                      <w:color w:val="000000"/>
                      <w:kern w:val="0"/>
                      <w:szCs w:val="21"/>
                    </w:rPr>
                  </w:pPr>
                  <w:r w:rsidRPr="00B73352">
                    <w:t>25%</w:t>
                  </w:r>
                </w:p>
              </w:tc>
              <w:tc>
                <w:tcPr>
                  <w:tcW w:w="920" w:type="dxa"/>
                  <w:tcBorders>
                    <w:top w:val="nil"/>
                    <w:left w:val="nil"/>
                    <w:bottom w:val="single" w:sz="8" w:space="0" w:color="FFFFFF"/>
                    <w:right w:val="single" w:sz="8" w:space="0" w:color="FFFFFF"/>
                  </w:tcBorders>
                  <w:shd w:val="clear" w:color="000000" w:fill="FCD5B4"/>
                  <w:noWrap/>
                  <w:hideMark/>
                </w:tcPr>
                <w:p w14:paraId="2B13C93D" w14:textId="37FD1A34" w:rsidR="008A575D" w:rsidRPr="003F4793" w:rsidRDefault="008A575D" w:rsidP="008A575D">
                  <w:pPr>
                    <w:widowControl/>
                    <w:jc w:val="center"/>
                    <w:rPr>
                      <w:rFonts w:ascii="KaiTi" w:eastAsia="KaiTi" w:hAnsi="KaiTi" w:cs="Calibri"/>
                      <w:color w:val="000000"/>
                      <w:kern w:val="0"/>
                      <w:szCs w:val="21"/>
                    </w:rPr>
                  </w:pPr>
                  <w:r w:rsidRPr="00B73352">
                    <w:t>89%</w:t>
                  </w:r>
                </w:p>
              </w:tc>
            </w:tr>
            <w:tr w:rsidR="008A575D" w:rsidRPr="003F4793" w14:paraId="61191F6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187E41C4" w14:textId="376DB251"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3EADA916" w14:textId="7752383C" w:rsidR="008A575D" w:rsidRPr="003F4793" w:rsidRDefault="008A575D" w:rsidP="008A575D">
                  <w:pPr>
                    <w:widowControl/>
                    <w:jc w:val="center"/>
                    <w:rPr>
                      <w:rFonts w:ascii="KaiTi" w:eastAsia="KaiTi" w:hAnsi="KaiTi" w:cs="Calibri"/>
                      <w:color w:val="000000"/>
                      <w:kern w:val="0"/>
                      <w:szCs w:val="21"/>
                    </w:rPr>
                  </w:pPr>
                  <w:r w:rsidRPr="00B73352">
                    <w:rPr>
                      <w:rFonts w:hint="eastAsia"/>
                    </w:rPr>
                    <w:t>13%</w:t>
                  </w:r>
                </w:p>
              </w:tc>
              <w:tc>
                <w:tcPr>
                  <w:tcW w:w="920" w:type="dxa"/>
                  <w:tcBorders>
                    <w:top w:val="nil"/>
                    <w:left w:val="nil"/>
                    <w:bottom w:val="single" w:sz="8" w:space="0" w:color="FFFFFF"/>
                    <w:right w:val="single" w:sz="8" w:space="0" w:color="FFFFFF"/>
                  </w:tcBorders>
                  <w:shd w:val="clear" w:color="000000" w:fill="FDE9D9"/>
                  <w:noWrap/>
                  <w:hideMark/>
                </w:tcPr>
                <w:p w14:paraId="273C8344" w14:textId="60B54EF8"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57848C1D" w14:textId="66C334B5" w:rsidR="008A575D" w:rsidRPr="003F4793" w:rsidRDefault="008A575D" w:rsidP="008A575D">
                  <w:pPr>
                    <w:widowControl/>
                    <w:jc w:val="center"/>
                    <w:rPr>
                      <w:rFonts w:ascii="KaiTi" w:eastAsia="KaiTi" w:hAnsi="KaiTi" w:cs="Calibri"/>
                      <w:color w:val="000000"/>
                      <w:kern w:val="0"/>
                      <w:szCs w:val="21"/>
                    </w:rPr>
                  </w:pPr>
                  <w:r w:rsidRPr="00B73352">
                    <w:rPr>
                      <w:rFonts w:hint="eastAsia"/>
                    </w:rPr>
                    <w:t>18%</w:t>
                  </w:r>
                </w:p>
              </w:tc>
              <w:tc>
                <w:tcPr>
                  <w:tcW w:w="920" w:type="dxa"/>
                  <w:tcBorders>
                    <w:top w:val="nil"/>
                    <w:left w:val="nil"/>
                    <w:bottom w:val="single" w:sz="8" w:space="0" w:color="FFFFFF"/>
                    <w:right w:val="single" w:sz="8" w:space="0" w:color="FFFFFF"/>
                  </w:tcBorders>
                  <w:shd w:val="clear" w:color="000000" w:fill="FDE9D9"/>
                  <w:noWrap/>
                  <w:hideMark/>
                </w:tcPr>
                <w:p w14:paraId="13000828" w14:textId="00CDFBD1" w:rsidR="008A575D" w:rsidRPr="003F4793" w:rsidRDefault="008A575D" w:rsidP="008A575D">
                  <w:pPr>
                    <w:widowControl/>
                    <w:jc w:val="center"/>
                    <w:rPr>
                      <w:rFonts w:ascii="KaiTi" w:eastAsia="KaiTi" w:hAnsi="KaiTi" w:cs="Calibri"/>
                      <w:color w:val="000000"/>
                      <w:kern w:val="0"/>
                      <w:szCs w:val="21"/>
                    </w:rPr>
                  </w:pPr>
                  <w:r w:rsidRPr="00B73352">
                    <w:rPr>
                      <w:rFonts w:hint="eastAsia"/>
                    </w:rPr>
                    <w:t>61%</w:t>
                  </w:r>
                </w:p>
              </w:tc>
              <w:tc>
                <w:tcPr>
                  <w:tcW w:w="1149" w:type="dxa"/>
                  <w:tcBorders>
                    <w:top w:val="nil"/>
                    <w:left w:val="nil"/>
                    <w:bottom w:val="single" w:sz="8" w:space="0" w:color="FFFFFF"/>
                    <w:right w:val="single" w:sz="8" w:space="0" w:color="FFFFFF"/>
                  </w:tcBorders>
                  <w:shd w:val="clear" w:color="000000" w:fill="FDE9D9"/>
                  <w:noWrap/>
                  <w:hideMark/>
                </w:tcPr>
                <w:p w14:paraId="0345B549" w14:textId="7B88091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24486153" w14:textId="0DCD8F5C" w:rsidR="008A575D" w:rsidRPr="003F4793" w:rsidRDefault="008A575D" w:rsidP="008A575D">
                  <w:pPr>
                    <w:widowControl/>
                    <w:jc w:val="center"/>
                    <w:rPr>
                      <w:rFonts w:ascii="KaiTi" w:eastAsia="KaiTi" w:hAnsi="KaiTi" w:cs="Calibri"/>
                      <w:color w:val="000000"/>
                      <w:kern w:val="0"/>
                      <w:szCs w:val="21"/>
                    </w:rPr>
                  </w:pPr>
                  <w:r w:rsidRPr="00B73352">
                    <w:rPr>
                      <w:rFonts w:hint="eastAsia"/>
                    </w:rPr>
                    <w:t>13%</w:t>
                  </w:r>
                </w:p>
              </w:tc>
              <w:tc>
                <w:tcPr>
                  <w:tcW w:w="920" w:type="dxa"/>
                  <w:tcBorders>
                    <w:top w:val="nil"/>
                    <w:left w:val="nil"/>
                    <w:bottom w:val="single" w:sz="8" w:space="0" w:color="FFFFFF"/>
                    <w:right w:val="single" w:sz="8" w:space="0" w:color="FFFFFF"/>
                  </w:tcBorders>
                  <w:shd w:val="clear" w:color="000000" w:fill="FDE9D9"/>
                  <w:noWrap/>
                  <w:hideMark/>
                </w:tcPr>
                <w:p w14:paraId="07CA82A7" w14:textId="2C3CFB95" w:rsidR="008A575D" w:rsidRPr="003F4793" w:rsidRDefault="008A575D" w:rsidP="008A575D">
                  <w:pPr>
                    <w:widowControl/>
                    <w:jc w:val="center"/>
                    <w:rPr>
                      <w:rFonts w:ascii="KaiTi" w:eastAsia="KaiTi" w:hAnsi="KaiTi" w:cs="Calibri"/>
                      <w:color w:val="000000"/>
                      <w:kern w:val="0"/>
                      <w:szCs w:val="21"/>
                    </w:rPr>
                  </w:pPr>
                  <w:r w:rsidRPr="00B73352">
                    <w:rPr>
                      <w:rFonts w:hint="eastAsia"/>
                    </w:rPr>
                    <w:t>8%</w:t>
                  </w:r>
                </w:p>
              </w:tc>
              <w:tc>
                <w:tcPr>
                  <w:tcW w:w="920" w:type="dxa"/>
                  <w:tcBorders>
                    <w:top w:val="nil"/>
                    <w:left w:val="nil"/>
                    <w:bottom w:val="single" w:sz="8" w:space="0" w:color="FFFFFF"/>
                    <w:right w:val="single" w:sz="8" w:space="0" w:color="FFFFFF"/>
                  </w:tcBorders>
                  <w:shd w:val="clear" w:color="000000" w:fill="FDE9D9"/>
                  <w:noWrap/>
                  <w:hideMark/>
                </w:tcPr>
                <w:p w14:paraId="7F02EE72" w14:textId="32AFAC1B" w:rsidR="008A575D" w:rsidRPr="003F4793" w:rsidRDefault="008A575D" w:rsidP="008A575D">
                  <w:pPr>
                    <w:widowControl/>
                    <w:jc w:val="center"/>
                    <w:rPr>
                      <w:rFonts w:ascii="KaiTi" w:eastAsia="KaiTi" w:hAnsi="KaiTi" w:cs="Calibri"/>
                      <w:color w:val="000000"/>
                      <w:kern w:val="0"/>
                      <w:szCs w:val="21"/>
                    </w:rPr>
                  </w:pPr>
                  <w:r w:rsidRPr="00B73352">
                    <w:rPr>
                      <w:rFonts w:hint="eastAsia"/>
                    </w:rPr>
                    <w:t>32%</w:t>
                  </w:r>
                </w:p>
              </w:tc>
              <w:tc>
                <w:tcPr>
                  <w:tcW w:w="920" w:type="dxa"/>
                  <w:tcBorders>
                    <w:top w:val="nil"/>
                    <w:left w:val="nil"/>
                    <w:bottom w:val="single" w:sz="8" w:space="0" w:color="FFFFFF"/>
                    <w:right w:val="single" w:sz="8" w:space="0" w:color="FFFFFF"/>
                  </w:tcBorders>
                  <w:shd w:val="clear" w:color="000000" w:fill="FDE9D9"/>
                  <w:noWrap/>
                  <w:hideMark/>
                </w:tcPr>
                <w:p w14:paraId="2E828AF2" w14:textId="4530C377" w:rsidR="008A575D" w:rsidRPr="003F4793" w:rsidRDefault="008A575D" w:rsidP="008A575D">
                  <w:pPr>
                    <w:widowControl/>
                    <w:jc w:val="center"/>
                    <w:rPr>
                      <w:rFonts w:ascii="KaiTi" w:eastAsia="KaiTi" w:hAnsi="KaiTi" w:cs="Calibri"/>
                      <w:color w:val="000000"/>
                      <w:kern w:val="0"/>
                      <w:szCs w:val="21"/>
                    </w:rPr>
                  </w:pPr>
                  <w:r w:rsidRPr="00B73352">
                    <w:rPr>
                      <w:rFonts w:hint="eastAsia"/>
                    </w:rPr>
                    <w:t>91%</w:t>
                  </w:r>
                </w:p>
              </w:tc>
            </w:tr>
            <w:tr w:rsidR="008A575D" w:rsidRPr="003F4793" w14:paraId="60838313"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1BD5D8A8" w14:textId="55E4B5E3"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75E567A4" w14:textId="47F2663A" w:rsidR="008A575D" w:rsidRPr="003F4793" w:rsidRDefault="008A575D" w:rsidP="008A575D">
                  <w:pPr>
                    <w:widowControl/>
                    <w:jc w:val="center"/>
                    <w:rPr>
                      <w:rFonts w:ascii="KaiTi" w:eastAsia="KaiTi" w:hAnsi="KaiTi" w:cs="Calibri"/>
                      <w:color w:val="000000"/>
                      <w:kern w:val="0"/>
                      <w:szCs w:val="21"/>
                    </w:rPr>
                  </w:pPr>
                  <w:r w:rsidRPr="00B73352">
                    <w:rPr>
                      <w:rFonts w:hint="eastAsia"/>
                    </w:rPr>
                    <w:t>11%</w:t>
                  </w:r>
                </w:p>
              </w:tc>
              <w:tc>
                <w:tcPr>
                  <w:tcW w:w="920" w:type="dxa"/>
                  <w:tcBorders>
                    <w:top w:val="nil"/>
                    <w:left w:val="nil"/>
                    <w:bottom w:val="single" w:sz="8" w:space="0" w:color="FFFFFF"/>
                    <w:right w:val="single" w:sz="8" w:space="0" w:color="FFFFFF"/>
                  </w:tcBorders>
                  <w:shd w:val="clear" w:color="000000" w:fill="FCD5B4"/>
                  <w:noWrap/>
                  <w:hideMark/>
                </w:tcPr>
                <w:p w14:paraId="7CC5EAC5" w14:textId="338BD862"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4FCC92DC" w14:textId="687CEBF2" w:rsidR="008A575D" w:rsidRPr="003F4793" w:rsidRDefault="008A575D" w:rsidP="008A575D">
                  <w:pPr>
                    <w:widowControl/>
                    <w:jc w:val="center"/>
                    <w:rPr>
                      <w:rFonts w:ascii="KaiTi" w:eastAsia="KaiTi" w:hAnsi="KaiTi" w:cs="Calibri"/>
                      <w:color w:val="000000"/>
                      <w:kern w:val="0"/>
                      <w:szCs w:val="21"/>
                    </w:rPr>
                  </w:pPr>
                  <w:r w:rsidRPr="00B73352">
                    <w:rPr>
                      <w:rFonts w:hint="eastAsia"/>
                    </w:rPr>
                    <w:t>13%</w:t>
                  </w:r>
                </w:p>
              </w:tc>
              <w:tc>
                <w:tcPr>
                  <w:tcW w:w="920" w:type="dxa"/>
                  <w:tcBorders>
                    <w:top w:val="nil"/>
                    <w:left w:val="nil"/>
                    <w:bottom w:val="single" w:sz="8" w:space="0" w:color="FFFFFF"/>
                    <w:right w:val="single" w:sz="8" w:space="0" w:color="FFFFFF"/>
                  </w:tcBorders>
                  <w:shd w:val="clear" w:color="000000" w:fill="FCD5B4"/>
                  <w:noWrap/>
                  <w:hideMark/>
                </w:tcPr>
                <w:p w14:paraId="762ACF2C" w14:textId="63831480" w:rsidR="008A575D" w:rsidRPr="003F4793" w:rsidRDefault="008A575D" w:rsidP="008A575D">
                  <w:pPr>
                    <w:widowControl/>
                    <w:jc w:val="center"/>
                    <w:rPr>
                      <w:rFonts w:ascii="KaiTi" w:eastAsia="KaiTi" w:hAnsi="KaiTi" w:cs="Calibri"/>
                      <w:color w:val="000000"/>
                      <w:kern w:val="0"/>
                      <w:szCs w:val="21"/>
                    </w:rPr>
                  </w:pPr>
                  <w:r w:rsidRPr="00B73352">
                    <w:rPr>
                      <w:rFonts w:hint="eastAsia"/>
                    </w:rPr>
                    <w:t>55%</w:t>
                  </w:r>
                </w:p>
              </w:tc>
              <w:tc>
                <w:tcPr>
                  <w:tcW w:w="1149" w:type="dxa"/>
                  <w:tcBorders>
                    <w:top w:val="nil"/>
                    <w:left w:val="nil"/>
                    <w:bottom w:val="single" w:sz="8" w:space="0" w:color="FFFFFF"/>
                    <w:right w:val="single" w:sz="8" w:space="0" w:color="FFFFFF"/>
                  </w:tcBorders>
                  <w:shd w:val="clear" w:color="000000" w:fill="FCD5B4"/>
                  <w:noWrap/>
                  <w:hideMark/>
                </w:tcPr>
                <w:p w14:paraId="635AAF3D" w14:textId="0ECE86EA"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29019280" w14:textId="2492DD23" w:rsidR="008A575D" w:rsidRPr="003F4793" w:rsidRDefault="008A575D" w:rsidP="008A575D">
                  <w:pPr>
                    <w:widowControl/>
                    <w:jc w:val="center"/>
                    <w:rPr>
                      <w:rFonts w:ascii="KaiTi" w:eastAsia="KaiTi" w:hAnsi="KaiTi" w:cs="Calibri"/>
                      <w:color w:val="000000"/>
                      <w:kern w:val="0"/>
                      <w:szCs w:val="21"/>
                    </w:rPr>
                  </w:pPr>
                  <w:r w:rsidRPr="00B73352">
                    <w:rPr>
                      <w:rFonts w:hint="eastAsia"/>
                    </w:rPr>
                    <w:t>17%</w:t>
                  </w:r>
                </w:p>
              </w:tc>
              <w:tc>
                <w:tcPr>
                  <w:tcW w:w="920" w:type="dxa"/>
                  <w:tcBorders>
                    <w:top w:val="nil"/>
                    <w:left w:val="nil"/>
                    <w:bottom w:val="single" w:sz="8" w:space="0" w:color="FFFFFF"/>
                    <w:right w:val="single" w:sz="8" w:space="0" w:color="FFFFFF"/>
                  </w:tcBorders>
                  <w:shd w:val="clear" w:color="000000" w:fill="FCD5B4"/>
                  <w:noWrap/>
                  <w:hideMark/>
                </w:tcPr>
                <w:p w14:paraId="3C5DFC16" w14:textId="23B8448F"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7C9CABAF" w14:textId="5BD9EAC8" w:rsidR="008A575D" w:rsidRPr="003F4793" w:rsidRDefault="008A575D" w:rsidP="008A575D">
                  <w:pPr>
                    <w:widowControl/>
                    <w:jc w:val="center"/>
                    <w:rPr>
                      <w:rFonts w:ascii="KaiTi" w:eastAsia="KaiTi" w:hAnsi="KaiTi" w:cs="Calibri"/>
                      <w:color w:val="000000"/>
                      <w:kern w:val="0"/>
                      <w:szCs w:val="21"/>
                    </w:rPr>
                  </w:pPr>
                  <w:r w:rsidRPr="00B73352">
                    <w:rPr>
                      <w:rFonts w:hint="eastAsia"/>
                    </w:rPr>
                    <w:t>27%</w:t>
                  </w:r>
                </w:p>
              </w:tc>
              <w:tc>
                <w:tcPr>
                  <w:tcW w:w="920" w:type="dxa"/>
                  <w:tcBorders>
                    <w:top w:val="nil"/>
                    <w:left w:val="nil"/>
                    <w:bottom w:val="single" w:sz="8" w:space="0" w:color="FFFFFF"/>
                    <w:right w:val="single" w:sz="8" w:space="0" w:color="FFFFFF"/>
                  </w:tcBorders>
                  <w:shd w:val="clear" w:color="000000" w:fill="FCD5B4"/>
                  <w:noWrap/>
                  <w:hideMark/>
                </w:tcPr>
                <w:p w14:paraId="217354A8" w14:textId="6D94BCB3" w:rsidR="008A575D" w:rsidRPr="003F4793" w:rsidRDefault="008A575D" w:rsidP="008A575D">
                  <w:pPr>
                    <w:widowControl/>
                    <w:jc w:val="center"/>
                    <w:rPr>
                      <w:rFonts w:ascii="KaiTi" w:eastAsia="KaiTi" w:hAnsi="KaiTi" w:cs="Calibri"/>
                      <w:color w:val="000000"/>
                      <w:kern w:val="0"/>
                      <w:szCs w:val="21"/>
                    </w:rPr>
                  </w:pPr>
                  <w:r w:rsidRPr="00B73352">
                    <w:rPr>
                      <w:rFonts w:hint="eastAsia"/>
                    </w:rPr>
                    <w:t>89%</w:t>
                  </w:r>
                </w:p>
              </w:tc>
            </w:tr>
            <w:tr w:rsidR="008A575D" w:rsidRPr="003F4793" w14:paraId="2C298517"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30486C22" w14:textId="7B81CE0F"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65693455" w14:textId="34DC2477"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DE9D9"/>
                  <w:noWrap/>
                  <w:hideMark/>
                </w:tcPr>
                <w:p w14:paraId="100994DF" w14:textId="65454A99" w:rsidR="008A575D" w:rsidRPr="003F4793" w:rsidRDefault="008A575D" w:rsidP="008A575D">
                  <w:pPr>
                    <w:widowControl/>
                    <w:jc w:val="center"/>
                    <w:rPr>
                      <w:rFonts w:ascii="KaiTi" w:eastAsia="KaiTi" w:hAnsi="KaiTi" w:cs="Calibri"/>
                      <w:color w:val="000000"/>
                      <w:kern w:val="0"/>
                      <w:szCs w:val="21"/>
                    </w:rPr>
                  </w:pPr>
                  <w:r w:rsidRPr="00B73352">
                    <w:rPr>
                      <w:rFonts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5AA0E961" w14:textId="2C21B2B2"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6A261B2F" w14:textId="2813FB02" w:rsidR="008A575D" w:rsidRPr="003F4793" w:rsidRDefault="008A575D" w:rsidP="008A575D">
                  <w:pPr>
                    <w:widowControl/>
                    <w:jc w:val="center"/>
                    <w:rPr>
                      <w:rFonts w:ascii="KaiTi" w:eastAsia="KaiTi" w:hAnsi="KaiTi" w:cs="Calibri"/>
                      <w:color w:val="000000"/>
                      <w:kern w:val="0"/>
                      <w:szCs w:val="21"/>
                    </w:rPr>
                  </w:pPr>
                  <w:r w:rsidRPr="00B73352">
                    <w:rPr>
                      <w:rFonts w:hint="eastAsia"/>
                    </w:rPr>
                    <w:t>47%</w:t>
                  </w:r>
                </w:p>
              </w:tc>
              <w:tc>
                <w:tcPr>
                  <w:tcW w:w="1149" w:type="dxa"/>
                  <w:tcBorders>
                    <w:top w:val="nil"/>
                    <w:left w:val="nil"/>
                    <w:bottom w:val="single" w:sz="8" w:space="0" w:color="FFFFFF"/>
                    <w:right w:val="single" w:sz="8" w:space="0" w:color="FFFFFF"/>
                  </w:tcBorders>
                  <w:shd w:val="clear" w:color="000000" w:fill="FDE9D9"/>
                  <w:noWrap/>
                  <w:hideMark/>
                </w:tcPr>
                <w:p w14:paraId="52EDB7F5" w14:textId="5B6A9CF0"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04B722B3" w14:textId="1DACE4D1" w:rsidR="008A575D" w:rsidRPr="003F4793" w:rsidRDefault="008A575D" w:rsidP="008A575D">
                  <w:pPr>
                    <w:widowControl/>
                    <w:jc w:val="center"/>
                    <w:rPr>
                      <w:rFonts w:ascii="KaiTi" w:eastAsia="KaiTi" w:hAnsi="KaiTi" w:cs="Calibri"/>
                      <w:color w:val="000000"/>
                      <w:kern w:val="0"/>
                      <w:szCs w:val="21"/>
                    </w:rPr>
                  </w:pPr>
                  <w:r w:rsidRPr="00B73352">
                    <w:rPr>
                      <w:rFonts w:hint="eastAsia"/>
                    </w:rPr>
                    <w:t>20%</w:t>
                  </w:r>
                </w:p>
              </w:tc>
              <w:tc>
                <w:tcPr>
                  <w:tcW w:w="920" w:type="dxa"/>
                  <w:tcBorders>
                    <w:top w:val="nil"/>
                    <w:left w:val="nil"/>
                    <w:bottom w:val="single" w:sz="8" w:space="0" w:color="FFFFFF"/>
                    <w:right w:val="single" w:sz="8" w:space="0" w:color="FFFFFF"/>
                  </w:tcBorders>
                  <w:shd w:val="clear" w:color="000000" w:fill="FDE9D9"/>
                  <w:noWrap/>
                  <w:hideMark/>
                </w:tcPr>
                <w:p w14:paraId="00BAE7B3" w14:textId="124C7AAD"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1D577A1F" w14:textId="0F3B5D9A" w:rsidR="008A575D" w:rsidRPr="003F4793" w:rsidRDefault="008A575D" w:rsidP="008A575D">
                  <w:pPr>
                    <w:widowControl/>
                    <w:jc w:val="center"/>
                    <w:rPr>
                      <w:rFonts w:ascii="KaiTi" w:eastAsia="KaiTi" w:hAnsi="KaiTi" w:cs="Calibri"/>
                      <w:color w:val="000000"/>
                      <w:kern w:val="0"/>
                      <w:szCs w:val="21"/>
                    </w:rPr>
                  </w:pPr>
                  <w:r w:rsidRPr="00B73352">
                    <w:rPr>
                      <w:rFonts w:hint="eastAsia"/>
                    </w:rPr>
                    <w:t>20%</w:t>
                  </w:r>
                </w:p>
              </w:tc>
              <w:tc>
                <w:tcPr>
                  <w:tcW w:w="920" w:type="dxa"/>
                  <w:tcBorders>
                    <w:top w:val="nil"/>
                    <w:left w:val="nil"/>
                    <w:bottom w:val="single" w:sz="8" w:space="0" w:color="FFFFFF"/>
                    <w:right w:val="single" w:sz="8" w:space="0" w:color="FFFFFF"/>
                  </w:tcBorders>
                  <w:shd w:val="clear" w:color="000000" w:fill="FDE9D9"/>
                  <w:noWrap/>
                  <w:hideMark/>
                </w:tcPr>
                <w:p w14:paraId="3FF4C4AA" w14:textId="73E84586" w:rsidR="008A575D" w:rsidRPr="003F4793" w:rsidRDefault="008A575D" w:rsidP="008A575D">
                  <w:pPr>
                    <w:widowControl/>
                    <w:jc w:val="center"/>
                    <w:rPr>
                      <w:rFonts w:ascii="KaiTi" w:eastAsia="KaiTi" w:hAnsi="KaiTi" w:cs="Calibri"/>
                      <w:color w:val="000000"/>
                      <w:kern w:val="0"/>
                      <w:szCs w:val="21"/>
                    </w:rPr>
                  </w:pPr>
                  <w:r w:rsidRPr="00B73352">
                    <w:rPr>
                      <w:rFonts w:hint="eastAsia"/>
                    </w:rPr>
                    <w:t>83%</w:t>
                  </w:r>
                </w:p>
              </w:tc>
            </w:tr>
            <w:tr w:rsidR="008A575D" w:rsidRPr="003F4793" w14:paraId="21DC06D6"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4FE37E8C" w14:textId="53D3BF5E"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57AADBA" w14:textId="1CB9030E" w:rsidR="008A575D" w:rsidRPr="003F4793" w:rsidRDefault="008A575D" w:rsidP="008A575D">
                  <w:pPr>
                    <w:widowControl/>
                    <w:jc w:val="center"/>
                    <w:rPr>
                      <w:rFonts w:ascii="KaiTi" w:eastAsia="KaiTi" w:hAnsi="KaiTi" w:cs="Calibri"/>
                      <w:color w:val="000000"/>
                      <w:kern w:val="0"/>
                      <w:szCs w:val="21"/>
                    </w:rPr>
                  </w:pPr>
                  <w:r w:rsidRPr="00B73352">
                    <w:rPr>
                      <w:rFonts w:hint="eastAsia"/>
                    </w:rPr>
                    <w:t>11%</w:t>
                  </w:r>
                </w:p>
              </w:tc>
              <w:tc>
                <w:tcPr>
                  <w:tcW w:w="920" w:type="dxa"/>
                  <w:tcBorders>
                    <w:top w:val="nil"/>
                    <w:left w:val="nil"/>
                    <w:bottom w:val="single" w:sz="8" w:space="0" w:color="FFFFFF"/>
                    <w:right w:val="single" w:sz="8" w:space="0" w:color="FFFFFF"/>
                  </w:tcBorders>
                  <w:shd w:val="clear" w:color="000000" w:fill="FCD5B4"/>
                  <w:noWrap/>
                  <w:hideMark/>
                </w:tcPr>
                <w:p w14:paraId="2E67B5DA" w14:textId="050B088E"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5BB83AA5" w14:textId="1451B8F3"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45AEAC99" w14:textId="591BF220" w:rsidR="008A575D" w:rsidRPr="003F4793" w:rsidRDefault="008A575D" w:rsidP="008A575D">
                  <w:pPr>
                    <w:widowControl/>
                    <w:jc w:val="center"/>
                    <w:rPr>
                      <w:rFonts w:ascii="KaiTi" w:eastAsia="KaiTi" w:hAnsi="KaiTi" w:cs="Calibri"/>
                      <w:color w:val="000000"/>
                      <w:kern w:val="0"/>
                      <w:szCs w:val="21"/>
                    </w:rPr>
                  </w:pPr>
                  <w:r w:rsidRPr="00B73352">
                    <w:rPr>
                      <w:rFonts w:hint="eastAsia"/>
                    </w:rPr>
                    <w:t>50%</w:t>
                  </w:r>
                </w:p>
              </w:tc>
              <w:tc>
                <w:tcPr>
                  <w:tcW w:w="1149" w:type="dxa"/>
                  <w:tcBorders>
                    <w:top w:val="nil"/>
                    <w:left w:val="nil"/>
                    <w:bottom w:val="single" w:sz="8" w:space="0" w:color="FFFFFF"/>
                    <w:right w:val="single" w:sz="8" w:space="0" w:color="FFFFFF"/>
                  </w:tcBorders>
                  <w:shd w:val="clear" w:color="000000" w:fill="FCD5B4"/>
                  <w:noWrap/>
                  <w:hideMark/>
                </w:tcPr>
                <w:p w14:paraId="59204F8F" w14:textId="361394BB"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79902F5" w14:textId="5DFA8909"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CD5B4"/>
                  <w:noWrap/>
                  <w:hideMark/>
                </w:tcPr>
                <w:p w14:paraId="54133AF5" w14:textId="026C9E6F" w:rsidR="008A575D" w:rsidRPr="003F4793" w:rsidRDefault="008A575D" w:rsidP="008A575D">
                  <w:pPr>
                    <w:widowControl/>
                    <w:jc w:val="center"/>
                    <w:rPr>
                      <w:rFonts w:ascii="KaiTi" w:eastAsia="KaiTi" w:hAnsi="KaiTi" w:cs="Calibri"/>
                      <w:color w:val="000000"/>
                      <w:kern w:val="0"/>
                      <w:szCs w:val="21"/>
                    </w:rPr>
                  </w:pPr>
                  <w:r w:rsidRPr="00B73352">
                    <w:rPr>
                      <w:rFonts w:hint="eastAsia"/>
                    </w:rPr>
                    <w:t>16%</w:t>
                  </w:r>
                </w:p>
              </w:tc>
              <w:tc>
                <w:tcPr>
                  <w:tcW w:w="920" w:type="dxa"/>
                  <w:tcBorders>
                    <w:top w:val="nil"/>
                    <w:left w:val="nil"/>
                    <w:bottom w:val="single" w:sz="8" w:space="0" w:color="FFFFFF"/>
                    <w:right w:val="single" w:sz="8" w:space="0" w:color="FFFFFF"/>
                  </w:tcBorders>
                  <w:shd w:val="clear" w:color="000000" w:fill="FCD5B4"/>
                  <w:noWrap/>
                  <w:hideMark/>
                </w:tcPr>
                <w:p w14:paraId="00C9AD90" w14:textId="4A2E6FD6" w:rsidR="008A575D" w:rsidRPr="003F4793" w:rsidRDefault="008A575D" w:rsidP="008A575D">
                  <w:pPr>
                    <w:widowControl/>
                    <w:jc w:val="center"/>
                    <w:rPr>
                      <w:rFonts w:ascii="KaiTi" w:eastAsia="KaiTi" w:hAnsi="KaiTi" w:cs="Calibri"/>
                      <w:color w:val="000000"/>
                      <w:kern w:val="0"/>
                      <w:szCs w:val="21"/>
                    </w:rPr>
                  </w:pPr>
                  <w:r w:rsidRPr="00B73352">
                    <w:rPr>
                      <w:rFonts w:hint="eastAsia"/>
                    </w:rPr>
                    <w:t>16%</w:t>
                  </w:r>
                </w:p>
              </w:tc>
              <w:tc>
                <w:tcPr>
                  <w:tcW w:w="920" w:type="dxa"/>
                  <w:tcBorders>
                    <w:top w:val="nil"/>
                    <w:left w:val="nil"/>
                    <w:bottom w:val="single" w:sz="8" w:space="0" w:color="FFFFFF"/>
                    <w:right w:val="single" w:sz="8" w:space="0" w:color="FFFFFF"/>
                  </w:tcBorders>
                  <w:shd w:val="clear" w:color="000000" w:fill="FCD5B4"/>
                  <w:noWrap/>
                  <w:hideMark/>
                </w:tcPr>
                <w:p w14:paraId="541417A5" w14:textId="7BE7157F" w:rsidR="008A575D" w:rsidRPr="003F4793" w:rsidRDefault="008A575D" w:rsidP="008A575D">
                  <w:pPr>
                    <w:widowControl/>
                    <w:jc w:val="center"/>
                    <w:rPr>
                      <w:rFonts w:ascii="KaiTi" w:eastAsia="KaiTi" w:hAnsi="KaiTi" w:cs="Calibri"/>
                      <w:color w:val="000000"/>
                      <w:kern w:val="0"/>
                      <w:szCs w:val="21"/>
                    </w:rPr>
                  </w:pPr>
                  <w:r w:rsidRPr="00B73352">
                    <w:rPr>
                      <w:rFonts w:hint="eastAsia"/>
                    </w:rPr>
                    <w:t>76%</w:t>
                  </w:r>
                </w:p>
              </w:tc>
            </w:tr>
            <w:tr w:rsidR="008A575D" w:rsidRPr="003F4793" w14:paraId="0EA4170B"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10FF0248" w14:textId="45223D40"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2074306" w14:textId="569250ED"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0BA2FFDF" w14:textId="596A0BDF"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073EB474" w14:textId="10A323C3"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0B9D8097" w14:textId="50716A49" w:rsidR="008A575D" w:rsidRPr="003F4793" w:rsidRDefault="008A575D" w:rsidP="008A575D">
                  <w:pPr>
                    <w:widowControl/>
                    <w:jc w:val="center"/>
                    <w:rPr>
                      <w:rFonts w:ascii="KaiTi" w:eastAsia="KaiTi" w:hAnsi="KaiTi" w:cs="Calibri"/>
                      <w:color w:val="000000"/>
                      <w:kern w:val="0"/>
                      <w:szCs w:val="21"/>
                    </w:rPr>
                  </w:pPr>
                  <w:r w:rsidRPr="00B73352">
                    <w:rPr>
                      <w:rFonts w:hint="eastAsia"/>
                    </w:rPr>
                    <w:t>51%</w:t>
                  </w:r>
                </w:p>
              </w:tc>
              <w:tc>
                <w:tcPr>
                  <w:tcW w:w="1149" w:type="dxa"/>
                  <w:tcBorders>
                    <w:top w:val="nil"/>
                    <w:left w:val="nil"/>
                    <w:bottom w:val="single" w:sz="8" w:space="0" w:color="FFFFFF"/>
                    <w:right w:val="single" w:sz="8" w:space="0" w:color="FFFFFF"/>
                  </w:tcBorders>
                  <w:shd w:val="clear" w:color="000000" w:fill="FDE9D9"/>
                  <w:noWrap/>
                  <w:hideMark/>
                </w:tcPr>
                <w:p w14:paraId="345AC80B" w14:textId="77D21705"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19B927C3" w14:textId="4DBB4BC2" w:rsidR="008A575D" w:rsidRPr="003F4793" w:rsidRDefault="008A575D" w:rsidP="008A575D">
                  <w:pPr>
                    <w:widowControl/>
                    <w:jc w:val="center"/>
                    <w:rPr>
                      <w:rFonts w:ascii="KaiTi" w:eastAsia="KaiTi" w:hAnsi="KaiTi" w:cs="Calibri"/>
                      <w:color w:val="000000"/>
                      <w:kern w:val="0"/>
                      <w:szCs w:val="21"/>
                    </w:rPr>
                  </w:pPr>
                  <w:r w:rsidRPr="00B73352">
                    <w:rPr>
                      <w:rFonts w:hint="eastAsia"/>
                    </w:rPr>
                    <w:t>14%</w:t>
                  </w:r>
                </w:p>
              </w:tc>
              <w:tc>
                <w:tcPr>
                  <w:tcW w:w="920" w:type="dxa"/>
                  <w:tcBorders>
                    <w:top w:val="nil"/>
                    <w:left w:val="nil"/>
                    <w:bottom w:val="single" w:sz="8" w:space="0" w:color="FFFFFF"/>
                    <w:right w:val="single" w:sz="8" w:space="0" w:color="FFFFFF"/>
                  </w:tcBorders>
                  <w:shd w:val="clear" w:color="000000" w:fill="FDE9D9"/>
                  <w:noWrap/>
                  <w:hideMark/>
                </w:tcPr>
                <w:p w14:paraId="6F372E8A" w14:textId="761070DD" w:rsidR="008A575D" w:rsidRPr="003F4793" w:rsidRDefault="008A575D" w:rsidP="008A575D">
                  <w:pPr>
                    <w:widowControl/>
                    <w:jc w:val="center"/>
                    <w:rPr>
                      <w:rFonts w:ascii="KaiTi" w:eastAsia="KaiTi" w:hAnsi="KaiTi" w:cs="Calibri"/>
                      <w:color w:val="000000"/>
                      <w:kern w:val="0"/>
                      <w:szCs w:val="21"/>
                    </w:rPr>
                  </w:pPr>
                  <w:r w:rsidRPr="00B73352">
                    <w:rPr>
                      <w:rFonts w:hint="eastAsia"/>
                    </w:rPr>
                    <w:t>19%</w:t>
                  </w:r>
                </w:p>
              </w:tc>
              <w:tc>
                <w:tcPr>
                  <w:tcW w:w="920" w:type="dxa"/>
                  <w:tcBorders>
                    <w:top w:val="nil"/>
                    <w:left w:val="nil"/>
                    <w:bottom w:val="single" w:sz="8" w:space="0" w:color="FFFFFF"/>
                    <w:right w:val="single" w:sz="8" w:space="0" w:color="FFFFFF"/>
                  </w:tcBorders>
                  <w:shd w:val="clear" w:color="000000" w:fill="FDE9D9"/>
                  <w:noWrap/>
                  <w:hideMark/>
                </w:tcPr>
                <w:p w14:paraId="33016802" w14:textId="34EA3167" w:rsidR="008A575D" w:rsidRPr="003F4793" w:rsidRDefault="008A575D" w:rsidP="008A575D">
                  <w:pPr>
                    <w:widowControl/>
                    <w:jc w:val="center"/>
                    <w:rPr>
                      <w:rFonts w:ascii="KaiTi" w:eastAsia="KaiTi" w:hAnsi="KaiTi" w:cs="Calibri"/>
                      <w:color w:val="000000"/>
                      <w:kern w:val="0"/>
                      <w:szCs w:val="21"/>
                    </w:rPr>
                  </w:pPr>
                  <w:r w:rsidRPr="00B73352">
                    <w:rPr>
                      <w:rFonts w:hint="eastAsia"/>
                    </w:rPr>
                    <w:t>19%</w:t>
                  </w:r>
                </w:p>
              </w:tc>
              <w:tc>
                <w:tcPr>
                  <w:tcW w:w="920" w:type="dxa"/>
                  <w:tcBorders>
                    <w:top w:val="nil"/>
                    <w:left w:val="nil"/>
                    <w:bottom w:val="single" w:sz="8" w:space="0" w:color="FFFFFF"/>
                    <w:right w:val="single" w:sz="8" w:space="0" w:color="FFFFFF"/>
                  </w:tcBorders>
                  <w:shd w:val="clear" w:color="000000" w:fill="FFC7CE"/>
                  <w:noWrap/>
                  <w:hideMark/>
                </w:tcPr>
                <w:p w14:paraId="57FFE293" w14:textId="268BC74F" w:rsidR="008A575D" w:rsidRPr="003F4793" w:rsidRDefault="008A575D" w:rsidP="008A575D">
                  <w:pPr>
                    <w:widowControl/>
                    <w:jc w:val="center"/>
                    <w:rPr>
                      <w:rFonts w:ascii="KaiTi" w:eastAsia="KaiTi" w:hAnsi="KaiTi" w:cs="Calibri"/>
                      <w:color w:val="9C0006"/>
                      <w:kern w:val="0"/>
                      <w:szCs w:val="21"/>
                    </w:rPr>
                  </w:pPr>
                  <w:r w:rsidRPr="00B73352">
                    <w:rPr>
                      <w:rFonts w:hint="eastAsia"/>
                    </w:rPr>
                    <w:t>76%</w:t>
                  </w:r>
                </w:p>
              </w:tc>
            </w:tr>
            <w:tr w:rsidR="008A575D" w:rsidRPr="003F4793" w14:paraId="72207D52" w14:textId="77777777" w:rsidTr="00416E34">
              <w:trPr>
                <w:trHeight w:val="310"/>
              </w:trPr>
              <w:tc>
                <w:tcPr>
                  <w:tcW w:w="1309" w:type="dxa"/>
                  <w:tcBorders>
                    <w:top w:val="nil"/>
                    <w:left w:val="nil"/>
                    <w:bottom w:val="nil"/>
                    <w:right w:val="nil"/>
                  </w:tcBorders>
                  <w:shd w:val="clear" w:color="000000" w:fill="FCD5B4"/>
                  <w:noWrap/>
                  <w:hideMark/>
                </w:tcPr>
                <w:p w14:paraId="4814BB37" w14:textId="07F59C13"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5E5F0BFD" w14:textId="342B4E54"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7F5BCF09" w14:textId="59357240"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00227C37" w14:textId="54715AC9" w:rsidR="008A575D" w:rsidRPr="003F4793" w:rsidRDefault="008A575D" w:rsidP="008A575D">
                  <w:pPr>
                    <w:widowControl/>
                    <w:jc w:val="center"/>
                    <w:rPr>
                      <w:rFonts w:ascii="KaiTi" w:eastAsia="KaiTi" w:hAnsi="KaiTi" w:cs="Calibri"/>
                      <w:color w:val="000000"/>
                      <w:kern w:val="0"/>
                      <w:szCs w:val="21"/>
                    </w:rPr>
                  </w:pPr>
                  <w:r w:rsidRPr="00B73352">
                    <w:rPr>
                      <w:rFonts w:hint="eastAsia"/>
                    </w:rPr>
                    <w:t>8%</w:t>
                  </w:r>
                </w:p>
              </w:tc>
              <w:tc>
                <w:tcPr>
                  <w:tcW w:w="920" w:type="dxa"/>
                  <w:tcBorders>
                    <w:top w:val="nil"/>
                    <w:left w:val="nil"/>
                    <w:bottom w:val="single" w:sz="8" w:space="0" w:color="FFFFFF"/>
                    <w:right w:val="single" w:sz="8" w:space="0" w:color="FFFFFF"/>
                  </w:tcBorders>
                  <w:shd w:val="clear" w:color="000000" w:fill="FCD5B4"/>
                  <w:noWrap/>
                  <w:hideMark/>
                </w:tcPr>
                <w:p w14:paraId="46040BD8" w14:textId="7F8F6E9F" w:rsidR="008A575D" w:rsidRPr="003F4793" w:rsidRDefault="008A575D" w:rsidP="008A575D">
                  <w:pPr>
                    <w:widowControl/>
                    <w:jc w:val="center"/>
                    <w:rPr>
                      <w:rFonts w:ascii="KaiTi" w:eastAsia="KaiTi" w:hAnsi="KaiTi" w:cs="Calibri"/>
                      <w:color w:val="000000"/>
                      <w:kern w:val="0"/>
                      <w:szCs w:val="21"/>
                    </w:rPr>
                  </w:pPr>
                  <w:r w:rsidRPr="00B73352">
                    <w:rPr>
                      <w:rFonts w:hint="eastAsia"/>
                    </w:rPr>
                    <w:t>50%</w:t>
                  </w:r>
                </w:p>
              </w:tc>
              <w:tc>
                <w:tcPr>
                  <w:tcW w:w="1149" w:type="dxa"/>
                  <w:tcBorders>
                    <w:top w:val="nil"/>
                    <w:left w:val="nil"/>
                    <w:bottom w:val="nil"/>
                    <w:right w:val="nil"/>
                  </w:tcBorders>
                  <w:shd w:val="clear" w:color="000000" w:fill="FCD5B4"/>
                  <w:noWrap/>
                  <w:hideMark/>
                </w:tcPr>
                <w:p w14:paraId="24472A59" w14:textId="0C4A9F65"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59306821" w14:textId="7660A79B" w:rsidR="008A575D" w:rsidRPr="003F4793" w:rsidRDefault="008A575D" w:rsidP="008A575D">
                  <w:pPr>
                    <w:widowControl/>
                    <w:jc w:val="center"/>
                    <w:rPr>
                      <w:rFonts w:ascii="KaiTi" w:eastAsia="KaiTi" w:hAnsi="KaiTi" w:cs="Calibri"/>
                      <w:color w:val="000000"/>
                      <w:kern w:val="0"/>
                      <w:szCs w:val="21"/>
                    </w:rPr>
                  </w:pPr>
                  <w:r w:rsidRPr="00B73352">
                    <w:rPr>
                      <w:rFonts w:hint="eastAsia"/>
                    </w:rPr>
                    <w:t>16%</w:t>
                  </w:r>
                </w:p>
              </w:tc>
              <w:tc>
                <w:tcPr>
                  <w:tcW w:w="920" w:type="dxa"/>
                  <w:tcBorders>
                    <w:top w:val="nil"/>
                    <w:left w:val="nil"/>
                    <w:bottom w:val="single" w:sz="8" w:space="0" w:color="FFFFFF"/>
                    <w:right w:val="single" w:sz="8" w:space="0" w:color="FFFFFF"/>
                  </w:tcBorders>
                  <w:shd w:val="clear" w:color="000000" w:fill="FCD5B4"/>
                  <w:noWrap/>
                  <w:hideMark/>
                </w:tcPr>
                <w:p w14:paraId="3117A4FD" w14:textId="3ED43BBF" w:rsidR="008A575D" w:rsidRPr="003F4793" w:rsidRDefault="008A575D" w:rsidP="008A575D">
                  <w:pPr>
                    <w:widowControl/>
                    <w:jc w:val="center"/>
                    <w:rPr>
                      <w:rFonts w:ascii="KaiTi" w:eastAsia="KaiTi" w:hAnsi="KaiTi" w:cs="Calibri"/>
                      <w:color w:val="000000"/>
                      <w:kern w:val="0"/>
                      <w:szCs w:val="21"/>
                    </w:rPr>
                  </w:pPr>
                  <w:r w:rsidRPr="00B73352">
                    <w:rPr>
                      <w:rFonts w:hint="eastAsia"/>
                    </w:rPr>
                    <w:t>14%</w:t>
                  </w:r>
                </w:p>
              </w:tc>
              <w:tc>
                <w:tcPr>
                  <w:tcW w:w="920" w:type="dxa"/>
                  <w:tcBorders>
                    <w:top w:val="nil"/>
                    <w:left w:val="nil"/>
                    <w:bottom w:val="single" w:sz="8" w:space="0" w:color="FFFFFF"/>
                    <w:right w:val="single" w:sz="8" w:space="0" w:color="FFFFFF"/>
                  </w:tcBorders>
                  <w:shd w:val="clear" w:color="000000" w:fill="FCD5B4"/>
                  <w:noWrap/>
                  <w:hideMark/>
                </w:tcPr>
                <w:p w14:paraId="73214012" w14:textId="2B33C066" w:rsidR="008A575D" w:rsidRPr="003F4793" w:rsidRDefault="008A575D" w:rsidP="008A575D">
                  <w:pPr>
                    <w:widowControl/>
                    <w:jc w:val="center"/>
                    <w:rPr>
                      <w:rFonts w:ascii="KaiTi" w:eastAsia="KaiTi" w:hAnsi="KaiTi" w:cs="Calibri"/>
                      <w:color w:val="000000"/>
                      <w:kern w:val="0"/>
                      <w:szCs w:val="21"/>
                    </w:rPr>
                  </w:pPr>
                  <w:r w:rsidRPr="00B73352">
                    <w:rPr>
                      <w:rFonts w:hint="eastAsia"/>
                    </w:rPr>
                    <w:t>17%</w:t>
                  </w:r>
                </w:p>
              </w:tc>
              <w:tc>
                <w:tcPr>
                  <w:tcW w:w="920" w:type="dxa"/>
                  <w:tcBorders>
                    <w:top w:val="nil"/>
                    <w:left w:val="nil"/>
                    <w:bottom w:val="single" w:sz="8" w:space="0" w:color="FFFFFF"/>
                    <w:right w:val="single" w:sz="8" w:space="0" w:color="FFFFFF"/>
                  </w:tcBorders>
                  <w:shd w:val="clear" w:color="000000" w:fill="FFC7CE"/>
                  <w:noWrap/>
                  <w:hideMark/>
                </w:tcPr>
                <w:p w14:paraId="5DA3DB4A" w14:textId="7E5FE4B1" w:rsidR="008A575D" w:rsidRPr="003F4793" w:rsidRDefault="008A575D" w:rsidP="008A575D">
                  <w:pPr>
                    <w:widowControl/>
                    <w:jc w:val="center"/>
                    <w:rPr>
                      <w:rFonts w:ascii="KaiTi" w:eastAsia="KaiTi" w:hAnsi="KaiTi" w:cs="Calibri"/>
                      <w:color w:val="9C0006"/>
                      <w:kern w:val="0"/>
                      <w:szCs w:val="21"/>
                    </w:rPr>
                  </w:pPr>
                  <w:r w:rsidRPr="00B73352">
                    <w:rPr>
                      <w:rFonts w:hint="eastAsia"/>
                    </w:rPr>
                    <w:t>76%</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206AF960" w14:textId="77777777" w:rsidR="00F03C7D" w:rsidRPr="007A1586" w:rsidRDefault="00F03C7D" w:rsidP="00F03C7D">
      <w:pPr>
        <w:pStyle w:val="Body-text"/>
        <w:spacing w:after="240"/>
        <w:ind w:firstLineChars="200" w:firstLine="480"/>
        <w:rPr>
          <w:rFonts w:ascii="华文楷体" w:hAnsi="华文楷体"/>
          <w:sz w:val="24"/>
          <w:szCs w:val="24"/>
          <w:lang w:eastAsia="zh-CN"/>
        </w:rPr>
      </w:pPr>
      <w:r w:rsidRPr="00362E9E">
        <w:rPr>
          <w:rFonts w:ascii="华文楷体" w:hAnsi="华文楷体" w:hint="eastAsia"/>
          <w:sz w:val="24"/>
          <w:szCs w:val="24"/>
        </w:rPr>
        <w:t>市场表现，上证综指、创业板指、上证50和沪深300表现分别为-0.6%、+1.0</w:t>
      </w:r>
      <w:r>
        <w:rPr>
          <w:rFonts w:ascii="华文楷体" w:hAnsi="华文楷体" w:hint="eastAsia"/>
          <w:sz w:val="24"/>
          <w:szCs w:val="24"/>
          <w:lang w:eastAsia="zh-CN"/>
        </w:rPr>
        <w:t>%</w:t>
      </w:r>
      <w:r w:rsidRPr="00362E9E">
        <w:rPr>
          <w:rFonts w:ascii="华文楷体" w:hAnsi="华文楷体" w:hint="eastAsia"/>
          <w:sz w:val="24"/>
          <w:szCs w:val="24"/>
        </w:rPr>
        <w:t>、+1.2%和+0.0%。中证转债指数下跌0.8%。</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03C7D" w:rsidRPr="009864B5" w14:paraId="6FDD0A31" w14:textId="77777777" w:rsidTr="001875E8">
        <w:trPr>
          <w:jc w:val="center"/>
        </w:trPr>
        <w:tc>
          <w:tcPr>
            <w:tcW w:w="4939" w:type="dxa"/>
            <w:vAlign w:val="center"/>
          </w:tcPr>
          <w:p w14:paraId="42EDA700" w14:textId="77777777" w:rsidR="00F03C7D" w:rsidRPr="009864B5" w:rsidRDefault="00F03C7D" w:rsidP="001875E8">
            <w:pPr>
              <w:pStyle w:val="ChartHeading"/>
              <w:jc w:val="both"/>
            </w:pPr>
            <w:r w:rsidRPr="009864B5">
              <w:rPr>
                <w:rFonts w:hint="eastAsia"/>
              </w:rPr>
              <w:t>图表</w:t>
            </w:r>
            <w:r w:rsidRPr="009864B5">
              <w:t xml:space="preserve">. </w:t>
            </w:r>
            <w:r w:rsidRPr="009864B5">
              <w:rPr>
                <w:rFonts w:hint="eastAsia"/>
              </w:rPr>
              <w:t>A</w:t>
            </w:r>
            <w:r w:rsidRPr="009864B5">
              <w:rPr>
                <w:rFonts w:hint="eastAsia"/>
              </w:rPr>
              <w:t>股主要指数交易和估值情况</w:t>
            </w:r>
          </w:p>
        </w:tc>
        <w:tc>
          <w:tcPr>
            <w:tcW w:w="4938" w:type="dxa"/>
            <w:vAlign w:val="center"/>
          </w:tcPr>
          <w:p w14:paraId="322C7DA6" w14:textId="77777777" w:rsidR="00F03C7D" w:rsidRPr="009864B5" w:rsidRDefault="00F03C7D" w:rsidP="001875E8">
            <w:pPr>
              <w:pStyle w:val="ChartHeading"/>
              <w:jc w:val="both"/>
            </w:pPr>
            <w:r w:rsidRPr="009864B5">
              <w:rPr>
                <w:rFonts w:hint="eastAsia"/>
              </w:rPr>
              <w:t>图表</w:t>
            </w:r>
            <w:r w:rsidRPr="009864B5">
              <w:t xml:space="preserve">. </w:t>
            </w:r>
            <w:r w:rsidRPr="009864B5">
              <w:rPr>
                <w:rFonts w:hint="eastAsia"/>
              </w:rPr>
              <w:t>转</w:t>
            </w:r>
            <w:proofErr w:type="gramStart"/>
            <w:r w:rsidRPr="009864B5">
              <w:rPr>
                <w:rFonts w:hint="eastAsia"/>
              </w:rPr>
              <w:t>债指数</w:t>
            </w:r>
            <w:proofErr w:type="gramEnd"/>
            <w:r w:rsidRPr="009864B5">
              <w:rPr>
                <w:rFonts w:hint="eastAsia"/>
              </w:rPr>
              <w:t>与股指累计变化</w:t>
            </w:r>
          </w:p>
        </w:tc>
      </w:tr>
      <w:tr w:rsidR="00F03C7D" w:rsidRPr="009864B5" w14:paraId="32315FAC" w14:textId="77777777" w:rsidTr="001875E8">
        <w:tblPrEx>
          <w:tblCellMar>
            <w:left w:w="108" w:type="dxa"/>
            <w:right w:w="108" w:type="dxa"/>
          </w:tblCellMar>
        </w:tblPrEx>
        <w:trPr>
          <w:trHeight w:val="2921"/>
          <w:jc w:val="center"/>
        </w:trPr>
        <w:tc>
          <w:tcPr>
            <w:tcW w:w="4939" w:type="dxa"/>
            <w:vAlign w:val="center"/>
          </w:tcPr>
          <w:p w14:paraId="0DDCDF2F" w14:textId="77777777" w:rsidR="00F03C7D" w:rsidRPr="009864B5" w:rsidRDefault="00F03C7D" w:rsidP="001875E8">
            <w:pPr>
              <w:widowControl/>
              <w:jc w:val="left"/>
              <w:rPr>
                <w:rFonts w:ascii="宋体" w:hAnsi="宋体" w:cs="宋体"/>
                <w:kern w:val="0"/>
                <w:sz w:val="24"/>
                <w:szCs w:val="24"/>
              </w:rPr>
            </w:pPr>
            <w:r>
              <w:rPr>
                <w:noProof/>
              </w:rPr>
              <w:drawing>
                <wp:inline distT="0" distB="0" distL="0" distR="0" wp14:anchorId="5AE2CC1E" wp14:editId="49BD721D">
                  <wp:extent cx="2999105" cy="18503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99105" cy="1850390"/>
                          </a:xfrm>
                          <a:prstGeom prst="rect">
                            <a:avLst/>
                          </a:prstGeom>
                        </pic:spPr>
                      </pic:pic>
                    </a:graphicData>
                  </a:graphic>
                </wp:inline>
              </w:drawing>
            </w:r>
          </w:p>
        </w:tc>
        <w:tc>
          <w:tcPr>
            <w:tcW w:w="4938" w:type="dxa"/>
            <w:vAlign w:val="center"/>
          </w:tcPr>
          <w:p w14:paraId="6D6AB868" w14:textId="77777777" w:rsidR="00F03C7D" w:rsidRPr="009864B5" w:rsidRDefault="00F03C7D" w:rsidP="001875E8">
            <w:pPr>
              <w:jc w:val="center"/>
              <w:rPr>
                <w:noProof/>
                <w:szCs w:val="18"/>
              </w:rPr>
            </w:pPr>
            <w:r>
              <w:rPr>
                <w:noProof/>
              </w:rPr>
              <w:drawing>
                <wp:inline distT="0" distB="0" distL="0" distR="0" wp14:anchorId="03CFACDD" wp14:editId="51274418">
                  <wp:extent cx="2819359" cy="1844731"/>
                  <wp:effectExtent l="0" t="0" r="635" b="3175"/>
                  <wp:docPr id="10" name="图表 10">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F03C7D" w:rsidRPr="009864B5" w14:paraId="6FD56ACB" w14:textId="77777777" w:rsidTr="001875E8">
        <w:trPr>
          <w:trHeight w:val="64"/>
          <w:jc w:val="center"/>
        </w:trPr>
        <w:tc>
          <w:tcPr>
            <w:tcW w:w="4939" w:type="dxa"/>
            <w:vAlign w:val="center"/>
          </w:tcPr>
          <w:p w14:paraId="2B3026EC" w14:textId="77777777" w:rsidR="00F03C7D" w:rsidRPr="009864B5" w:rsidRDefault="00F03C7D" w:rsidP="001875E8">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7151F29D" w14:textId="77777777" w:rsidR="00F03C7D" w:rsidRPr="009864B5" w:rsidRDefault="00F03C7D" w:rsidP="001875E8">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696ECE07" w14:textId="77777777" w:rsidR="00F03C7D" w:rsidRDefault="00F03C7D" w:rsidP="00F03C7D">
      <w:pPr>
        <w:pStyle w:val="Body-text"/>
        <w:spacing w:after="0"/>
        <w:rPr>
          <w:lang w:eastAsia="zh-CN"/>
        </w:rPr>
      </w:pPr>
    </w:p>
    <w:p w14:paraId="5A063AEA" w14:textId="77777777" w:rsidR="00EC64B5" w:rsidRDefault="007A1586" w:rsidP="00EC64B5">
      <w:pPr>
        <w:pStyle w:val="Header2"/>
        <w:rPr>
          <w:rFonts w:eastAsia="PMingLiU"/>
          <w:sz w:val="28"/>
          <w:szCs w:val="21"/>
        </w:rPr>
      </w:pPr>
      <w:bookmarkStart w:id="0" w:name="_GoBack"/>
      <w:bookmarkEnd w:id="0"/>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66D12251" w14:textId="362C3BFD" w:rsidR="00F3595A" w:rsidRPr="00EC64B5" w:rsidRDefault="00EC64B5" w:rsidP="00621FEC">
      <w:pPr>
        <w:pStyle w:val="Header2"/>
        <w:ind w:firstLineChars="200" w:firstLine="480"/>
        <w:rPr>
          <w:rFonts w:eastAsia="PMingLiU"/>
          <w:sz w:val="28"/>
          <w:szCs w:val="21"/>
        </w:rPr>
      </w:pPr>
      <w:r w:rsidRPr="00EC64B5">
        <w:rPr>
          <w:rFonts w:ascii="华文楷体" w:hAnsi="华文楷体" w:hint="eastAsia"/>
          <w:b w:val="0"/>
          <w:szCs w:val="24"/>
        </w:rPr>
        <w:t>其他资产方面，在岸人民币对美元升值0.20%收于6.43，伦敦金现上涨0.56%至1766.45美元，标普500指数上涨1.82%，布油价格上涨3.07%至84.92美元每桶，LME铜上行9.12%，10年美债下行4.8bp收于1.57%。</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lastRenderedPageBreak/>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621FEC">
        <w:tblPrEx>
          <w:tblCellMar>
            <w:left w:w="108" w:type="dxa"/>
            <w:right w:w="108" w:type="dxa"/>
          </w:tblCellMar>
        </w:tblPrEx>
        <w:trPr>
          <w:trHeight w:val="2921"/>
          <w:jc w:val="center"/>
        </w:trPr>
        <w:tc>
          <w:tcPr>
            <w:tcW w:w="4939" w:type="dxa"/>
            <w:vAlign w:val="center"/>
          </w:tcPr>
          <w:p w14:paraId="3608D4C9" w14:textId="1A52FCEA" w:rsidR="00FC1FA4" w:rsidRPr="009864B5" w:rsidRDefault="00621FEC" w:rsidP="00692D2B">
            <w:pPr>
              <w:widowControl/>
              <w:jc w:val="left"/>
              <w:rPr>
                <w:rFonts w:ascii="宋体" w:hAnsi="宋体" w:cs="宋体"/>
                <w:kern w:val="0"/>
                <w:sz w:val="24"/>
                <w:szCs w:val="24"/>
              </w:rPr>
            </w:pPr>
            <w:r>
              <w:rPr>
                <w:noProof/>
              </w:rPr>
              <w:drawing>
                <wp:inline distT="0" distB="0" distL="0" distR="0" wp14:anchorId="7CBD6A7B" wp14:editId="09AAE9D9">
                  <wp:extent cx="2855670" cy="1690034"/>
                  <wp:effectExtent l="0" t="0" r="1905" b="5715"/>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2096279D" w:rsidR="00FC1FA4" w:rsidRPr="009864B5" w:rsidRDefault="00621FEC" w:rsidP="00692D2B">
            <w:pPr>
              <w:jc w:val="center"/>
              <w:rPr>
                <w:noProof/>
                <w:szCs w:val="18"/>
              </w:rPr>
            </w:pPr>
            <w:r>
              <w:rPr>
                <w:noProof/>
              </w:rPr>
              <w:drawing>
                <wp:inline distT="0" distB="0" distL="0" distR="0" wp14:anchorId="3B7A7133" wp14:editId="63559016">
                  <wp:extent cx="2855035" cy="1692480"/>
                  <wp:effectExtent l="0" t="0" r="2540" b="3175"/>
                  <wp:docPr id="13" name="图表 1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Pr="00C87D79" w:rsidRDefault="002D3316" w:rsidP="002D3316">
      <w:pPr>
        <w:pStyle w:val="Header2"/>
        <w:rPr>
          <w:sz w:val="28"/>
          <w:szCs w:val="21"/>
          <w:lang w:eastAsia="zh-CN"/>
        </w:rPr>
      </w:pPr>
      <w:r w:rsidRPr="00C87D79">
        <w:rPr>
          <w:sz w:val="28"/>
          <w:szCs w:val="21"/>
          <w:lang w:eastAsia="zh-CN"/>
        </w:rPr>
        <w:t>5</w:t>
      </w:r>
      <w:r w:rsidRPr="00C87D79">
        <w:rPr>
          <w:rFonts w:hint="eastAsia"/>
          <w:sz w:val="28"/>
          <w:szCs w:val="21"/>
          <w:lang w:eastAsia="zh-CN"/>
        </w:rPr>
        <w:t>、高频数据</w:t>
      </w:r>
    </w:p>
    <w:p w14:paraId="2664183A" w14:textId="1D934673" w:rsidR="00C87D79" w:rsidRPr="00C87D79" w:rsidRDefault="002D331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上游</w:t>
      </w:r>
      <w:r w:rsidR="006F3FA1" w:rsidRPr="00C87D79">
        <w:rPr>
          <w:rFonts w:ascii="华文楷体" w:hAnsi="华文楷体" w:hint="eastAsia"/>
          <w:sz w:val="24"/>
          <w:szCs w:val="24"/>
          <w:lang w:eastAsia="zh-CN"/>
        </w:rPr>
        <w:t>焦煤、动力煤</w:t>
      </w:r>
      <w:r w:rsidR="00AA4BE0">
        <w:rPr>
          <w:rFonts w:ascii="华文楷体" w:hAnsi="华文楷体" w:hint="eastAsia"/>
          <w:sz w:val="24"/>
          <w:szCs w:val="24"/>
          <w:lang w:eastAsia="zh-CN"/>
        </w:rPr>
        <w:t>、</w:t>
      </w:r>
      <w:r w:rsidR="00AA4BE0" w:rsidRPr="00C87D79">
        <w:rPr>
          <w:rFonts w:ascii="华文楷体" w:hAnsi="华文楷体" w:hint="eastAsia"/>
          <w:sz w:val="24"/>
          <w:szCs w:val="24"/>
          <w:lang w:eastAsia="zh-CN"/>
        </w:rPr>
        <w:t>原油</w:t>
      </w:r>
      <w:r w:rsidR="00C87D79" w:rsidRPr="00C87D79">
        <w:rPr>
          <w:rFonts w:ascii="华文楷体" w:hAnsi="华文楷体" w:hint="eastAsia"/>
          <w:sz w:val="24"/>
          <w:szCs w:val="24"/>
          <w:lang w:eastAsia="zh-CN"/>
        </w:rPr>
        <w:t>价格</w:t>
      </w:r>
      <w:r w:rsidR="003D3E50">
        <w:rPr>
          <w:rFonts w:ascii="华文楷体" w:hAnsi="华文楷体" w:hint="eastAsia"/>
          <w:sz w:val="24"/>
          <w:szCs w:val="24"/>
          <w:lang w:eastAsia="zh-CN"/>
        </w:rPr>
        <w:t>持续</w:t>
      </w:r>
      <w:r w:rsidR="00F979DD">
        <w:rPr>
          <w:rFonts w:ascii="华文楷体" w:hAnsi="华文楷体" w:hint="eastAsia"/>
          <w:sz w:val="24"/>
          <w:szCs w:val="24"/>
          <w:lang w:eastAsia="zh-CN"/>
        </w:rPr>
        <w:t>冲高</w:t>
      </w:r>
      <w:r w:rsidR="006F3FA1" w:rsidRPr="00C87D79">
        <w:rPr>
          <w:rFonts w:ascii="华文楷体" w:hAnsi="华文楷体" w:hint="eastAsia"/>
          <w:sz w:val="24"/>
          <w:szCs w:val="24"/>
          <w:lang w:eastAsia="zh-CN"/>
        </w:rPr>
        <w:t>，</w:t>
      </w:r>
      <w:r w:rsidR="009D73A1">
        <w:rPr>
          <w:rFonts w:ascii="华文楷体" w:hAnsi="华文楷体" w:hint="eastAsia"/>
          <w:sz w:val="24"/>
          <w:szCs w:val="24"/>
          <w:lang w:eastAsia="zh-CN"/>
        </w:rPr>
        <w:t>基建加速下</w:t>
      </w:r>
      <w:r w:rsidR="002A7C89" w:rsidRPr="00C87D79">
        <w:rPr>
          <w:rFonts w:ascii="华文楷体" w:hAnsi="华文楷体" w:hint="eastAsia"/>
          <w:sz w:val="24"/>
          <w:szCs w:val="24"/>
          <w:lang w:eastAsia="zh-CN"/>
        </w:rPr>
        <w:t>水泥</w:t>
      </w:r>
      <w:r w:rsidR="006F3FA1" w:rsidRPr="00C87D79">
        <w:rPr>
          <w:rFonts w:ascii="华文楷体" w:hAnsi="华文楷体" w:hint="eastAsia"/>
          <w:sz w:val="24"/>
          <w:szCs w:val="24"/>
          <w:lang w:eastAsia="zh-CN"/>
        </w:rPr>
        <w:t>价格连续</w:t>
      </w:r>
      <w:r w:rsidR="002A7C89" w:rsidRPr="00C87D79">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，玻璃价格连续</w:t>
      </w:r>
      <w:r w:rsidR="001C2044">
        <w:rPr>
          <w:rFonts w:ascii="华文楷体" w:hAnsi="华文楷体" w:hint="eastAsia"/>
          <w:sz w:val="24"/>
          <w:szCs w:val="24"/>
          <w:lang w:eastAsia="zh-CN"/>
        </w:rPr>
        <w:t>两</w:t>
      </w:r>
      <w:r w:rsidR="00C87D79" w:rsidRPr="00C87D79">
        <w:rPr>
          <w:rFonts w:ascii="华文楷体" w:hAnsi="华文楷体" w:hint="eastAsia"/>
          <w:sz w:val="24"/>
          <w:szCs w:val="24"/>
          <w:lang w:eastAsia="zh-CN"/>
        </w:rPr>
        <w:t>周走</w:t>
      </w:r>
      <w:r w:rsidR="001C2044">
        <w:rPr>
          <w:rFonts w:ascii="华文楷体" w:hAnsi="华文楷体" w:hint="eastAsia"/>
          <w:sz w:val="24"/>
          <w:szCs w:val="24"/>
          <w:lang w:eastAsia="zh-CN"/>
        </w:rPr>
        <w:t>强</w:t>
      </w:r>
      <w:r w:rsidR="00BC1DA3" w:rsidRPr="00C87D79">
        <w:rPr>
          <w:rFonts w:ascii="华文楷体" w:hAnsi="华文楷体" w:hint="eastAsia"/>
          <w:sz w:val="24"/>
          <w:szCs w:val="24"/>
          <w:lang w:eastAsia="zh-CN"/>
        </w:rPr>
        <w:t>。</w:t>
      </w:r>
    </w:p>
    <w:p w14:paraId="72F4E8C0" w14:textId="0A87232A"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食品价格方面</w:t>
      </w:r>
      <w:r w:rsidR="00BC1DA3"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农产品和菜篮子批发价格200指数</w:t>
      </w:r>
      <w:r w:rsidR="000F13DC">
        <w:rPr>
          <w:rFonts w:ascii="华文楷体" w:hAnsi="华文楷体" w:hint="eastAsia"/>
          <w:sz w:val="24"/>
          <w:szCs w:val="24"/>
          <w:lang w:eastAsia="zh-CN"/>
        </w:rPr>
        <w:t>、</w:t>
      </w:r>
      <w:r w:rsidR="008A575D">
        <w:rPr>
          <w:rFonts w:ascii="华文楷体" w:hAnsi="华文楷体" w:hint="eastAsia"/>
          <w:sz w:val="24"/>
          <w:szCs w:val="24"/>
          <w:lang w:eastAsia="zh-CN"/>
        </w:rPr>
        <w:t>蔬菜</w:t>
      </w:r>
      <w:r w:rsidR="000F13DC">
        <w:rPr>
          <w:rFonts w:ascii="华文楷体" w:hAnsi="华文楷体" w:hint="eastAsia"/>
          <w:sz w:val="24"/>
          <w:szCs w:val="24"/>
          <w:lang w:eastAsia="zh-CN"/>
        </w:rPr>
        <w:t>微涨</w:t>
      </w:r>
      <w:r w:rsidR="00C87D79" w:rsidRPr="00C87D79">
        <w:rPr>
          <w:rFonts w:ascii="华文楷体" w:hAnsi="华文楷体" w:hint="eastAsia"/>
          <w:sz w:val="24"/>
          <w:szCs w:val="24"/>
          <w:lang w:eastAsia="zh-CN"/>
        </w:rPr>
        <w:t>，</w:t>
      </w:r>
      <w:r w:rsidR="008A575D" w:rsidRPr="00C87D79">
        <w:rPr>
          <w:rFonts w:ascii="华文楷体" w:hAnsi="华文楷体" w:hint="eastAsia"/>
          <w:sz w:val="24"/>
          <w:szCs w:val="24"/>
          <w:lang w:eastAsia="zh-CN"/>
        </w:rPr>
        <w:t>水果批发价</w:t>
      </w:r>
      <w:r w:rsidR="008A575D">
        <w:rPr>
          <w:rFonts w:ascii="华文楷体" w:hAnsi="华文楷体" w:hint="eastAsia"/>
          <w:sz w:val="24"/>
          <w:szCs w:val="24"/>
          <w:lang w:eastAsia="zh-CN"/>
        </w:rPr>
        <w:t>下跌</w:t>
      </w:r>
      <w:r w:rsidR="000F13DC">
        <w:rPr>
          <w:rFonts w:ascii="华文楷体" w:hAnsi="华文楷体" w:hint="eastAsia"/>
          <w:sz w:val="24"/>
          <w:szCs w:val="24"/>
          <w:lang w:eastAsia="zh-CN"/>
        </w:rPr>
        <w:t>，</w:t>
      </w:r>
      <w:proofErr w:type="gramStart"/>
      <w:r w:rsidR="00F979DD" w:rsidRPr="00C87D79">
        <w:rPr>
          <w:rFonts w:ascii="华文楷体" w:hAnsi="华文楷体" w:hint="eastAsia"/>
          <w:sz w:val="24"/>
          <w:szCs w:val="24"/>
          <w:lang w:eastAsia="zh-CN"/>
        </w:rPr>
        <w:t>猪肉</w:t>
      </w:r>
      <w:r w:rsidR="00AA4BE0">
        <w:rPr>
          <w:rFonts w:ascii="华文楷体" w:hAnsi="华文楷体" w:hint="eastAsia"/>
          <w:sz w:val="24"/>
          <w:szCs w:val="24"/>
          <w:lang w:eastAsia="zh-CN"/>
        </w:rPr>
        <w:t>环</w:t>
      </w:r>
      <w:proofErr w:type="gramEnd"/>
      <w:r w:rsidR="00AA4BE0">
        <w:rPr>
          <w:rFonts w:ascii="华文楷体" w:hAnsi="华文楷体" w:hint="eastAsia"/>
          <w:sz w:val="24"/>
          <w:szCs w:val="24"/>
          <w:lang w:eastAsia="zh-CN"/>
        </w:rPr>
        <w:t>比</w:t>
      </w:r>
      <w:r w:rsidR="001C2044">
        <w:rPr>
          <w:rFonts w:ascii="华文楷体" w:hAnsi="华文楷体" w:hint="eastAsia"/>
          <w:sz w:val="24"/>
          <w:szCs w:val="24"/>
          <w:lang w:eastAsia="zh-CN"/>
        </w:rPr>
        <w:t>上行9</w:t>
      </w:r>
      <w:r w:rsidR="001C2044">
        <w:rPr>
          <w:rFonts w:ascii="华文楷体" w:hAnsi="华文楷体"/>
          <w:sz w:val="24"/>
          <w:szCs w:val="24"/>
          <w:lang w:eastAsia="zh-CN"/>
        </w:rPr>
        <w:t>.50</w:t>
      </w:r>
      <w:r w:rsidR="001C2044">
        <w:rPr>
          <w:rFonts w:ascii="华文楷体" w:hAnsi="华文楷体" w:hint="eastAsia"/>
          <w:sz w:val="24"/>
          <w:szCs w:val="24"/>
          <w:lang w:eastAsia="zh-CN"/>
        </w:rPr>
        <w:t>%</w:t>
      </w:r>
      <w:r w:rsidRPr="00C87D79">
        <w:rPr>
          <w:rFonts w:ascii="华文楷体" w:hAnsi="华文楷体" w:hint="eastAsia"/>
          <w:sz w:val="24"/>
          <w:szCs w:val="24"/>
          <w:lang w:eastAsia="zh-CN"/>
        </w:rPr>
        <w:t>。</w:t>
      </w:r>
    </w:p>
    <w:p w14:paraId="10D6A074" w14:textId="255EFACE"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工业品价格方面，</w:t>
      </w:r>
      <w:r w:rsidR="005E6806" w:rsidRPr="005E6806">
        <w:rPr>
          <w:rFonts w:ascii="华文楷体" w:hAnsi="华文楷体" w:hint="eastAsia"/>
          <w:sz w:val="24"/>
          <w:szCs w:val="24"/>
          <w:lang w:eastAsia="zh-CN"/>
        </w:rPr>
        <w:t>有色金属板块</w:t>
      </w:r>
      <w:r w:rsidR="008D1D18">
        <w:rPr>
          <w:rFonts w:ascii="华文楷体" w:hAnsi="华文楷体" w:hint="eastAsia"/>
          <w:sz w:val="24"/>
          <w:szCs w:val="24"/>
          <w:lang w:eastAsia="zh-CN"/>
        </w:rPr>
        <w:t>大多</w:t>
      </w:r>
      <w:r w:rsidR="001C2044">
        <w:rPr>
          <w:rFonts w:ascii="华文楷体" w:hAnsi="华文楷体" w:hint="eastAsia"/>
          <w:sz w:val="24"/>
          <w:szCs w:val="24"/>
          <w:lang w:eastAsia="zh-CN"/>
        </w:rPr>
        <w:t>上行，特别是锌价上涨8%</w:t>
      </w:r>
      <w:r w:rsidR="007C4C14" w:rsidRPr="00C87D79">
        <w:rPr>
          <w:rFonts w:ascii="华文楷体" w:hAnsi="华文楷体" w:hint="eastAsia"/>
          <w:sz w:val="24"/>
          <w:szCs w:val="24"/>
          <w:lang w:eastAsia="zh-CN"/>
        </w:rPr>
        <w:t>。</w:t>
      </w:r>
    </w:p>
    <w:p w14:paraId="24A84318" w14:textId="0EB63E9F" w:rsidR="003F3A2E" w:rsidRDefault="003F3A2E"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地产方面，</w:t>
      </w:r>
      <w:r w:rsidR="008A575D">
        <w:rPr>
          <w:rFonts w:ascii="华文楷体" w:hAnsi="华文楷体" w:hint="eastAsia"/>
          <w:sz w:val="24"/>
          <w:szCs w:val="24"/>
          <w:lang w:eastAsia="zh-CN"/>
        </w:rPr>
        <w:t>假期期间</w:t>
      </w:r>
      <w:r w:rsidR="00BC1DA3" w:rsidRPr="00C87D79">
        <w:rPr>
          <w:rFonts w:ascii="华文楷体" w:hAnsi="华文楷体" w:hint="eastAsia"/>
          <w:sz w:val="24"/>
          <w:szCs w:val="24"/>
          <w:lang w:eastAsia="zh-CN"/>
        </w:rPr>
        <w:t>下游</w:t>
      </w:r>
      <w:r w:rsidR="002D3316" w:rsidRPr="00C87D79">
        <w:rPr>
          <w:rFonts w:ascii="华文楷体" w:hAnsi="华文楷体" w:hint="eastAsia"/>
          <w:sz w:val="24"/>
          <w:szCs w:val="24"/>
          <w:lang w:eastAsia="zh-CN"/>
        </w:rPr>
        <w:t>商品房成交</w:t>
      </w:r>
      <w:proofErr w:type="gramStart"/>
      <w:r w:rsidR="00BC1DA3" w:rsidRPr="00C87D79">
        <w:rPr>
          <w:rFonts w:ascii="华文楷体" w:hAnsi="华文楷体" w:hint="eastAsia"/>
          <w:sz w:val="24"/>
          <w:szCs w:val="24"/>
          <w:lang w:eastAsia="zh-CN"/>
        </w:rPr>
        <w:t>面积</w:t>
      </w:r>
      <w:r w:rsidR="009E646D">
        <w:rPr>
          <w:rFonts w:ascii="华文楷体" w:hAnsi="华文楷体" w:hint="eastAsia"/>
          <w:sz w:val="24"/>
          <w:szCs w:val="24"/>
          <w:lang w:eastAsia="zh-CN"/>
        </w:rPr>
        <w:t>环</w:t>
      </w:r>
      <w:proofErr w:type="gramEnd"/>
      <w:r w:rsidR="009E646D">
        <w:rPr>
          <w:rFonts w:ascii="华文楷体" w:hAnsi="华文楷体" w:hint="eastAsia"/>
          <w:sz w:val="24"/>
          <w:szCs w:val="24"/>
          <w:lang w:eastAsia="zh-CN"/>
        </w:rPr>
        <w:t>比</w:t>
      </w:r>
      <w:r w:rsidR="008A575D">
        <w:rPr>
          <w:rFonts w:ascii="华文楷体" w:hAnsi="华文楷体" w:hint="eastAsia"/>
          <w:sz w:val="24"/>
          <w:szCs w:val="24"/>
          <w:lang w:eastAsia="zh-CN"/>
        </w:rPr>
        <w:t>大幅提升</w:t>
      </w:r>
      <w:r w:rsidR="00C87D79" w:rsidRPr="00C87D79">
        <w:rPr>
          <w:rFonts w:ascii="华文楷体" w:hAnsi="华文楷体" w:hint="eastAsia"/>
          <w:sz w:val="24"/>
          <w:szCs w:val="24"/>
          <w:lang w:eastAsia="zh-CN"/>
        </w:rPr>
        <w:t>，一线</w:t>
      </w:r>
      <w:r w:rsidR="001C2044">
        <w:rPr>
          <w:rFonts w:ascii="华文楷体" w:hAnsi="华文楷体" w:hint="eastAsia"/>
          <w:sz w:val="24"/>
          <w:szCs w:val="24"/>
          <w:lang w:eastAsia="zh-CN"/>
        </w:rPr>
        <w:t>、二线和三线</w:t>
      </w:r>
      <w:r w:rsidR="00A146F9">
        <w:rPr>
          <w:rFonts w:ascii="华文楷体" w:hAnsi="华文楷体" w:hint="eastAsia"/>
          <w:sz w:val="24"/>
          <w:szCs w:val="24"/>
          <w:lang w:eastAsia="zh-CN"/>
        </w:rPr>
        <w:t>城市</w:t>
      </w:r>
      <w:r w:rsidR="00C87D79" w:rsidRPr="00C87D79">
        <w:rPr>
          <w:rFonts w:ascii="华文楷体" w:hAnsi="华文楷体" w:hint="eastAsia"/>
          <w:sz w:val="24"/>
          <w:szCs w:val="24"/>
          <w:lang w:eastAsia="zh-CN"/>
        </w:rPr>
        <w:t>成交面积</w:t>
      </w:r>
      <w:r w:rsidR="008D1D18">
        <w:rPr>
          <w:rFonts w:ascii="华文楷体" w:hAnsi="华文楷体" w:hint="eastAsia"/>
          <w:sz w:val="24"/>
          <w:szCs w:val="24"/>
          <w:lang w:eastAsia="zh-CN"/>
        </w:rPr>
        <w:t>表现</w:t>
      </w:r>
      <w:r w:rsidR="00A146F9">
        <w:rPr>
          <w:rFonts w:ascii="华文楷体" w:hAnsi="华文楷体" w:hint="eastAsia"/>
          <w:sz w:val="24"/>
          <w:szCs w:val="24"/>
          <w:lang w:eastAsia="zh-CN"/>
        </w:rPr>
        <w:t>强</w:t>
      </w:r>
      <w:r w:rsidR="008D1D18">
        <w:rPr>
          <w:rFonts w:ascii="华文楷体" w:hAnsi="华文楷体" w:hint="eastAsia"/>
          <w:sz w:val="24"/>
          <w:szCs w:val="24"/>
          <w:lang w:eastAsia="zh-CN"/>
        </w:rPr>
        <w:t>势</w:t>
      </w:r>
      <w:r w:rsidR="002D3316" w:rsidRPr="00C87D79">
        <w:rPr>
          <w:rFonts w:ascii="华文楷体" w:hAnsi="华文楷体" w:hint="eastAsia"/>
          <w:sz w:val="24"/>
          <w:szCs w:val="24"/>
          <w:lang w:eastAsia="zh-CN"/>
        </w:rPr>
        <w:t>。</w:t>
      </w:r>
    </w:p>
    <w:p w14:paraId="06AE5D3E" w14:textId="008D194E" w:rsidR="00A146F9" w:rsidRDefault="00A146F9" w:rsidP="006F3FA1">
      <w:pPr>
        <w:pStyle w:val="Body-text"/>
        <w:spacing w:after="240"/>
        <w:ind w:firstLineChars="200" w:firstLine="480"/>
        <w:rPr>
          <w:rFonts w:ascii="华文楷体" w:hAnsi="华文楷体"/>
          <w:sz w:val="24"/>
          <w:szCs w:val="24"/>
          <w:lang w:eastAsia="zh-CN"/>
        </w:rPr>
      </w:pP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51EA0146" w:rsidR="002D3316" w:rsidRPr="009864B5" w:rsidRDefault="001C2044" w:rsidP="00164014">
            <w:pPr>
              <w:widowControl/>
              <w:jc w:val="left"/>
              <w:rPr>
                <w:rFonts w:ascii="宋体" w:hAnsi="宋体" w:cs="宋体"/>
                <w:kern w:val="0"/>
                <w:sz w:val="24"/>
                <w:szCs w:val="24"/>
              </w:rPr>
            </w:pPr>
            <w:r>
              <w:rPr>
                <w:rFonts w:ascii="宋体" w:hAnsi="宋体" w:cs="宋体"/>
                <w:noProof/>
                <w:kern w:val="0"/>
                <w:sz w:val="24"/>
                <w:szCs w:val="24"/>
              </w:rPr>
              <w:drawing>
                <wp:inline distT="0" distB="0" distL="0" distR="0" wp14:anchorId="63464CE9" wp14:editId="59C0BB9B">
                  <wp:extent cx="5273675" cy="4925695"/>
                  <wp:effectExtent l="0" t="0" r="3175"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3675" cy="4925695"/>
                          </a:xfrm>
                          <a:prstGeom prst="rect">
                            <a:avLst/>
                          </a:prstGeom>
                          <a:noFill/>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5F7DBCFA"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B76849">
        <w:rPr>
          <w:rFonts w:hint="eastAsia"/>
          <w:color w:val="C45911" w:themeColor="accent2" w:themeShade="BF"/>
        </w:rPr>
        <w:t>策略展望</w:t>
      </w:r>
    </w:p>
    <w:p w14:paraId="00BA1D15" w14:textId="49A6EB56"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001C2044" w:rsidRPr="001C2044">
        <w:rPr>
          <w:rFonts w:ascii="华文楷体" w:hAnsi="华文楷体" w:hint="eastAsia"/>
          <w:b w:val="0"/>
          <w:color w:val="auto"/>
          <w:sz w:val="24"/>
          <w:szCs w:val="24"/>
        </w:rPr>
        <w:t>上周债市表现整体不佳，十年国债已经临近3.0%关键点位。周一开盘，债市</w:t>
      </w:r>
      <w:proofErr w:type="gramStart"/>
      <w:r w:rsidR="001C2044" w:rsidRPr="001C2044">
        <w:rPr>
          <w:rFonts w:ascii="华文楷体" w:hAnsi="华文楷体" w:hint="eastAsia"/>
          <w:b w:val="0"/>
          <w:color w:val="auto"/>
          <w:sz w:val="24"/>
          <w:szCs w:val="24"/>
        </w:rPr>
        <w:t>遇基本</w:t>
      </w:r>
      <w:proofErr w:type="gramEnd"/>
      <w:r w:rsidR="001C2044" w:rsidRPr="001C2044">
        <w:rPr>
          <w:rFonts w:ascii="华文楷体" w:hAnsi="华文楷体" w:hint="eastAsia"/>
          <w:b w:val="0"/>
          <w:color w:val="auto"/>
          <w:sz w:val="24"/>
          <w:szCs w:val="24"/>
        </w:rPr>
        <w:t>面利好不涨反跌，直接原因</w:t>
      </w:r>
      <w:proofErr w:type="gramStart"/>
      <w:r w:rsidR="001C2044" w:rsidRPr="001C2044">
        <w:rPr>
          <w:rFonts w:ascii="华文楷体" w:hAnsi="华文楷体" w:hint="eastAsia"/>
          <w:b w:val="0"/>
          <w:color w:val="auto"/>
          <w:sz w:val="24"/>
          <w:szCs w:val="24"/>
        </w:rPr>
        <w:t>包括降准预期</w:t>
      </w:r>
      <w:proofErr w:type="gramEnd"/>
      <w:r w:rsidR="001C2044" w:rsidRPr="001C2044">
        <w:rPr>
          <w:rFonts w:ascii="华文楷体" w:hAnsi="华文楷体" w:hint="eastAsia"/>
          <w:b w:val="0"/>
          <w:color w:val="auto"/>
          <w:sz w:val="24"/>
          <w:szCs w:val="24"/>
        </w:rPr>
        <w:t>有所落空、美债利率走高、大宗表现强势，以及传闻中的放宽地产信贷等。周二到周四，债市情绪延续谨慎、收益率以震荡为主，期间公布的数据出口表现亮眼、</w:t>
      </w:r>
      <w:proofErr w:type="gramStart"/>
      <w:r w:rsidR="001C2044" w:rsidRPr="001C2044">
        <w:rPr>
          <w:rFonts w:ascii="华文楷体" w:hAnsi="华文楷体" w:hint="eastAsia"/>
          <w:b w:val="0"/>
          <w:color w:val="auto"/>
          <w:sz w:val="24"/>
          <w:szCs w:val="24"/>
        </w:rPr>
        <w:t>社融数据</w:t>
      </w:r>
      <w:proofErr w:type="gramEnd"/>
      <w:r w:rsidR="001C2044" w:rsidRPr="001C2044">
        <w:rPr>
          <w:rFonts w:ascii="华文楷体" w:hAnsi="华文楷体" w:hint="eastAsia"/>
          <w:b w:val="0"/>
          <w:color w:val="auto"/>
          <w:sz w:val="24"/>
          <w:szCs w:val="24"/>
        </w:rPr>
        <w:t>如预期偏弱、PPI创新高但向CPI</w:t>
      </w:r>
      <w:proofErr w:type="gramStart"/>
      <w:r w:rsidR="001C2044" w:rsidRPr="001C2044">
        <w:rPr>
          <w:rFonts w:ascii="华文楷体" w:hAnsi="华文楷体" w:hint="eastAsia"/>
          <w:b w:val="0"/>
          <w:color w:val="auto"/>
          <w:sz w:val="24"/>
          <w:szCs w:val="24"/>
        </w:rPr>
        <w:t>传导仍</w:t>
      </w:r>
      <w:proofErr w:type="gramEnd"/>
      <w:r w:rsidR="001C2044" w:rsidRPr="001C2044">
        <w:rPr>
          <w:rFonts w:ascii="华文楷体" w:hAnsi="华文楷体" w:hint="eastAsia"/>
          <w:b w:val="0"/>
          <w:color w:val="auto"/>
          <w:sz w:val="24"/>
          <w:szCs w:val="24"/>
        </w:rPr>
        <w:t>弱。周五，金融统计数据发布会上央行官员的</w:t>
      </w:r>
      <w:proofErr w:type="gramStart"/>
      <w:r w:rsidR="001C2044" w:rsidRPr="001C2044">
        <w:rPr>
          <w:rFonts w:ascii="华文楷体" w:hAnsi="华文楷体" w:hint="eastAsia"/>
          <w:b w:val="0"/>
          <w:color w:val="auto"/>
          <w:sz w:val="24"/>
          <w:szCs w:val="24"/>
        </w:rPr>
        <w:t>发言重燃货币</w:t>
      </w:r>
      <w:proofErr w:type="gramEnd"/>
      <w:r w:rsidR="001C2044" w:rsidRPr="001C2044">
        <w:rPr>
          <w:rFonts w:ascii="华文楷体" w:hAnsi="华文楷体" w:hint="eastAsia"/>
          <w:b w:val="0"/>
          <w:color w:val="auto"/>
          <w:sz w:val="24"/>
          <w:szCs w:val="24"/>
        </w:rPr>
        <w:t>政策绕过宽货币而宽信用的担忧，债券收益率快速上行。全周来看，十年国债、国开利率较前一周明显上行，分别录得2.99%（21国债09）和3.29%。</w:t>
      </w:r>
      <w:r w:rsidRPr="003E4A57">
        <w:rPr>
          <w:rFonts w:ascii="华文楷体" w:hAnsi="华文楷体" w:hint="eastAsia"/>
          <w:b w:val="0"/>
          <w:color w:val="auto"/>
          <w:sz w:val="24"/>
          <w:szCs w:val="24"/>
        </w:rPr>
        <w:t>我们对</w:t>
      </w:r>
      <w:r w:rsidR="001C2044">
        <w:rPr>
          <w:rFonts w:ascii="华文楷体" w:hAnsi="华文楷体" w:hint="eastAsia"/>
          <w:b w:val="0"/>
          <w:color w:val="auto"/>
          <w:sz w:val="24"/>
          <w:szCs w:val="24"/>
        </w:rPr>
        <w:t>近期</w:t>
      </w:r>
      <w:r w:rsidRPr="003E4A57">
        <w:rPr>
          <w:rFonts w:ascii="华文楷体" w:hAnsi="华文楷体" w:hint="eastAsia"/>
          <w:b w:val="0"/>
          <w:color w:val="auto"/>
          <w:sz w:val="24"/>
          <w:szCs w:val="24"/>
        </w:rPr>
        <w:t>利率</w:t>
      </w:r>
      <w:r w:rsidR="001C2044">
        <w:rPr>
          <w:rFonts w:ascii="华文楷体" w:hAnsi="华文楷体" w:hint="eastAsia"/>
          <w:b w:val="0"/>
          <w:color w:val="auto"/>
          <w:sz w:val="24"/>
          <w:szCs w:val="24"/>
        </w:rPr>
        <w:t>走势较为</w:t>
      </w:r>
      <w:r w:rsidRPr="003E4A57">
        <w:rPr>
          <w:rFonts w:ascii="华文楷体" w:hAnsi="华文楷体" w:hint="eastAsia"/>
          <w:b w:val="0"/>
          <w:color w:val="auto"/>
          <w:sz w:val="24"/>
          <w:szCs w:val="24"/>
        </w:rPr>
        <w:t>谨慎，</w:t>
      </w:r>
      <w:proofErr w:type="gramStart"/>
      <w:r w:rsidR="001C2044">
        <w:rPr>
          <w:rFonts w:ascii="华文楷体" w:hAnsi="华文楷体" w:hint="eastAsia"/>
          <w:b w:val="0"/>
          <w:color w:val="auto"/>
          <w:sz w:val="24"/>
          <w:szCs w:val="24"/>
        </w:rPr>
        <w:t>偏短久期的</w:t>
      </w:r>
      <w:proofErr w:type="gramEnd"/>
      <w:r w:rsidRPr="003E4A57">
        <w:rPr>
          <w:rFonts w:ascii="华文楷体" w:hAnsi="华文楷体" w:hint="eastAsia"/>
          <w:b w:val="0"/>
          <w:color w:val="auto"/>
          <w:sz w:val="24"/>
          <w:szCs w:val="24"/>
        </w:rPr>
        <w:t>哑铃型配置以灵活应对可能打破均衡的超预期因素。</w:t>
      </w:r>
    </w:p>
    <w:p w14:paraId="7EFA5FEE" w14:textId="1E3E3E9A"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信用债方面，K型分化的过程中，监管的控制力逐渐显现。一方面致力完善长效机制（《关于推动公司信用类债券市场改革开放高质量发展的指导意见》），另一方面也在避免短期金融风险系统性化，对</w:t>
      </w:r>
      <w:r w:rsidR="00C528F0">
        <w:rPr>
          <w:rFonts w:ascii="华文楷体" w:hAnsi="华文楷体" w:hint="eastAsia"/>
          <w:b w:val="0"/>
          <w:color w:val="auto"/>
          <w:sz w:val="24"/>
          <w:szCs w:val="24"/>
        </w:rPr>
        <w:t>某些</w:t>
      </w:r>
      <w:r w:rsidRPr="003E4A57">
        <w:rPr>
          <w:rFonts w:ascii="华文楷体" w:hAnsi="华文楷体" w:hint="eastAsia"/>
          <w:b w:val="0"/>
          <w:color w:val="auto"/>
          <w:sz w:val="24"/>
          <w:szCs w:val="24"/>
        </w:rPr>
        <w:t>典型企业采取了不同的措施和关注，对信贷不平衡地区启动了再贷款。信用策略上，继续防范尾部风险的基础上，关注具备持续经营能力的国企产业和强公益属性的</w:t>
      </w:r>
      <w:proofErr w:type="gramStart"/>
      <w:r w:rsidRPr="003E4A57">
        <w:rPr>
          <w:rFonts w:ascii="华文楷体" w:hAnsi="华文楷体" w:hint="eastAsia"/>
          <w:b w:val="0"/>
          <w:color w:val="auto"/>
          <w:sz w:val="24"/>
          <w:szCs w:val="24"/>
        </w:rPr>
        <w:t>城投债的</w:t>
      </w:r>
      <w:proofErr w:type="gramEnd"/>
      <w:r w:rsidRPr="003E4A57">
        <w:rPr>
          <w:rFonts w:ascii="华文楷体" w:hAnsi="华文楷体" w:hint="eastAsia"/>
          <w:b w:val="0"/>
          <w:color w:val="auto"/>
          <w:sz w:val="24"/>
          <w:szCs w:val="24"/>
        </w:rPr>
        <w:t>机会。</w:t>
      </w:r>
    </w:p>
    <w:p w14:paraId="663F1B3B" w14:textId="3E6FD5B2" w:rsidR="00B76849" w:rsidRPr="003E4A57" w:rsidRDefault="00B76849" w:rsidP="00B76849">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lastRenderedPageBreak/>
        <w:t>可转债：</w:t>
      </w:r>
      <w:r w:rsidRPr="003E4A57">
        <w:rPr>
          <w:rFonts w:ascii="华文楷体" w:hAnsi="华文楷体" w:hint="eastAsia"/>
          <w:b w:val="0"/>
          <w:bCs/>
          <w:color w:val="auto"/>
          <w:sz w:val="24"/>
          <w:szCs w:val="24"/>
        </w:rPr>
        <w:t>流动性环境对权益市场仍较友好，但企业整体盈利压力逐步显现。可转债中成长性较强、符合长期产业政策引导方向的新能源汽车、碳中和、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仍需趋于谨慎，重点挖掘结构性机会。结构上继续推荐以下三条主线：</w:t>
      </w:r>
      <w:r w:rsidR="00182106" w:rsidRPr="00182106">
        <w:rPr>
          <w:rFonts w:ascii="华文楷体" w:hAnsi="华文楷体" w:hint="eastAsia"/>
          <w:b w:val="0"/>
          <w:bCs/>
          <w:color w:val="auto"/>
          <w:sz w:val="24"/>
          <w:szCs w:val="24"/>
        </w:rPr>
        <w:t>一是稳定型与低价高性价比转债，</w:t>
      </w:r>
      <w:proofErr w:type="gramStart"/>
      <w:r w:rsidR="00182106" w:rsidRPr="00182106">
        <w:rPr>
          <w:rFonts w:ascii="华文楷体" w:hAnsi="华文楷体" w:hint="eastAsia"/>
          <w:b w:val="0"/>
          <w:bCs/>
          <w:color w:val="auto"/>
          <w:sz w:val="24"/>
          <w:szCs w:val="24"/>
        </w:rPr>
        <w:t>高配130元</w:t>
      </w:r>
      <w:proofErr w:type="gramEnd"/>
      <w:r w:rsidR="00182106" w:rsidRPr="00182106">
        <w:rPr>
          <w:rFonts w:ascii="华文楷体" w:hAnsi="华文楷体" w:hint="eastAsia"/>
          <w:b w:val="0"/>
          <w:bCs/>
          <w:color w:val="auto"/>
          <w:sz w:val="24"/>
          <w:szCs w:val="24"/>
        </w:rPr>
        <w:t>/25%以</w:t>
      </w:r>
      <w:proofErr w:type="gramStart"/>
      <w:r w:rsidR="00182106" w:rsidRPr="00182106">
        <w:rPr>
          <w:rFonts w:ascii="华文楷体" w:hAnsi="华文楷体" w:hint="eastAsia"/>
          <w:b w:val="0"/>
          <w:bCs/>
          <w:color w:val="auto"/>
          <w:sz w:val="24"/>
          <w:szCs w:val="24"/>
        </w:rPr>
        <w:t>下溢价率基本</w:t>
      </w:r>
      <w:proofErr w:type="gramEnd"/>
      <w:r w:rsidR="00182106" w:rsidRPr="00182106">
        <w:rPr>
          <w:rFonts w:ascii="华文楷体" w:hAnsi="华文楷体" w:hint="eastAsia"/>
          <w:b w:val="0"/>
          <w:bCs/>
          <w:color w:val="auto"/>
          <w:sz w:val="24"/>
          <w:szCs w:val="24"/>
        </w:rPr>
        <w:t>面尚可的防御型标的，在市场整体估值高位下增加底仓品种的配置权重；二是景气度持续提升的光伏、锂电</w:t>
      </w:r>
      <w:proofErr w:type="gramStart"/>
      <w:r w:rsidR="00182106" w:rsidRPr="00182106">
        <w:rPr>
          <w:rFonts w:ascii="华文楷体" w:hAnsi="华文楷体" w:hint="eastAsia"/>
          <w:b w:val="0"/>
          <w:bCs/>
          <w:color w:val="auto"/>
          <w:sz w:val="24"/>
          <w:szCs w:val="24"/>
        </w:rPr>
        <w:t>等成长</w:t>
      </w:r>
      <w:proofErr w:type="gramEnd"/>
      <w:r w:rsidR="00182106" w:rsidRPr="00182106">
        <w:rPr>
          <w:rFonts w:ascii="华文楷体" w:hAnsi="华文楷体" w:hint="eastAsia"/>
          <w:b w:val="0"/>
          <w:bCs/>
          <w:color w:val="auto"/>
          <w:sz w:val="24"/>
          <w:szCs w:val="24"/>
        </w:rPr>
        <w:t>板块转债，短期调整叠加盈利释放后，估值吸引力有所提升，碳中和趋势下具备中长期配置价值</w:t>
      </w:r>
      <w:r w:rsidR="00C528F0">
        <w:rPr>
          <w:rFonts w:ascii="华文楷体" w:hAnsi="华文楷体" w:hint="eastAsia"/>
          <w:b w:val="0"/>
          <w:bCs/>
          <w:color w:val="auto"/>
          <w:sz w:val="24"/>
          <w:szCs w:val="24"/>
        </w:rPr>
        <w:t>；</w:t>
      </w:r>
      <w:r w:rsidR="00182106" w:rsidRPr="00182106">
        <w:rPr>
          <w:rFonts w:ascii="华文楷体" w:hAnsi="华文楷体" w:hint="eastAsia"/>
          <w:b w:val="0"/>
          <w:bCs/>
          <w:color w:val="auto"/>
          <w:sz w:val="24"/>
          <w:szCs w:val="24"/>
        </w:rPr>
        <w:t>三是供需关系错配明显，具备涨价逻辑的细分周期转债，当前估值水平普遍偏低，建议小</w:t>
      </w:r>
      <w:proofErr w:type="gramStart"/>
      <w:r w:rsidR="00182106" w:rsidRPr="00182106">
        <w:rPr>
          <w:rFonts w:ascii="华文楷体" w:hAnsi="华文楷体" w:hint="eastAsia"/>
          <w:b w:val="0"/>
          <w:bCs/>
          <w:color w:val="auto"/>
          <w:sz w:val="24"/>
          <w:szCs w:val="24"/>
        </w:rPr>
        <w:t>仓位</w:t>
      </w:r>
      <w:proofErr w:type="gramEnd"/>
      <w:r w:rsidR="00182106" w:rsidRPr="00182106">
        <w:rPr>
          <w:rFonts w:ascii="华文楷体" w:hAnsi="华文楷体" w:hint="eastAsia"/>
          <w:b w:val="0"/>
          <w:bCs/>
          <w:color w:val="auto"/>
          <w:sz w:val="24"/>
          <w:szCs w:val="24"/>
        </w:rPr>
        <w:t>适度参与，短期仍有一定的博弈价值。</w:t>
      </w:r>
    </w:p>
    <w:p w14:paraId="5F84F6C0" w14:textId="46142F42" w:rsidR="00213121" w:rsidRPr="00B76849" w:rsidRDefault="008A575D" w:rsidP="00B76849">
      <w:pPr>
        <w:pStyle w:val="Header1"/>
        <w:spacing w:before="240"/>
        <w:ind w:firstLineChars="200" w:firstLine="480"/>
        <w:rPr>
          <w:rFonts w:ascii="华文楷体" w:hAnsi="华文楷体"/>
          <w:b w:val="0"/>
          <w:bCs/>
          <w:sz w:val="24"/>
          <w:szCs w:val="24"/>
        </w:rPr>
      </w:pPr>
      <w:r>
        <w:rPr>
          <w:rFonts w:ascii="华文楷体" w:hAnsi="华文楷体" w:hint="eastAsia"/>
          <w:bCs/>
          <w:sz w:val="24"/>
          <w:szCs w:val="24"/>
        </w:rPr>
        <w:t>重点</w:t>
      </w:r>
      <w:r w:rsidR="00B76849" w:rsidRPr="00B76849">
        <w:rPr>
          <w:rFonts w:ascii="华文楷体" w:hAnsi="华文楷体" w:hint="eastAsia"/>
          <w:bCs/>
          <w:sz w:val="24"/>
          <w:szCs w:val="24"/>
        </w:rPr>
        <w:t>关注：</w:t>
      </w:r>
      <w:r w:rsidR="00174DEA" w:rsidRPr="00174DEA">
        <w:rPr>
          <w:rFonts w:ascii="华文楷体" w:hAnsi="华文楷体" w:hint="eastAsia"/>
          <w:b w:val="0"/>
          <w:color w:val="auto"/>
          <w:sz w:val="24"/>
          <w:szCs w:val="24"/>
        </w:rPr>
        <w:t>中国三季度经济数据（下周一）中央政治局会议（下周不定期）</w:t>
      </w:r>
      <w:r w:rsidR="00213121">
        <w:rPr>
          <w:rFonts w:ascii="黑体" w:eastAsia="黑体"/>
          <w:sz w:val="24"/>
          <w:szCs w:val="24"/>
        </w:rPr>
        <w:br w:type="page"/>
      </w:r>
    </w:p>
    <w:p w14:paraId="56EAD77C" w14:textId="77777777" w:rsidR="00C528F0" w:rsidRPr="00C528F0" w:rsidRDefault="00C528F0" w:rsidP="00C528F0">
      <w:pPr>
        <w:rPr>
          <w:sz w:val="18"/>
          <w:szCs w:val="18"/>
        </w:rPr>
      </w:pPr>
      <w:r w:rsidRPr="00C528F0">
        <w:rPr>
          <w:rFonts w:ascii="微软雅黑" w:eastAsia="微软雅黑" w:hAnsi="微软雅黑" w:hint="eastAsia"/>
          <w:color w:val="222222"/>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C528F0">
        <w:rPr>
          <w:rFonts w:ascii="微软雅黑" w:eastAsia="微软雅黑" w:hAnsi="微软雅黑" w:hint="eastAsia"/>
          <w:color w:val="222222"/>
          <w:sz w:val="18"/>
          <w:szCs w:val="18"/>
          <w:shd w:val="clear" w:color="auto" w:fill="FFFFFF"/>
        </w:rPr>
        <w:t>作出</w:t>
      </w:r>
      <w:proofErr w:type="gramEnd"/>
      <w:r w:rsidRPr="00C528F0">
        <w:rPr>
          <w:rFonts w:ascii="微软雅黑" w:eastAsia="微软雅黑" w:hAnsi="微软雅黑" w:hint="eastAsia"/>
          <w:color w:val="222222"/>
          <w:sz w:val="18"/>
          <w:szCs w:val="18"/>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401571" w14:textId="77777777" w:rsidR="00C1005A" w:rsidRDefault="00C1005A">
      <w:r>
        <w:separator/>
      </w:r>
    </w:p>
  </w:endnote>
  <w:endnote w:type="continuationSeparator" w:id="0">
    <w:p w14:paraId="4CFE957D" w14:textId="77777777" w:rsidR="00C1005A" w:rsidRDefault="00C10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default"/>
    <w:sig w:usb0="00000000" w:usb1="38CF7CFA" w:usb2="00000016" w:usb3="00000000" w:csb0="0004000F" w:csb1="00000000"/>
  </w:font>
  <w:font w:name="等线">
    <w:altName w:val="Arial Unicode MS"/>
    <w:charset w:val="86"/>
    <w:family w:val="auto"/>
    <w:pitch w:val="default"/>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F03C7D" w:rsidRPr="00F03C7D">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5A0B91" w14:textId="77777777" w:rsidR="00C1005A" w:rsidRDefault="00C1005A">
      <w:r>
        <w:separator/>
      </w:r>
    </w:p>
  </w:footnote>
  <w:footnote w:type="continuationSeparator" w:id="0">
    <w:p w14:paraId="28022DFF" w14:textId="77777777" w:rsidR="00C1005A" w:rsidRDefault="00C100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85D"/>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1D8"/>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AE6"/>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3DC"/>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4DEA"/>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1FB3"/>
    <w:rsid w:val="00182106"/>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044"/>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2AC"/>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94F"/>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349B"/>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256"/>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54C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3E50"/>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79D"/>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B57"/>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D8F"/>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6806"/>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1FEC"/>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45F"/>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839"/>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201"/>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A0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5F0"/>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CB"/>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A74"/>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255"/>
    <w:rsid w:val="008975B4"/>
    <w:rsid w:val="00897B79"/>
    <w:rsid w:val="008A014B"/>
    <w:rsid w:val="008A0C44"/>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75D"/>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0F"/>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D18"/>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08"/>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264"/>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3A1"/>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46D"/>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6F9"/>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4E6"/>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0C3"/>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43C"/>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0"/>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25F"/>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B2D"/>
    <w:rsid w:val="00B743C3"/>
    <w:rsid w:val="00B7523B"/>
    <w:rsid w:val="00B75AB6"/>
    <w:rsid w:val="00B76445"/>
    <w:rsid w:val="00B76564"/>
    <w:rsid w:val="00B76849"/>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6AD"/>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05A"/>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8F0"/>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D79"/>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088A"/>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90"/>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4B5"/>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3C7D"/>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6C8F"/>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95A"/>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979DD"/>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74405049">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0844284">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23037672">
      <w:bodyDiv w:val="1"/>
      <w:marLeft w:val="0"/>
      <w:marRight w:val="0"/>
      <w:marTop w:val="0"/>
      <w:marBottom w:val="0"/>
      <w:divBdr>
        <w:top w:val="none" w:sz="0" w:space="0" w:color="auto"/>
        <w:left w:val="none" w:sz="0" w:space="0" w:color="auto"/>
        <w:bottom w:val="none" w:sz="0" w:space="0" w:color="auto"/>
        <w:right w:val="none" w:sz="0" w:space="0" w:color="auto"/>
      </w:divBdr>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8846922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766852492">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0490799">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3981984">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-1.68</c:v>
                </c:pt>
                <c:pt idx="1">
                  <c:v>1.17</c:v>
                </c:pt>
                <c:pt idx="2">
                  <c:v>1.0900000000000001</c:v>
                </c:pt>
                <c:pt idx="3">
                  <c:v>10.38</c:v>
                </c:pt>
                <c:pt idx="4">
                  <c:v>6.7</c:v>
                </c:pt>
                <c:pt idx="5">
                  <c:v>5.53</c:v>
                </c:pt>
                <c:pt idx="6">
                  <c:v>4.97</c:v>
                </c:pt>
              </c:numCache>
            </c:numRef>
          </c:val>
          <c:extLst xmlns:c16r2="http://schemas.microsoft.com/office/drawing/2015/06/chart">
            <c:ext xmlns:c16="http://schemas.microsoft.com/office/drawing/2014/chart" uri="{C3380CC4-5D6E-409C-BE32-E72D297353CC}">
              <c16:uniqueId val="{00000000-0624-47E8-A55B-E4B24E8097FE}"/>
            </c:ext>
          </c:extLst>
        </c:ser>
        <c:dLbls>
          <c:showLegendKey val="0"/>
          <c:showVal val="0"/>
          <c:showCatName val="0"/>
          <c:showSerName val="0"/>
          <c:showPercent val="0"/>
          <c:showBubbleSize val="0"/>
        </c:dLbls>
        <c:gapWidth val="150"/>
        <c:axId val="526293248"/>
        <c:axId val="534992768"/>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624-47E8-A55B-E4B24E8097FE}"/>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624-47E8-A55B-E4B24E8097FE}"/>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624-47E8-A55B-E4B24E8097F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624-47E8-A55B-E4B24E8097FE}"/>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624-47E8-A55B-E4B24E8097FE}"/>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624-47E8-A55B-E4B24E8097FE}"/>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0624-47E8-A55B-E4B24E8097FE}"/>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1.7491000000000001</c:v>
                </c:pt>
                <c:pt idx="1">
                  <c:v>1.835</c:v>
                </c:pt>
                <c:pt idx="2">
                  <c:v>2.3361000000000001</c:v>
                </c:pt>
                <c:pt idx="3">
                  <c:v>2.6459000000000001</c:v>
                </c:pt>
                <c:pt idx="4">
                  <c:v>2.8155000000000001</c:v>
                </c:pt>
                <c:pt idx="5">
                  <c:v>2.9464000000000001</c:v>
                </c:pt>
                <c:pt idx="6">
                  <c:v>2.9683000000000002</c:v>
                </c:pt>
              </c:numCache>
            </c:numRef>
          </c:val>
          <c:smooth val="0"/>
          <c:extLst xmlns:c16r2="http://schemas.microsoft.com/office/drawing/2015/06/chart">
            <c:ext xmlns:c16="http://schemas.microsoft.com/office/drawing/2014/chart" uri="{C3380CC4-5D6E-409C-BE32-E72D297353CC}">
              <c16:uniqueId val="{00000008-0624-47E8-A55B-E4B24E8097FE}"/>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1.7659</c:v>
                </c:pt>
                <c:pt idx="1">
                  <c:v>1.8232999999999999</c:v>
                </c:pt>
                <c:pt idx="2">
                  <c:v>2.3252000000000002</c:v>
                </c:pt>
                <c:pt idx="3">
                  <c:v>2.5421</c:v>
                </c:pt>
                <c:pt idx="4">
                  <c:v>2.7484999999999999</c:v>
                </c:pt>
                <c:pt idx="5">
                  <c:v>2.8910999999999998</c:v>
                </c:pt>
                <c:pt idx="6">
                  <c:v>2.9186000000000001</c:v>
                </c:pt>
              </c:numCache>
            </c:numRef>
          </c:val>
          <c:smooth val="0"/>
          <c:extLst xmlns:c16r2="http://schemas.microsoft.com/office/drawing/2015/06/chart">
            <c:ext xmlns:c16="http://schemas.microsoft.com/office/drawing/2014/chart" uri="{C3380CC4-5D6E-409C-BE32-E72D297353CC}">
              <c16:uniqueId val="{00000009-0624-47E8-A55B-E4B24E8097FE}"/>
            </c:ext>
          </c:extLst>
        </c:ser>
        <c:dLbls>
          <c:showLegendKey val="0"/>
          <c:showVal val="0"/>
          <c:showCatName val="0"/>
          <c:showSerName val="0"/>
          <c:showPercent val="0"/>
          <c:showBubbleSize val="0"/>
        </c:dLbls>
        <c:marker val="1"/>
        <c:smooth val="0"/>
        <c:axId val="581023616"/>
        <c:axId val="581022080"/>
      </c:lineChart>
      <c:dateAx>
        <c:axId val="52629324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4992768"/>
        <c:crosses val="autoZero"/>
        <c:auto val="0"/>
        <c:lblOffset val="0"/>
        <c:baseTimeUnit val="days"/>
      </c:dateAx>
      <c:valAx>
        <c:axId val="53499276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6293248"/>
        <c:crosses val="autoZero"/>
        <c:crossBetween val="between"/>
      </c:valAx>
      <c:valAx>
        <c:axId val="581022080"/>
        <c:scaling>
          <c:orientation val="minMax"/>
        </c:scaling>
        <c:delete val="0"/>
        <c:axPos val="r"/>
        <c:numFmt formatCode="#,##0.0_);[Red]\(#,##0.0\)" sourceLinked="0"/>
        <c:majorTickMark val="out"/>
        <c:minorTickMark val="none"/>
        <c:tickLblPos val="nextTo"/>
        <c:spPr>
          <a:ln w="3175">
            <a:solidFill>
              <a:sysClr val="windowText" lastClr="000000"/>
            </a:solidFill>
          </a:ln>
        </c:spPr>
        <c:crossAx val="581023616"/>
        <c:crosses val="max"/>
        <c:crossBetween val="between"/>
      </c:valAx>
      <c:dateAx>
        <c:axId val="581023616"/>
        <c:scaling>
          <c:orientation val="minMax"/>
        </c:scaling>
        <c:delete val="1"/>
        <c:axPos val="b"/>
        <c:numFmt formatCode="General" sourceLinked="1"/>
        <c:majorTickMark val="out"/>
        <c:minorTickMark val="none"/>
        <c:tickLblPos val="nextTo"/>
        <c:crossAx val="5810220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5.97</c:v>
                </c:pt>
                <c:pt idx="1">
                  <c:v>3.32</c:v>
                </c:pt>
                <c:pt idx="2">
                  <c:v>7.85</c:v>
                </c:pt>
                <c:pt idx="3">
                  <c:v>8.92</c:v>
                </c:pt>
                <c:pt idx="4">
                  <c:v>6.56</c:v>
                </c:pt>
                <c:pt idx="5">
                  <c:v>7.3</c:v>
                </c:pt>
                <c:pt idx="6">
                  <c:v>4.01</c:v>
                </c:pt>
              </c:numCache>
            </c:numRef>
          </c:val>
          <c:extLst xmlns:c16r2="http://schemas.microsoft.com/office/drawing/2015/06/chart">
            <c:ext xmlns:c16="http://schemas.microsoft.com/office/drawing/2014/chart" uri="{C3380CC4-5D6E-409C-BE32-E72D297353CC}">
              <c16:uniqueId val="{00000000-DE4E-494A-9587-CBAEFDE4E4E0}"/>
            </c:ext>
          </c:extLst>
        </c:ser>
        <c:dLbls>
          <c:showLegendKey val="0"/>
          <c:showVal val="0"/>
          <c:showCatName val="0"/>
          <c:showSerName val="0"/>
          <c:showPercent val="0"/>
          <c:showBubbleSize val="0"/>
        </c:dLbls>
        <c:gapWidth val="150"/>
        <c:axId val="522464256"/>
        <c:axId val="523093120"/>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E4E-494A-9587-CBAEFDE4E4E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E4E-494A-9587-CBAEFDE4E4E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E4E-494A-9587-CBAEFDE4E4E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E4E-494A-9587-CBAEFDE4E4E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E4E-494A-9587-CBAEFDE4E4E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E4E-494A-9587-CBAEFDE4E4E0}"/>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DE4E-494A-9587-CBAEFDE4E4E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1.8991</c:v>
                </c:pt>
                <c:pt idx="1">
                  <c:v>2.1008</c:v>
                </c:pt>
                <c:pt idx="2">
                  <c:v>2.4573</c:v>
                </c:pt>
                <c:pt idx="3">
                  <c:v>2.9093</c:v>
                </c:pt>
                <c:pt idx="4">
                  <c:v>3.0691999999999999</c:v>
                </c:pt>
                <c:pt idx="5">
                  <c:v>3.2669999999999999</c:v>
                </c:pt>
                <c:pt idx="6">
                  <c:v>3.2677</c:v>
                </c:pt>
              </c:numCache>
            </c:numRef>
          </c:val>
          <c:smooth val="0"/>
          <c:extLst xmlns:c16r2="http://schemas.microsoft.com/office/drawing/2015/06/chart">
            <c:ext xmlns:c16="http://schemas.microsoft.com/office/drawing/2014/chart" uri="{C3380CC4-5D6E-409C-BE32-E72D297353CC}">
              <c16:uniqueId val="{00000008-DE4E-494A-9587-CBAEFDE4E4E0}"/>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1.8393999999999999</c:v>
                </c:pt>
                <c:pt idx="1">
                  <c:v>2.0676000000000001</c:v>
                </c:pt>
                <c:pt idx="2">
                  <c:v>2.3788</c:v>
                </c:pt>
                <c:pt idx="3">
                  <c:v>2.8201000000000001</c:v>
                </c:pt>
                <c:pt idx="4">
                  <c:v>3.0036</c:v>
                </c:pt>
                <c:pt idx="5">
                  <c:v>3.194</c:v>
                </c:pt>
                <c:pt idx="6">
                  <c:v>3.2275999999999998</c:v>
                </c:pt>
              </c:numCache>
            </c:numRef>
          </c:val>
          <c:smooth val="0"/>
          <c:extLst xmlns:c16r2="http://schemas.microsoft.com/office/drawing/2015/06/chart">
            <c:ext xmlns:c16="http://schemas.microsoft.com/office/drawing/2014/chart" uri="{C3380CC4-5D6E-409C-BE32-E72D297353CC}">
              <c16:uniqueId val="{00000009-DE4E-494A-9587-CBAEFDE4E4E0}"/>
            </c:ext>
          </c:extLst>
        </c:ser>
        <c:dLbls>
          <c:showLegendKey val="0"/>
          <c:showVal val="0"/>
          <c:showCatName val="0"/>
          <c:showSerName val="0"/>
          <c:showPercent val="0"/>
          <c:showBubbleSize val="0"/>
        </c:dLbls>
        <c:marker val="1"/>
        <c:smooth val="0"/>
        <c:axId val="523714944"/>
        <c:axId val="523094656"/>
      </c:lineChart>
      <c:dateAx>
        <c:axId val="5224642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23093120"/>
        <c:crosses val="autoZero"/>
        <c:auto val="0"/>
        <c:lblOffset val="0"/>
        <c:baseTimeUnit val="days"/>
      </c:dateAx>
      <c:valAx>
        <c:axId val="52309312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2464256"/>
        <c:crosses val="autoZero"/>
        <c:crossBetween val="between"/>
      </c:valAx>
      <c:valAx>
        <c:axId val="523094656"/>
        <c:scaling>
          <c:orientation val="minMax"/>
        </c:scaling>
        <c:delete val="0"/>
        <c:axPos val="r"/>
        <c:numFmt formatCode="#,##0.0_);[Red]\(#,##0.0\)" sourceLinked="0"/>
        <c:majorTickMark val="out"/>
        <c:minorTickMark val="none"/>
        <c:tickLblPos val="nextTo"/>
        <c:spPr>
          <a:ln w="3175">
            <a:solidFill>
              <a:sysClr val="windowText" lastClr="000000"/>
            </a:solidFill>
          </a:ln>
        </c:spPr>
        <c:crossAx val="523714944"/>
        <c:crosses val="max"/>
        <c:crossBetween val="between"/>
      </c:valAx>
      <c:dateAx>
        <c:axId val="523714944"/>
        <c:scaling>
          <c:orientation val="minMax"/>
        </c:scaling>
        <c:delete val="1"/>
        <c:axPos val="b"/>
        <c:numFmt formatCode="General" sourceLinked="1"/>
        <c:majorTickMark val="out"/>
        <c:minorTickMark val="none"/>
        <c:tickLblPos val="nextTo"/>
        <c:crossAx val="52309465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44469</c:v>
                </c:pt>
                <c:pt idx="1">
                  <c:v>44463</c:v>
                </c:pt>
                <c:pt idx="2">
                  <c:v>44456</c:v>
                </c:pt>
                <c:pt idx="3">
                  <c:v>44449</c:v>
                </c:pt>
                <c:pt idx="4">
                  <c:v>44442</c:v>
                </c:pt>
                <c:pt idx="5">
                  <c:v>44435</c:v>
                </c:pt>
                <c:pt idx="6">
                  <c:v>44428</c:v>
                </c:pt>
                <c:pt idx="7">
                  <c:v>44421</c:v>
                </c:pt>
                <c:pt idx="8">
                  <c:v>44414</c:v>
                </c:pt>
                <c:pt idx="9">
                  <c:v>44407</c:v>
                </c:pt>
                <c:pt idx="10">
                  <c:v>44400</c:v>
                </c:pt>
                <c:pt idx="11">
                  <c:v>44393</c:v>
                </c:pt>
                <c:pt idx="12">
                  <c:v>44386</c:v>
                </c:pt>
                <c:pt idx="13">
                  <c:v>44379</c:v>
                </c:pt>
                <c:pt idx="14">
                  <c:v>44372</c:v>
                </c:pt>
                <c:pt idx="15">
                  <c:v>44365</c:v>
                </c:pt>
                <c:pt idx="16">
                  <c:v>44358</c:v>
                </c:pt>
                <c:pt idx="17">
                  <c:v>44351</c:v>
                </c:pt>
                <c:pt idx="18">
                  <c:v>44344</c:v>
                </c:pt>
                <c:pt idx="19">
                  <c:v>44337</c:v>
                </c:pt>
                <c:pt idx="20">
                  <c:v>44330</c:v>
                </c:pt>
                <c:pt idx="21">
                  <c:v>44323</c:v>
                </c:pt>
                <c:pt idx="22">
                  <c:v>44316</c:v>
                </c:pt>
                <c:pt idx="23">
                  <c:v>44309</c:v>
                </c:pt>
              </c:numCache>
            </c:numRef>
          </c:cat>
          <c:val>
            <c:numRef>
              <c:f>转债!$H$5:$H$28</c:f>
              <c:numCache>
                <c:formatCode>General</c:formatCode>
                <c:ptCount val="24"/>
                <c:pt idx="0">
                  <c:v>9.7519698161648414</c:v>
                </c:pt>
                <c:pt idx="1">
                  <c:v>11.50562177698875</c:v>
                </c:pt>
                <c:pt idx="2">
                  <c:v>11.284907597812355</c:v>
                </c:pt>
                <c:pt idx="3">
                  <c:v>14.267322078471722</c:v>
                </c:pt>
                <c:pt idx="4">
                  <c:v>11.911781097195529</c:v>
                </c:pt>
                <c:pt idx="5">
                  <c:v>9.509448063783644</c:v>
                </c:pt>
                <c:pt idx="6">
                  <c:v>7.5494587683405667</c:v>
                </c:pt>
                <c:pt idx="7">
                  <c:v>8.7365176697880909</c:v>
                </c:pt>
                <c:pt idx="8">
                  <c:v>7.5385819046680513</c:v>
                </c:pt>
                <c:pt idx="9">
                  <c:v>6.1963930812377832</c:v>
                </c:pt>
                <c:pt idx="10">
                  <c:v>7.1432725252038809</c:v>
                </c:pt>
                <c:pt idx="11">
                  <c:v>5.6586075568356486</c:v>
                </c:pt>
                <c:pt idx="12">
                  <c:v>4.2481152602935834</c:v>
                </c:pt>
                <c:pt idx="13">
                  <c:v>2.3127873686228373</c:v>
                </c:pt>
                <c:pt idx="14">
                  <c:v>3.3073473214107807</c:v>
                </c:pt>
                <c:pt idx="15">
                  <c:v>1.2836583738657925</c:v>
                </c:pt>
                <c:pt idx="16">
                  <c:v>2.976626050734632</c:v>
                </c:pt>
                <c:pt idx="17">
                  <c:v>3.1465366612228429</c:v>
                </c:pt>
                <c:pt idx="18">
                  <c:v>3.0658755632949841</c:v>
                </c:pt>
                <c:pt idx="19">
                  <c:v>1.3925616252403517</c:v>
                </c:pt>
                <c:pt idx="20">
                  <c:v>1.1670013186851014</c:v>
                </c:pt>
                <c:pt idx="21">
                  <c:v>0.28115615676251871</c:v>
                </c:pt>
                <c:pt idx="22">
                  <c:v>-1.8846050917731283E-3</c:v>
                </c:pt>
                <c:pt idx="23">
                  <c:v>0</c:v>
                </c:pt>
              </c:numCache>
            </c:numRef>
          </c:val>
          <c:smooth val="1"/>
          <c:extLst xmlns:c16r2="http://schemas.microsoft.com/office/drawing/2015/06/chart">
            <c:ext xmlns:c16="http://schemas.microsoft.com/office/drawing/2014/chart" uri="{C3380CC4-5D6E-409C-BE32-E72D297353CC}">
              <c16:uniqueId val="{00000000-81CA-495D-BB8E-3053280A208C}"/>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44469</c:v>
                </c:pt>
                <c:pt idx="1">
                  <c:v>44463</c:v>
                </c:pt>
                <c:pt idx="2">
                  <c:v>44456</c:v>
                </c:pt>
                <c:pt idx="3">
                  <c:v>44449</c:v>
                </c:pt>
                <c:pt idx="4">
                  <c:v>44442</c:v>
                </c:pt>
                <c:pt idx="5">
                  <c:v>44435</c:v>
                </c:pt>
                <c:pt idx="6">
                  <c:v>44428</c:v>
                </c:pt>
                <c:pt idx="7">
                  <c:v>44421</c:v>
                </c:pt>
                <c:pt idx="8">
                  <c:v>44414</c:v>
                </c:pt>
                <c:pt idx="9">
                  <c:v>44407</c:v>
                </c:pt>
                <c:pt idx="10">
                  <c:v>44400</c:v>
                </c:pt>
                <c:pt idx="11">
                  <c:v>44393</c:v>
                </c:pt>
                <c:pt idx="12">
                  <c:v>44386</c:v>
                </c:pt>
                <c:pt idx="13">
                  <c:v>44379</c:v>
                </c:pt>
                <c:pt idx="14">
                  <c:v>44372</c:v>
                </c:pt>
                <c:pt idx="15">
                  <c:v>44365</c:v>
                </c:pt>
                <c:pt idx="16">
                  <c:v>44358</c:v>
                </c:pt>
                <c:pt idx="17">
                  <c:v>44351</c:v>
                </c:pt>
                <c:pt idx="18">
                  <c:v>44344</c:v>
                </c:pt>
                <c:pt idx="19">
                  <c:v>44337</c:v>
                </c:pt>
                <c:pt idx="20">
                  <c:v>44330</c:v>
                </c:pt>
                <c:pt idx="21">
                  <c:v>44323</c:v>
                </c:pt>
                <c:pt idx="22">
                  <c:v>44316</c:v>
                </c:pt>
                <c:pt idx="23">
                  <c:v>44309</c:v>
                </c:pt>
              </c:numCache>
            </c:numRef>
          </c:cat>
          <c:val>
            <c:numRef>
              <c:f>转债!$I$5:$I$28</c:f>
              <c:numCache>
                <c:formatCode>General</c:formatCode>
                <c:ptCount val="24"/>
                <c:pt idx="0">
                  <c:v>1.332981055765714</c:v>
                </c:pt>
                <c:pt idx="1">
                  <c:v>1.3490706562101051</c:v>
                </c:pt>
                <c:pt idx="2">
                  <c:v>1.2795466458687343</c:v>
                </c:pt>
                <c:pt idx="3">
                  <c:v>1.3842984129726066</c:v>
                </c:pt>
                <c:pt idx="4">
                  <c:v>1.5462952848155576</c:v>
                </c:pt>
                <c:pt idx="5">
                  <c:v>1.3873469688463036</c:v>
                </c:pt>
                <c:pt idx="6">
                  <c:v>1.4999741719571746</c:v>
                </c:pt>
                <c:pt idx="7">
                  <c:v>1.3159599521376686</c:v>
                </c:pt>
                <c:pt idx="8">
                  <c:v>1.6178516657394004</c:v>
                </c:pt>
                <c:pt idx="9">
                  <c:v>1.4489108610730828</c:v>
                </c:pt>
                <c:pt idx="10">
                  <c:v>1.1608223310105137</c:v>
                </c:pt>
                <c:pt idx="11">
                  <c:v>0.89856184376659876</c:v>
                </c:pt>
                <c:pt idx="12">
                  <c:v>0.5699952662701735</c:v>
                </c:pt>
                <c:pt idx="13">
                  <c:v>0.15683126327921126</c:v>
                </c:pt>
                <c:pt idx="14">
                  <c:v>0.12803934669447514</c:v>
                </c:pt>
                <c:pt idx="15">
                  <c:v>-7.7738174778796409E-2</c:v>
                </c:pt>
                <c:pt idx="16">
                  <c:v>-4.2341053800853956E-4</c:v>
                </c:pt>
                <c:pt idx="17">
                  <c:v>0.21424573223347565</c:v>
                </c:pt>
                <c:pt idx="18">
                  <c:v>0.31129142754555694</c:v>
                </c:pt>
                <c:pt idx="19">
                  <c:v>0.37522641878520169</c:v>
                </c:pt>
                <c:pt idx="20">
                  <c:v>0.10729223033194568</c:v>
                </c:pt>
                <c:pt idx="21">
                  <c:v>1.7783242596447479E-2</c:v>
                </c:pt>
                <c:pt idx="22">
                  <c:v>-3.9377180035016224E-2</c:v>
                </c:pt>
                <c:pt idx="23">
                  <c:v>0</c:v>
                </c:pt>
              </c:numCache>
            </c:numRef>
          </c:val>
          <c:smooth val="1"/>
          <c:extLst xmlns:c16r2="http://schemas.microsoft.com/office/drawing/2015/06/chart">
            <c:ext xmlns:c16="http://schemas.microsoft.com/office/drawing/2014/chart" uri="{C3380CC4-5D6E-409C-BE32-E72D297353CC}">
              <c16:uniqueId val="{00000001-81CA-495D-BB8E-3053280A208C}"/>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44469</c:v>
                </c:pt>
                <c:pt idx="1">
                  <c:v>44463</c:v>
                </c:pt>
                <c:pt idx="2">
                  <c:v>44456</c:v>
                </c:pt>
                <c:pt idx="3">
                  <c:v>44449</c:v>
                </c:pt>
                <c:pt idx="4">
                  <c:v>44442</c:v>
                </c:pt>
                <c:pt idx="5">
                  <c:v>44435</c:v>
                </c:pt>
                <c:pt idx="6">
                  <c:v>44428</c:v>
                </c:pt>
                <c:pt idx="7">
                  <c:v>44421</c:v>
                </c:pt>
                <c:pt idx="8">
                  <c:v>44414</c:v>
                </c:pt>
                <c:pt idx="9">
                  <c:v>44407</c:v>
                </c:pt>
                <c:pt idx="10">
                  <c:v>44400</c:v>
                </c:pt>
                <c:pt idx="11">
                  <c:v>44393</c:v>
                </c:pt>
                <c:pt idx="12">
                  <c:v>44386</c:v>
                </c:pt>
                <c:pt idx="13">
                  <c:v>44379</c:v>
                </c:pt>
                <c:pt idx="14">
                  <c:v>44372</c:v>
                </c:pt>
                <c:pt idx="15">
                  <c:v>44365</c:v>
                </c:pt>
                <c:pt idx="16">
                  <c:v>44358</c:v>
                </c:pt>
                <c:pt idx="17">
                  <c:v>44351</c:v>
                </c:pt>
                <c:pt idx="18">
                  <c:v>44344</c:v>
                </c:pt>
                <c:pt idx="19">
                  <c:v>44337</c:v>
                </c:pt>
                <c:pt idx="20">
                  <c:v>44330</c:v>
                </c:pt>
                <c:pt idx="21">
                  <c:v>44323</c:v>
                </c:pt>
                <c:pt idx="22">
                  <c:v>44316</c:v>
                </c:pt>
                <c:pt idx="23">
                  <c:v>44309</c:v>
                </c:pt>
              </c:numCache>
            </c:numRef>
          </c:cat>
          <c:val>
            <c:numRef>
              <c:f>转债!$J$5:$J$28</c:f>
              <c:numCache>
                <c:formatCode>General</c:formatCode>
                <c:ptCount val="24"/>
                <c:pt idx="0">
                  <c:v>-5.2394750578400817</c:v>
                </c:pt>
                <c:pt idx="1">
                  <c:v>-5.5696289640170811</c:v>
                </c:pt>
                <c:pt idx="2">
                  <c:v>-5.4428144552923108</c:v>
                </c:pt>
                <c:pt idx="3">
                  <c:v>-2.3743083716814661</c:v>
                </c:pt>
                <c:pt idx="4">
                  <c:v>-5.6935771240763433</c:v>
                </c:pt>
                <c:pt idx="5">
                  <c:v>-6.005508685951666</c:v>
                </c:pt>
                <c:pt idx="6">
                  <c:v>-7.1305408009349369</c:v>
                </c:pt>
                <c:pt idx="7">
                  <c:v>-3.6894600192458271</c:v>
                </c:pt>
                <c:pt idx="8">
                  <c:v>-4.1649428656095004</c:v>
                </c:pt>
                <c:pt idx="9">
                  <c:v>-6.3146108968684338</c:v>
                </c:pt>
                <c:pt idx="10">
                  <c:v>-0.90011915987789903</c:v>
                </c:pt>
                <c:pt idx="11">
                  <c:v>-0.79215400922535428</c:v>
                </c:pt>
                <c:pt idx="12">
                  <c:v>-1.2855203787848657</c:v>
                </c:pt>
                <c:pt idx="13">
                  <c:v>-1.0580604236424485</c:v>
                </c:pt>
                <c:pt idx="14">
                  <c:v>2.0351659699608948</c:v>
                </c:pt>
                <c:pt idx="15">
                  <c:v>-0.64235224099201682</c:v>
                </c:pt>
                <c:pt idx="16">
                  <c:v>1.737910814262289</c:v>
                </c:pt>
                <c:pt idx="17">
                  <c:v>2.859023119555526</c:v>
                </c:pt>
                <c:pt idx="18">
                  <c:v>3.6147772268754208</c:v>
                </c:pt>
                <c:pt idx="19">
                  <c:v>-2.5413530186069178E-2</c:v>
                </c:pt>
                <c:pt idx="20">
                  <c:v>-0.48415004603098444</c:v>
                </c:pt>
                <c:pt idx="21">
                  <c:v>-2.7144769729582241</c:v>
                </c:pt>
                <c:pt idx="22">
                  <c:v>-0.23297650797494684</c:v>
                </c:pt>
                <c:pt idx="23">
                  <c:v>0</c:v>
                </c:pt>
              </c:numCache>
            </c:numRef>
          </c:val>
          <c:smooth val="1"/>
          <c:extLst xmlns:c16r2="http://schemas.microsoft.com/office/drawing/2015/06/chart">
            <c:ext xmlns:c16="http://schemas.microsoft.com/office/drawing/2014/chart" uri="{C3380CC4-5D6E-409C-BE32-E72D297353CC}">
              <c16:uniqueId val="{00000002-81CA-495D-BB8E-3053280A208C}"/>
            </c:ext>
          </c:extLst>
        </c:ser>
        <c:dLbls>
          <c:showLegendKey val="0"/>
          <c:showVal val="0"/>
          <c:showCatName val="0"/>
          <c:showSerName val="0"/>
          <c:showPercent val="0"/>
          <c:showBubbleSize val="0"/>
        </c:dLbls>
        <c:marker val="1"/>
        <c:smooth val="0"/>
        <c:axId val="526149504"/>
        <c:axId val="526151040"/>
      </c:lineChart>
      <c:dateAx>
        <c:axId val="52614950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26151040"/>
        <c:crosses val="autoZero"/>
        <c:auto val="0"/>
        <c:lblOffset val="0"/>
        <c:baseTimeUnit val="days"/>
      </c:dateAx>
      <c:valAx>
        <c:axId val="52615104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6149504"/>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汇率!$A$3:$A$24</c:f>
              <c:numCache>
                <c:formatCode>yyyy\-mm\-dd;@</c:formatCode>
                <c:ptCount val="22"/>
                <c:pt idx="0">
                  <c:v>44485</c:v>
                </c:pt>
                <c:pt idx="1">
                  <c:v>44478</c:v>
                </c:pt>
                <c:pt idx="2">
                  <c:v>44471</c:v>
                </c:pt>
                <c:pt idx="3">
                  <c:v>44464</c:v>
                </c:pt>
                <c:pt idx="4">
                  <c:v>44457</c:v>
                </c:pt>
                <c:pt idx="5">
                  <c:v>44450</c:v>
                </c:pt>
                <c:pt idx="6">
                  <c:v>44443</c:v>
                </c:pt>
                <c:pt idx="7">
                  <c:v>44436</c:v>
                </c:pt>
                <c:pt idx="8">
                  <c:v>44429</c:v>
                </c:pt>
                <c:pt idx="9">
                  <c:v>44422</c:v>
                </c:pt>
                <c:pt idx="10">
                  <c:v>44415</c:v>
                </c:pt>
                <c:pt idx="11">
                  <c:v>44408</c:v>
                </c:pt>
                <c:pt idx="12">
                  <c:v>44401</c:v>
                </c:pt>
                <c:pt idx="13">
                  <c:v>44394</c:v>
                </c:pt>
                <c:pt idx="14">
                  <c:v>44387</c:v>
                </c:pt>
                <c:pt idx="15">
                  <c:v>44380</c:v>
                </c:pt>
                <c:pt idx="16">
                  <c:v>44373</c:v>
                </c:pt>
                <c:pt idx="17">
                  <c:v>44366</c:v>
                </c:pt>
                <c:pt idx="18">
                  <c:v>44359</c:v>
                </c:pt>
                <c:pt idx="19">
                  <c:v>44352</c:v>
                </c:pt>
                <c:pt idx="20">
                  <c:v>44345</c:v>
                </c:pt>
                <c:pt idx="21">
                  <c:v>44338</c:v>
                </c:pt>
              </c:numCache>
            </c:numRef>
          </c:cat>
          <c:val>
            <c:numRef>
              <c:f>汇率!$B$3:$B$24</c:f>
              <c:numCache>
                <c:formatCode>###,###,###,###,##0.00</c:formatCode>
                <c:ptCount val="22"/>
                <c:pt idx="0">
                  <c:v>6.4291</c:v>
                </c:pt>
                <c:pt idx="1">
                  <c:v>6.4490999999999996</c:v>
                </c:pt>
                <c:pt idx="2">
                  <c:v>6.4626000000000001</c:v>
                </c:pt>
                <c:pt idx="3">
                  <c:v>6.4645000000000001</c:v>
                </c:pt>
                <c:pt idx="4">
                  <c:v>6.4520999999999997</c:v>
                </c:pt>
                <c:pt idx="5">
                  <c:v>6.4408000000000003</c:v>
                </c:pt>
                <c:pt idx="6">
                  <c:v>6.4565000000000001</c:v>
                </c:pt>
                <c:pt idx="7">
                  <c:v>6.4797000000000002</c:v>
                </c:pt>
                <c:pt idx="8">
                  <c:v>6.5</c:v>
                </c:pt>
                <c:pt idx="9">
                  <c:v>6.4829999999999997</c:v>
                </c:pt>
                <c:pt idx="10">
                  <c:v>6.4687999999999999</c:v>
                </c:pt>
                <c:pt idx="11">
                  <c:v>6.4560000000000004</c:v>
                </c:pt>
                <c:pt idx="12">
                  <c:v>6.4759000000000002</c:v>
                </c:pt>
                <c:pt idx="13">
                  <c:v>6.4678000000000004</c:v>
                </c:pt>
                <c:pt idx="14">
                  <c:v>6.4847000000000001</c:v>
                </c:pt>
                <c:pt idx="15">
                  <c:v>6.4824999999999999</c:v>
                </c:pt>
                <c:pt idx="16">
                  <c:v>6.4553000000000003</c:v>
                </c:pt>
                <c:pt idx="17">
                  <c:v>6.4408000000000003</c:v>
                </c:pt>
                <c:pt idx="18">
                  <c:v>6.3914</c:v>
                </c:pt>
                <c:pt idx="19">
                  <c:v>6.4092000000000002</c:v>
                </c:pt>
                <c:pt idx="20">
                  <c:v>6.3654000000000002</c:v>
                </c:pt>
                <c:pt idx="21">
                  <c:v>6.4337</c:v>
                </c:pt>
              </c:numCache>
            </c:numRef>
          </c:val>
          <c:smooth val="1"/>
          <c:extLst xmlns:c16r2="http://schemas.microsoft.com/office/drawing/2015/06/chart">
            <c:ext xmlns:c16="http://schemas.microsoft.com/office/drawing/2014/chart" uri="{C3380CC4-5D6E-409C-BE32-E72D297353CC}">
              <c16:uniqueId val="{00000000-E76E-402F-A788-3A2FF6F91CA8}"/>
            </c:ext>
          </c:extLst>
        </c:ser>
        <c:dLbls>
          <c:showLegendKey val="0"/>
          <c:showVal val="0"/>
          <c:showCatName val="0"/>
          <c:showSerName val="0"/>
          <c:showPercent val="0"/>
          <c:showBubbleSize val="0"/>
        </c:dLbls>
        <c:marker val="1"/>
        <c:smooth val="0"/>
        <c:axId val="526173696"/>
        <c:axId val="52617523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汇率!$A$3:$A$24</c:f>
              <c:numCache>
                <c:formatCode>yyyy\-mm\-dd;@</c:formatCode>
                <c:ptCount val="22"/>
                <c:pt idx="0">
                  <c:v>44485</c:v>
                </c:pt>
                <c:pt idx="1">
                  <c:v>44478</c:v>
                </c:pt>
                <c:pt idx="2">
                  <c:v>44471</c:v>
                </c:pt>
                <c:pt idx="3">
                  <c:v>44464</c:v>
                </c:pt>
                <c:pt idx="4">
                  <c:v>44457</c:v>
                </c:pt>
                <c:pt idx="5">
                  <c:v>44450</c:v>
                </c:pt>
                <c:pt idx="6">
                  <c:v>44443</c:v>
                </c:pt>
                <c:pt idx="7">
                  <c:v>44436</c:v>
                </c:pt>
                <c:pt idx="8">
                  <c:v>44429</c:v>
                </c:pt>
                <c:pt idx="9">
                  <c:v>44422</c:v>
                </c:pt>
                <c:pt idx="10">
                  <c:v>44415</c:v>
                </c:pt>
                <c:pt idx="11">
                  <c:v>44408</c:v>
                </c:pt>
                <c:pt idx="12">
                  <c:v>44401</c:v>
                </c:pt>
                <c:pt idx="13">
                  <c:v>44394</c:v>
                </c:pt>
                <c:pt idx="14">
                  <c:v>44387</c:v>
                </c:pt>
                <c:pt idx="15">
                  <c:v>44380</c:v>
                </c:pt>
                <c:pt idx="16">
                  <c:v>44373</c:v>
                </c:pt>
                <c:pt idx="17">
                  <c:v>44366</c:v>
                </c:pt>
                <c:pt idx="18">
                  <c:v>44359</c:v>
                </c:pt>
                <c:pt idx="19">
                  <c:v>44352</c:v>
                </c:pt>
                <c:pt idx="20">
                  <c:v>44345</c:v>
                </c:pt>
                <c:pt idx="21">
                  <c:v>44338</c:v>
                </c:pt>
              </c:numCache>
            </c:numRef>
          </c:cat>
          <c:val>
            <c:numRef>
              <c:f>汇率!$C$3:$C$24</c:f>
              <c:numCache>
                <c:formatCode>###,###,###,###,##0.00</c:formatCode>
                <c:ptCount val="22"/>
                <c:pt idx="0">
                  <c:v>137.83000000000001</c:v>
                </c:pt>
                <c:pt idx="1">
                  <c:v>130.31</c:v>
                </c:pt>
                <c:pt idx="2">
                  <c:v>135.76000000000002</c:v>
                </c:pt>
                <c:pt idx="3">
                  <c:v>140.19000000000003</c:v>
                </c:pt>
                <c:pt idx="4">
                  <c:v>150.84999999999997</c:v>
                </c:pt>
                <c:pt idx="5">
                  <c:v>151.56</c:v>
                </c:pt>
                <c:pt idx="6">
                  <c:v>150.26999999999998</c:v>
                </c:pt>
                <c:pt idx="7">
                  <c:v>155.98000000000002</c:v>
                </c:pt>
                <c:pt idx="8">
                  <c:v>159.19999999999999</c:v>
                </c:pt>
                <c:pt idx="9">
                  <c:v>158.91999999999999</c:v>
                </c:pt>
                <c:pt idx="10">
                  <c:v>150.38999999999999</c:v>
                </c:pt>
                <c:pt idx="11">
                  <c:v>159.63</c:v>
                </c:pt>
                <c:pt idx="12">
                  <c:v>161.34</c:v>
                </c:pt>
                <c:pt idx="13">
                  <c:v>163.32</c:v>
                </c:pt>
                <c:pt idx="14">
                  <c:v>164.04999999999998</c:v>
                </c:pt>
                <c:pt idx="15">
                  <c:v>164.02999999999997</c:v>
                </c:pt>
                <c:pt idx="16">
                  <c:v>154.26999999999998</c:v>
                </c:pt>
                <c:pt idx="17">
                  <c:v>167.02</c:v>
                </c:pt>
                <c:pt idx="18">
                  <c:v>165.76000000000002</c:v>
                </c:pt>
                <c:pt idx="19">
                  <c:v>153.24999999999997</c:v>
                </c:pt>
                <c:pt idx="20">
                  <c:v>150.25</c:v>
                </c:pt>
                <c:pt idx="21">
                  <c:v>145.76000000000002</c:v>
                </c:pt>
              </c:numCache>
            </c:numRef>
          </c:val>
          <c:smooth val="1"/>
          <c:extLst xmlns:c16r2="http://schemas.microsoft.com/office/drawing/2015/06/chart">
            <c:ext xmlns:c16="http://schemas.microsoft.com/office/drawing/2014/chart" uri="{C3380CC4-5D6E-409C-BE32-E72D297353CC}">
              <c16:uniqueId val="{00000001-E76E-402F-A788-3A2FF6F91CA8}"/>
            </c:ext>
          </c:extLst>
        </c:ser>
        <c:dLbls>
          <c:showLegendKey val="0"/>
          <c:showVal val="0"/>
          <c:showCatName val="0"/>
          <c:showSerName val="0"/>
          <c:showPercent val="0"/>
          <c:showBubbleSize val="0"/>
        </c:dLbls>
        <c:marker val="1"/>
        <c:smooth val="0"/>
        <c:axId val="526727424"/>
        <c:axId val="526725888"/>
      </c:lineChart>
      <c:dateAx>
        <c:axId val="5261736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26175232"/>
        <c:crosses val="autoZero"/>
        <c:auto val="0"/>
        <c:lblOffset val="0"/>
        <c:baseTimeUnit val="days"/>
      </c:dateAx>
      <c:valAx>
        <c:axId val="526175232"/>
        <c:scaling>
          <c:orientation val="minMax"/>
          <c:min val="6.35"/>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6173696"/>
        <c:crosses val="autoZero"/>
        <c:crossBetween val="between"/>
      </c:valAx>
      <c:valAx>
        <c:axId val="526725888"/>
        <c:scaling>
          <c:orientation val="minMax"/>
        </c:scaling>
        <c:delete val="0"/>
        <c:axPos val="r"/>
        <c:numFmt formatCode="#,##0_);[Red]\(#,##0\)" sourceLinked="0"/>
        <c:majorTickMark val="out"/>
        <c:minorTickMark val="none"/>
        <c:tickLblPos val="nextTo"/>
        <c:spPr>
          <a:ln w="3175">
            <a:solidFill>
              <a:sysClr val="windowText" lastClr="000000"/>
            </a:solidFill>
          </a:ln>
        </c:spPr>
        <c:crossAx val="526727424"/>
        <c:crosses val="max"/>
        <c:crossBetween val="between"/>
      </c:valAx>
      <c:dateAx>
        <c:axId val="526727424"/>
        <c:scaling>
          <c:orientation val="minMax"/>
        </c:scaling>
        <c:delete val="1"/>
        <c:axPos val="b"/>
        <c:numFmt formatCode="yyyy\-mm\-dd;@" sourceLinked="1"/>
        <c:majorTickMark val="out"/>
        <c:minorTickMark val="none"/>
        <c:tickLblPos val="nextTo"/>
        <c:crossAx val="52672588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汇率!$K$3:$K$100</c:f>
              <c:numCache>
                <c:formatCode>yyyy\-mm\-dd;@</c:formatCode>
                <c:ptCount val="98"/>
                <c:pt idx="0">
                  <c:v>44485</c:v>
                </c:pt>
                <c:pt idx="1">
                  <c:v>44478</c:v>
                </c:pt>
                <c:pt idx="2">
                  <c:v>44471</c:v>
                </c:pt>
                <c:pt idx="3">
                  <c:v>44464</c:v>
                </c:pt>
                <c:pt idx="4">
                  <c:v>44457</c:v>
                </c:pt>
                <c:pt idx="5">
                  <c:v>44450</c:v>
                </c:pt>
                <c:pt idx="6">
                  <c:v>44443</c:v>
                </c:pt>
                <c:pt idx="7">
                  <c:v>44436</c:v>
                </c:pt>
                <c:pt idx="8">
                  <c:v>44429</c:v>
                </c:pt>
                <c:pt idx="9">
                  <c:v>44422</c:v>
                </c:pt>
                <c:pt idx="10">
                  <c:v>44415</c:v>
                </c:pt>
                <c:pt idx="11">
                  <c:v>44408</c:v>
                </c:pt>
                <c:pt idx="12">
                  <c:v>44401</c:v>
                </c:pt>
                <c:pt idx="13">
                  <c:v>44394</c:v>
                </c:pt>
                <c:pt idx="14">
                  <c:v>44387</c:v>
                </c:pt>
                <c:pt idx="15">
                  <c:v>44380</c:v>
                </c:pt>
                <c:pt idx="16">
                  <c:v>44373</c:v>
                </c:pt>
                <c:pt idx="17">
                  <c:v>44366</c:v>
                </c:pt>
                <c:pt idx="18">
                  <c:v>44359</c:v>
                </c:pt>
                <c:pt idx="19">
                  <c:v>44352</c:v>
                </c:pt>
                <c:pt idx="20">
                  <c:v>44345</c:v>
                </c:pt>
                <c:pt idx="21">
                  <c:v>44338</c:v>
                </c:pt>
                <c:pt idx="22">
                  <c:v>44331</c:v>
                </c:pt>
                <c:pt idx="23">
                  <c:v>44324</c:v>
                </c:pt>
                <c:pt idx="24">
                  <c:v>44317</c:v>
                </c:pt>
                <c:pt idx="25">
                  <c:v>44310</c:v>
                </c:pt>
                <c:pt idx="26">
                  <c:v>44303</c:v>
                </c:pt>
                <c:pt idx="27">
                  <c:v>44296</c:v>
                </c:pt>
                <c:pt idx="28">
                  <c:v>44289</c:v>
                </c:pt>
                <c:pt idx="29">
                  <c:v>44282</c:v>
                </c:pt>
                <c:pt idx="30">
                  <c:v>44275</c:v>
                </c:pt>
                <c:pt idx="31">
                  <c:v>44268</c:v>
                </c:pt>
                <c:pt idx="32">
                  <c:v>44261</c:v>
                </c:pt>
                <c:pt idx="33">
                  <c:v>44254</c:v>
                </c:pt>
                <c:pt idx="34">
                  <c:v>44247</c:v>
                </c:pt>
                <c:pt idx="35">
                  <c:v>44240</c:v>
                </c:pt>
                <c:pt idx="36">
                  <c:v>44233</c:v>
                </c:pt>
                <c:pt idx="37">
                  <c:v>44226</c:v>
                </c:pt>
                <c:pt idx="38">
                  <c:v>44219</c:v>
                </c:pt>
                <c:pt idx="39">
                  <c:v>44212</c:v>
                </c:pt>
                <c:pt idx="40">
                  <c:v>44205</c:v>
                </c:pt>
                <c:pt idx="41">
                  <c:v>44198</c:v>
                </c:pt>
                <c:pt idx="42">
                  <c:v>44191</c:v>
                </c:pt>
                <c:pt idx="43">
                  <c:v>44184</c:v>
                </c:pt>
                <c:pt idx="44">
                  <c:v>44177</c:v>
                </c:pt>
                <c:pt idx="45">
                  <c:v>44170</c:v>
                </c:pt>
                <c:pt idx="46">
                  <c:v>44163</c:v>
                </c:pt>
                <c:pt idx="47">
                  <c:v>44156</c:v>
                </c:pt>
                <c:pt idx="48">
                  <c:v>44149</c:v>
                </c:pt>
                <c:pt idx="49">
                  <c:v>44142</c:v>
                </c:pt>
                <c:pt idx="50">
                  <c:v>44135</c:v>
                </c:pt>
                <c:pt idx="51">
                  <c:v>44128</c:v>
                </c:pt>
                <c:pt idx="52">
                  <c:v>44121</c:v>
                </c:pt>
                <c:pt idx="53">
                  <c:v>44114</c:v>
                </c:pt>
                <c:pt idx="54">
                  <c:v>44107</c:v>
                </c:pt>
                <c:pt idx="55">
                  <c:v>44100</c:v>
                </c:pt>
                <c:pt idx="56">
                  <c:v>44093</c:v>
                </c:pt>
                <c:pt idx="57">
                  <c:v>44086</c:v>
                </c:pt>
                <c:pt idx="58">
                  <c:v>44079</c:v>
                </c:pt>
                <c:pt idx="59">
                  <c:v>44072</c:v>
                </c:pt>
                <c:pt idx="60">
                  <c:v>44065</c:v>
                </c:pt>
                <c:pt idx="61">
                  <c:v>44058</c:v>
                </c:pt>
                <c:pt idx="62">
                  <c:v>44051</c:v>
                </c:pt>
                <c:pt idx="63">
                  <c:v>44044</c:v>
                </c:pt>
                <c:pt idx="64">
                  <c:v>44037</c:v>
                </c:pt>
                <c:pt idx="65">
                  <c:v>44030</c:v>
                </c:pt>
                <c:pt idx="66">
                  <c:v>44023</c:v>
                </c:pt>
                <c:pt idx="67">
                  <c:v>44016</c:v>
                </c:pt>
                <c:pt idx="68">
                  <c:v>44009</c:v>
                </c:pt>
                <c:pt idx="69">
                  <c:v>44002</c:v>
                </c:pt>
                <c:pt idx="70">
                  <c:v>43995</c:v>
                </c:pt>
                <c:pt idx="71">
                  <c:v>43988</c:v>
                </c:pt>
                <c:pt idx="72">
                  <c:v>43981</c:v>
                </c:pt>
                <c:pt idx="73">
                  <c:v>43974</c:v>
                </c:pt>
                <c:pt idx="74">
                  <c:v>43967</c:v>
                </c:pt>
                <c:pt idx="75">
                  <c:v>43960</c:v>
                </c:pt>
                <c:pt idx="76">
                  <c:v>43953</c:v>
                </c:pt>
                <c:pt idx="77">
                  <c:v>43946</c:v>
                </c:pt>
                <c:pt idx="78">
                  <c:v>43939</c:v>
                </c:pt>
                <c:pt idx="79">
                  <c:v>43932</c:v>
                </c:pt>
                <c:pt idx="80">
                  <c:v>43925</c:v>
                </c:pt>
                <c:pt idx="81">
                  <c:v>43918</c:v>
                </c:pt>
                <c:pt idx="82">
                  <c:v>43911</c:v>
                </c:pt>
                <c:pt idx="83">
                  <c:v>43904</c:v>
                </c:pt>
                <c:pt idx="84">
                  <c:v>43897</c:v>
                </c:pt>
                <c:pt idx="85">
                  <c:v>43890</c:v>
                </c:pt>
                <c:pt idx="86">
                  <c:v>43883</c:v>
                </c:pt>
                <c:pt idx="87">
                  <c:v>43876</c:v>
                </c:pt>
                <c:pt idx="88">
                  <c:v>43869</c:v>
                </c:pt>
                <c:pt idx="89">
                  <c:v>43862</c:v>
                </c:pt>
                <c:pt idx="90">
                  <c:v>43855</c:v>
                </c:pt>
                <c:pt idx="91">
                  <c:v>43848</c:v>
                </c:pt>
                <c:pt idx="92">
                  <c:v>43841</c:v>
                </c:pt>
                <c:pt idx="93">
                  <c:v>43834</c:v>
                </c:pt>
                <c:pt idx="94">
                  <c:v>43827</c:v>
                </c:pt>
                <c:pt idx="95">
                  <c:v>43820</c:v>
                </c:pt>
                <c:pt idx="96">
                  <c:v>43813</c:v>
                </c:pt>
                <c:pt idx="97">
                  <c:v>43806</c:v>
                </c:pt>
              </c:numCache>
            </c:numRef>
          </c:cat>
          <c:val>
            <c:numRef>
              <c:f>汇率!$L$3:$L$100</c:f>
              <c:numCache>
                <c:formatCode>###,###,###,###,##0.00</c:formatCode>
                <c:ptCount val="98"/>
                <c:pt idx="0">
                  <c:v>10555</c:v>
                </c:pt>
                <c:pt idx="1">
                  <c:v>9246</c:v>
                </c:pt>
                <c:pt idx="2">
                  <c:v>9113</c:v>
                </c:pt>
                <c:pt idx="3">
                  <c:v>9275</c:v>
                </c:pt>
                <c:pt idx="4">
                  <c:v>9435.5</c:v>
                </c:pt>
                <c:pt idx="5">
                  <c:v>9515</c:v>
                </c:pt>
                <c:pt idx="6">
                  <c:v>9361</c:v>
                </c:pt>
                <c:pt idx="7">
                  <c:v>9352</c:v>
                </c:pt>
                <c:pt idx="8">
                  <c:v>8922</c:v>
                </c:pt>
                <c:pt idx="9">
                  <c:v>9429.5</c:v>
                </c:pt>
                <c:pt idx="10">
                  <c:v>9529.5</c:v>
                </c:pt>
                <c:pt idx="11">
                  <c:v>9747.5</c:v>
                </c:pt>
                <c:pt idx="12">
                  <c:v>9433.5</c:v>
                </c:pt>
                <c:pt idx="13">
                  <c:v>9396.5</c:v>
                </c:pt>
                <c:pt idx="14">
                  <c:v>9437.5</c:v>
                </c:pt>
                <c:pt idx="15">
                  <c:v>9296.5</c:v>
                </c:pt>
                <c:pt idx="16">
                  <c:v>9432.5</c:v>
                </c:pt>
                <c:pt idx="17">
                  <c:v>9206</c:v>
                </c:pt>
                <c:pt idx="18">
                  <c:v>10029</c:v>
                </c:pt>
                <c:pt idx="19">
                  <c:v>9852</c:v>
                </c:pt>
                <c:pt idx="20">
                  <c:v>10159.5</c:v>
                </c:pt>
                <c:pt idx="21">
                  <c:v>10011</c:v>
                </c:pt>
                <c:pt idx="22">
                  <c:v>10212</c:v>
                </c:pt>
                <c:pt idx="23">
                  <c:v>10361</c:v>
                </c:pt>
                <c:pt idx="24">
                  <c:v>9949</c:v>
                </c:pt>
                <c:pt idx="25">
                  <c:v>9545.5</c:v>
                </c:pt>
                <c:pt idx="26">
                  <c:v>9336</c:v>
                </c:pt>
                <c:pt idx="27">
                  <c:v>8993</c:v>
                </c:pt>
                <c:pt idx="28">
                  <c:v>8768</c:v>
                </c:pt>
                <c:pt idx="29">
                  <c:v>8929</c:v>
                </c:pt>
                <c:pt idx="30">
                  <c:v>9036</c:v>
                </c:pt>
                <c:pt idx="31">
                  <c:v>9052.5</c:v>
                </c:pt>
                <c:pt idx="32">
                  <c:v>9021.5</c:v>
                </c:pt>
                <c:pt idx="33">
                  <c:v>9172.5</c:v>
                </c:pt>
                <c:pt idx="34">
                  <c:v>8806.5</c:v>
                </c:pt>
                <c:pt idx="35">
                  <c:v>8270.5</c:v>
                </c:pt>
                <c:pt idx="36">
                  <c:v>7936.5</c:v>
                </c:pt>
                <c:pt idx="37">
                  <c:v>7877</c:v>
                </c:pt>
                <c:pt idx="38">
                  <c:v>7872</c:v>
                </c:pt>
                <c:pt idx="39">
                  <c:v>7979.5</c:v>
                </c:pt>
                <c:pt idx="40">
                  <c:v>8146</c:v>
                </c:pt>
                <c:pt idx="41">
                  <c:v>7741.5</c:v>
                </c:pt>
                <c:pt idx="42">
                  <c:v>7793</c:v>
                </c:pt>
                <c:pt idx="43">
                  <c:v>7964</c:v>
                </c:pt>
                <c:pt idx="44">
                  <c:v>7741</c:v>
                </c:pt>
                <c:pt idx="45">
                  <c:v>7741.5</c:v>
                </c:pt>
                <c:pt idx="46">
                  <c:v>7462</c:v>
                </c:pt>
                <c:pt idx="47">
                  <c:v>7178.5</c:v>
                </c:pt>
                <c:pt idx="48">
                  <c:v>6926</c:v>
                </c:pt>
                <c:pt idx="49">
                  <c:v>6938.5</c:v>
                </c:pt>
                <c:pt idx="50">
                  <c:v>6694.5</c:v>
                </c:pt>
                <c:pt idx="51">
                  <c:v>6879.5</c:v>
                </c:pt>
                <c:pt idx="52">
                  <c:v>6728</c:v>
                </c:pt>
                <c:pt idx="53">
                  <c:v>6740.5</c:v>
                </c:pt>
                <c:pt idx="54">
                  <c:v>6409.5</c:v>
                </c:pt>
                <c:pt idx="55">
                  <c:v>6529</c:v>
                </c:pt>
                <c:pt idx="56">
                  <c:v>6833.5</c:v>
                </c:pt>
                <c:pt idx="57">
                  <c:v>6757.5</c:v>
                </c:pt>
                <c:pt idx="58">
                  <c:v>6678</c:v>
                </c:pt>
                <c:pt idx="59">
                  <c:v>6728</c:v>
                </c:pt>
                <c:pt idx="60">
                  <c:v>6564.5</c:v>
                </c:pt>
                <c:pt idx="61">
                  <c:v>6342.5</c:v>
                </c:pt>
                <c:pt idx="62">
                  <c:v>6437</c:v>
                </c:pt>
                <c:pt idx="63">
                  <c:v>6446.5</c:v>
                </c:pt>
                <c:pt idx="64">
                  <c:v>6412.5</c:v>
                </c:pt>
                <c:pt idx="65">
                  <c:v>6454.5</c:v>
                </c:pt>
                <c:pt idx="66">
                  <c:v>6322.5</c:v>
                </c:pt>
                <c:pt idx="67">
                  <c:v>6022.5</c:v>
                </c:pt>
                <c:pt idx="68">
                  <c:v>5985.5</c:v>
                </c:pt>
                <c:pt idx="69">
                  <c:v>5835.5</c:v>
                </c:pt>
                <c:pt idx="70">
                  <c:v>5785.5</c:v>
                </c:pt>
                <c:pt idx="71">
                  <c:v>5588</c:v>
                </c:pt>
                <c:pt idx="72">
                  <c:v>5332.5</c:v>
                </c:pt>
                <c:pt idx="73">
                  <c:v>5242.5</c:v>
                </c:pt>
                <c:pt idx="74">
                  <c:v>5165</c:v>
                </c:pt>
                <c:pt idx="75">
                  <c:v>5227.5</c:v>
                </c:pt>
                <c:pt idx="76">
                  <c:v>5061</c:v>
                </c:pt>
                <c:pt idx="77">
                  <c:v>5118</c:v>
                </c:pt>
                <c:pt idx="78">
                  <c:v>5175.5</c:v>
                </c:pt>
                <c:pt idx="79">
                  <c:v>4963.5</c:v>
                </c:pt>
                <c:pt idx="80">
                  <c:v>4863.5</c:v>
                </c:pt>
                <c:pt idx="81">
                  <c:v>4774</c:v>
                </c:pt>
                <c:pt idx="82">
                  <c:v>4855</c:v>
                </c:pt>
                <c:pt idx="83">
                  <c:v>5530.5</c:v>
                </c:pt>
                <c:pt idx="84">
                  <c:v>5624</c:v>
                </c:pt>
                <c:pt idx="85">
                  <c:v>5573</c:v>
                </c:pt>
                <c:pt idx="86">
                  <c:v>5702</c:v>
                </c:pt>
                <c:pt idx="87">
                  <c:v>5737</c:v>
                </c:pt>
                <c:pt idx="88">
                  <c:v>5653</c:v>
                </c:pt>
                <c:pt idx="89">
                  <c:v>5570</c:v>
                </c:pt>
                <c:pt idx="90">
                  <c:v>5968</c:v>
                </c:pt>
                <c:pt idx="91">
                  <c:v>6276.5</c:v>
                </c:pt>
                <c:pt idx="92">
                  <c:v>6157</c:v>
                </c:pt>
                <c:pt idx="93">
                  <c:v>6077</c:v>
                </c:pt>
                <c:pt idx="94">
                  <c:v>6211</c:v>
                </c:pt>
                <c:pt idx="95">
                  <c:v>6155.5</c:v>
                </c:pt>
                <c:pt idx="96">
                  <c:v>6154</c:v>
                </c:pt>
                <c:pt idx="97">
                  <c:v>5867.5</c:v>
                </c:pt>
              </c:numCache>
            </c:numRef>
          </c:val>
          <c:smooth val="1"/>
          <c:extLst xmlns:c16r2="http://schemas.microsoft.com/office/drawing/2015/06/chart">
            <c:ext xmlns:c16="http://schemas.microsoft.com/office/drawing/2014/chart" uri="{C3380CC4-5D6E-409C-BE32-E72D297353CC}">
              <c16:uniqueId val="{00000000-A4A1-42D5-95F5-D252F21AECA4}"/>
            </c:ext>
          </c:extLst>
        </c:ser>
        <c:dLbls>
          <c:showLegendKey val="0"/>
          <c:showVal val="0"/>
          <c:showCatName val="0"/>
          <c:showSerName val="0"/>
          <c:showPercent val="0"/>
          <c:showBubbleSize val="0"/>
        </c:dLbls>
        <c:marker val="1"/>
        <c:smooth val="0"/>
        <c:axId val="527175040"/>
        <c:axId val="527180928"/>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汇率!$K$3:$K$100</c:f>
              <c:numCache>
                <c:formatCode>yyyy\-mm\-dd;@</c:formatCode>
                <c:ptCount val="98"/>
                <c:pt idx="0">
                  <c:v>44485</c:v>
                </c:pt>
                <c:pt idx="1">
                  <c:v>44478</c:v>
                </c:pt>
                <c:pt idx="2">
                  <c:v>44471</c:v>
                </c:pt>
                <c:pt idx="3">
                  <c:v>44464</c:v>
                </c:pt>
                <c:pt idx="4">
                  <c:v>44457</c:v>
                </c:pt>
                <c:pt idx="5">
                  <c:v>44450</c:v>
                </c:pt>
                <c:pt idx="6">
                  <c:v>44443</c:v>
                </c:pt>
                <c:pt idx="7">
                  <c:v>44436</c:v>
                </c:pt>
                <c:pt idx="8">
                  <c:v>44429</c:v>
                </c:pt>
                <c:pt idx="9">
                  <c:v>44422</c:v>
                </c:pt>
                <c:pt idx="10">
                  <c:v>44415</c:v>
                </c:pt>
                <c:pt idx="11">
                  <c:v>44408</c:v>
                </c:pt>
                <c:pt idx="12">
                  <c:v>44401</c:v>
                </c:pt>
                <c:pt idx="13">
                  <c:v>44394</c:v>
                </c:pt>
                <c:pt idx="14">
                  <c:v>44387</c:v>
                </c:pt>
                <c:pt idx="15">
                  <c:v>44380</c:v>
                </c:pt>
                <c:pt idx="16">
                  <c:v>44373</c:v>
                </c:pt>
                <c:pt idx="17">
                  <c:v>44366</c:v>
                </c:pt>
                <c:pt idx="18">
                  <c:v>44359</c:v>
                </c:pt>
                <c:pt idx="19">
                  <c:v>44352</c:v>
                </c:pt>
                <c:pt idx="20">
                  <c:v>44345</c:v>
                </c:pt>
                <c:pt idx="21">
                  <c:v>44338</c:v>
                </c:pt>
                <c:pt idx="22">
                  <c:v>44331</c:v>
                </c:pt>
                <c:pt idx="23">
                  <c:v>44324</c:v>
                </c:pt>
                <c:pt idx="24">
                  <c:v>44317</c:v>
                </c:pt>
                <c:pt idx="25">
                  <c:v>44310</c:v>
                </c:pt>
                <c:pt idx="26">
                  <c:v>44303</c:v>
                </c:pt>
                <c:pt idx="27">
                  <c:v>44296</c:v>
                </c:pt>
                <c:pt idx="28">
                  <c:v>44289</c:v>
                </c:pt>
                <c:pt idx="29">
                  <c:v>44282</c:v>
                </c:pt>
                <c:pt idx="30">
                  <c:v>44275</c:v>
                </c:pt>
                <c:pt idx="31">
                  <c:v>44268</c:v>
                </c:pt>
                <c:pt idx="32">
                  <c:v>44261</c:v>
                </c:pt>
                <c:pt idx="33">
                  <c:v>44254</c:v>
                </c:pt>
                <c:pt idx="34">
                  <c:v>44247</c:v>
                </c:pt>
                <c:pt idx="35">
                  <c:v>44240</c:v>
                </c:pt>
                <c:pt idx="36">
                  <c:v>44233</c:v>
                </c:pt>
                <c:pt idx="37">
                  <c:v>44226</c:v>
                </c:pt>
                <c:pt idx="38">
                  <c:v>44219</c:v>
                </c:pt>
                <c:pt idx="39">
                  <c:v>44212</c:v>
                </c:pt>
                <c:pt idx="40">
                  <c:v>44205</c:v>
                </c:pt>
                <c:pt idx="41">
                  <c:v>44198</c:v>
                </c:pt>
                <c:pt idx="42">
                  <c:v>44191</c:v>
                </c:pt>
                <c:pt idx="43">
                  <c:v>44184</c:v>
                </c:pt>
                <c:pt idx="44">
                  <c:v>44177</c:v>
                </c:pt>
                <c:pt idx="45">
                  <c:v>44170</c:v>
                </c:pt>
                <c:pt idx="46">
                  <c:v>44163</c:v>
                </c:pt>
                <c:pt idx="47">
                  <c:v>44156</c:v>
                </c:pt>
                <c:pt idx="48">
                  <c:v>44149</c:v>
                </c:pt>
                <c:pt idx="49">
                  <c:v>44142</c:v>
                </c:pt>
                <c:pt idx="50">
                  <c:v>44135</c:v>
                </c:pt>
                <c:pt idx="51">
                  <c:v>44128</c:v>
                </c:pt>
                <c:pt idx="52">
                  <c:v>44121</c:v>
                </c:pt>
                <c:pt idx="53">
                  <c:v>44114</c:v>
                </c:pt>
                <c:pt idx="54">
                  <c:v>44107</c:v>
                </c:pt>
                <c:pt idx="55">
                  <c:v>44100</c:v>
                </c:pt>
                <c:pt idx="56">
                  <c:v>44093</c:v>
                </c:pt>
                <c:pt idx="57">
                  <c:v>44086</c:v>
                </c:pt>
                <c:pt idx="58">
                  <c:v>44079</c:v>
                </c:pt>
                <c:pt idx="59">
                  <c:v>44072</c:v>
                </c:pt>
                <c:pt idx="60">
                  <c:v>44065</c:v>
                </c:pt>
                <c:pt idx="61">
                  <c:v>44058</c:v>
                </c:pt>
                <c:pt idx="62">
                  <c:v>44051</c:v>
                </c:pt>
                <c:pt idx="63">
                  <c:v>44044</c:v>
                </c:pt>
                <c:pt idx="64">
                  <c:v>44037</c:v>
                </c:pt>
                <c:pt idx="65">
                  <c:v>44030</c:v>
                </c:pt>
                <c:pt idx="66">
                  <c:v>44023</c:v>
                </c:pt>
                <c:pt idx="67">
                  <c:v>44016</c:v>
                </c:pt>
                <c:pt idx="68">
                  <c:v>44009</c:v>
                </c:pt>
                <c:pt idx="69">
                  <c:v>44002</c:v>
                </c:pt>
                <c:pt idx="70">
                  <c:v>43995</c:v>
                </c:pt>
                <c:pt idx="71">
                  <c:v>43988</c:v>
                </c:pt>
                <c:pt idx="72">
                  <c:v>43981</c:v>
                </c:pt>
                <c:pt idx="73">
                  <c:v>43974</c:v>
                </c:pt>
                <c:pt idx="74">
                  <c:v>43967</c:v>
                </c:pt>
                <c:pt idx="75">
                  <c:v>43960</c:v>
                </c:pt>
                <c:pt idx="76">
                  <c:v>43953</c:v>
                </c:pt>
                <c:pt idx="77">
                  <c:v>43946</c:v>
                </c:pt>
                <c:pt idx="78">
                  <c:v>43939</c:v>
                </c:pt>
                <c:pt idx="79">
                  <c:v>43932</c:v>
                </c:pt>
                <c:pt idx="80">
                  <c:v>43925</c:v>
                </c:pt>
                <c:pt idx="81">
                  <c:v>43918</c:v>
                </c:pt>
                <c:pt idx="82">
                  <c:v>43911</c:v>
                </c:pt>
                <c:pt idx="83">
                  <c:v>43904</c:v>
                </c:pt>
                <c:pt idx="84">
                  <c:v>43897</c:v>
                </c:pt>
                <c:pt idx="85">
                  <c:v>43890</c:v>
                </c:pt>
                <c:pt idx="86">
                  <c:v>43883</c:v>
                </c:pt>
                <c:pt idx="87">
                  <c:v>43876</c:v>
                </c:pt>
                <c:pt idx="88">
                  <c:v>43869</c:v>
                </c:pt>
                <c:pt idx="89">
                  <c:v>43862</c:v>
                </c:pt>
                <c:pt idx="90">
                  <c:v>43855</c:v>
                </c:pt>
                <c:pt idx="91">
                  <c:v>43848</c:v>
                </c:pt>
                <c:pt idx="92">
                  <c:v>43841</c:v>
                </c:pt>
                <c:pt idx="93">
                  <c:v>43834</c:v>
                </c:pt>
                <c:pt idx="94">
                  <c:v>43827</c:v>
                </c:pt>
                <c:pt idx="95">
                  <c:v>43820</c:v>
                </c:pt>
                <c:pt idx="96">
                  <c:v>43813</c:v>
                </c:pt>
                <c:pt idx="97">
                  <c:v>43806</c:v>
                </c:pt>
              </c:numCache>
            </c:numRef>
          </c:cat>
          <c:val>
            <c:numRef>
              <c:f>汇率!$M$3:$M$100</c:f>
              <c:numCache>
                <c:formatCode>###,###,###,###,##0.00</c:formatCode>
                <c:ptCount val="98"/>
                <c:pt idx="0">
                  <c:v>84.86</c:v>
                </c:pt>
                <c:pt idx="1">
                  <c:v>82.39</c:v>
                </c:pt>
                <c:pt idx="2">
                  <c:v>79.28</c:v>
                </c:pt>
                <c:pt idx="3">
                  <c:v>78.09</c:v>
                </c:pt>
                <c:pt idx="4">
                  <c:v>75.34</c:v>
                </c:pt>
                <c:pt idx="5">
                  <c:v>72.92</c:v>
                </c:pt>
                <c:pt idx="6">
                  <c:v>72.61</c:v>
                </c:pt>
                <c:pt idx="7">
                  <c:v>72.7</c:v>
                </c:pt>
                <c:pt idx="8">
                  <c:v>65.180000000000007</c:v>
                </c:pt>
                <c:pt idx="9">
                  <c:v>70.59</c:v>
                </c:pt>
                <c:pt idx="10">
                  <c:v>70.7</c:v>
                </c:pt>
                <c:pt idx="11">
                  <c:v>76.33</c:v>
                </c:pt>
                <c:pt idx="12">
                  <c:v>74.099999999999994</c:v>
                </c:pt>
                <c:pt idx="13">
                  <c:v>73.59</c:v>
                </c:pt>
                <c:pt idx="14">
                  <c:v>75.55</c:v>
                </c:pt>
                <c:pt idx="15">
                  <c:v>76.17</c:v>
                </c:pt>
                <c:pt idx="16">
                  <c:v>76.180000000000007</c:v>
                </c:pt>
                <c:pt idx="17">
                  <c:v>73.510000000000005</c:v>
                </c:pt>
                <c:pt idx="18">
                  <c:v>72.69</c:v>
                </c:pt>
                <c:pt idx="19">
                  <c:v>71.89</c:v>
                </c:pt>
                <c:pt idx="20">
                  <c:v>69.63</c:v>
                </c:pt>
                <c:pt idx="21">
                  <c:v>66.44</c:v>
                </c:pt>
                <c:pt idx="22">
                  <c:v>68.709999999999994</c:v>
                </c:pt>
                <c:pt idx="23">
                  <c:v>68.28</c:v>
                </c:pt>
                <c:pt idx="24">
                  <c:v>67.25</c:v>
                </c:pt>
                <c:pt idx="25">
                  <c:v>66.11</c:v>
                </c:pt>
                <c:pt idx="26">
                  <c:v>66.77</c:v>
                </c:pt>
                <c:pt idx="27">
                  <c:v>62.95</c:v>
                </c:pt>
                <c:pt idx="28">
                  <c:v>63.54</c:v>
                </c:pt>
                <c:pt idx="29">
                  <c:v>64.569999999999993</c:v>
                </c:pt>
                <c:pt idx="30">
                  <c:v>64.53</c:v>
                </c:pt>
                <c:pt idx="31">
                  <c:v>69.22</c:v>
                </c:pt>
                <c:pt idx="32">
                  <c:v>69.36</c:v>
                </c:pt>
                <c:pt idx="33">
                  <c:v>66.13</c:v>
                </c:pt>
                <c:pt idx="34">
                  <c:v>62.91</c:v>
                </c:pt>
                <c:pt idx="35">
                  <c:v>62.43</c:v>
                </c:pt>
                <c:pt idx="36">
                  <c:v>59.34</c:v>
                </c:pt>
                <c:pt idx="37">
                  <c:v>55.88</c:v>
                </c:pt>
                <c:pt idx="38">
                  <c:v>55.41</c:v>
                </c:pt>
                <c:pt idx="39">
                  <c:v>55.1</c:v>
                </c:pt>
                <c:pt idx="40">
                  <c:v>55.99</c:v>
                </c:pt>
                <c:pt idx="41">
                  <c:v>51.8</c:v>
                </c:pt>
                <c:pt idx="42">
                  <c:v>51.29</c:v>
                </c:pt>
                <c:pt idx="43">
                  <c:v>52.26</c:v>
                </c:pt>
                <c:pt idx="44">
                  <c:v>49.97</c:v>
                </c:pt>
                <c:pt idx="45">
                  <c:v>49.25</c:v>
                </c:pt>
                <c:pt idx="46">
                  <c:v>48.18</c:v>
                </c:pt>
                <c:pt idx="47">
                  <c:v>44.96</c:v>
                </c:pt>
                <c:pt idx="48">
                  <c:v>42.78</c:v>
                </c:pt>
                <c:pt idx="49">
                  <c:v>39.450000000000003</c:v>
                </c:pt>
                <c:pt idx="50">
                  <c:v>37.46</c:v>
                </c:pt>
                <c:pt idx="51">
                  <c:v>41.77</c:v>
                </c:pt>
                <c:pt idx="52">
                  <c:v>42.93</c:v>
                </c:pt>
                <c:pt idx="53">
                  <c:v>42.85</c:v>
                </c:pt>
                <c:pt idx="54">
                  <c:v>39.270000000000003</c:v>
                </c:pt>
                <c:pt idx="55">
                  <c:v>41.92</c:v>
                </c:pt>
                <c:pt idx="56">
                  <c:v>43.15</c:v>
                </c:pt>
                <c:pt idx="57">
                  <c:v>39.83</c:v>
                </c:pt>
                <c:pt idx="58">
                  <c:v>42.66</c:v>
                </c:pt>
                <c:pt idx="59">
                  <c:v>45.05</c:v>
                </c:pt>
                <c:pt idx="60">
                  <c:v>44.35</c:v>
                </c:pt>
                <c:pt idx="61">
                  <c:v>44.8</c:v>
                </c:pt>
                <c:pt idx="62">
                  <c:v>44.4</c:v>
                </c:pt>
                <c:pt idx="63">
                  <c:v>43.3</c:v>
                </c:pt>
                <c:pt idx="64">
                  <c:v>43.34</c:v>
                </c:pt>
                <c:pt idx="65">
                  <c:v>43.14</c:v>
                </c:pt>
                <c:pt idx="66">
                  <c:v>43.24</c:v>
                </c:pt>
                <c:pt idx="67">
                  <c:v>42.8</c:v>
                </c:pt>
                <c:pt idx="68">
                  <c:v>41.02</c:v>
                </c:pt>
                <c:pt idx="69">
                  <c:v>42.19</c:v>
                </c:pt>
                <c:pt idx="70">
                  <c:v>38.729999999999997</c:v>
                </c:pt>
                <c:pt idx="71">
                  <c:v>42.3</c:v>
                </c:pt>
                <c:pt idx="72">
                  <c:v>35.33</c:v>
                </c:pt>
                <c:pt idx="73">
                  <c:v>35.130000000000003</c:v>
                </c:pt>
                <c:pt idx="74">
                  <c:v>32.5</c:v>
                </c:pt>
                <c:pt idx="75">
                  <c:v>30.97</c:v>
                </c:pt>
                <c:pt idx="76">
                  <c:v>26.44</c:v>
                </c:pt>
                <c:pt idx="77">
                  <c:v>21.44</c:v>
                </c:pt>
                <c:pt idx="78">
                  <c:v>28.08</c:v>
                </c:pt>
                <c:pt idx="79">
                  <c:v>31.48</c:v>
                </c:pt>
                <c:pt idx="80">
                  <c:v>34.11</c:v>
                </c:pt>
                <c:pt idx="81">
                  <c:v>24.93</c:v>
                </c:pt>
                <c:pt idx="82">
                  <c:v>26.98</c:v>
                </c:pt>
                <c:pt idx="83">
                  <c:v>33.85</c:v>
                </c:pt>
                <c:pt idx="84">
                  <c:v>45.27</c:v>
                </c:pt>
                <c:pt idx="85">
                  <c:v>50.52</c:v>
                </c:pt>
                <c:pt idx="86">
                  <c:v>58.5</c:v>
                </c:pt>
                <c:pt idx="87">
                  <c:v>57.32</c:v>
                </c:pt>
                <c:pt idx="88">
                  <c:v>54.54</c:v>
                </c:pt>
                <c:pt idx="89">
                  <c:v>58.16</c:v>
                </c:pt>
                <c:pt idx="90">
                  <c:v>60.69</c:v>
                </c:pt>
                <c:pt idx="91">
                  <c:v>64.849999999999994</c:v>
                </c:pt>
                <c:pt idx="92">
                  <c:v>64.98</c:v>
                </c:pt>
                <c:pt idx="93">
                  <c:v>68.599999999999994</c:v>
                </c:pt>
                <c:pt idx="94">
                  <c:v>68.16</c:v>
                </c:pt>
                <c:pt idx="95">
                  <c:v>66.14</c:v>
                </c:pt>
                <c:pt idx="96">
                  <c:v>65.22</c:v>
                </c:pt>
                <c:pt idx="97">
                  <c:v>64.39</c:v>
                </c:pt>
              </c:numCache>
            </c:numRef>
          </c:val>
          <c:smooth val="1"/>
          <c:extLst xmlns:c16r2="http://schemas.microsoft.com/office/drawing/2015/06/chart">
            <c:ext xmlns:c16="http://schemas.microsoft.com/office/drawing/2014/chart" uri="{C3380CC4-5D6E-409C-BE32-E72D297353CC}">
              <c16:uniqueId val="{00000001-A4A1-42D5-95F5-D252F21AECA4}"/>
            </c:ext>
          </c:extLst>
        </c:ser>
        <c:dLbls>
          <c:showLegendKey val="0"/>
          <c:showVal val="0"/>
          <c:showCatName val="0"/>
          <c:showSerName val="0"/>
          <c:showPercent val="0"/>
          <c:showBubbleSize val="0"/>
        </c:dLbls>
        <c:marker val="1"/>
        <c:smooth val="0"/>
        <c:axId val="527184256"/>
        <c:axId val="527182464"/>
      </c:lineChart>
      <c:dateAx>
        <c:axId val="52717504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27180928"/>
        <c:crosses val="autoZero"/>
        <c:auto val="0"/>
        <c:lblOffset val="0"/>
        <c:baseTimeUnit val="days"/>
      </c:dateAx>
      <c:valAx>
        <c:axId val="527180928"/>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7175040"/>
        <c:crosses val="autoZero"/>
        <c:crossBetween val="between"/>
      </c:valAx>
      <c:valAx>
        <c:axId val="527182464"/>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527184256"/>
        <c:crosses val="max"/>
        <c:crossBetween val="between"/>
      </c:valAx>
      <c:dateAx>
        <c:axId val="527184256"/>
        <c:scaling>
          <c:orientation val="minMax"/>
        </c:scaling>
        <c:delete val="1"/>
        <c:axPos val="b"/>
        <c:numFmt formatCode="yyyy\-mm\-dd;@" sourceLinked="1"/>
        <c:majorTickMark val="out"/>
        <c:minorTickMark val="none"/>
        <c:tickLblPos val="nextTo"/>
        <c:crossAx val="527182464"/>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E0EB3-5237-47EB-BFA2-3CFB5E415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710</Words>
  <Characters>4047</Characters>
  <Application>Microsoft Office Word</Application>
  <DocSecurity>0</DocSecurity>
  <Lines>33</Lines>
  <Paragraphs>9</Paragraphs>
  <ScaleCrop>false</ScaleCrop>
  <Company>Microsoft</Company>
  <LinksUpToDate>false</LinksUpToDate>
  <CharactersWithSpaces>4748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2021-10-18T08:21:00Z</dcterms:created>
  <dcterms:modified xsi:type="dcterms:W3CDTF">2021-10-18T08:40:00Z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