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B73E9" w:rsidRDefault="005801FF">
      <w:pPr>
        <w:jc w:val="center"/>
        <w:rPr>
          <w:b/>
        </w:rPr>
      </w:pPr>
      <w:r>
        <w:rPr>
          <w:rFonts w:hint="eastAsia"/>
          <w:b/>
        </w:rPr>
        <w:t>富荣量化</w:t>
      </w:r>
      <w:r w:rsidR="001E722A">
        <w:rPr>
          <w:rFonts w:hint="eastAsia"/>
          <w:b/>
        </w:rPr>
        <w:t>：多项</w:t>
      </w:r>
      <w:r w:rsidR="00567A0B">
        <w:rPr>
          <w:rFonts w:hint="eastAsia"/>
          <w:b/>
        </w:rPr>
        <w:t>因素</w:t>
      </w:r>
      <w:r w:rsidR="001E722A" w:rsidRPr="001E722A">
        <w:rPr>
          <w:rFonts w:hint="eastAsia"/>
          <w:b/>
        </w:rPr>
        <w:t>为市场下一步走势选择提供动力</w:t>
      </w:r>
    </w:p>
    <w:p w:rsidR="004148BC" w:rsidRDefault="00113AAB" w:rsidP="00113AAB">
      <w:pPr>
        <w:tabs>
          <w:tab w:val="left" w:pos="5436"/>
        </w:tabs>
        <w:ind w:firstLineChars="200" w:firstLine="480"/>
      </w:pPr>
      <w:r>
        <w:tab/>
      </w:r>
    </w:p>
    <w:p w:rsidR="000F78C3" w:rsidRDefault="001E722A" w:rsidP="00FC70CF">
      <w:pPr>
        <w:tabs>
          <w:tab w:val="left" w:pos="5436"/>
        </w:tabs>
        <w:ind w:firstLineChars="200" w:firstLine="480"/>
        <w:rPr>
          <w:rFonts w:hint="eastAsia"/>
        </w:rPr>
      </w:pPr>
      <w:r>
        <w:rPr>
          <w:rFonts w:hint="eastAsia"/>
        </w:rPr>
        <w:t>上</w:t>
      </w:r>
      <w:r w:rsidR="00CE4062">
        <w:rPr>
          <w:rFonts w:hint="eastAsia"/>
        </w:rPr>
        <w:t>周市场持续窄幅震荡，从</w:t>
      </w:r>
      <w:r w:rsidR="009D7B17">
        <w:rPr>
          <w:rFonts w:hint="eastAsia"/>
        </w:rPr>
        <w:t>市场</w:t>
      </w:r>
      <w:proofErr w:type="gramStart"/>
      <w:r w:rsidR="00FD23EE">
        <w:rPr>
          <w:rFonts w:hint="eastAsia"/>
        </w:rPr>
        <w:t>各宽基指数</w:t>
      </w:r>
      <w:proofErr w:type="gramEnd"/>
      <w:r w:rsidR="00FD23EE">
        <w:rPr>
          <w:rFonts w:hint="eastAsia"/>
        </w:rPr>
        <w:t>表现来看</w:t>
      </w:r>
      <w:r w:rsidR="00F961AD">
        <w:rPr>
          <w:rFonts w:hint="eastAsia"/>
        </w:rPr>
        <w:t>（如图1）：</w:t>
      </w:r>
      <w:r w:rsidR="00C95D8B">
        <w:rPr>
          <w:rFonts w:hint="eastAsia"/>
        </w:rPr>
        <w:t>上证指数</w:t>
      </w:r>
      <w:r w:rsidR="00FC70CF">
        <w:rPr>
          <w:rFonts w:hint="eastAsia"/>
        </w:rPr>
        <w:t>收涨0.29</w:t>
      </w:r>
      <w:r w:rsidR="00DE4D6F">
        <w:rPr>
          <w:rFonts w:hint="eastAsia"/>
        </w:rPr>
        <w:t>%</w:t>
      </w:r>
      <w:r w:rsidR="00C95D8B">
        <w:rPr>
          <w:rFonts w:hint="eastAsia"/>
        </w:rPr>
        <w:t>、沪深300指数</w:t>
      </w:r>
      <w:r w:rsidR="00FD23EE">
        <w:rPr>
          <w:rFonts w:hint="eastAsia"/>
        </w:rPr>
        <w:t>上涨</w:t>
      </w:r>
      <w:r w:rsidR="00B34333">
        <w:rPr>
          <w:rFonts w:hint="eastAsia"/>
        </w:rPr>
        <w:t>0</w:t>
      </w:r>
      <w:r w:rsidR="00FC70CF">
        <w:rPr>
          <w:rFonts w:hint="eastAsia"/>
        </w:rPr>
        <w:t>.56</w:t>
      </w:r>
      <w:r w:rsidR="00FD23EE">
        <w:rPr>
          <w:rFonts w:hint="eastAsia"/>
        </w:rPr>
        <w:t>%</w:t>
      </w:r>
      <w:r w:rsidR="00C95D8B">
        <w:rPr>
          <w:rFonts w:hint="eastAsia"/>
        </w:rPr>
        <w:t>、上证50</w:t>
      </w:r>
      <w:r w:rsidR="00FD23EE">
        <w:rPr>
          <w:rFonts w:hint="eastAsia"/>
        </w:rPr>
        <w:t>上涨</w:t>
      </w:r>
      <w:r w:rsidR="00FC70CF">
        <w:rPr>
          <w:rFonts w:hint="eastAsia"/>
        </w:rPr>
        <w:t>0.71</w:t>
      </w:r>
      <w:r w:rsidR="00FD23EE">
        <w:rPr>
          <w:rFonts w:hint="eastAsia"/>
        </w:rPr>
        <w:t>%</w:t>
      </w:r>
      <w:r w:rsidR="00AA3B77">
        <w:rPr>
          <w:rFonts w:hint="eastAsia"/>
        </w:rPr>
        <w:t>、深证成指</w:t>
      </w:r>
      <w:r w:rsidR="00B34333">
        <w:rPr>
          <w:rFonts w:hint="eastAsia"/>
        </w:rPr>
        <w:t>最终收涨0.</w:t>
      </w:r>
      <w:r w:rsidR="00FC70CF">
        <w:rPr>
          <w:rFonts w:hint="eastAsia"/>
        </w:rPr>
        <w:t>53</w:t>
      </w:r>
      <w:r w:rsidR="00C95D8B">
        <w:rPr>
          <w:rFonts w:hint="eastAsia"/>
        </w:rPr>
        <w:t>%、创业板指</w:t>
      </w:r>
      <w:r w:rsidR="00B34333">
        <w:rPr>
          <w:rFonts w:hint="eastAsia"/>
        </w:rPr>
        <w:t>收涨</w:t>
      </w:r>
      <w:r w:rsidR="00FC70CF">
        <w:rPr>
          <w:rFonts w:hint="eastAsia"/>
        </w:rPr>
        <w:t>0.26</w:t>
      </w:r>
      <w:r w:rsidR="00DE4D6F">
        <w:rPr>
          <w:rFonts w:hint="eastAsia"/>
        </w:rPr>
        <w:t>%</w:t>
      </w:r>
      <w:r w:rsidR="00C95D8B">
        <w:rPr>
          <w:rFonts w:hint="eastAsia"/>
        </w:rPr>
        <w:t>、中证500</w:t>
      </w:r>
      <w:r>
        <w:rPr>
          <w:rFonts w:hint="eastAsia"/>
        </w:rPr>
        <w:t>微涨</w:t>
      </w:r>
      <w:r w:rsidR="00B34333">
        <w:rPr>
          <w:rFonts w:hint="eastAsia"/>
        </w:rPr>
        <w:t>，收涨0.</w:t>
      </w:r>
      <w:r w:rsidR="00FC70CF">
        <w:rPr>
          <w:rFonts w:hint="eastAsia"/>
        </w:rPr>
        <w:t>03</w:t>
      </w:r>
      <w:r w:rsidR="00C95D8B">
        <w:rPr>
          <w:rFonts w:hint="eastAsia"/>
        </w:rPr>
        <w:t>%、</w:t>
      </w:r>
      <w:r w:rsidR="004148BC">
        <w:rPr>
          <w:rFonts w:hint="eastAsia"/>
        </w:rPr>
        <w:t>中证1000</w:t>
      </w:r>
      <w:r w:rsidR="00FC70CF">
        <w:rPr>
          <w:rFonts w:hint="eastAsia"/>
        </w:rPr>
        <w:t>上涨1.20</w:t>
      </w:r>
      <w:r w:rsidR="00C95D8B">
        <w:rPr>
          <w:rFonts w:hint="eastAsia"/>
        </w:rPr>
        <w:t>%</w:t>
      </w:r>
      <w:r w:rsidR="00F456DD">
        <w:rPr>
          <w:rFonts w:hint="eastAsia"/>
        </w:rPr>
        <w:t>，</w:t>
      </w:r>
      <w:proofErr w:type="gramStart"/>
      <w:r w:rsidR="00E42D25">
        <w:rPr>
          <w:rFonts w:hint="eastAsia"/>
        </w:rPr>
        <w:t>科创板</w:t>
      </w:r>
      <w:proofErr w:type="gramEnd"/>
      <w:r w:rsidR="00196E4C">
        <w:rPr>
          <w:rFonts w:hint="eastAsia"/>
        </w:rPr>
        <w:t>50</w:t>
      </w:r>
      <w:r w:rsidR="00AA3B77">
        <w:rPr>
          <w:rFonts w:hint="eastAsia"/>
        </w:rPr>
        <w:t>最终</w:t>
      </w:r>
      <w:r w:rsidR="00FC70CF">
        <w:rPr>
          <w:rFonts w:hint="eastAsia"/>
        </w:rPr>
        <w:t>上涨0.37</w:t>
      </w:r>
      <w:r w:rsidR="00C25817">
        <w:rPr>
          <w:rFonts w:hint="eastAsia"/>
        </w:rPr>
        <w:t>%。</w:t>
      </w:r>
      <w:proofErr w:type="gramStart"/>
      <w:r w:rsidR="00AA3B77">
        <w:rPr>
          <w:rFonts w:hint="eastAsia"/>
        </w:rPr>
        <w:t>从宽基</w:t>
      </w:r>
      <w:proofErr w:type="gramEnd"/>
      <w:r w:rsidR="00AA3B77">
        <w:rPr>
          <w:rFonts w:hint="eastAsia"/>
        </w:rPr>
        <w:t>指数的表现来看，</w:t>
      </w:r>
      <w:r w:rsidR="00DE4D6F">
        <w:rPr>
          <w:rFonts w:hint="eastAsia"/>
        </w:rPr>
        <w:t>市场</w:t>
      </w:r>
      <w:r w:rsidR="00FD23EE">
        <w:rPr>
          <w:rFonts w:hint="eastAsia"/>
        </w:rPr>
        <w:t>大小</w:t>
      </w:r>
      <w:proofErr w:type="gramStart"/>
      <w:r w:rsidR="00FD23EE">
        <w:rPr>
          <w:rFonts w:hint="eastAsia"/>
        </w:rPr>
        <w:t>盘风格</w:t>
      </w:r>
      <w:proofErr w:type="gramEnd"/>
      <w:r w:rsidR="00B34333">
        <w:rPr>
          <w:rFonts w:hint="eastAsia"/>
        </w:rPr>
        <w:t>切换</w:t>
      </w:r>
      <w:r w:rsidR="00FD23EE">
        <w:rPr>
          <w:rFonts w:hint="eastAsia"/>
        </w:rPr>
        <w:t>继续收敛</w:t>
      </w:r>
      <w:r w:rsidR="00DE4D6F">
        <w:rPr>
          <w:rFonts w:hint="eastAsia"/>
        </w:rPr>
        <w:t>，</w:t>
      </w:r>
      <w:r w:rsidR="00FD23EE">
        <w:rPr>
          <w:rFonts w:hint="eastAsia"/>
        </w:rPr>
        <w:t>前期涨幅过快的中证500继续调整，</w:t>
      </w:r>
      <w:r w:rsidR="009F35F8">
        <w:rPr>
          <w:rFonts w:hint="eastAsia"/>
        </w:rPr>
        <w:t>下跌过多的上证50与沪深300</w:t>
      </w:r>
      <w:r w:rsidR="00B34333">
        <w:rPr>
          <w:rFonts w:hint="eastAsia"/>
        </w:rPr>
        <w:t>出现持续性</w:t>
      </w:r>
      <w:r w:rsidR="009F35F8">
        <w:rPr>
          <w:rFonts w:hint="eastAsia"/>
        </w:rPr>
        <w:t>反弹</w:t>
      </w:r>
      <w:r w:rsidR="00B34333">
        <w:rPr>
          <w:rFonts w:hint="eastAsia"/>
        </w:rPr>
        <w:t>，其中上证50近期表现明显强过</w:t>
      </w:r>
      <w:proofErr w:type="gramStart"/>
      <w:r w:rsidR="00B34333">
        <w:rPr>
          <w:rFonts w:hint="eastAsia"/>
        </w:rPr>
        <w:t>其</w:t>
      </w:r>
      <w:r>
        <w:rPr>
          <w:rFonts w:hint="eastAsia"/>
        </w:rPr>
        <w:t>它</w:t>
      </w:r>
      <w:r w:rsidR="00B34333">
        <w:rPr>
          <w:rFonts w:hint="eastAsia"/>
        </w:rPr>
        <w:t>宽基指数</w:t>
      </w:r>
      <w:proofErr w:type="gramEnd"/>
      <w:r w:rsidR="00DE4D6F">
        <w:rPr>
          <w:rFonts w:hint="eastAsia"/>
        </w:rPr>
        <w:t>。</w:t>
      </w:r>
      <w:r w:rsidR="00C95D8B">
        <w:rPr>
          <w:rFonts w:hint="eastAsia"/>
        </w:rPr>
        <w:t>从行业指数表现来看，收益率前5</w:t>
      </w:r>
      <w:r w:rsidR="00DA351A">
        <w:rPr>
          <w:rFonts w:hint="eastAsia"/>
        </w:rPr>
        <w:t>的行业：</w:t>
      </w:r>
      <w:r w:rsidR="00FC70CF">
        <w:rPr>
          <w:rFonts w:hint="eastAsia"/>
        </w:rPr>
        <w:t>化工</w:t>
      </w:r>
      <w:r w:rsidR="00C95D8B">
        <w:rPr>
          <w:rFonts w:hint="eastAsia"/>
        </w:rPr>
        <w:t>（</w:t>
      </w:r>
      <w:r w:rsidR="00FC70CF">
        <w:rPr>
          <w:rFonts w:hint="eastAsia"/>
        </w:rPr>
        <w:t>3.39</w:t>
      </w:r>
      <w:r w:rsidR="00C95D8B">
        <w:rPr>
          <w:rFonts w:hint="eastAsia"/>
        </w:rPr>
        <w:t>%）、</w:t>
      </w:r>
      <w:r w:rsidR="00FC70CF">
        <w:rPr>
          <w:rFonts w:hint="eastAsia"/>
        </w:rPr>
        <w:t>家用电器</w:t>
      </w:r>
      <w:r w:rsidR="001C4BEF">
        <w:rPr>
          <w:rFonts w:hint="eastAsia"/>
        </w:rPr>
        <w:t>（</w:t>
      </w:r>
      <w:r w:rsidR="00E653B7">
        <w:rPr>
          <w:rFonts w:hint="eastAsia"/>
        </w:rPr>
        <w:t>3.</w:t>
      </w:r>
      <w:r w:rsidR="00FC70CF">
        <w:rPr>
          <w:rFonts w:hint="eastAsia"/>
        </w:rPr>
        <w:t>30</w:t>
      </w:r>
      <w:r w:rsidR="00C95D8B">
        <w:rPr>
          <w:rFonts w:hint="eastAsia"/>
        </w:rPr>
        <w:t>%）、</w:t>
      </w:r>
      <w:r w:rsidR="00FC70CF">
        <w:rPr>
          <w:rFonts w:hint="eastAsia"/>
        </w:rPr>
        <w:t>电气设备</w:t>
      </w:r>
      <w:r w:rsidR="00C95D8B">
        <w:rPr>
          <w:rFonts w:hint="eastAsia"/>
        </w:rPr>
        <w:t>（</w:t>
      </w:r>
      <w:r w:rsidR="00FC70CF">
        <w:rPr>
          <w:rFonts w:hint="eastAsia"/>
        </w:rPr>
        <w:t>2.4</w:t>
      </w:r>
      <w:r w:rsidR="001761BD">
        <w:rPr>
          <w:rFonts w:hint="eastAsia"/>
        </w:rPr>
        <w:t>2</w:t>
      </w:r>
      <w:r w:rsidR="00C95D8B">
        <w:rPr>
          <w:rFonts w:hint="eastAsia"/>
        </w:rPr>
        <w:t>%）、</w:t>
      </w:r>
      <w:r w:rsidR="00FC70CF">
        <w:rPr>
          <w:rFonts w:hint="eastAsia"/>
        </w:rPr>
        <w:t>非银金融</w:t>
      </w:r>
      <w:r w:rsidR="00C95D8B">
        <w:rPr>
          <w:rFonts w:hint="eastAsia"/>
        </w:rPr>
        <w:t>（</w:t>
      </w:r>
      <w:r w:rsidR="009F35F8">
        <w:rPr>
          <w:rFonts w:hint="eastAsia"/>
        </w:rPr>
        <w:t>2.</w:t>
      </w:r>
      <w:r w:rsidR="00FC70CF">
        <w:rPr>
          <w:rFonts w:hint="eastAsia"/>
        </w:rPr>
        <w:t>18</w:t>
      </w:r>
      <w:r w:rsidR="00C95D8B">
        <w:rPr>
          <w:rFonts w:hint="eastAsia"/>
        </w:rPr>
        <w:t>%）以及</w:t>
      </w:r>
      <w:r w:rsidR="00FC70CF">
        <w:rPr>
          <w:rFonts w:hint="eastAsia"/>
        </w:rPr>
        <w:t>农林牧渔</w:t>
      </w:r>
      <w:r w:rsidR="00C95D8B">
        <w:rPr>
          <w:rFonts w:hint="eastAsia"/>
        </w:rPr>
        <w:t>（</w:t>
      </w:r>
      <w:r w:rsidR="00B34333">
        <w:rPr>
          <w:rFonts w:hint="eastAsia"/>
        </w:rPr>
        <w:t>1.</w:t>
      </w:r>
      <w:r w:rsidR="00FC70CF">
        <w:rPr>
          <w:rFonts w:hint="eastAsia"/>
        </w:rPr>
        <w:t>70</w:t>
      </w:r>
      <w:r w:rsidR="00C95D8B">
        <w:rPr>
          <w:rFonts w:hint="eastAsia"/>
        </w:rPr>
        <w:t>%），跌幅最大的行业为</w:t>
      </w:r>
      <w:r w:rsidR="00DA351A">
        <w:rPr>
          <w:rFonts w:hint="eastAsia"/>
        </w:rPr>
        <w:t>：</w:t>
      </w:r>
      <w:r w:rsidR="00FC70CF">
        <w:rPr>
          <w:rFonts w:hint="eastAsia"/>
        </w:rPr>
        <w:t>通信</w:t>
      </w:r>
      <w:r w:rsidR="00C95D8B">
        <w:rPr>
          <w:rFonts w:hint="eastAsia"/>
        </w:rPr>
        <w:t>（</w:t>
      </w:r>
      <w:r w:rsidR="004148BC">
        <w:rPr>
          <w:rFonts w:hint="eastAsia"/>
        </w:rPr>
        <w:t>-</w:t>
      </w:r>
      <w:r w:rsidR="00FC70CF">
        <w:rPr>
          <w:rFonts w:hint="eastAsia"/>
        </w:rPr>
        <w:t>2.3</w:t>
      </w:r>
      <w:r w:rsidR="001761BD">
        <w:rPr>
          <w:rFonts w:hint="eastAsia"/>
        </w:rPr>
        <w:t>4</w:t>
      </w:r>
      <w:bookmarkStart w:id="0" w:name="_GoBack"/>
      <w:bookmarkEnd w:id="0"/>
      <w:r w:rsidR="00C95D8B">
        <w:rPr>
          <w:rFonts w:hint="eastAsia"/>
        </w:rPr>
        <w:t>%）、</w:t>
      </w:r>
      <w:r w:rsidR="00FC70CF">
        <w:rPr>
          <w:rFonts w:hint="eastAsia"/>
        </w:rPr>
        <w:t>休闲服务</w:t>
      </w:r>
      <w:r w:rsidR="00C95D8B">
        <w:rPr>
          <w:rFonts w:hint="eastAsia"/>
        </w:rPr>
        <w:t>（</w:t>
      </w:r>
      <w:r w:rsidR="001C4BEF">
        <w:rPr>
          <w:rFonts w:hint="eastAsia"/>
        </w:rPr>
        <w:t>-</w:t>
      </w:r>
      <w:r w:rsidR="00FC70CF">
        <w:rPr>
          <w:rFonts w:hint="eastAsia"/>
        </w:rPr>
        <w:t>2.14</w:t>
      </w:r>
      <w:r w:rsidR="00C95D8B">
        <w:rPr>
          <w:rFonts w:hint="eastAsia"/>
        </w:rPr>
        <w:t>%）、</w:t>
      </w:r>
      <w:r w:rsidR="00FC70CF">
        <w:rPr>
          <w:rFonts w:hint="eastAsia"/>
        </w:rPr>
        <w:t>采掘</w:t>
      </w:r>
      <w:r w:rsidR="004148BC">
        <w:rPr>
          <w:rFonts w:hint="eastAsia"/>
        </w:rPr>
        <w:t>（</w:t>
      </w:r>
      <w:r w:rsidR="00C95D8B">
        <w:rPr>
          <w:rFonts w:hint="eastAsia"/>
        </w:rPr>
        <w:t>-</w:t>
      </w:r>
      <w:r w:rsidR="00FC70CF">
        <w:rPr>
          <w:rFonts w:hint="eastAsia"/>
        </w:rPr>
        <w:t>2.08</w:t>
      </w:r>
      <w:r w:rsidR="00C95D8B">
        <w:rPr>
          <w:rFonts w:hint="eastAsia"/>
        </w:rPr>
        <w:t>%）、</w:t>
      </w:r>
      <w:r w:rsidR="00FC70CF">
        <w:rPr>
          <w:rFonts w:hint="eastAsia"/>
        </w:rPr>
        <w:t>钢铁</w:t>
      </w:r>
      <w:r w:rsidR="00C95D8B">
        <w:rPr>
          <w:rFonts w:hint="eastAsia"/>
        </w:rPr>
        <w:t>（-</w:t>
      </w:r>
      <w:r w:rsidR="00FC70CF">
        <w:rPr>
          <w:rFonts w:hint="eastAsia"/>
        </w:rPr>
        <w:t>1.66</w:t>
      </w:r>
      <w:r w:rsidR="00C95D8B">
        <w:rPr>
          <w:rFonts w:hint="eastAsia"/>
        </w:rPr>
        <w:t>%）以及</w:t>
      </w:r>
      <w:r w:rsidR="00FC70CF">
        <w:rPr>
          <w:rFonts w:hint="eastAsia"/>
        </w:rPr>
        <w:t>综合</w:t>
      </w:r>
      <w:r w:rsidR="009F3844">
        <w:rPr>
          <w:rFonts w:hint="eastAsia"/>
        </w:rPr>
        <w:t>（</w:t>
      </w:r>
      <w:r w:rsidR="00DA351A">
        <w:rPr>
          <w:rFonts w:hint="eastAsia"/>
        </w:rPr>
        <w:t>-</w:t>
      </w:r>
      <w:r w:rsidR="00FC70CF">
        <w:rPr>
          <w:rFonts w:hint="eastAsia"/>
        </w:rPr>
        <w:t>1.38</w:t>
      </w:r>
      <w:r w:rsidR="00C25817">
        <w:rPr>
          <w:rFonts w:hint="eastAsia"/>
        </w:rPr>
        <w:t>%</w:t>
      </w:r>
      <w:r w:rsidR="009F3844">
        <w:rPr>
          <w:rFonts w:hint="eastAsia"/>
        </w:rPr>
        <w:t>）。</w:t>
      </w:r>
    </w:p>
    <w:p w:rsidR="001E722A" w:rsidRDefault="001E722A" w:rsidP="00FC70CF">
      <w:pPr>
        <w:tabs>
          <w:tab w:val="left" w:pos="5436"/>
        </w:tabs>
        <w:ind w:firstLineChars="200" w:firstLine="480"/>
        <w:rPr>
          <w:rFonts w:hint="eastAsia"/>
        </w:rPr>
      </w:pPr>
    </w:p>
    <w:p w:rsidR="001E722A" w:rsidRPr="001E722A" w:rsidRDefault="001E722A" w:rsidP="001E722A">
      <w:pPr>
        <w:jc w:val="center"/>
      </w:pPr>
      <w:r>
        <w:rPr>
          <w:rFonts w:hint="eastAsia"/>
          <w:lang w:eastAsia="zh-Hans"/>
        </w:rPr>
        <w:t>图</w:t>
      </w:r>
      <w:r>
        <w:rPr>
          <w:lang w:eastAsia="zh-Hans"/>
        </w:rPr>
        <w:t xml:space="preserve">1 </w:t>
      </w:r>
      <w:r>
        <w:rPr>
          <w:rFonts w:hint="eastAsia"/>
        </w:rPr>
        <w:t>：</w:t>
      </w:r>
      <w:r>
        <w:rPr>
          <w:rFonts w:hint="eastAsia"/>
          <w:lang w:eastAsia="zh-Hans"/>
        </w:rPr>
        <w:t>各宽基指数以及行业表现</w:t>
      </w:r>
    </w:p>
    <w:p w:rsidR="000D4EC5" w:rsidRDefault="00FC70CF" w:rsidP="005801FF">
      <w:r>
        <w:rPr>
          <w:noProof/>
        </w:rPr>
        <w:drawing>
          <wp:inline distT="0" distB="0" distL="0" distR="0">
            <wp:extent cx="5274310" cy="3955733"/>
            <wp:effectExtent l="0" t="0" r="2540" b="6985"/>
            <wp:docPr id="2" name="图片 2" descr="C:\Users\qiuzh\AppData\Roaming\Foxmail7\Temp-26332-20211025080952\fox(10-25-08-40-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qiuzh\AppData\Roaming\Foxmail7\Temp-26332-20211025080952\fox(10-25-08-40-20).pn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274310" cy="3955733"/>
                    </a:xfrm>
                    <a:prstGeom prst="rect">
                      <a:avLst/>
                    </a:prstGeom>
                    <a:noFill/>
                    <a:ln>
                      <a:noFill/>
                    </a:ln>
                  </pic:spPr>
                </pic:pic>
              </a:graphicData>
            </a:graphic>
          </wp:inline>
        </w:drawing>
      </w:r>
    </w:p>
    <w:p w:rsidR="00F4730F" w:rsidRDefault="00F4730F" w:rsidP="005801FF">
      <w:r>
        <w:rPr>
          <w:rFonts w:hint="eastAsia"/>
        </w:rPr>
        <w:t>数据来源：</w:t>
      </w:r>
      <w:proofErr w:type="gramStart"/>
      <w:r>
        <w:rPr>
          <w:rFonts w:hint="eastAsia"/>
        </w:rPr>
        <w:t>wind</w:t>
      </w:r>
      <w:proofErr w:type="gramEnd"/>
    </w:p>
    <w:p w:rsidR="000D4EC5" w:rsidRDefault="00B34333" w:rsidP="00FE6E65">
      <w:pPr>
        <w:ind w:firstLineChars="200" w:firstLine="480"/>
        <w:rPr>
          <w:rFonts w:hint="eastAsia"/>
        </w:rPr>
      </w:pPr>
      <w:r>
        <w:rPr>
          <w:rFonts w:hint="eastAsia"/>
        </w:rPr>
        <w:t>从资金流动来看，</w:t>
      </w:r>
      <w:r w:rsidR="00EA4688">
        <w:rPr>
          <w:rFonts w:hint="eastAsia"/>
          <w:lang w:eastAsia="zh-Hans"/>
        </w:rPr>
        <w:t>北向资金</w:t>
      </w:r>
      <w:r>
        <w:rPr>
          <w:rFonts w:hint="eastAsia"/>
        </w:rPr>
        <w:t>为净流入</w:t>
      </w:r>
      <w:r w:rsidR="009F35F8">
        <w:rPr>
          <w:rFonts w:hint="eastAsia"/>
        </w:rPr>
        <w:t>状态</w:t>
      </w:r>
      <w:r w:rsidR="005801FF">
        <w:rPr>
          <w:lang w:eastAsia="zh-Hans"/>
        </w:rPr>
        <w:t>，</w:t>
      </w:r>
      <w:r w:rsidR="00B756A9">
        <w:rPr>
          <w:rFonts w:hint="eastAsia"/>
          <w:lang w:eastAsia="zh-Hans"/>
        </w:rPr>
        <w:t>合计</w:t>
      </w:r>
      <w:r>
        <w:rPr>
          <w:rFonts w:hint="eastAsia"/>
        </w:rPr>
        <w:t>流入</w:t>
      </w:r>
      <w:r w:rsidR="00FC70CF">
        <w:rPr>
          <w:rFonts w:hint="eastAsia"/>
        </w:rPr>
        <w:t>233.03</w:t>
      </w:r>
      <w:r w:rsidR="005801FF">
        <w:rPr>
          <w:rFonts w:hint="eastAsia"/>
          <w:lang w:eastAsia="zh-Hans"/>
        </w:rPr>
        <w:t>亿</w:t>
      </w:r>
      <w:r w:rsidR="005801FF">
        <w:rPr>
          <w:lang w:eastAsia="zh-Hans"/>
        </w:rPr>
        <w:t>，</w:t>
      </w:r>
      <w:r w:rsidR="00B756A9">
        <w:rPr>
          <w:rFonts w:hint="eastAsia"/>
          <w:lang w:eastAsia="zh-Hans"/>
        </w:rPr>
        <w:t>其中沪股</w:t>
      </w:r>
      <w:r w:rsidR="00B756A9">
        <w:rPr>
          <w:rFonts w:hint="eastAsia"/>
          <w:lang w:eastAsia="zh-Hans"/>
        </w:rPr>
        <w:lastRenderedPageBreak/>
        <w:t>通</w:t>
      </w:r>
      <w:r w:rsidR="001C4BEF">
        <w:rPr>
          <w:rFonts w:hint="eastAsia"/>
        </w:rPr>
        <w:t>流</w:t>
      </w:r>
      <w:r>
        <w:rPr>
          <w:rFonts w:hint="eastAsia"/>
        </w:rPr>
        <w:t>入</w:t>
      </w:r>
      <w:r w:rsidR="00FC70CF">
        <w:rPr>
          <w:rFonts w:hint="eastAsia"/>
        </w:rPr>
        <w:t>100.96</w:t>
      </w:r>
      <w:r w:rsidR="005801FF">
        <w:rPr>
          <w:rFonts w:hint="eastAsia"/>
          <w:lang w:eastAsia="zh-Hans"/>
        </w:rPr>
        <w:t>亿</w:t>
      </w:r>
      <w:r w:rsidR="005801FF">
        <w:rPr>
          <w:lang w:eastAsia="zh-Hans"/>
        </w:rPr>
        <w:t>，</w:t>
      </w:r>
      <w:r w:rsidR="00B756A9">
        <w:rPr>
          <w:rFonts w:hint="eastAsia"/>
          <w:lang w:eastAsia="zh-Hans"/>
        </w:rPr>
        <w:t>深股通</w:t>
      </w:r>
      <w:r w:rsidR="00FC70CF">
        <w:rPr>
          <w:rFonts w:hint="eastAsia"/>
        </w:rPr>
        <w:t>流入132.07</w:t>
      </w:r>
      <w:r w:rsidR="005801FF">
        <w:rPr>
          <w:rFonts w:hint="eastAsia"/>
          <w:lang w:eastAsia="zh-Hans"/>
        </w:rPr>
        <w:t>亿</w:t>
      </w:r>
      <w:r w:rsidR="000F78C3">
        <w:rPr>
          <w:rFonts w:hint="eastAsia"/>
        </w:rPr>
        <w:t>。</w:t>
      </w:r>
      <w:r w:rsidR="00FC70CF">
        <w:rPr>
          <w:rFonts w:hint="eastAsia"/>
        </w:rPr>
        <w:t>需要特别指出北向资金在</w:t>
      </w:r>
      <w:r w:rsidR="001E722A">
        <w:rPr>
          <w:rFonts w:hint="eastAsia"/>
        </w:rPr>
        <w:t>上</w:t>
      </w:r>
      <w:r w:rsidR="00FC70CF">
        <w:rPr>
          <w:rFonts w:hint="eastAsia"/>
        </w:rPr>
        <w:t>周四和</w:t>
      </w:r>
      <w:r w:rsidR="001E722A">
        <w:rPr>
          <w:rFonts w:hint="eastAsia"/>
        </w:rPr>
        <w:t>上</w:t>
      </w:r>
      <w:r w:rsidR="00FC70CF">
        <w:rPr>
          <w:rFonts w:hint="eastAsia"/>
        </w:rPr>
        <w:t>周五两天连续流入超100亿，连续两日流入超过百亿的历史情景并不多见，</w:t>
      </w:r>
      <w:r w:rsidR="00592A5E">
        <w:rPr>
          <w:rFonts w:hint="eastAsia"/>
        </w:rPr>
        <w:t>投资者需要重视这样异常的大幅流入。</w:t>
      </w:r>
      <w:r w:rsidR="00D172B3">
        <w:rPr>
          <w:rFonts w:hint="eastAsia"/>
        </w:rPr>
        <w:t>现货市场窄幅</w:t>
      </w:r>
      <w:proofErr w:type="gramStart"/>
      <w:r w:rsidR="00D172B3">
        <w:rPr>
          <w:rFonts w:hint="eastAsia"/>
        </w:rPr>
        <w:t>震荡下</w:t>
      </w:r>
      <w:r w:rsidR="005329C4">
        <w:rPr>
          <w:rFonts w:hint="eastAsia"/>
        </w:rPr>
        <w:t>沪深</w:t>
      </w:r>
      <w:proofErr w:type="gramEnd"/>
      <w:r w:rsidR="005329C4">
        <w:rPr>
          <w:rFonts w:hint="eastAsia"/>
        </w:rPr>
        <w:t>300、上证50</w:t>
      </w:r>
      <w:r w:rsidR="009F35F8">
        <w:rPr>
          <w:rFonts w:hint="eastAsia"/>
        </w:rPr>
        <w:t>股指期货出现</w:t>
      </w:r>
      <w:r w:rsidR="00027B17">
        <w:rPr>
          <w:rFonts w:hint="eastAsia"/>
        </w:rPr>
        <w:t>继续升水</w:t>
      </w:r>
      <w:r w:rsidR="009F35F8">
        <w:rPr>
          <w:rFonts w:hint="eastAsia"/>
        </w:rPr>
        <w:t>，</w:t>
      </w:r>
      <w:r w:rsidR="009F3844">
        <w:rPr>
          <w:rFonts w:hint="eastAsia"/>
        </w:rPr>
        <w:t>隐含波动率</w:t>
      </w:r>
      <w:r w:rsidR="009F35F8">
        <w:rPr>
          <w:rFonts w:hint="eastAsia"/>
        </w:rPr>
        <w:t>大幅度</w:t>
      </w:r>
      <w:r w:rsidR="00E653B7">
        <w:rPr>
          <w:rFonts w:hint="eastAsia"/>
        </w:rPr>
        <w:t>回落</w:t>
      </w:r>
      <w:r w:rsidR="00027B17">
        <w:rPr>
          <w:rFonts w:hint="eastAsia"/>
        </w:rPr>
        <w:t>后在低位持续震荡徘徊</w:t>
      </w:r>
      <w:r>
        <w:rPr>
          <w:rFonts w:hint="eastAsia"/>
        </w:rPr>
        <w:t>。</w:t>
      </w:r>
      <w:r w:rsidR="00027B17">
        <w:rPr>
          <w:rFonts w:hint="eastAsia"/>
        </w:rPr>
        <w:t>资金快速流入，风险指标低位震荡以及事关未来发展战略的房地产税等宏观事件发布为市场下一步走势选择提供动力，预计市场可能迎来新的一波震荡，期权市场投资者谨慎卖空波动率。</w:t>
      </w:r>
    </w:p>
    <w:p w:rsidR="001E722A" w:rsidRDefault="001E722A" w:rsidP="001E722A">
      <w:pPr>
        <w:jc w:val="center"/>
      </w:pPr>
      <w:r>
        <w:rPr>
          <w:rFonts w:hint="eastAsia"/>
        </w:rPr>
        <w:t xml:space="preserve">图 2 </w:t>
      </w:r>
      <w:r>
        <w:rPr>
          <w:rFonts w:hint="eastAsia"/>
        </w:rPr>
        <w:t>：</w:t>
      </w:r>
      <w:r>
        <w:rPr>
          <w:rFonts w:hint="eastAsia"/>
        </w:rPr>
        <w:t>期权市场隐含波动率</w:t>
      </w:r>
    </w:p>
    <w:p w:rsidR="00DA351A" w:rsidRPr="00E653B7" w:rsidRDefault="00027B17" w:rsidP="00DA351A">
      <w:r>
        <w:rPr>
          <w:noProof/>
        </w:rPr>
        <w:drawing>
          <wp:inline distT="0" distB="0" distL="0" distR="0" wp14:anchorId="627B837E" wp14:editId="0DD9E816">
            <wp:extent cx="5274310" cy="3898960"/>
            <wp:effectExtent l="0" t="0" r="2540" b="635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5274310" cy="3898960"/>
                    </a:xfrm>
                    <a:prstGeom prst="rect">
                      <a:avLst/>
                    </a:prstGeom>
                  </pic:spPr>
                </pic:pic>
              </a:graphicData>
            </a:graphic>
          </wp:inline>
        </w:drawing>
      </w:r>
    </w:p>
    <w:p w:rsidR="00F4730F" w:rsidRDefault="00F4730F">
      <w:r>
        <w:rPr>
          <w:rFonts w:hint="eastAsia"/>
        </w:rPr>
        <w:t>数据来源：富</w:t>
      </w:r>
      <w:proofErr w:type="gramStart"/>
      <w:r>
        <w:rPr>
          <w:rFonts w:hint="eastAsia"/>
        </w:rPr>
        <w:t>荣基金</w:t>
      </w:r>
      <w:proofErr w:type="gramEnd"/>
      <w:r>
        <w:rPr>
          <w:rFonts w:hint="eastAsia"/>
        </w:rPr>
        <w:t>量化组</w:t>
      </w:r>
    </w:p>
    <w:p w:rsidR="00EB73E9" w:rsidRDefault="00EB73E9"/>
    <w:p w:rsidR="00EB73E9" w:rsidRDefault="00EB73E9" w:rsidP="001E722A">
      <w:pPr>
        <w:jc w:val="left"/>
        <w:rPr>
          <w:rFonts w:hint="eastAsia"/>
        </w:rPr>
      </w:pPr>
    </w:p>
    <w:p w:rsidR="001E722A" w:rsidRDefault="001E722A" w:rsidP="001E722A">
      <w:pPr>
        <w:jc w:val="left"/>
      </w:pPr>
      <w:r>
        <w:rPr>
          <w:rFonts w:ascii="微软雅黑" w:eastAsia="微软雅黑" w:hAnsi="微软雅黑" w:hint="eastAsia"/>
          <w:color w:val="222222"/>
          <w:sz w:val="19"/>
          <w:szCs w:val="19"/>
          <w:shd w:val="clear" w:color="auto" w:fill="FFFFFF"/>
        </w:rPr>
        <w:t>风险提示：1、本报告中的信息均来源于我们认为可靠的已公开资料和合作客户的研究成果，但本公司及研究人员对这些信息的准确性和完整性不作任何保证，也不保证本报告所包含的信息或建议在本报告发出后不会发生任何变更，且本报告仅反映发布时的资料、观点和预测，可能在随后会</w:t>
      </w:r>
      <w:proofErr w:type="gramStart"/>
      <w:r>
        <w:rPr>
          <w:rFonts w:ascii="微软雅黑" w:eastAsia="微软雅黑" w:hAnsi="微软雅黑" w:hint="eastAsia"/>
          <w:color w:val="222222"/>
          <w:sz w:val="19"/>
          <w:szCs w:val="19"/>
          <w:shd w:val="clear" w:color="auto" w:fill="FFFFFF"/>
        </w:rPr>
        <w:t>作出</w:t>
      </w:r>
      <w:proofErr w:type="gramEnd"/>
      <w:r>
        <w:rPr>
          <w:rFonts w:ascii="微软雅黑" w:eastAsia="微软雅黑" w:hAnsi="微软雅黑" w:hint="eastAsia"/>
          <w:color w:val="222222"/>
          <w:sz w:val="19"/>
          <w:szCs w:val="19"/>
          <w:shd w:val="clear" w:color="auto" w:fill="FFFFFF"/>
        </w:rPr>
        <w:t>调整。2、本报告中的资料、观点和预测等仅供参考，在任何时候均不构成对任何人的个人推荐。市场有风</w:t>
      </w:r>
      <w:r>
        <w:rPr>
          <w:rFonts w:ascii="微软雅黑" w:eastAsia="微软雅黑" w:hAnsi="微软雅黑" w:hint="eastAsia"/>
          <w:color w:val="222222"/>
          <w:sz w:val="19"/>
          <w:szCs w:val="19"/>
          <w:shd w:val="clear" w:color="auto" w:fill="FFFFFF"/>
        </w:rPr>
        <w:lastRenderedPageBreak/>
        <w:t>险，投资需谨慎。</w:t>
      </w:r>
    </w:p>
    <w:sectPr w:rsidR="001E722A">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626DB" w:rsidRDefault="00E626DB" w:rsidP="0060318B">
      <w:pPr>
        <w:spacing w:line="240" w:lineRule="auto"/>
      </w:pPr>
      <w:r>
        <w:separator/>
      </w:r>
    </w:p>
  </w:endnote>
  <w:endnote w:type="continuationSeparator" w:id="0">
    <w:p w:rsidR="00E626DB" w:rsidRDefault="00E626DB" w:rsidP="0060318B">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楷体">
    <w:altName w:val="汉仪楷体KW"/>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626DB" w:rsidRDefault="00E626DB" w:rsidP="0060318B">
      <w:pPr>
        <w:spacing w:line="240" w:lineRule="auto"/>
      </w:pPr>
      <w:r>
        <w:separator/>
      </w:r>
    </w:p>
  </w:footnote>
  <w:footnote w:type="continuationSeparator" w:id="0">
    <w:p w:rsidR="00E626DB" w:rsidRDefault="00E626DB" w:rsidP="0060318B">
      <w:pPr>
        <w:spacing w:line="240" w:lineRule="auto"/>
      </w:pPr>
      <w:r>
        <w:continuationSeparator/>
      </w:r>
    </w:p>
  </w:footnote>
</w:footnotes>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邱紫华">
    <w15:presenceInfo w15:providerId="WPS Office" w15:userId="72663803"/>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6"/>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86C8A"/>
    <w:rsid w:val="FFC34C89"/>
    <w:rsid w:val="0000012D"/>
    <w:rsid w:val="00015B60"/>
    <w:rsid w:val="00023027"/>
    <w:rsid w:val="00027B17"/>
    <w:rsid w:val="00035595"/>
    <w:rsid w:val="00070AA2"/>
    <w:rsid w:val="000717A9"/>
    <w:rsid w:val="00074AEA"/>
    <w:rsid w:val="000D4EC5"/>
    <w:rsid w:val="000E6ADF"/>
    <w:rsid w:val="000F78C3"/>
    <w:rsid w:val="00113AAB"/>
    <w:rsid w:val="00161CBB"/>
    <w:rsid w:val="001761BD"/>
    <w:rsid w:val="0018534E"/>
    <w:rsid w:val="001867FC"/>
    <w:rsid w:val="00196E4C"/>
    <w:rsid w:val="001C4BEF"/>
    <w:rsid w:val="001D19B6"/>
    <w:rsid w:val="001D6061"/>
    <w:rsid w:val="001E722A"/>
    <w:rsid w:val="001F293D"/>
    <w:rsid w:val="0020342A"/>
    <w:rsid w:val="002062DE"/>
    <w:rsid w:val="002129BA"/>
    <w:rsid w:val="002416ED"/>
    <w:rsid w:val="002563D9"/>
    <w:rsid w:val="002A093A"/>
    <w:rsid w:val="002B15CF"/>
    <w:rsid w:val="002C4C07"/>
    <w:rsid w:val="002C7EF7"/>
    <w:rsid w:val="002E17CD"/>
    <w:rsid w:val="00331EFD"/>
    <w:rsid w:val="00374124"/>
    <w:rsid w:val="00386DFB"/>
    <w:rsid w:val="003B1CAC"/>
    <w:rsid w:val="003D637F"/>
    <w:rsid w:val="003F6050"/>
    <w:rsid w:val="004148BC"/>
    <w:rsid w:val="004157F5"/>
    <w:rsid w:val="00444648"/>
    <w:rsid w:val="00447AFB"/>
    <w:rsid w:val="00454A3A"/>
    <w:rsid w:val="004A2FFF"/>
    <w:rsid w:val="004A5394"/>
    <w:rsid w:val="004E3614"/>
    <w:rsid w:val="004E52FE"/>
    <w:rsid w:val="00525A53"/>
    <w:rsid w:val="00531B02"/>
    <w:rsid w:val="005329C4"/>
    <w:rsid w:val="0054419C"/>
    <w:rsid w:val="00567A0B"/>
    <w:rsid w:val="005801FF"/>
    <w:rsid w:val="005841A3"/>
    <w:rsid w:val="00592A5E"/>
    <w:rsid w:val="005A2D48"/>
    <w:rsid w:val="005C4905"/>
    <w:rsid w:val="005C760F"/>
    <w:rsid w:val="00601B58"/>
    <w:rsid w:val="0060318B"/>
    <w:rsid w:val="006965D2"/>
    <w:rsid w:val="006B1D85"/>
    <w:rsid w:val="006C7CF6"/>
    <w:rsid w:val="006E639C"/>
    <w:rsid w:val="0073379B"/>
    <w:rsid w:val="00747B9D"/>
    <w:rsid w:val="007528BE"/>
    <w:rsid w:val="00756EC7"/>
    <w:rsid w:val="00776B87"/>
    <w:rsid w:val="00787343"/>
    <w:rsid w:val="007D5907"/>
    <w:rsid w:val="007D7875"/>
    <w:rsid w:val="007F6A29"/>
    <w:rsid w:val="00810078"/>
    <w:rsid w:val="00830122"/>
    <w:rsid w:val="00830C71"/>
    <w:rsid w:val="008540B7"/>
    <w:rsid w:val="008916E0"/>
    <w:rsid w:val="00893C6A"/>
    <w:rsid w:val="00896001"/>
    <w:rsid w:val="008A74C1"/>
    <w:rsid w:val="008B1754"/>
    <w:rsid w:val="008B27E8"/>
    <w:rsid w:val="008B4D1A"/>
    <w:rsid w:val="008D03D4"/>
    <w:rsid w:val="008F60FD"/>
    <w:rsid w:val="00907C93"/>
    <w:rsid w:val="00981BC3"/>
    <w:rsid w:val="00987C63"/>
    <w:rsid w:val="009953B9"/>
    <w:rsid w:val="009A6B50"/>
    <w:rsid w:val="009A6EBC"/>
    <w:rsid w:val="009D02A8"/>
    <w:rsid w:val="009D7B17"/>
    <w:rsid w:val="009F35F8"/>
    <w:rsid w:val="009F3844"/>
    <w:rsid w:val="00A07990"/>
    <w:rsid w:val="00A47AFD"/>
    <w:rsid w:val="00A51293"/>
    <w:rsid w:val="00A61347"/>
    <w:rsid w:val="00A842A3"/>
    <w:rsid w:val="00A90927"/>
    <w:rsid w:val="00A91D61"/>
    <w:rsid w:val="00AA3B77"/>
    <w:rsid w:val="00AC6D36"/>
    <w:rsid w:val="00AD037A"/>
    <w:rsid w:val="00B14C31"/>
    <w:rsid w:val="00B34333"/>
    <w:rsid w:val="00B5310C"/>
    <w:rsid w:val="00B756A9"/>
    <w:rsid w:val="00B82632"/>
    <w:rsid w:val="00B87681"/>
    <w:rsid w:val="00B91093"/>
    <w:rsid w:val="00BA3587"/>
    <w:rsid w:val="00BA72C2"/>
    <w:rsid w:val="00BC61FC"/>
    <w:rsid w:val="00BD6BA1"/>
    <w:rsid w:val="00BE0398"/>
    <w:rsid w:val="00C20DD8"/>
    <w:rsid w:val="00C24E54"/>
    <w:rsid w:val="00C25817"/>
    <w:rsid w:val="00C53CF8"/>
    <w:rsid w:val="00C95D8B"/>
    <w:rsid w:val="00CA38CF"/>
    <w:rsid w:val="00CD5494"/>
    <w:rsid w:val="00CD673E"/>
    <w:rsid w:val="00CE4062"/>
    <w:rsid w:val="00D055BF"/>
    <w:rsid w:val="00D058C0"/>
    <w:rsid w:val="00D172B3"/>
    <w:rsid w:val="00D46833"/>
    <w:rsid w:val="00DA351A"/>
    <w:rsid w:val="00DB5833"/>
    <w:rsid w:val="00DD21CB"/>
    <w:rsid w:val="00DD26E5"/>
    <w:rsid w:val="00DD2E6A"/>
    <w:rsid w:val="00DD6213"/>
    <w:rsid w:val="00DE4D6F"/>
    <w:rsid w:val="00DE7F1F"/>
    <w:rsid w:val="00DF6F9A"/>
    <w:rsid w:val="00E2071F"/>
    <w:rsid w:val="00E23413"/>
    <w:rsid w:val="00E40DCE"/>
    <w:rsid w:val="00E42D25"/>
    <w:rsid w:val="00E619FD"/>
    <w:rsid w:val="00E626DB"/>
    <w:rsid w:val="00E653B7"/>
    <w:rsid w:val="00E765AD"/>
    <w:rsid w:val="00E86135"/>
    <w:rsid w:val="00E86C8A"/>
    <w:rsid w:val="00E87750"/>
    <w:rsid w:val="00E94481"/>
    <w:rsid w:val="00E94CFB"/>
    <w:rsid w:val="00EA4688"/>
    <w:rsid w:val="00EA7100"/>
    <w:rsid w:val="00EB73E9"/>
    <w:rsid w:val="00EB7D3C"/>
    <w:rsid w:val="00EF2A7A"/>
    <w:rsid w:val="00EF75F8"/>
    <w:rsid w:val="00F1138A"/>
    <w:rsid w:val="00F129A3"/>
    <w:rsid w:val="00F13186"/>
    <w:rsid w:val="00F456DD"/>
    <w:rsid w:val="00F4730F"/>
    <w:rsid w:val="00F64709"/>
    <w:rsid w:val="00F92143"/>
    <w:rsid w:val="00F961AD"/>
    <w:rsid w:val="00FA2748"/>
    <w:rsid w:val="00FB18F7"/>
    <w:rsid w:val="00FB2BCE"/>
    <w:rsid w:val="00FC0454"/>
    <w:rsid w:val="00FC5D34"/>
    <w:rsid w:val="00FC70CF"/>
    <w:rsid w:val="00FD23EE"/>
    <w:rsid w:val="00FD6898"/>
    <w:rsid w:val="00FE6E65"/>
    <w:rsid w:val="00FF648F"/>
    <w:rsid w:val="5D69B48E"/>
    <w:rsid w:val="5FFDA054"/>
    <w:rsid w:val="672F274D"/>
    <w:rsid w:val="749F4A0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semiHidden="0"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qFormat="1"/>
    <w:lsdException w:name="Balloon Text" w:semiHidden="0"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spacing w:line="360" w:lineRule="auto"/>
      <w:jc w:val="both"/>
    </w:pPr>
    <w:rPr>
      <w:rFonts w:ascii="楷体" w:eastAsia="楷体" w:hAnsi="楷体"/>
      <w:kern w:val="2"/>
      <w:sz w:val="24"/>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unhideWhenUsed/>
    <w:qFormat/>
    <w:pPr>
      <w:spacing w:line="240" w:lineRule="auto"/>
    </w:pPr>
    <w:rPr>
      <w:sz w:val="18"/>
      <w:szCs w:val="18"/>
    </w:rPr>
  </w:style>
  <w:style w:type="paragraph" w:styleId="a4">
    <w:name w:val="footer"/>
    <w:basedOn w:val="a"/>
    <w:link w:val="Char0"/>
    <w:uiPriority w:val="99"/>
    <w:unhideWhenUsed/>
    <w:qFormat/>
    <w:pPr>
      <w:tabs>
        <w:tab w:val="center" w:pos="4153"/>
        <w:tab w:val="right" w:pos="8306"/>
      </w:tabs>
      <w:snapToGrid w:val="0"/>
      <w:spacing w:line="240" w:lineRule="auto"/>
      <w:jc w:val="left"/>
    </w:pPr>
    <w:rPr>
      <w:rFonts w:asciiTheme="minorHAnsi" w:eastAsiaTheme="minorEastAsia" w:hAnsiTheme="minorHAnsi"/>
      <w:sz w:val="18"/>
      <w:szCs w:val="18"/>
    </w:rPr>
  </w:style>
  <w:style w:type="paragraph" w:styleId="a5">
    <w:name w:val="header"/>
    <w:basedOn w:val="a"/>
    <w:link w:val="Char1"/>
    <w:uiPriority w:val="99"/>
    <w:unhideWhenUsed/>
    <w:qFormat/>
    <w:pPr>
      <w:pBdr>
        <w:bottom w:val="single" w:sz="6" w:space="1" w:color="auto"/>
      </w:pBdr>
      <w:tabs>
        <w:tab w:val="center" w:pos="4153"/>
        <w:tab w:val="right" w:pos="8306"/>
      </w:tabs>
      <w:snapToGrid w:val="0"/>
      <w:spacing w:line="240" w:lineRule="auto"/>
      <w:jc w:val="center"/>
    </w:pPr>
    <w:rPr>
      <w:rFonts w:asciiTheme="minorHAnsi" w:eastAsiaTheme="minorEastAsia" w:hAnsiTheme="minorHAnsi"/>
      <w:sz w:val="18"/>
      <w:szCs w:val="18"/>
    </w:rPr>
  </w:style>
  <w:style w:type="character" w:customStyle="1" w:styleId="Char1">
    <w:name w:val="页眉 Char"/>
    <w:basedOn w:val="a0"/>
    <w:link w:val="a5"/>
    <w:uiPriority w:val="99"/>
    <w:qFormat/>
    <w:rPr>
      <w:sz w:val="18"/>
      <w:szCs w:val="18"/>
    </w:rPr>
  </w:style>
  <w:style w:type="character" w:customStyle="1" w:styleId="Char0">
    <w:name w:val="页脚 Char"/>
    <w:basedOn w:val="a0"/>
    <w:link w:val="a4"/>
    <w:uiPriority w:val="99"/>
    <w:qFormat/>
    <w:rPr>
      <w:sz w:val="18"/>
      <w:szCs w:val="18"/>
    </w:rPr>
  </w:style>
  <w:style w:type="character" w:customStyle="1" w:styleId="Char">
    <w:name w:val="批注框文本 Char"/>
    <w:basedOn w:val="a0"/>
    <w:link w:val="a3"/>
    <w:uiPriority w:val="99"/>
    <w:semiHidden/>
    <w:qFormat/>
    <w:rPr>
      <w:rFonts w:ascii="楷体" w:eastAsia="楷体" w:hAnsi="楷体"/>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semiHidden="0"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qFormat="1"/>
    <w:lsdException w:name="Balloon Text" w:semiHidden="0"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spacing w:line="360" w:lineRule="auto"/>
      <w:jc w:val="both"/>
    </w:pPr>
    <w:rPr>
      <w:rFonts w:ascii="楷体" w:eastAsia="楷体" w:hAnsi="楷体"/>
      <w:kern w:val="2"/>
      <w:sz w:val="24"/>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unhideWhenUsed/>
    <w:qFormat/>
    <w:pPr>
      <w:spacing w:line="240" w:lineRule="auto"/>
    </w:pPr>
    <w:rPr>
      <w:sz w:val="18"/>
      <w:szCs w:val="18"/>
    </w:rPr>
  </w:style>
  <w:style w:type="paragraph" w:styleId="a4">
    <w:name w:val="footer"/>
    <w:basedOn w:val="a"/>
    <w:link w:val="Char0"/>
    <w:uiPriority w:val="99"/>
    <w:unhideWhenUsed/>
    <w:qFormat/>
    <w:pPr>
      <w:tabs>
        <w:tab w:val="center" w:pos="4153"/>
        <w:tab w:val="right" w:pos="8306"/>
      </w:tabs>
      <w:snapToGrid w:val="0"/>
      <w:spacing w:line="240" w:lineRule="auto"/>
      <w:jc w:val="left"/>
    </w:pPr>
    <w:rPr>
      <w:rFonts w:asciiTheme="minorHAnsi" w:eastAsiaTheme="minorEastAsia" w:hAnsiTheme="minorHAnsi"/>
      <w:sz w:val="18"/>
      <w:szCs w:val="18"/>
    </w:rPr>
  </w:style>
  <w:style w:type="paragraph" w:styleId="a5">
    <w:name w:val="header"/>
    <w:basedOn w:val="a"/>
    <w:link w:val="Char1"/>
    <w:uiPriority w:val="99"/>
    <w:unhideWhenUsed/>
    <w:qFormat/>
    <w:pPr>
      <w:pBdr>
        <w:bottom w:val="single" w:sz="6" w:space="1" w:color="auto"/>
      </w:pBdr>
      <w:tabs>
        <w:tab w:val="center" w:pos="4153"/>
        <w:tab w:val="right" w:pos="8306"/>
      </w:tabs>
      <w:snapToGrid w:val="0"/>
      <w:spacing w:line="240" w:lineRule="auto"/>
      <w:jc w:val="center"/>
    </w:pPr>
    <w:rPr>
      <w:rFonts w:asciiTheme="minorHAnsi" w:eastAsiaTheme="minorEastAsia" w:hAnsiTheme="minorHAnsi"/>
      <w:sz w:val="18"/>
      <w:szCs w:val="18"/>
    </w:rPr>
  </w:style>
  <w:style w:type="character" w:customStyle="1" w:styleId="Char1">
    <w:name w:val="页眉 Char"/>
    <w:basedOn w:val="a0"/>
    <w:link w:val="a5"/>
    <w:uiPriority w:val="99"/>
    <w:qFormat/>
    <w:rPr>
      <w:sz w:val="18"/>
      <w:szCs w:val="18"/>
    </w:rPr>
  </w:style>
  <w:style w:type="character" w:customStyle="1" w:styleId="Char0">
    <w:name w:val="页脚 Char"/>
    <w:basedOn w:val="a0"/>
    <w:link w:val="a4"/>
    <w:uiPriority w:val="99"/>
    <w:qFormat/>
    <w:rPr>
      <w:sz w:val="18"/>
      <w:szCs w:val="18"/>
    </w:rPr>
  </w:style>
  <w:style w:type="character" w:customStyle="1" w:styleId="Char">
    <w:name w:val="批注框文本 Char"/>
    <w:basedOn w:val="a0"/>
    <w:link w:val="a3"/>
    <w:uiPriority w:val="99"/>
    <w:semiHidden/>
    <w:qFormat/>
    <w:rPr>
      <w:rFonts w:ascii="楷体" w:eastAsia="楷体" w:hAnsi="楷体"/>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microsoft.com/office/2007/relationships/stylesWithEffects" Target="stylesWithEffects.xml"/><Relationship Id="rId7" Type="http://schemas.openxmlformats.org/officeDocument/2006/relationships/endnotes" Target="endnotes.xml"/><Relationship Id="rId12" Type="http://schemas.microsoft.com/office/2011/relationships/people" Target="peop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16</TotalTime>
  <Pages>3</Pages>
  <Words>134</Words>
  <Characters>770</Characters>
  <Application>Microsoft Office Word</Application>
  <DocSecurity>0</DocSecurity>
  <Lines>6</Lines>
  <Paragraphs>1</Paragraphs>
  <ScaleCrop>false</ScaleCrop>
  <LinksUpToDate>false</LinksUpToDate>
  <CharactersWithSpaces>903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邱紫华</dc:creator>
  <cp:lastModifiedBy>Administrator</cp:lastModifiedBy>
  <cp:revision>4</cp:revision>
  <dcterms:created xsi:type="dcterms:W3CDTF">2021-10-25T02:19:00Z</dcterms:created>
  <dcterms:modified xsi:type="dcterms:W3CDTF">2021-10-25T06:41:00Z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2052-3.6.1.5768</vt:lpwstr>
  </property>
</Properties>
</file>