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45D1" w:rsidRPr="002445D1" w:rsidRDefault="002445D1" w:rsidP="002445D1">
      <w:pPr>
        <w:jc w:val="center"/>
        <w:rPr>
          <w:rFonts w:ascii="微软雅黑" w:eastAsia="微软雅黑" w:hAnsi="微软雅黑"/>
          <w:b/>
        </w:rPr>
      </w:pPr>
      <w:r w:rsidRPr="002445D1">
        <w:rPr>
          <w:rFonts w:ascii="微软雅黑" w:eastAsia="微软雅黑" w:hAnsi="微软雅黑" w:hint="eastAsia"/>
          <w:b/>
        </w:rPr>
        <w:t>富荣固收：</w:t>
      </w:r>
      <w:r w:rsidR="00E725E5" w:rsidRPr="00E725E5">
        <w:rPr>
          <w:rFonts w:ascii="微软雅黑" w:eastAsia="微软雅黑" w:hAnsi="微软雅黑" w:hint="eastAsia"/>
          <w:b/>
        </w:rPr>
        <w:t>信用债成交回暖继续上涨</w:t>
      </w:r>
    </w:p>
    <w:p w:rsidR="002445D1" w:rsidRPr="002445D1" w:rsidRDefault="002445D1" w:rsidP="002445D1">
      <w:pPr>
        <w:rPr>
          <w:rFonts w:ascii="微软雅黑" w:eastAsia="微软雅黑" w:hAnsi="微软雅黑"/>
        </w:rPr>
      </w:pPr>
      <w:r w:rsidRPr="002445D1">
        <w:rPr>
          <w:rFonts w:ascii="微软雅黑" w:eastAsia="微软雅黑" w:hAnsi="微软雅黑"/>
        </w:rPr>
        <w:t xml:space="preserve"> </w:t>
      </w:r>
    </w:p>
    <w:p w:rsidR="007E0F10" w:rsidRPr="007E0F10" w:rsidRDefault="007E0F10" w:rsidP="00FC5745">
      <w:pPr>
        <w:ind w:firstLineChars="200" w:firstLine="420"/>
        <w:rPr>
          <w:rFonts w:ascii="微软雅黑" w:eastAsia="微软雅黑" w:hAnsi="微软雅黑"/>
        </w:rPr>
      </w:pPr>
      <w:r w:rsidRPr="007E0F10">
        <w:rPr>
          <w:rFonts w:ascii="微软雅黑" w:eastAsia="微软雅黑" w:hAnsi="微软雅黑" w:hint="eastAsia"/>
        </w:rPr>
        <w:t>上周回顾：央行连续净投放，跨月资金面较为宽松，存单价格平稳；政策端加码，煤炭带领工业品价格大幅回落；猪肉价格单周环比则上涨9.2%。利率一级市场供给明显加快，但市场招投标倍数较好，二级影响也有限，全周1Y国债下行3.75BP，10Y国债下行2.21BP，10-1Y国债利差上行1.5BP。以银行资本债为首的信用债成交回暖继续上涨，中票各等级下行3-9BP。权益分化，上证综指下跌0.98%，创业板则上涨2%，中证转债上涨0.24%。其他资产方面，在岸人民币对美元贬值收于6.40，10年美债大幅下行11bp收于1.55%，COMEX黄金期货收于1785美元/盎司，原油价格相对平稳，LME期铜下跌1.65%，南华工业品指数下跌7.42%。</w:t>
      </w:r>
    </w:p>
    <w:p w:rsidR="007E0F10" w:rsidRPr="007E0F10" w:rsidRDefault="007E0F10" w:rsidP="00FC5745">
      <w:pPr>
        <w:ind w:firstLineChars="200" w:firstLine="420"/>
        <w:rPr>
          <w:rFonts w:ascii="微软雅黑" w:eastAsia="微软雅黑" w:hAnsi="微软雅黑"/>
        </w:rPr>
      </w:pPr>
      <w:r w:rsidRPr="007E0F10">
        <w:rPr>
          <w:rFonts w:ascii="微软雅黑" w:eastAsia="微软雅黑" w:hAnsi="微软雅黑" w:hint="eastAsia"/>
        </w:rPr>
        <w:t> </w:t>
      </w:r>
    </w:p>
    <w:p w:rsidR="007E0F10" w:rsidRPr="007E0F10" w:rsidRDefault="007E0F10" w:rsidP="00FC5745">
      <w:pPr>
        <w:ind w:firstLineChars="200" w:firstLine="420"/>
        <w:rPr>
          <w:rFonts w:ascii="微软雅黑" w:eastAsia="微软雅黑" w:hAnsi="微软雅黑"/>
        </w:rPr>
      </w:pPr>
      <w:r w:rsidRPr="007E0F10">
        <w:rPr>
          <w:rFonts w:ascii="微软雅黑" w:eastAsia="微软雅黑" w:hAnsi="微软雅黑" w:hint="eastAsia"/>
        </w:rPr>
        <w:t xml:space="preserve">本周专题：地产行业跟踪 </w:t>
      </w:r>
      <w:bookmarkStart w:id="0" w:name="_GoBack"/>
      <w:bookmarkEnd w:id="0"/>
    </w:p>
    <w:p w:rsidR="007E0F10" w:rsidRPr="007E0F10" w:rsidRDefault="007E0F10" w:rsidP="00FC5745">
      <w:pPr>
        <w:ind w:firstLineChars="200" w:firstLine="420"/>
        <w:rPr>
          <w:rFonts w:ascii="微软雅黑" w:eastAsia="微软雅黑" w:hAnsi="微软雅黑"/>
        </w:rPr>
      </w:pPr>
      <w:r w:rsidRPr="007E0F10">
        <w:rPr>
          <w:rFonts w:ascii="微软雅黑" w:eastAsia="微软雅黑" w:hAnsi="微软雅黑" w:hint="eastAsia"/>
        </w:rPr>
        <w:t>1.  政策端：上周末人大授权国务院可对地产税试点，由于缺乏细则，资本市场整体反应尚可，但企业基本面的压力使得地产股和地产债延续跌势。</w:t>
      </w:r>
    </w:p>
    <w:p w:rsidR="007E0F10" w:rsidRPr="007E0F10" w:rsidRDefault="007E0F10" w:rsidP="00FC5745">
      <w:pPr>
        <w:ind w:firstLineChars="200" w:firstLine="420"/>
        <w:rPr>
          <w:rFonts w:ascii="微软雅黑" w:eastAsia="微软雅黑" w:hAnsi="微软雅黑"/>
        </w:rPr>
      </w:pPr>
      <w:r w:rsidRPr="007E0F10">
        <w:rPr>
          <w:rFonts w:ascii="微软雅黑" w:eastAsia="微软雅黑" w:hAnsi="微软雅黑" w:hint="eastAsia"/>
        </w:rPr>
        <w:t>2.市场端：由于更多的地产出现违约，当代置业、阳光城对市场冲击较大，美元债和境内债仍在进一步下跌，政策见底尚未向基本面底传导。</w:t>
      </w:r>
    </w:p>
    <w:p w:rsidR="007E0F10" w:rsidRPr="007E0F10" w:rsidRDefault="005A786E" w:rsidP="00FC5745">
      <w:pPr>
        <w:ind w:firstLineChars="200" w:firstLine="420"/>
        <w:rPr>
          <w:rFonts w:ascii="微软雅黑" w:eastAsia="微软雅黑" w:hAnsi="微软雅黑"/>
        </w:rPr>
      </w:pPr>
      <w:r>
        <w:rPr>
          <w:rFonts w:ascii="微软雅黑" w:eastAsia="微软雅黑" w:hAnsi="微软雅黑"/>
        </w:rPr>
        <w:t>3</w:t>
      </w:r>
      <w:r w:rsidR="007E0F10" w:rsidRPr="007E0F10">
        <w:rPr>
          <w:rFonts w:ascii="微软雅黑" w:eastAsia="微软雅黑" w:hAnsi="微软雅黑" w:hint="eastAsia"/>
        </w:rPr>
        <w:t>.  行业数据：克尔瑞数据，10月29个重点监测城市商品住宅成交面积环比下降3%，同比下降22%，较2019年同期下降12%；TOP100房企实现销售操盘金额7761.4亿元，单月业绩规模较9月环比回升1.4%，百强房企8成10月操盘金额回落。二次集中供地数据，20个试点城市已经完成第二批集中供地，共计出让土地831宗土地，其中流拍撤牌地块266宗，占比32%，成功出让的土地中381宗底价成交，底价成交比例约为67%。</w:t>
      </w:r>
    </w:p>
    <w:p w:rsidR="007E0F10" w:rsidRPr="007E0F10" w:rsidRDefault="005A786E" w:rsidP="00FC5745">
      <w:pPr>
        <w:ind w:firstLineChars="200" w:firstLine="420"/>
        <w:rPr>
          <w:rFonts w:ascii="微软雅黑" w:eastAsia="微软雅黑" w:hAnsi="微软雅黑"/>
        </w:rPr>
      </w:pPr>
      <w:r>
        <w:rPr>
          <w:rFonts w:ascii="微软雅黑" w:eastAsia="微软雅黑" w:hAnsi="微软雅黑"/>
        </w:rPr>
        <w:t>4</w:t>
      </w:r>
      <w:r w:rsidR="007E0F10" w:rsidRPr="007E0F10">
        <w:rPr>
          <w:rFonts w:ascii="微软雅黑" w:eastAsia="微软雅黑" w:hAnsi="微软雅黑" w:hint="eastAsia"/>
        </w:rPr>
        <w:t>.  融资端：多方调研显示，9月底开始，按揭和开放贷边际放松，但主力仍是前期签</w:t>
      </w:r>
      <w:r w:rsidR="007E0F10" w:rsidRPr="007E0F10">
        <w:rPr>
          <w:rFonts w:ascii="微软雅黑" w:eastAsia="微软雅黑" w:hAnsi="微软雅黑" w:hint="eastAsia"/>
        </w:rPr>
        <w:lastRenderedPageBreak/>
        <w:t>约的按揭贷款合同，新增授信规模相较有限；监管户资金动用难度更大；企业流动性尚未发现明显改善。</w:t>
      </w:r>
    </w:p>
    <w:p w:rsidR="007E0F10" w:rsidRPr="007E0F10" w:rsidRDefault="005A786E" w:rsidP="00FC5745">
      <w:pPr>
        <w:ind w:firstLineChars="200" w:firstLine="420"/>
        <w:rPr>
          <w:rFonts w:ascii="微软雅黑" w:eastAsia="微软雅黑" w:hAnsi="微软雅黑"/>
        </w:rPr>
      </w:pPr>
      <w:r>
        <w:rPr>
          <w:rFonts w:ascii="微软雅黑" w:eastAsia="微软雅黑" w:hAnsi="微软雅黑"/>
        </w:rPr>
        <w:t>5</w:t>
      </w:r>
      <w:r w:rsidR="007E0F10" w:rsidRPr="007E0F10">
        <w:rPr>
          <w:rFonts w:ascii="微软雅黑" w:eastAsia="微软雅黑" w:hAnsi="微软雅黑" w:hint="eastAsia"/>
        </w:rPr>
        <w:t>.  房企三季报：1）由于行业重大变化发生在三季度，重点看</w:t>
      </w:r>
      <w:r w:rsidR="00C067CC">
        <w:rPr>
          <w:rFonts w:ascii="微软雅黑" w:eastAsia="微软雅黑" w:hAnsi="微软雅黑" w:hint="eastAsia"/>
        </w:rPr>
        <w:t>三</w:t>
      </w:r>
      <w:r w:rsidR="007E0F10" w:rsidRPr="007E0F10">
        <w:rPr>
          <w:rFonts w:ascii="微软雅黑" w:eastAsia="微软雅黑" w:hAnsi="微软雅黑" w:hint="eastAsia"/>
        </w:rPr>
        <w:t>季度变化；2）与时间赛跑：重点关注哪些企业增收不增利，哪些企业大额偿还债务，两者恶化度都比较大的比较危险；3）重点关注企业的拿地时间分布，上半年溢价拿地的项目短期盈利困难；4）重点关注企业有无处置资产的行动等。</w:t>
      </w:r>
    </w:p>
    <w:p w:rsidR="007E0F10" w:rsidRPr="007E0F10" w:rsidRDefault="007E0F10" w:rsidP="00FC5745">
      <w:pPr>
        <w:ind w:firstLineChars="200" w:firstLine="420"/>
        <w:rPr>
          <w:rFonts w:ascii="微软雅黑" w:eastAsia="微软雅黑" w:hAnsi="微软雅黑"/>
        </w:rPr>
      </w:pPr>
      <w:r w:rsidRPr="007E0F10">
        <w:rPr>
          <w:rFonts w:ascii="微软雅黑" w:eastAsia="微软雅黑" w:hAnsi="微软雅黑" w:hint="eastAsia"/>
        </w:rPr>
        <w:t> </w:t>
      </w:r>
    </w:p>
    <w:p w:rsidR="002445D1" w:rsidRDefault="007E0F10" w:rsidP="00FC5745">
      <w:pPr>
        <w:ind w:firstLineChars="200" w:firstLine="420"/>
        <w:rPr>
          <w:rFonts w:ascii="微软雅黑" w:eastAsia="微软雅黑" w:hAnsi="微软雅黑"/>
        </w:rPr>
      </w:pPr>
      <w:r w:rsidRPr="007E0F10">
        <w:rPr>
          <w:rFonts w:ascii="微软雅黑" w:eastAsia="微软雅黑" w:hAnsi="微软雅黑" w:hint="eastAsia"/>
        </w:rPr>
        <w:t>重点关注： 财新PMI（周一）、联储议息会议（周四）、非农数据（周五）</w:t>
      </w:r>
    </w:p>
    <w:p w:rsidR="002445D1" w:rsidRDefault="002445D1" w:rsidP="002445D1">
      <w:pPr>
        <w:rPr>
          <w:rFonts w:ascii="微软雅黑" w:eastAsia="微软雅黑" w:hAnsi="微软雅黑"/>
        </w:rPr>
      </w:pPr>
    </w:p>
    <w:p w:rsidR="002445D1" w:rsidRDefault="002445D1" w:rsidP="002445D1">
      <w:pPr>
        <w:jc w:val="left"/>
      </w:pPr>
      <w:r>
        <w:rPr>
          <w:rFonts w:ascii="微软雅黑" w:eastAsia="微软雅黑" w:hAnsi="微软雅黑" w:hint="eastAsia"/>
          <w:color w:val="222222"/>
          <w:sz w:val="19"/>
          <w:szCs w:val="19"/>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rsidR="002445D1" w:rsidRPr="002445D1" w:rsidRDefault="002445D1" w:rsidP="002445D1">
      <w:pPr>
        <w:rPr>
          <w:rFonts w:ascii="微软雅黑" w:eastAsia="微软雅黑" w:hAnsi="微软雅黑"/>
        </w:rPr>
      </w:pPr>
    </w:p>
    <w:sectPr w:rsidR="002445D1" w:rsidRPr="002445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301B" w:rsidRDefault="001E301B" w:rsidP="00FC5745">
      <w:r>
        <w:separator/>
      </w:r>
    </w:p>
  </w:endnote>
  <w:endnote w:type="continuationSeparator" w:id="0">
    <w:p w:rsidR="001E301B" w:rsidRDefault="001E301B" w:rsidP="00FC5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301B" w:rsidRDefault="001E301B" w:rsidP="00FC5745">
      <w:r>
        <w:separator/>
      </w:r>
    </w:p>
  </w:footnote>
  <w:footnote w:type="continuationSeparator" w:id="0">
    <w:p w:rsidR="001E301B" w:rsidRDefault="001E301B" w:rsidP="00FC57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5D1"/>
    <w:rsid w:val="001E301B"/>
    <w:rsid w:val="002445D1"/>
    <w:rsid w:val="005A786E"/>
    <w:rsid w:val="006E71C8"/>
    <w:rsid w:val="007214E3"/>
    <w:rsid w:val="007E0F10"/>
    <w:rsid w:val="0099328C"/>
    <w:rsid w:val="00C067CC"/>
    <w:rsid w:val="00E725E5"/>
    <w:rsid w:val="00FC57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385829D-EFAF-4B88-A304-7CA1BAB84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C57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C5745"/>
    <w:rPr>
      <w:sz w:val="18"/>
      <w:szCs w:val="18"/>
    </w:rPr>
  </w:style>
  <w:style w:type="paragraph" w:styleId="a4">
    <w:name w:val="footer"/>
    <w:basedOn w:val="a"/>
    <w:link w:val="Char0"/>
    <w:uiPriority w:val="99"/>
    <w:unhideWhenUsed/>
    <w:rsid w:val="00FC5745"/>
    <w:pPr>
      <w:tabs>
        <w:tab w:val="center" w:pos="4153"/>
        <w:tab w:val="right" w:pos="8306"/>
      </w:tabs>
      <w:snapToGrid w:val="0"/>
      <w:jc w:val="left"/>
    </w:pPr>
    <w:rPr>
      <w:sz w:val="18"/>
      <w:szCs w:val="18"/>
    </w:rPr>
  </w:style>
  <w:style w:type="character" w:customStyle="1" w:styleId="Char0">
    <w:name w:val="页脚 Char"/>
    <w:basedOn w:val="a0"/>
    <w:link w:val="a4"/>
    <w:uiPriority w:val="99"/>
    <w:rsid w:val="00FC5745"/>
    <w:rPr>
      <w:sz w:val="18"/>
      <w:szCs w:val="18"/>
    </w:rPr>
  </w:style>
  <w:style w:type="paragraph" w:styleId="a5">
    <w:name w:val="Balloon Text"/>
    <w:basedOn w:val="a"/>
    <w:link w:val="Char1"/>
    <w:uiPriority w:val="99"/>
    <w:semiHidden/>
    <w:unhideWhenUsed/>
    <w:rsid w:val="00FC5745"/>
    <w:rPr>
      <w:sz w:val="18"/>
      <w:szCs w:val="18"/>
    </w:rPr>
  </w:style>
  <w:style w:type="character" w:customStyle="1" w:styleId="Char1">
    <w:name w:val="批注框文本 Char"/>
    <w:basedOn w:val="a0"/>
    <w:link w:val="a5"/>
    <w:uiPriority w:val="99"/>
    <w:semiHidden/>
    <w:rsid w:val="00FC574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171</Words>
  <Characters>978</Characters>
  <Application>Microsoft Office Word</Application>
  <DocSecurity>0</DocSecurity>
  <Lines>8</Lines>
  <Paragraphs>2</Paragraphs>
  <ScaleCrop>false</ScaleCrop>
  <LinksUpToDate>false</LinksUpToDate>
  <CharactersWithSpaces>1147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谢燕萍</cp:lastModifiedBy>
  <cp:revision>5</cp:revision>
  <dcterms:created xsi:type="dcterms:W3CDTF">2021-10-25T02:32:00Z</dcterms:created>
  <dcterms:modified xsi:type="dcterms:W3CDTF">2021-11-01T05:48:00Z</dcterms:modified>
</cp:coreProperties>
</file>