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widowControl/>
        <w:shd w:val="clear" w:color="auto" w:fill="ffffff"/>
        <w:spacing w:before="345" w:after="100" w:afterAutospacing="true"/>
        <w:jc w:val="center"/>
        <w:outlineLvl w:val="1"/>
        <w:rPr>
          <w:rFonts w:ascii="Verdana" w:cs="宋体" w:eastAsia="宋体" w:hAnsi="Verdana"/>
          <w:b/>
          <w:bCs/>
          <w:kern w:val="36"/>
          <w:sz w:val="39"/>
          <w:szCs w:val="39"/>
        </w:rPr>
      </w:pPr>
      <w:r>
        <w:rPr>
          <w:rFonts w:ascii="Verdana" w:cs="宋体" w:eastAsia="宋体" w:hAnsi="Verdana" w:hint="eastAsia"/>
          <w:b/>
          <w:bCs/>
          <w:kern w:val="36"/>
          <w:sz w:val="39"/>
          <w:szCs w:val="39"/>
        </w:rPr>
        <w:t>富荣</w:t>
      </w:r>
      <w:r>
        <w:rPr>
          <w:rFonts w:ascii="Verdana" w:cs="宋体" w:eastAsia="宋体" w:hAnsi="Verdana"/>
          <w:b/>
          <w:bCs/>
          <w:kern w:val="36"/>
          <w:sz w:val="39"/>
          <w:szCs w:val="39"/>
        </w:rPr>
        <w:t>基金管理有限公司关于旗下部分基金新增</w:t>
      </w:r>
      <w:r>
        <w:rPr>
          <w:rFonts w:ascii="Verdana" w:cs="宋体" w:eastAsia="宋体" w:hAnsi="Verdana" w:hint="eastAsia"/>
          <w:b/>
          <w:bCs/>
          <w:kern w:val="36"/>
          <w:sz w:val="39"/>
          <w:szCs w:val="39"/>
          <w:lang w:val="en-US" w:eastAsia="zh-CN"/>
        </w:rPr>
        <w:t>国泰君安</w:t>
      </w:r>
      <w:r>
        <w:rPr>
          <w:rFonts w:ascii="Verdana" w:cs="宋体" w:eastAsia="宋体" w:hAnsi="Verdana"/>
          <w:b/>
          <w:bCs/>
          <w:kern w:val="36"/>
          <w:sz w:val="39"/>
          <w:szCs w:val="39"/>
        </w:rPr>
        <w:t>证券股份有限公司为销售机构</w:t>
      </w:r>
      <w:r>
        <w:rPr>
          <w:rFonts w:ascii="Verdana" w:cs="宋体" w:eastAsia="宋体" w:hAnsi="Verdana" w:hint="eastAsia"/>
          <w:b/>
          <w:bCs/>
          <w:kern w:val="36"/>
          <w:sz w:val="39"/>
          <w:szCs w:val="39"/>
        </w:rPr>
        <w:t>的公告</w:t>
      </w:r>
    </w:p>
    <w:p>
      <w:pPr>
        <w:pStyle w:val="style0"/>
        <w:widowControl/>
        <w:shd w:val="clear" w:color="auto" w:fill="ffffff"/>
        <w:spacing w:lineRule="auto" w:line="360"/>
        <w:ind w:firstLine="420"/>
        <w:jc w:val="left"/>
        <w:rPr>
          <w:rFonts w:ascii="宋体" w:cs="Calibri" w:eastAsia="宋体" w:hAnsi="宋体"/>
          <w:color w:val="000000"/>
          <w:kern w:val="0"/>
          <w:szCs w:val="21"/>
        </w:rPr>
      </w:pPr>
      <w:r>
        <w:rPr>
          <w:rFonts w:ascii="宋体" w:cs="Calibri" w:eastAsia="宋体" w:hAnsi="宋体" w:hint="eastAsia"/>
          <w:color w:val="000000"/>
          <w:kern w:val="0"/>
          <w:szCs w:val="21"/>
        </w:rPr>
        <w:t>为更好地满足广大投资者的理财需求，根据富荣基金管理有限公司（以下简称“本公司”）与</w:t>
      </w:r>
      <w:r>
        <w:rPr>
          <w:rFonts w:ascii="宋体" w:cs="Calibri" w:eastAsia="宋体" w:hAnsi="宋体" w:hint="eastAsia"/>
          <w:color w:val="000000"/>
          <w:kern w:val="0"/>
          <w:szCs w:val="21"/>
          <w:lang w:val="en-US" w:eastAsia="zh-CN"/>
        </w:rPr>
        <w:t>国泰君安</w:t>
      </w:r>
      <w:r>
        <w:rPr>
          <w:rFonts w:ascii="宋体" w:cs="Calibri" w:eastAsia="宋体" w:hAnsi="宋体" w:hint="eastAsia"/>
          <w:color w:val="000000"/>
          <w:kern w:val="0"/>
          <w:szCs w:val="21"/>
        </w:rPr>
        <w:t>证券股份有限公司（以下简称“</w:t>
      </w:r>
      <w:r>
        <w:rPr>
          <w:rFonts w:ascii="宋体" w:cs="Calibri" w:eastAsia="宋体" w:hAnsi="宋体" w:hint="eastAsia"/>
          <w:bCs/>
          <w:color w:val="000000"/>
          <w:kern w:val="0"/>
          <w:szCs w:val="21"/>
          <w:lang w:val="en-US" w:eastAsia="zh-CN"/>
        </w:rPr>
        <w:t>国泰君安</w:t>
      </w:r>
      <w:r>
        <w:rPr>
          <w:rFonts w:ascii="宋体" w:cs="Calibri" w:eastAsia="宋体" w:hAnsi="宋体" w:hint="eastAsia"/>
          <w:color w:val="000000"/>
          <w:kern w:val="0"/>
          <w:szCs w:val="21"/>
        </w:rPr>
        <w:t>”）签署的委托销售协议，自</w:t>
      </w:r>
      <w:r>
        <w:rPr>
          <w:rFonts w:ascii="宋体" w:cs="Calibri" w:eastAsia="宋体" w:hAnsi="宋体"/>
          <w:color w:val="000000"/>
          <w:kern w:val="0"/>
          <w:szCs w:val="21"/>
        </w:rPr>
        <w:t>20</w:t>
      </w:r>
      <w:r>
        <w:rPr>
          <w:rFonts w:ascii="宋体" w:cs="Calibri" w:eastAsia="宋体" w:hAnsi="宋体" w:hint="eastAsia"/>
          <w:color w:val="000000"/>
          <w:kern w:val="0"/>
          <w:szCs w:val="21"/>
        </w:rPr>
        <w:t>21年1</w:t>
      </w:r>
      <w:r>
        <w:rPr>
          <w:rFonts w:ascii="宋体" w:cs="Calibri" w:eastAsia="宋体" w:hAnsi="宋体" w:hint="eastAsia"/>
          <w:color w:val="000000"/>
          <w:kern w:val="0"/>
          <w:szCs w:val="21"/>
          <w:lang w:val="en-US" w:eastAsia="zh-CN"/>
        </w:rPr>
        <w:t>2</w:t>
      </w:r>
      <w:r>
        <w:rPr>
          <w:rFonts w:ascii="宋体" w:cs="Calibri" w:eastAsia="宋体" w:hAnsi="宋体" w:hint="eastAsia"/>
          <w:color w:val="000000"/>
          <w:kern w:val="0"/>
          <w:szCs w:val="21"/>
        </w:rPr>
        <w:t>月</w:t>
      </w:r>
      <w:r>
        <w:rPr>
          <w:rFonts w:ascii="宋体" w:cs="Calibri" w:eastAsia="宋体" w:hAnsi="宋体" w:hint="default"/>
          <w:color w:val="000000"/>
          <w:kern w:val="0"/>
          <w:szCs w:val="21"/>
          <w:lang w:val="en-US"/>
        </w:rPr>
        <w:t>2</w:t>
      </w:r>
      <w:r>
        <w:rPr>
          <w:rFonts w:ascii="宋体" w:cs="Calibri" w:eastAsia="宋体" w:hAnsi="宋体" w:hint="eastAsia"/>
          <w:color w:val="000000"/>
          <w:kern w:val="0"/>
          <w:szCs w:val="21"/>
        </w:rPr>
        <w:t>日起本公司关于旗下部分基金新增委托</w:t>
      </w:r>
      <w:r>
        <w:rPr>
          <w:rFonts w:ascii="宋体" w:cs="Calibri" w:eastAsia="宋体" w:hAnsi="宋体" w:hint="eastAsia"/>
          <w:color w:val="000000"/>
          <w:kern w:val="0"/>
          <w:szCs w:val="21"/>
          <w:lang w:val="en-US" w:eastAsia="zh-CN"/>
        </w:rPr>
        <w:t>国泰君安</w:t>
      </w:r>
      <w:r>
        <w:rPr>
          <w:rFonts w:ascii="宋体" w:cs="Calibri" w:eastAsia="宋体" w:hAnsi="宋体" w:hint="eastAsia"/>
          <w:color w:val="000000"/>
          <w:kern w:val="0"/>
          <w:szCs w:val="21"/>
        </w:rPr>
        <w:t>为销售机构，具体的业务流程、办理时间和办理方式以</w:t>
      </w:r>
      <w:r>
        <w:rPr>
          <w:rFonts w:ascii="宋体" w:cs="Calibri" w:eastAsia="宋体" w:hAnsi="宋体" w:hint="eastAsia"/>
          <w:color w:val="000000"/>
          <w:kern w:val="0"/>
          <w:szCs w:val="21"/>
          <w:lang w:val="en-US" w:eastAsia="zh-CN"/>
        </w:rPr>
        <w:t>国泰君安</w:t>
      </w:r>
      <w:r>
        <w:rPr>
          <w:rFonts w:ascii="宋体" w:cs="Calibri" w:eastAsia="宋体" w:hAnsi="宋体" w:hint="eastAsia"/>
          <w:color w:val="000000"/>
          <w:kern w:val="0"/>
          <w:szCs w:val="21"/>
        </w:rPr>
        <w:t>的规定为准。现将相关事项公告如下：</w:t>
      </w:r>
    </w:p>
    <w:p>
      <w:pPr>
        <w:pStyle w:val="style0"/>
        <w:widowControl/>
        <w:shd w:val="clear" w:color="auto" w:fill="ffffff"/>
        <w:spacing w:lineRule="auto" w:line="360"/>
        <w:ind w:firstLine="420"/>
        <w:jc w:val="left"/>
        <w:rPr>
          <w:rFonts w:ascii="宋体" w:cs="Calibri" w:eastAsia="宋体" w:hAnsi="宋体"/>
          <w:color w:val="000000"/>
          <w:kern w:val="0"/>
          <w:szCs w:val="21"/>
        </w:rPr>
      </w:pPr>
      <w:r>
        <w:rPr>
          <w:rFonts w:ascii="宋体" w:cs="Calibri" w:eastAsia="宋体" w:hAnsi="宋体"/>
          <w:color w:val="000000"/>
          <w:kern w:val="0"/>
          <w:szCs w:val="21"/>
        </w:rPr>
        <w:t> </w:t>
      </w:r>
    </w:p>
    <w:p>
      <w:pPr>
        <w:pStyle w:val="style0"/>
        <w:widowControl/>
        <w:shd w:val="clear" w:color="auto" w:fill="ffffff"/>
        <w:spacing w:lineRule="auto" w:line="360"/>
        <w:ind w:firstLine="420"/>
        <w:jc w:val="left"/>
        <w:rPr>
          <w:rFonts w:ascii="宋体" w:cs="Calibri" w:eastAsia="宋体" w:hAnsi="宋体"/>
          <w:color w:val="000000"/>
          <w:kern w:val="0"/>
          <w:szCs w:val="21"/>
        </w:rPr>
      </w:pPr>
      <w:r>
        <w:rPr>
          <w:rFonts w:ascii="宋体" w:cs="Calibri" w:eastAsia="宋体" w:hAnsi="宋体" w:hint="eastAsia"/>
          <w:color w:val="000000"/>
          <w:kern w:val="0"/>
          <w:szCs w:val="21"/>
        </w:rPr>
        <w:t>一、适用基金</w:t>
      </w:r>
    </w:p>
    <w:p>
      <w:pPr>
        <w:pStyle w:val="style0"/>
        <w:widowControl/>
        <w:shd w:val="clear" w:color="auto" w:fill="ffffff"/>
        <w:spacing w:lineRule="auto" w:line="360"/>
        <w:ind w:firstLine="420"/>
        <w:jc w:val="left"/>
        <w:rPr>
          <w:rFonts w:ascii="宋体" w:cs="Calibri" w:eastAsia="宋体" w:hAnsi="宋体"/>
          <w:color w:val="000000"/>
          <w:kern w:val="0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富荣福耀混合型证</w:t>
      </w:r>
      <w:bookmarkStart w:id="0" w:name="_GoBack"/>
      <w:bookmarkEnd w:id="0"/>
      <w:r>
        <w:rPr>
          <w:rFonts w:ascii="宋体" w:hAnsi="宋体" w:hint="eastAsia"/>
          <w:sz w:val="21"/>
          <w:szCs w:val="21"/>
        </w:rPr>
        <w:t>券投资基金</w:t>
      </w:r>
      <w:r>
        <w:rPr>
          <w:rFonts w:ascii="宋体" w:cs="Calibri" w:eastAsia="宋体" w:hAnsi="宋体" w:hint="eastAsia"/>
          <w:bCs/>
          <w:color w:val="000000"/>
          <w:kern w:val="0"/>
          <w:sz w:val="21"/>
          <w:szCs w:val="21"/>
        </w:rPr>
        <w:t>（</w:t>
      </w:r>
      <w:r>
        <w:rPr>
          <w:rFonts w:ascii="宋体" w:cs="Calibri" w:eastAsia="宋体" w:hAnsi="宋体" w:hint="eastAsia"/>
          <w:color w:val="000000"/>
          <w:kern w:val="0"/>
          <w:sz w:val="21"/>
          <w:szCs w:val="21"/>
        </w:rPr>
        <w:t>基金代码：A类012876、C类012877</w:t>
      </w:r>
      <w:r>
        <w:rPr>
          <w:rFonts w:ascii="宋体" w:cs="Calibri" w:eastAsia="宋体" w:hAnsi="宋体" w:hint="eastAsia"/>
          <w:bCs/>
          <w:color w:val="000000"/>
          <w:kern w:val="0"/>
          <w:sz w:val="21"/>
          <w:szCs w:val="21"/>
        </w:rPr>
        <w:t>）</w:t>
      </w:r>
    </w:p>
    <w:p>
      <w:pPr>
        <w:pStyle w:val="style0"/>
        <w:widowControl/>
        <w:shd w:val="clear" w:color="auto" w:fill="ffffff"/>
        <w:spacing w:lineRule="auto" w:line="360"/>
        <w:ind w:firstLine="480"/>
        <w:jc w:val="left"/>
        <w:rPr>
          <w:rFonts w:ascii="宋体" w:cs="Calibri" w:eastAsia="宋体" w:hAnsi="宋体"/>
          <w:color w:val="000000"/>
          <w:kern w:val="0"/>
          <w:szCs w:val="21"/>
        </w:rPr>
      </w:pPr>
    </w:p>
    <w:p>
      <w:pPr>
        <w:pStyle w:val="style0"/>
        <w:widowControl/>
        <w:shd w:val="clear" w:color="auto" w:fill="ffffff"/>
        <w:spacing w:lineRule="auto" w:line="360"/>
        <w:ind w:firstLine="420"/>
        <w:jc w:val="left"/>
        <w:rPr>
          <w:rFonts w:ascii="宋体" w:cs="Calibri" w:eastAsia="宋体" w:hAnsi="宋体"/>
          <w:color w:val="000000"/>
          <w:kern w:val="0"/>
          <w:szCs w:val="21"/>
        </w:rPr>
      </w:pPr>
      <w:r>
        <w:rPr>
          <w:rFonts w:ascii="宋体" w:cs="Calibri" w:eastAsia="宋体" w:hAnsi="宋体" w:hint="eastAsia"/>
          <w:color w:val="000000"/>
          <w:kern w:val="0"/>
          <w:szCs w:val="21"/>
        </w:rPr>
        <w:t>二、业务咨询</w:t>
      </w:r>
    </w:p>
    <w:p>
      <w:pPr>
        <w:pStyle w:val="style0"/>
        <w:widowControl/>
        <w:shd w:val="clear" w:color="auto" w:fill="ffffff"/>
        <w:spacing w:lineRule="auto" w:line="360"/>
        <w:ind w:firstLine="420"/>
        <w:jc w:val="left"/>
        <w:rPr>
          <w:rFonts w:ascii="宋体" w:cs="Calibri" w:eastAsia="宋体" w:hAnsi="宋体"/>
          <w:color w:val="000000"/>
          <w:kern w:val="0"/>
          <w:szCs w:val="21"/>
        </w:rPr>
      </w:pPr>
      <w:r>
        <w:rPr>
          <w:rFonts w:ascii="宋体" w:cs="Calibri" w:eastAsia="宋体" w:hAnsi="宋体"/>
          <w:color w:val="000000"/>
          <w:kern w:val="0"/>
          <w:szCs w:val="21"/>
        </w:rPr>
        <w:t>1</w:t>
      </w:r>
      <w:r>
        <w:rPr>
          <w:rFonts w:ascii="宋体" w:cs="Calibri" w:eastAsia="宋体" w:hAnsi="宋体" w:hint="eastAsia"/>
          <w:color w:val="000000"/>
          <w:kern w:val="0"/>
          <w:szCs w:val="21"/>
        </w:rPr>
        <w:t>、富荣基金管理有限公司</w:t>
      </w:r>
    </w:p>
    <w:p>
      <w:pPr>
        <w:pStyle w:val="style0"/>
        <w:widowControl/>
        <w:shd w:val="clear" w:color="auto" w:fill="ffffff"/>
        <w:spacing w:lineRule="auto" w:line="360"/>
        <w:ind w:firstLine="420"/>
        <w:jc w:val="left"/>
        <w:rPr>
          <w:rFonts w:ascii="宋体" w:cs="Calibri" w:eastAsia="宋体" w:hAnsi="宋体"/>
          <w:color w:val="000000"/>
          <w:kern w:val="0"/>
          <w:szCs w:val="21"/>
        </w:rPr>
      </w:pPr>
      <w:r>
        <w:rPr>
          <w:rFonts w:ascii="宋体" w:cs="Calibri" w:eastAsia="宋体" w:hAnsi="宋体" w:hint="eastAsia"/>
          <w:color w:val="000000"/>
          <w:kern w:val="0"/>
          <w:szCs w:val="21"/>
        </w:rPr>
        <w:t>客户服务电话：</w:t>
      </w:r>
      <w:r>
        <w:rPr>
          <w:rFonts w:ascii="宋体" w:cs="Calibri" w:eastAsia="宋体" w:hAnsi="宋体"/>
          <w:color w:val="000000"/>
          <w:kern w:val="0"/>
          <w:szCs w:val="21"/>
        </w:rPr>
        <w:t>400</w:t>
      </w:r>
      <w:r>
        <w:rPr>
          <w:rFonts w:ascii="宋体" w:cs="Calibri" w:eastAsia="宋体" w:hAnsi="宋体" w:hint="eastAsia"/>
          <w:color w:val="000000"/>
          <w:kern w:val="0"/>
          <w:szCs w:val="21"/>
        </w:rPr>
        <w:t>-685-5</w:t>
      </w:r>
      <w:r>
        <w:rPr>
          <w:rFonts w:ascii="宋体" w:cs="Calibri" w:eastAsia="宋体" w:hAnsi="宋体"/>
          <w:color w:val="000000"/>
          <w:kern w:val="0"/>
          <w:szCs w:val="21"/>
        </w:rPr>
        <w:t>60</w:t>
      </w:r>
      <w:r>
        <w:rPr>
          <w:rFonts w:ascii="宋体" w:cs="Calibri" w:eastAsia="宋体" w:hAnsi="宋体" w:hint="eastAsia"/>
          <w:color w:val="000000"/>
          <w:kern w:val="0"/>
          <w:szCs w:val="21"/>
        </w:rPr>
        <w:t>0</w:t>
      </w:r>
    </w:p>
    <w:p>
      <w:pPr>
        <w:pStyle w:val="style0"/>
        <w:widowControl/>
        <w:shd w:val="clear" w:color="auto" w:fill="ffffff"/>
        <w:spacing w:lineRule="auto" w:line="360"/>
        <w:ind w:firstLine="420"/>
        <w:jc w:val="left"/>
        <w:rPr>
          <w:rFonts w:ascii="宋体" w:cs="Calibri" w:eastAsia="宋体" w:hAnsi="宋体"/>
          <w:color w:val="000000"/>
          <w:kern w:val="0"/>
          <w:szCs w:val="21"/>
        </w:rPr>
      </w:pPr>
      <w:r>
        <w:rPr>
          <w:rFonts w:ascii="宋体" w:cs="Calibri" w:eastAsia="宋体" w:hAnsi="宋体" w:hint="eastAsia"/>
          <w:color w:val="000000"/>
          <w:kern w:val="0"/>
          <w:szCs w:val="21"/>
        </w:rPr>
        <w:t>网址：</w:t>
      </w:r>
      <w:r>
        <w:rPr>
          <w:rFonts w:ascii="宋体" w:cs="Calibri" w:eastAsia="宋体" w:hAnsi="宋体"/>
          <w:color w:val="000000"/>
          <w:kern w:val="0"/>
          <w:szCs w:val="21"/>
        </w:rPr>
        <w:t>www.</w:t>
      </w:r>
      <w:r>
        <w:rPr>
          <w:rFonts w:ascii="宋体" w:cs="Calibri" w:eastAsia="宋体" w:hAnsi="宋体" w:hint="eastAsia"/>
          <w:color w:val="000000"/>
          <w:kern w:val="0"/>
          <w:szCs w:val="21"/>
        </w:rPr>
        <w:t>furamc</w:t>
      </w:r>
      <w:r>
        <w:rPr>
          <w:rFonts w:ascii="宋体" w:cs="Calibri" w:eastAsia="宋体" w:hAnsi="宋体"/>
          <w:color w:val="000000"/>
          <w:kern w:val="0"/>
          <w:szCs w:val="21"/>
        </w:rPr>
        <w:t>.com</w:t>
      </w:r>
      <w:r>
        <w:rPr>
          <w:rFonts w:ascii="宋体" w:cs="Calibri" w:eastAsia="宋体" w:hAnsi="宋体" w:hint="eastAsia"/>
          <w:color w:val="000000"/>
          <w:kern w:val="0"/>
          <w:szCs w:val="21"/>
        </w:rPr>
        <w:t>.cn</w:t>
      </w:r>
    </w:p>
    <w:p>
      <w:pPr>
        <w:pStyle w:val="style0"/>
        <w:widowControl/>
        <w:shd w:val="clear" w:color="auto" w:fill="ffffff"/>
        <w:spacing w:lineRule="auto" w:line="360"/>
        <w:ind w:firstLine="420"/>
        <w:jc w:val="left"/>
        <w:rPr>
          <w:rFonts w:ascii="宋体" w:cs="Calibri" w:eastAsia="宋体" w:hAnsi="宋体"/>
          <w:color w:val="000000"/>
          <w:kern w:val="0"/>
          <w:szCs w:val="21"/>
        </w:rPr>
      </w:pPr>
      <w:r>
        <w:rPr>
          <w:rFonts w:ascii="宋体" w:cs="Calibri" w:eastAsia="宋体" w:hAnsi="宋体"/>
          <w:color w:val="000000"/>
          <w:kern w:val="0"/>
          <w:szCs w:val="21"/>
        </w:rPr>
        <w:t>2</w:t>
      </w:r>
      <w:r>
        <w:rPr>
          <w:rFonts w:ascii="宋体" w:cs="Calibri" w:eastAsia="宋体" w:hAnsi="宋体" w:hint="eastAsia"/>
          <w:color w:val="000000"/>
          <w:kern w:val="0"/>
          <w:szCs w:val="21"/>
        </w:rPr>
        <w:t>、</w:t>
      </w:r>
      <w:r>
        <w:rPr>
          <w:rFonts w:ascii="宋体" w:cs="Calibri" w:eastAsia="宋体" w:hAnsi="宋体" w:hint="eastAsia"/>
          <w:color w:val="000000"/>
          <w:kern w:val="0"/>
          <w:szCs w:val="21"/>
          <w:lang w:val="en-US" w:eastAsia="zh-CN"/>
        </w:rPr>
        <w:t>国泰君安</w:t>
      </w:r>
      <w:r>
        <w:rPr>
          <w:rFonts w:ascii="宋体" w:cs="Calibri" w:eastAsia="宋体" w:hAnsi="宋体" w:hint="eastAsia"/>
          <w:color w:val="000000"/>
          <w:kern w:val="0"/>
          <w:szCs w:val="21"/>
        </w:rPr>
        <w:t>证券股份有限公司</w:t>
      </w:r>
    </w:p>
    <w:p>
      <w:pPr>
        <w:pStyle w:val="style0"/>
        <w:widowControl/>
        <w:spacing w:lineRule="auto" w:line="360"/>
        <w:ind w:left="420" w:leftChars="200"/>
        <w:jc w:val="left"/>
        <w:rPr>
          <w:rFonts w:ascii="宋体" w:cs="Calibri" w:eastAsia="宋体" w:hAnsi="宋体" w:hint="eastAsia"/>
          <w:color w:val="000000"/>
          <w:kern w:val="0"/>
          <w:szCs w:val="21"/>
        </w:rPr>
      </w:pPr>
      <w:r>
        <w:rPr>
          <w:rFonts w:ascii="宋体" w:cs="Calibri" w:eastAsia="宋体" w:hAnsi="宋体" w:hint="eastAsia"/>
          <w:color w:val="000000"/>
          <w:kern w:val="0"/>
          <w:szCs w:val="21"/>
        </w:rPr>
        <w:t>客服电话：400-8888-666</w:t>
      </w:r>
    </w:p>
    <w:p>
      <w:pPr>
        <w:pStyle w:val="style0"/>
        <w:widowControl/>
        <w:spacing w:lineRule="auto" w:line="360"/>
        <w:ind w:left="420" w:leftChars="200"/>
        <w:jc w:val="left"/>
        <w:rPr>
          <w:rFonts w:ascii="宋体" w:cs="Calibri" w:eastAsia="宋体" w:hAnsi="宋体"/>
          <w:color w:val="000000"/>
          <w:kern w:val="0"/>
          <w:szCs w:val="21"/>
        </w:rPr>
      </w:pPr>
      <w:r>
        <w:rPr>
          <w:rFonts w:ascii="宋体" w:cs="Calibri" w:eastAsia="宋体" w:hAnsi="宋体" w:hint="eastAsia"/>
          <w:color w:val="000000"/>
          <w:kern w:val="0"/>
          <w:szCs w:val="21"/>
        </w:rPr>
        <w:t>公司网站：https://www.gtja.com/</w:t>
      </w:r>
    </w:p>
    <w:p>
      <w:pPr>
        <w:pStyle w:val="style0"/>
        <w:widowControl/>
        <w:shd w:val="clear" w:color="auto" w:fill="ffffff"/>
        <w:spacing w:lineRule="auto" w:line="360"/>
        <w:jc w:val="left"/>
        <w:rPr>
          <w:rFonts w:ascii="宋体" w:cs="Calibri" w:eastAsia="宋体" w:hAnsi="宋体"/>
          <w:color w:val="000000"/>
          <w:kern w:val="0"/>
          <w:szCs w:val="21"/>
        </w:rPr>
      </w:pPr>
    </w:p>
    <w:p>
      <w:pPr>
        <w:pStyle w:val="style0"/>
        <w:widowControl/>
        <w:shd w:val="clear" w:color="auto" w:fill="ffffff"/>
        <w:spacing w:lineRule="auto" w:line="360"/>
        <w:ind w:firstLine="420"/>
        <w:jc w:val="left"/>
        <w:rPr>
          <w:rFonts w:ascii="宋体" w:cs="Calibri" w:eastAsia="宋体" w:hAnsi="宋体"/>
          <w:color w:val="000000"/>
          <w:kern w:val="0"/>
          <w:szCs w:val="21"/>
        </w:rPr>
      </w:pPr>
      <w:r>
        <w:rPr>
          <w:rFonts w:ascii="宋体" w:cs="Calibri" w:eastAsia="宋体" w:hAnsi="宋体" w:hint="eastAsia"/>
          <w:color w:val="000000"/>
          <w:kern w:val="0"/>
          <w:szCs w:val="21"/>
        </w:rPr>
        <w:t>风险提示：</w:t>
      </w:r>
    </w:p>
    <w:p>
      <w:pPr>
        <w:pStyle w:val="style0"/>
        <w:widowControl/>
        <w:shd w:val="clear" w:color="auto" w:fill="ffffff"/>
        <w:spacing w:lineRule="auto" w:line="360"/>
        <w:ind w:firstLine="420"/>
        <w:jc w:val="left"/>
        <w:rPr>
          <w:rFonts w:ascii="宋体" w:cs="Calibri" w:eastAsia="宋体" w:hAnsi="宋体"/>
          <w:color w:val="000000"/>
          <w:kern w:val="0"/>
          <w:szCs w:val="21"/>
        </w:rPr>
      </w:pPr>
      <w:r>
        <w:rPr>
          <w:rFonts w:ascii="宋体" w:cs="Calibri" w:eastAsia="宋体" w:hAnsi="宋体" w:hint="eastAsia"/>
          <w:color w:val="000000"/>
          <w:kern w:val="0"/>
          <w:szCs w:val="21"/>
        </w:rPr>
        <w:t>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、《招募说明书》、《基金产品资料概要》等基金法律文件，全面认识基金产品的风险收益特征，在了解产品情况及听取销售机构适当性意见的基础上，根据自身的风险承受能力、投资期限和投资目标，对基金投资作出独立决策，选择合适的基金产品。敬请投资者留意投资风险。</w:t>
      </w:r>
    </w:p>
    <w:p>
      <w:pPr>
        <w:pStyle w:val="style0"/>
        <w:widowControl/>
        <w:shd w:val="clear" w:color="auto" w:fill="ffffff"/>
        <w:spacing w:lineRule="auto" w:line="360"/>
        <w:ind w:firstLine="420"/>
        <w:jc w:val="left"/>
        <w:rPr>
          <w:rFonts w:ascii="宋体" w:cs="Calibri" w:eastAsia="宋体" w:hAnsi="宋体"/>
          <w:color w:val="000000"/>
          <w:kern w:val="0"/>
          <w:szCs w:val="21"/>
        </w:rPr>
      </w:pPr>
      <w:r>
        <w:rPr>
          <w:rFonts w:ascii="宋体" w:cs="Calibri" w:eastAsia="宋体" w:hAnsi="宋体" w:hint="eastAsia"/>
          <w:color w:val="000000"/>
          <w:kern w:val="0"/>
          <w:szCs w:val="21"/>
        </w:rPr>
        <w:t>特此公告。</w:t>
      </w:r>
    </w:p>
    <w:p>
      <w:pPr>
        <w:pStyle w:val="style0"/>
        <w:widowControl/>
        <w:shd w:val="clear" w:color="auto" w:fill="ffffff"/>
        <w:spacing w:lineRule="auto" w:line="360"/>
        <w:jc w:val="left"/>
        <w:rPr>
          <w:rFonts w:ascii="宋体" w:cs="Calibri" w:eastAsia="宋体" w:hAnsi="宋体"/>
          <w:color w:val="000000"/>
          <w:kern w:val="0"/>
          <w:szCs w:val="21"/>
        </w:rPr>
      </w:pPr>
      <w:r>
        <w:rPr>
          <w:rFonts w:ascii="宋体" w:cs="Calibri" w:eastAsia="宋体" w:hAnsi="宋体"/>
          <w:color w:val="000000"/>
          <w:kern w:val="0"/>
          <w:szCs w:val="21"/>
        </w:rPr>
        <w:t> </w:t>
      </w:r>
    </w:p>
    <w:p>
      <w:pPr>
        <w:pStyle w:val="style0"/>
        <w:widowControl/>
        <w:shd w:val="clear" w:color="auto" w:fill="ffffff"/>
        <w:spacing w:lineRule="auto" w:line="360"/>
        <w:jc w:val="left"/>
        <w:rPr>
          <w:rFonts w:ascii="宋体" w:cs="Calibri" w:eastAsia="宋体" w:hAnsi="宋体"/>
          <w:color w:val="000000"/>
          <w:kern w:val="0"/>
          <w:szCs w:val="21"/>
        </w:rPr>
      </w:pPr>
      <w:r>
        <w:rPr>
          <w:rFonts w:ascii="宋体" w:cs="Calibri" w:eastAsia="宋体" w:hAnsi="宋体"/>
          <w:color w:val="000000"/>
          <w:kern w:val="0"/>
          <w:szCs w:val="21"/>
        </w:rPr>
        <w:t> </w:t>
      </w:r>
    </w:p>
    <w:p>
      <w:pPr>
        <w:pStyle w:val="style0"/>
        <w:widowControl/>
        <w:shd w:val="clear" w:color="auto" w:fill="ffffff"/>
        <w:spacing w:lineRule="auto" w:line="360"/>
        <w:ind w:firstLine="420"/>
        <w:jc w:val="right"/>
        <w:rPr>
          <w:rFonts w:ascii="宋体" w:cs="Calibri" w:eastAsia="宋体" w:hAnsi="宋体"/>
          <w:color w:val="000000"/>
          <w:kern w:val="0"/>
          <w:szCs w:val="21"/>
        </w:rPr>
      </w:pPr>
      <w:r>
        <w:rPr>
          <w:rFonts w:ascii="宋体" w:cs="Calibri" w:eastAsia="宋体" w:hAnsi="宋体" w:hint="eastAsia"/>
          <w:color w:val="000000"/>
          <w:kern w:val="0"/>
          <w:szCs w:val="21"/>
        </w:rPr>
        <w:t>富荣基金管理有限公司</w:t>
      </w:r>
    </w:p>
    <w:p>
      <w:pPr>
        <w:pStyle w:val="style0"/>
        <w:widowControl/>
        <w:shd w:val="clear" w:color="auto" w:fill="ffffff"/>
        <w:wordWrap w:val="false"/>
        <w:spacing w:lineRule="auto" w:line="360"/>
        <w:jc w:val="right"/>
        <w:rPr>
          <w:rFonts w:ascii="宋体" w:cs="Calibri" w:eastAsia="宋体" w:hAnsi="宋体"/>
          <w:color w:val="000000"/>
          <w:kern w:val="0"/>
          <w:szCs w:val="21"/>
        </w:rPr>
      </w:pPr>
      <w:r>
        <w:rPr>
          <w:rFonts w:ascii="宋体" w:cs="Calibri" w:eastAsia="宋体" w:hAnsi="宋体" w:hint="eastAsia"/>
          <w:color w:val="000000"/>
          <w:kern w:val="0"/>
          <w:szCs w:val="21"/>
        </w:rPr>
        <w:t>二○二一年十</w:t>
      </w:r>
      <w:r>
        <w:rPr>
          <w:rFonts w:ascii="宋体" w:cs="Calibri" w:eastAsia="宋体" w:hAnsi="宋体" w:hint="eastAsia"/>
          <w:color w:val="000000"/>
          <w:kern w:val="0"/>
          <w:szCs w:val="21"/>
          <w:lang w:val="en-US" w:eastAsia="zh-CN"/>
        </w:rPr>
        <w:t>二</w:t>
      </w:r>
      <w:r>
        <w:rPr>
          <w:rFonts w:ascii="宋体" w:cs="Calibri" w:eastAsia="宋体" w:hAnsi="宋体" w:hint="eastAsia"/>
          <w:color w:val="000000"/>
          <w:kern w:val="0"/>
          <w:szCs w:val="21"/>
        </w:rPr>
        <w:t>月</w:t>
      </w:r>
      <w:r>
        <w:rPr>
          <w:rFonts w:ascii="宋体" w:cs="Calibri" w:eastAsia="宋体" w:hAnsi="宋体" w:hint="eastAsia"/>
          <w:color w:val="000000"/>
          <w:kern w:val="0"/>
          <w:szCs w:val="21"/>
          <w:lang w:eastAsia="zh-CN"/>
        </w:rPr>
        <w:t>二</w:t>
      </w:r>
      <w:r>
        <w:rPr>
          <w:rFonts w:ascii="宋体" w:cs="Calibri" w:eastAsia="宋体" w:hAnsi="宋体" w:hint="eastAsia"/>
          <w:color w:val="000000"/>
          <w:kern w:val="0"/>
          <w:szCs w:val="21"/>
        </w:rPr>
        <w:t>日</w:t>
      </w: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Verdana">
    <w:altName w:val="Verdana"/>
    <w:panose1 w:val="020b0604030005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3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2"/>
      <w:lang w:val="en-US" w:bidi="ar-SA" w:eastAsia="zh-C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89">
    <w:name w:val="Document Map"/>
    <w:basedOn w:val="style0"/>
    <w:next w:val="style89"/>
    <w:link w:val="style4103"/>
    <w:uiPriority w:val="99"/>
    <w:pPr/>
    <w:rPr>
      <w:rFonts w:ascii="宋体" w:eastAsia="宋体"/>
      <w:sz w:val="18"/>
      <w:szCs w:val="18"/>
    </w:rPr>
  </w:style>
  <w:style w:type="paragraph" w:styleId="style30">
    <w:name w:val="annotation text"/>
    <w:basedOn w:val="style0"/>
    <w:next w:val="style30"/>
    <w:link w:val="style4098"/>
    <w:uiPriority w:val="99"/>
    <w:pPr>
      <w:jc w:val="left"/>
    </w:pPr>
    <w:rPr/>
  </w:style>
  <w:style w:type="paragraph" w:styleId="style153">
    <w:name w:val="Balloon Text"/>
    <w:basedOn w:val="style0"/>
    <w:next w:val="style153"/>
    <w:link w:val="style4100"/>
    <w:qFormat/>
    <w:uiPriority w:val="99"/>
    <w:pPr/>
    <w:rPr>
      <w:sz w:val="18"/>
      <w:szCs w:val="18"/>
    </w:rPr>
  </w:style>
  <w:style w:type="paragraph" w:styleId="style32">
    <w:name w:val="footer"/>
    <w:basedOn w:val="style0"/>
    <w:next w:val="style32"/>
    <w:link w:val="style4102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101"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paragraph" w:styleId="style94">
    <w:name w:val="Normal (Web)"/>
    <w:basedOn w:val="style0"/>
    <w:next w:val="style94"/>
    <w:uiPriority w:val="99"/>
    <w:pPr>
      <w:widowControl/>
      <w:spacing w:before="100" w:beforeAutospacing="true" w:after="100" w:afterAutospacing="true"/>
      <w:jc w:val="left"/>
    </w:pPr>
    <w:rPr>
      <w:rFonts w:ascii="宋体" w:cs="宋体" w:eastAsia="宋体" w:hAnsi="宋体"/>
      <w:kern w:val="0"/>
      <w:sz w:val="24"/>
      <w:szCs w:val="24"/>
    </w:rPr>
  </w:style>
  <w:style w:type="paragraph" w:styleId="style106">
    <w:name w:val="annotation subject"/>
    <w:basedOn w:val="style30"/>
    <w:next w:val="style30"/>
    <w:link w:val="style4099"/>
    <w:uiPriority w:val="99"/>
    <w:pPr/>
    <w:rPr>
      <w:b/>
      <w:bCs/>
    </w:rPr>
  </w:style>
  <w:style w:type="character" w:styleId="style85">
    <w:name w:val="Hyperlink"/>
    <w:next w:val="style85"/>
    <w:uiPriority w:val="99"/>
    <w:rPr>
      <w:color w:val="0000ff"/>
      <w:u w:val="single"/>
    </w:rPr>
  </w:style>
  <w:style w:type="character" w:styleId="style39">
    <w:name w:val="annotation reference"/>
    <w:basedOn w:val="style65"/>
    <w:next w:val="style39"/>
    <w:uiPriority w:val="99"/>
    <w:rPr>
      <w:sz w:val="21"/>
      <w:szCs w:val="21"/>
    </w:rPr>
  </w:style>
  <w:style w:type="paragraph" w:customStyle="1" w:styleId="style4097">
    <w:name w:val="source-date1"/>
    <w:basedOn w:val="style0"/>
    <w:next w:val="style4097"/>
    <w:uiPriority w:val="0"/>
    <w:pPr>
      <w:widowControl/>
      <w:pBdr>
        <w:bottom w:val="single" w:sz="12" w:space="15" w:color="002080"/>
      </w:pBdr>
      <w:spacing w:before="100" w:beforeAutospacing="true" w:after="100" w:afterAutospacing="true"/>
      <w:jc w:val="center"/>
    </w:pPr>
    <w:rPr>
      <w:rFonts w:ascii="宋体" w:cs="宋体" w:eastAsia="宋体" w:hAnsi="宋体"/>
      <w:color w:val="303030"/>
      <w:kern w:val="0"/>
      <w:sz w:val="18"/>
      <w:szCs w:val="18"/>
    </w:rPr>
  </w:style>
  <w:style w:type="character" w:customStyle="1" w:styleId="style4098">
    <w:name w:val="批注文字 Char"/>
    <w:basedOn w:val="style65"/>
    <w:next w:val="style4098"/>
    <w:link w:val="style30"/>
    <w:qFormat/>
    <w:uiPriority w:val="99"/>
  </w:style>
  <w:style w:type="character" w:customStyle="1" w:styleId="style4099">
    <w:name w:val="批注主题 Char"/>
    <w:basedOn w:val="style4098"/>
    <w:next w:val="style4099"/>
    <w:link w:val="style106"/>
    <w:uiPriority w:val="99"/>
    <w:rPr>
      <w:b/>
      <w:bCs/>
    </w:rPr>
  </w:style>
  <w:style w:type="character" w:customStyle="1" w:styleId="style4100">
    <w:name w:val="批注框文本 Char"/>
    <w:basedOn w:val="style65"/>
    <w:next w:val="style4100"/>
    <w:link w:val="style153"/>
    <w:uiPriority w:val="99"/>
    <w:rPr>
      <w:sz w:val="18"/>
      <w:szCs w:val="18"/>
    </w:rPr>
  </w:style>
  <w:style w:type="character" w:customStyle="1" w:styleId="style4101">
    <w:name w:val="页眉 Char"/>
    <w:basedOn w:val="style65"/>
    <w:next w:val="style4101"/>
    <w:link w:val="style31"/>
    <w:uiPriority w:val="99"/>
    <w:rPr>
      <w:sz w:val="18"/>
      <w:szCs w:val="18"/>
    </w:rPr>
  </w:style>
  <w:style w:type="character" w:customStyle="1" w:styleId="style4102">
    <w:name w:val="页脚 Char"/>
    <w:basedOn w:val="style65"/>
    <w:next w:val="style4102"/>
    <w:link w:val="style32"/>
    <w:uiPriority w:val="99"/>
    <w:rPr>
      <w:sz w:val="18"/>
      <w:szCs w:val="18"/>
    </w:rPr>
  </w:style>
  <w:style w:type="character" w:customStyle="1" w:styleId="style4103">
    <w:name w:val="文档结构图 Char"/>
    <w:basedOn w:val="style65"/>
    <w:next w:val="style4103"/>
    <w:link w:val="style89"/>
    <w:uiPriority w:val="99"/>
    <w:rPr>
      <w:rFonts w:ascii="宋体" w:eastAsia="宋体"/>
      <w:sz w:val="18"/>
      <w:szCs w:val="18"/>
    </w:rPr>
  </w:style>
  <w:style w:type="paragraph" w:customStyle="1" w:styleId="style4104">
    <w:name w:val="Revision_94235b02-6d93-460c-95fb-386fe47e8b10"/>
    <w:next w:val="style4104"/>
    <w:uiPriority w:val="99"/>
    <w:pPr/>
    <w:rPr>
      <w:rFonts w:ascii="Calibri" w:cs="宋体" w:eastAsia="宋体" w:hAnsi="Calibri"/>
      <w:kern w:val="2"/>
      <w:sz w:val="21"/>
      <w:szCs w:val="22"/>
      <w:lang w:val="en-US" w:bidi="ar-SA" w:eastAsia="zh-CN"/>
    </w:rPr>
  </w:style>
  <w:style w:type="character" w:customStyle="1" w:styleId="style4105">
    <w:name w:val="Subtle Emphasis_f78e2344-8d94-4fae-b59a-1d5b1a5184a6"/>
    <w:basedOn w:val="style65"/>
    <w:next w:val="style4105"/>
    <w:qFormat/>
    <w:uiPriority w:val="19"/>
    <w:rPr>
      <w:i/>
      <w:iCs/>
      <w:color w:val="808080"/>
      <w14:textFill>
        <w14:solidFill>
          <w14:srgbClr w14:val="7f7f7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7B34C6-21C6-4294-AE63-BFF9089D59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546</Words>
  <Pages>2</Pages>
  <Characters>618</Characters>
  <Application>WPS Office</Application>
  <DocSecurity>0</DocSecurity>
  <Paragraphs>21</Paragraphs>
  <ScaleCrop>false</ScaleCrop>
  <Company>Microsoft</Company>
  <LinksUpToDate>false</LinksUpToDate>
  <CharactersWithSpaces>621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2019-09-23T05:07:00Z</dcterms:created>
  <dc:creator>huangbing</dc:creator>
  <lastModifiedBy>LIO-AN00</lastModifiedBy>
  <dcterms:modified xsi:type="dcterms:W3CDTF">2021-11-30T23:56:43Z</dcterms:modified>
  <revision>56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C11370B5925E4667BD300751FCAC5265</vt:lpwstr>
  </property>
</Properties>
</file>