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9DE433" w14:textId="77777777" w:rsidR="000F42D5" w:rsidRDefault="000F42D5">
      <w:pPr>
        <w:tabs>
          <w:tab w:val="left" w:pos="6660"/>
        </w:tabs>
        <w:spacing w:line="360" w:lineRule="auto"/>
        <w:jc w:val="center"/>
        <w:rPr>
          <w:rFonts w:ascii="宋体" w:hAnsi="宋体"/>
          <w:bCs/>
          <w:sz w:val="48"/>
          <w:szCs w:val="48"/>
        </w:rPr>
      </w:pPr>
    </w:p>
    <w:p w14:paraId="6E484434" w14:textId="77777777" w:rsidR="000F42D5" w:rsidRDefault="000F42D5">
      <w:pPr>
        <w:spacing w:line="360" w:lineRule="auto"/>
        <w:jc w:val="center"/>
        <w:rPr>
          <w:rFonts w:ascii="宋体" w:hAnsi="宋体"/>
          <w:b/>
          <w:sz w:val="48"/>
          <w:szCs w:val="48"/>
        </w:rPr>
      </w:pPr>
    </w:p>
    <w:p w14:paraId="656D6A43" w14:textId="77777777" w:rsidR="000F42D5" w:rsidRDefault="000F42D5">
      <w:pPr>
        <w:adjustRightInd w:val="0"/>
        <w:snapToGrid w:val="0"/>
        <w:spacing w:line="360" w:lineRule="auto"/>
        <w:jc w:val="center"/>
        <w:rPr>
          <w:rFonts w:ascii="宋体" w:hAnsi="宋体" w:cs="Arial"/>
          <w:sz w:val="48"/>
          <w:szCs w:val="48"/>
        </w:rPr>
      </w:pPr>
    </w:p>
    <w:p w14:paraId="3192716B" w14:textId="77777777" w:rsidR="000F42D5" w:rsidRDefault="00CD3D2E">
      <w:pPr>
        <w:adjustRightInd w:val="0"/>
        <w:snapToGrid w:val="0"/>
        <w:spacing w:line="360" w:lineRule="auto"/>
        <w:jc w:val="center"/>
        <w:rPr>
          <w:rFonts w:ascii="宋体" w:hAnsi="宋体"/>
          <w:b/>
          <w:sz w:val="36"/>
          <w:szCs w:val="36"/>
        </w:rPr>
      </w:pPr>
      <w:r>
        <w:rPr>
          <w:rFonts w:ascii="Arial" w:hAnsi="宋体" w:cs="Arial" w:hint="eastAsia"/>
          <w:b/>
          <w:sz w:val="48"/>
          <w:szCs w:val="48"/>
        </w:rPr>
        <w:t>富荣中证</w:t>
      </w:r>
      <w:r>
        <w:rPr>
          <w:rFonts w:ascii="Arial" w:hAnsi="宋体" w:cs="Arial" w:hint="eastAsia"/>
          <w:b/>
          <w:sz w:val="48"/>
          <w:szCs w:val="48"/>
        </w:rPr>
        <w:t>500</w:t>
      </w:r>
      <w:r>
        <w:rPr>
          <w:rFonts w:ascii="Arial" w:hAnsi="宋体" w:cs="Arial" w:hint="eastAsia"/>
          <w:b/>
          <w:sz w:val="48"/>
          <w:szCs w:val="48"/>
        </w:rPr>
        <w:t>指数增强型证券投资基金托管协议</w:t>
      </w:r>
    </w:p>
    <w:p w14:paraId="5A15F0FC" w14:textId="77777777" w:rsidR="000F42D5" w:rsidRDefault="000F42D5">
      <w:pPr>
        <w:adjustRightInd w:val="0"/>
        <w:snapToGrid w:val="0"/>
        <w:spacing w:line="360" w:lineRule="auto"/>
        <w:jc w:val="center"/>
        <w:rPr>
          <w:rFonts w:ascii="宋体" w:hAnsi="宋体" w:cs="Arial"/>
          <w:sz w:val="36"/>
          <w:szCs w:val="36"/>
        </w:rPr>
      </w:pPr>
    </w:p>
    <w:p w14:paraId="16CAC898" w14:textId="77777777" w:rsidR="000F42D5" w:rsidRDefault="000F42D5">
      <w:pPr>
        <w:adjustRightInd w:val="0"/>
        <w:snapToGrid w:val="0"/>
        <w:spacing w:line="360" w:lineRule="auto"/>
        <w:jc w:val="center"/>
        <w:rPr>
          <w:rFonts w:ascii="宋体" w:hAnsi="宋体" w:cs="Arial"/>
          <w:sz w:val="36"/>
          <w:szCs w:val="36"/>
        </w:rPr>
      </w:pPr>
    </w:p>
    <w:p w14:paraId="7C7E28E9" w14:textId="77777777" w:rsidR="000F42D5" w:rsidRDefault="000F42D5">
      <w:pPr>
        <w:adjustRightInd w:val="0"/>
        <w:snapToGrid w:val="0"/>
        <w:spacing w:line="360" w:lineRule="auto"/>
        <w:jc w:val="center"/>
        <w:rPr>
          <w:rFonts w:ascii="宋体" w:hAnsi="宋体" w:cs="Arial"/>
          <w:sz w:val="36"/>
          <w:szCs w:val="36"/>
        </w:rPr>
      </w:pPr>
    </w:p>
    <w:p w14:paraId="0EF46D9B" w14:textId="77777777" w:rsidR="000F42D5" w:rsidRDefault="000F42D5">
      <w:pPr>
        <w:adjustRightInd w:val="0"/>
        <w:snapToGrid w:val="0"/>
        <w:spacing w:line="360" w:lineRule="auto"/>
        <w:jc w:val="center"/>
        <w:rPr>
          <w:rFonts w:ascii="宋体" w:hAnsi="宋体" w:cs="Arial"/>
          <w:sz w:val="36"/>
          <w:szCs w:val="36"/>
        </w:rPr>
      </w:pPr>
    </w:p>
    <w:p w14:paraId="521D89A1" w14:textId="77777777" w:rsidR="000F42D5" w:rsidRDefault="000F42D5">
      <w:pPr>
        <w:adjustRightInd w:val="0"/>
        <w:snapToGrid w:val="0"/>
        <w:spacing w:line="360" w:lineRule="auto"/>
        <w:jc w:val="center"/>
        <w:rPr>
          <w:rFonts w:ascii="宋体" w:hAnsi="宋体" w:cs="Arial"/>
          <w:sz w:val="36"/>
          <w:szCs w:val="36"/>
        </w:rPr>
      </w:pPr>
    </w:p>
    <w:p w14:paraId="5235D9C7" w14:textId="77777777" w:rsidR="000F42D5" w:rsidRDefault="000F42D5">
      <w:pPr>
        <w:adjustRightInd w:val="0"/>
        <w:snapToGrid w:val="0"/>
        <w:spacing w:line="360" w:lineRule="auto"/>
        <w:jc w:val="center"/>
        <w:rPr>
          <w:rFonts w:ascii="宋体" w:hAnsi="宋体" w:cs="Arial"/>
          <w:sz w:val="36"/>
          <w:szCs w:val="36"/>
        </w:rPr>
      </w:pPr>
    </w:p>
    <w:p w14:paraId="76F07D88" w14:textId="77777777" w:rsidR="000F42D5" w:rsidRDefault="00CD3D2E">
      <w:pPr>
        <w:snapToGrid w:val="0"/>
        <w:spacing w:line="360" w:lineRule="auto"/>
        <w:jc w:val="center"/>
        <w:rPr>
          <w:rFonts w:ascii="Arial" w:hAnsi="Arial"/>
          <w:b/>
          <w:sz w:val="36"/>
          <w:szCs w:val="36"/>
        </w:rPr>
      </w:pPr>
      <w:bookmarkStart w:id="0" w:name="_Toc123701383"/>
      <w:bookmarkStart w:id="1" w:name="_Toc123112224"/>
      <w:bookmarkStart w:id="2" w:name="_Toc139991726"/>
      <w:bookmarkStart w:id="3" w:name="_Toc123112263"/>
      <w:bookmarkStart w:id="4" w:name="_Toc139992301"/>
      <w:r>
        <w:rPr>
          <w:rFonts w:ascii="Arial" w:hAnsi="Arial" w:hint="eastAsia"/>
          <w:b/>
          <w:sz w:val="36"/>
          <w:szCs w:val="36"/>
        </w:rPr>
        <w:t>基金管理人：</w:t>
      </w:r>
      <w:bookmarkEnd w:id="0"/>
      <w:bookmarkEnd w:id="1"/>
      <w:bookmarkEnd w:id="2"/>
      <w:bookmarkEnd w:id="3"/>
      <w:bookmarkEnd w:id="4"/>
      <w:r>
        <w:rPr>
          <w:rFonts w:ascii="Arial" w:hAnsi="Arial" w:hint="eastAsia"/>
          <w:b/>
          <w:sz w:val="36"/>
          <w:szCs w:val="36"/>
        </w:rPr>
        <w:t>富荣基金管理有限公司</w:t>
      </w:r>
    </w:p>
    <w:p w14:paraId="030CCD3C" w14:textId="77777777" w:rsidR="000F42D5" w:rsidRDefault="00CD3D2E">
      <w:pPr>
        <w:autoSpaceDE w:val="0"/>
        <w:autoSpaceDN w:val="0"/>
        <w:adjustRightInd w:val="0"/>
        <w:snapToGrid w:val="0"/>
        <w:spacing w:line="360" w:lineRule="auto"/>
        <w:jc w:val="center"/>
        <w:rPr>
          <w:rFonts w:ascii="Arial" w:hAnsi="Arial" w:cs="Arial"/>
          <w:b/>
          <w:bCs/>
          <w:sz w:val="36"/>
          <w:szCs w:val="36"/>
        </w:rPr>
      </w:pPr>
      <w:bookmarkStart w:id="5" w:name="_Toc123701384"/>
      <w:bookmarkStart w:id="6" w:name="_Toc139992302"/>
      <w:bookmarkStart w:id="7" w:name="_Toc123112264"/>
      <w:bookmarkStart w:id="8" w:name="_Toc123112225"/>
      <w:bookmarkStart w:id="9" w:name="_Toc139991727"/>
      <w:r>
        <w:rPr>
          <w:rFonts w:ascii="Arial" w:hAnsi="Arial" w:hint="eastAsia"/>
          <w:b/>
          <w:sz w:val="36"/>
          <w:szCs w:val="36"/>
        </w:rPr>
        <w:t>基金托管人：</w:t>
      </w:r>
      <w:bookmarkEnd w:id="5"/>
      <w:bookmarkEnd w:id="6"/>
      <w:bookmarkEnd w:id="7"/>
      <w:bookmarkEnd w:id="8"/>
      <w:bookmarkEnd w:id="9"/>
      <w:r>
        <w:rPr>
          <w:rFonts w:ascii="Arial" w:hAnsi="Arial" w:hint="eastAsia"/>
          <w:b/>
          <w:sz w:val="36"/>
          <w:szCs w:val="36"/>
        </w:rPr>
        <w:t>招商银行股份有限公司</w:t>
      </w:r>
    </w:p>
    <w:p w14:paraId="1D2A2FF8" w14:textId="77777777" w:rsidR="000F42D5" w:rsidRDefault="000F42D5">
      <w:pPr>
        <w:autoSpaceDE w:val="0"/>
        <w:autoSpaceDN w:val="0"/>
        <w:adjustRightInd w:val="0"/>
        <w:snapToGrid w:val="0"/>
        <w:spacing w:line="360" w:lineRule="auto"/>
        <w:jc w:val="center"/>
        <w:rPr>
          <w:rFonts w:ascii="宋体" w:hAnsi="宋体" w:cs="Arial"/>
          <w:b/>
          <w:bCs/>
          <w:sz w:val="28"/>
          <w:szCs w:val="28"/>
        </w:rPr>
      </w:pPr>
    </w:p>
    <w:p w14:paraId="767F0746" w14:textId="77777777" w:rsidR="000F42D5" w:rsidRDefault="000F42D5">
      <w:pPr>
        <w:autoSpaceDE w:val="0"/>
        <w:autoSpaceDN w:val="0"/>
        <w:adjustRightInd w:val="0"/>
        <w:snapToGrid w:val="0"/>
        <w:spacing w:line="360" w:lineRule="auto"/>
        <w:jc w:val="center"/>
        <w:rPr>
          <w:rFonts w:ascii="宋体" w:hAnsi="宋体" w:cs="Arial"/>
          <w:b/>
          <w:bCs/>
          <w:sz w:val="28"/>
          <w:szCs w:val="28"/>
        </w:rPr>
      </w:pPr>
    </w:p>
    <w:p w14:paraId="0246F288" w14:textId="0AB7A546" w:rsidR="000F42D5" w:rsidRDefault="00CD3D2E">
      <w:pPr>
        <w:autoSpaceDE w:val="0"/>
        <w:autoSpaceDN w:val="0"/>
        <w:adjustRightInd w:val="0"/>
        <w:snapToGrid w:val="0"/>
        <w:spacing w:line="360" w:lineRule="auto"/>
        <w:jc w:val="center"/>
        <w:rPr>
          <w:rFonts w:ascii="宋体" w:hAnsi="宋体"/>
          <w:b/>
          <w:bCs/>
          <w:sz w:val="30"/>
          <w:szCs w:val="30"/>
        </w:rPr>
        <w:sectPr w:rsidR="000F42D5">
          <w:headerReference w:type="default" r:id="rId19"/>
          <w:footerReference w:type="default" r:id="rId20"/>
          <w:footerReference w:type="first" r:id="rId21"/>
          <w:pgSz w:w="11906" w:h="16838"/>
          <w:pgMar w:top="1440" w:right="1797" w:bottom="1440" w:left="1797" w:header="851" w:footer="992" w:gutter="0"/>
          <w:cols w:space="425"/>
          <w:titlePg/>
          <w:docGrid w:type="lines" w:linePitch="312"/>
        </w:sectPr>
      </w:pPr>
      <w:r>
        <w:rPr>
          <w:rFonts w:ascii="宋体" w:hAnsi="宋体" w:hint="eastAsia"/>
          <w:b/>
          <w:bCs/>
          <w:sz w:val="30"/>
          <w:szCs w:val="30"/>
        </w:rPr>
        <w:t>二〇二一年</w:t>
      </w:r>
      <w:r w:rsidR="00543642">
        <w:rPr>
          <w:rFonts w:ascii="宋体" w:hAnsi="宋体" w:hint="eastAsia"/>
          <w:b/>
          <w:bCs/>
          <w:sz w:val="30"/>
          <w:szCs w:val="30"/>
        </w:rPr>
        <w:t>【十</w:t>
      </w:r>
      <w:r w:rsidR="00BA7E77">
        <w:rPr>
          <w:rFonts w:ascii="宋体" w:hAnsi="宋体" w:hint="eastAsia"/>
          <w:b/>
          <w:bCs/>
          <w:sz w:val="30"/>
          <w:szCs w:val="30"/>
        </w:rPr>
        <w:t>二</w:t>
      </w:r>
      <w:r w:rsidR="00543642">
        <w:rPr>
          <w:rFonts w:ascii="宋体" w:hAnsi="宋体" w:hint="eastAsia"/>
          <w:b/>
          <w:bCs/>
          <w:sz w:val="30"/>
          <w:szCs w:val="30"/>
        </w:rPr>
        <w:t>】</w:t>
      </w:r>
      <w:r>
        <w:rPr>
          <w:rFonts w:ascii="宋体" w:hAnsi="宋体" w:hint="eastAsia"/>
          <w:b/>
          <w:bCs/>
          <w:sz w:val="30"/>
          <w:szCs w:val="30"/>
        </w:rPr>
        <w:t>月</w:t>
      </w:r>
    </w:p>
    <w:p w14:paraId="76D306AC" w14:textId="77777777" w:rsidR="000F42D5" w:rsidRDefault="00CD3D2E">
      <w:pPr>
        <w:autoSpaceDE w:val="0"/>
        <w:autoSpaceDN w:val="0"/>
        <w:adjustRightInd w:val="0"/>
        <w:snapToGrid w:val="0"/>
        <w:spacing w:line="360" w:lineRule="auto"/>
        <w:jc w:val="center"/>
        <w:rPr>
          <w:rFonts w:ascii="宋体" w:hAnsi="宋体"/>
          <w:sz w:val="24"/>
          <w:szCs w:val="24"/>
        </w:rPr>
      </w:pPr>
      <w:r>
        <w:rPr>
          <w:rFonts w:ascii="宋体" w:hAnsi="宋体" w:hint="eastAsia"/>
          <w:b/>
          <w:sz w:val="24"/>
          <w:szCs w:val="24"/>
        </w:rPr>
        <w:lastRenderedPageBreak/>
        <w:t>目   录</w:t>
      </w:r>
    </w:p>
    <w:p w14:paraId="18B3E854" w14:textId="6A013FB9" w:rsidR="000F42D5" w:rsidRDefault="00CD3D2E">
      <w:pPr>
        <w:pStyle w:val="TOC1"/>
        <w:tabs>
          <w:tab w:val="right" w:leader="hyphen" w:pos="8302"/>
        </w:tabs>
        <w:rPr>
          <w:rFonts w:asciiTheme="minorHAnsi" w:eastAsiaTheme="minorEastAsia" w:hAnsiTheme="minorHAnsi" w:cstheme="minorBidi"/>
          <w:noProof/>
          <w:kern w:val="2"/>
          <w:sz w:val="21"/>
        </w:rPr>
      </w:pPr>
      <w:r>
        <w:rPr>
          <w:rFonts w:ascii="宋体" w:hAnsi="宋体"/>
          <w:sz w:val="24"/>
          <w:szCs w:val="24"/>
        </w:rPr>
        <w:fldChar w:fldCharType="begin"/>
      </w:r>
      <w:r>
        <w:rPr>
          <w:rFonts w:ascii="宋体" w:hAnsi="宋体"/>
          <w:sz w:val="24"/>
          <w:szCs w:val="24"/>
        </w:rPr>
        <w:instrText xml:space="preserve"> </w:instrText>
      </w:r>
      <w:r>
        <w:rPr>
          <w:rFonts w:ascii="宋体" w:hAnsi="宋体" w:hint="eastAsia"/>
          <w:sz w:val="24"/>
          <w:szCs w:val="24"/>
        </w:rPr>
        <w:instrText>TOC \o "1-1" \h \z \u</w:instrText>
      </w:r>
      <w:r>
        <w:rPr>
          <w:rFonts w:ascii="宋体" w:hAnsi="宋体"/>
          <w:sz w:val="24"/>
          <w:szCs w:val="24"/>
        </w:rPr>
        <w:instrText xml:space="preserve"> </w:instrText>
      </w:r>
      <w:r>
        <w:rPr>
          <w:rFonts w:ascii="宋体" w:hAnsi="宋体"/>
          <w:sz w:val="24"/>
          <w:szCs w:val="24"/>
        </w:rPr>
        <w:fldChar w:fldCharType="separate"/>
      </w:r>
      <w:hyperlink w:anchor="_Toc531710538" w:history="1">
        <w:r>
          <w:rPr>
            <w:rStyle w:val="af1"/>
            <w:rFonts w:hint="eastAsia"/>
            <w:noProof/>
          </w:rPr>
          <w:t>一、基金托管协议当事人</w:t>
        </w:r>
        <w:r>
          <w:rPr>
            <w:noProof/>
          </w:rPr>
          <w:tab/>
        </w:r>
        <w:r>
          <w:rPr>
            <w:noProof/>
          </w:rPr>
          <w:fldChar w:fldCharType="begin"/>
        </w:r>
        <w:r>
          <w:rPr>
            <w:noProof/>
          </w:rPr>
          <w:instrText xml:space="preserve"> PAGEREF _Toc531710538 \h </w:instrText>
        </w:r>
        <w:r>
          <w:rPr>
            <w:noProof/>
          </w:rPr>
        </w:r>
        <w:r>
          <w:rPr>
            <w:noProof/>
          </w:rPr>
          <w:fldChar w:fldCharType="separate"/>
        </w:r>
        <w:r w:rsidR="00721655">
          <w:rPr>
            <w:noProof/>
          </w:rPr>
          <w:t>4</w:t>
        </w:r>
        <w:r>
          <w:rPr>
            <w:noProof/>
          </w:rPr>
          <w:fldChar w:fldCharType="end"/>
        </w:r>
      </w:hyperlink>
    </w:p>
    <w:p w14:paraId="48E4A207" w14:textId="4CF68AE0" w:rsidR="000F42D5" w:rsidRDefault="00BA7E77">
      <w:pPr>
        <w:pStyle w:val="TOC1"/>
        <w:tabs>
          <w:tab w:val="right" w:leader="hyphen" w:pos="8302"/>
        </w:tabs>
        <w:rPr>
          <w:rFonts w:asciiTheme="minorHAnsi" w:eastAsiaTheme="minorEastAsia" w:hAnsiTheme="minorHAnsi" w:cstheme="minorBidi"/>
          <w:noProof/>
          <w:kern w:val="2"/>
          <w:sz w:val="21"/>
        </w:rPr>
      </w:pPr>
      <w:hyperlink w:anchor="_Toc531710539" w:history="1">
        <w:r w:rsidR="00CD3D2E">
          <w:rPr>
            <w:rStyle w:val="af1"/>
            <w:rFonts w:hint="eastAsia"/>
            <w:noProof/>
          </w:rPr>
          <w:t>二、基金托管协议的依据、目的、原则</w:t>
        </w:r>
        <w:r w:rsidR="00CD3D2E">
          <w:rPr>
            <w:noProof/>
          </w:rPr>
          <w:tab/>
        </w:r>
        <w:r w:rsidR="00CD3D2E">
          <w:rPr>
            <w:noProof/>
          </w:rPr>
          <w:fldChar w:fldCharType="begin"/>
        </w:r>
        <w:r w:rsidR="00CD3D2E">
          <w:rPr>
            <w:noProof/>
          </w:rPr>
          <w:instrText xml:space="preserve"> PAGEREF _Toc531710539 \h </w:instrText>
        </w:r>
        <w:r w:rsidR="00CD3D2E">
          <w:rPr>
            <w:noProof/>
          </w:rPr>
        </w:r>
        <w:r w:rsidR="00CD3D2E">
          <w:rPr>
            <w:noProof/>
          </w:rPr>
          <w:fldChar w:fldCharType="separate"/>
        </w:r>
        <w:r w:rsidR="00721655">
          <w:rPr>
            <w:noProof/>
          </w:rPr>
          <w:t>5</w:t>
        </w:r>
        <w:r w:rsidR="00CD3D2E">
          <w:rPr>
            <w:noProof/>
          </w:rPr>
          <w:fldChar w:fldCharType="end"/>
        </w:r>
      </w:hyperlink>
    </w:p>
    <w:p w14:paraId="0628B346" w14:textId="293A9815" w:rsidR="000F42D5" w:rsidRDefault="00BA7E77">
      <w:pPr>
        <w:pStyle w:val="TOC1"/>
        <w:tabs>
          <w:tab w:val="right" w:leader="hyphen" w:pos="8302"/>
        </w:tabs>
        <w:rPr>
          <w:rFonts w:asciiTheme="minorHAnsi" w:eastAsiaTheme="minorEastAsia" w:hAnsiTheme="minorHAnsi" w:cstheme="minorBidi"/>
          <w:noProof/>
          <w:kern w:val="2"/>
          <w:sz w:val="21"/>
        </w:rPr>
      </w:pPr>
      <w:hyperlink w:anchor="_Toc531710540" w:history="1">
        <w:r w:rsidR="00CD3D2E">
          <w:rPr>
            <w:rStyle w:val="af1"/>
            <w:rFonts w:hint="eastAsia"/>
            <w:noProof/>
          </w:rPr>
          <w:t>三、基金托管人对基金管理人的业务监督和核查</w:t>
        </w:r>
        <w:r w:rsidR="00CD3D2E">
          <w:rPr>
            <w:noProof/>
          </w:rPr>
          <w:tab/>
        </w:r>
        <w:r w:rsidR="00CD3D2E">
          <w:rPr>
            <w:noProof/>
          </w:rPr>
          <w:fldChar w:fldCharType="begin"/>
        </w:r>
        <w:r w:rsidR="00CD3D2E">
          <w:rPr>
            <w:noProof/>
          </w:rPr>
          <w:instrText xml:space="preserve"> PAGEREF _Toc531710540 \h </w:instrText>
        </w:r>
        <w:r w:rsidR="00CD3D2E">
          <w:rPr>
            <w:noProof/>
          </w:rPr>
        </w:r>
        <w:r w:rsidR="00CD3D2E">
          <w:rPr>
            <w:noProof/>
          </w:rPr>
          <w:fldChar w:fldCharType="separate"/>
        </w:r>
        <w:r w:rsidR="00721655">
          <w:rPr>
            <w:noProof/>
          </w:rPr>
          <w:t>6</w:t>
        </w:r>
        <w:r w:rsidR="00CD3D2E">
          <w:rPr>
            <w:noProof/>
          </w:rPr>
          <w:fldChar w:fldCharType="end"/>
        </w:r>
      </w:hyperlink>
    </w:p>
    <w:p w14:paraId="627237E7" w14:textId="47E915E6" w:rsidR="000F42D5" w:rsidRDefault="00BA7E77">
      <w:pPr>
        <w:pStyle w:val="TOC1"/>
        <w:tabs>
          <w:tab w:val="right" w:leader="hyphen" w:pos="8302"/>
        </w:tabs>
        <w:rPr>
          <w:rFonts w:asciiTheme="minorHAnsi" w:eastAsiaTheme="minorEastAsia" w:hAnsiTheme="minorHAnsi" w:cstheme="minorBidi"/>
          <w:noProof/>
          <w:kern w:val="2"/>
          <w:sz w:val="21"/>
        </w:rPr>
      </w:pPr>
      <w:hyperlink w:anchor="_Toc531710541" w:history="1">
        <w:r w:rsidR="00CD3D2E">
          <w:rPr>
            <w:rStyle w:val="af1"/>
            <w:rFonts w:hint="eastAsia"/>
            <w:noProof/>
          </w:rPr>
          <w:t>四、基金管理人对基金托管人的业务核查</w:t>
        </w:r>
        <w:r w:rsidR="00CD3D2E">
          <w:rPr>
            <w:noProof/>
          </w:rPr>
          <w:tab/>
        </w:r>
        <w:r w:rsidR="00CD3D2E">
          <w:rPr>
            <w:noProof/>
          </w:rPr>
          <w:fldChar w:fldCharType="begin"/>
        </w:r>
        <w:r w:rsidR="00CD3D2E">
          <w:rPr>
            <w:noProof/>
          </w:rPr>
          <w:instrText xml:space="preserve"> PAGEREF _Toc531710541 \h </w:instrText>
        </w:r>
        <w:r w:rsidR="00CD3D2E">
          <w:rPr>
            <w:noProof/>
          </w:rPr>
        </w:r>
        <w:r w:rsidR="00CD3D2E">
          <w:rPr>
            <w:noProof/>
          </w:rPr>
          <w:fldChar w:fldCharType="separate"/>
        </w:r>
        <w:r w:rsidR="00721655">
          <w:rPr>
            <w:noProof/>
          </w:rPr>
          <w:t>17</w:t>
        </w:r>
        <w:r w:rsidR="00CD3D2E">
          <w:rPr>
            <w:noProof/>
          </w:rPr>
          <w:fldChar w:fldCharType="end"/>
        </w:r>
      </w:hyperlink>
    </w:p>
    <w:p w14:paraId="52D790F4" w14:textId="53FA0234" w:rsidR="000F42D5" w:rsidRDefault="00BA7E77">
      <w:pPr>
        <w:pStyle w:val="TOC1"/>
        <w:tabs>
          <w:tab w:val="right" w:leader="hyphen" w:pos="8302"/>
        </w:tabs>
        <w:rPr>
          <w:rFonts w:asciiTheme="minorHAnsi" w:eastAsiaTheme="minorEastAsia" w:hAnsiTheme="minorHAnsi" w:cstheme="minorBidi"/>
          <w:noProof/>
          <w:kern w:val="2"/>
          <w:sz w:val="21"/>
        </w:rPr>
      </w:pPr>
      <w:hyperlink w:anchor="_Toc531710542" w:history="1">
        <w:r w:rsidR="00CD3D2E">
          <w:rPr>
            <w:rStyle w:val="af1"/>
            <w:rFonts w:hint="eastAsia"/>
            <w:noProof/>
          </w:rPr>
          <w:t>五、基金财产的保管</w:t>
        </w:r>
        <w:r w:rsidR="00CD3D2E">
          <w:rPr>
            <w:noProof/>
          </w:rPr>
          <w:tab/>
        </w:r>
        <w:r w:rsidR="00CD3D2E">
          <w:rPr>
            <w:noProof/>
          </w:rPr>
          <w:fldChar w:fldCharType="begin"/>
        </w:r>
        <w:r w:rsidR="00CD3D2E">
          <w:rPr>
            <w:noProof/>
          </w:rPr>
          <w:instrText xml:space="preserve"> PAGEREF _Toc531710542 \h </w:instrText>
        </w:r>
        <w:r w:rsidR="00CD3D2E">
          <w:rPr>
            <w:noProof/>
          </w:rPr>
        </w:r>
        <w:r w:rsidR="00CD3D2E">
          <w:rPr>
            <w:noProof/>
          </w:rPr>
          <w:fldChar w:fldCharType="separate"/>
        </w:r>
        <w:r w:rsidR="00721655">
          <w:rPr>
            <w:noProof/>
          </w:rPr>
          <w:t>18</w:t>
        </w:r>
        <w:r w:rsidR="00CD3D2E">
          <w:rPr>
            <w:noProof/>
          </w:rPr>
          <w:fldChar w:fldCharType="end"/>
        </w:r>
      </w:hyperlink>
    </w:p>
    <w:p w14:paraId="32E0BA08" w14:textId="39336314" w:rsidR="000F42D5" w:rsidRDefault="00BA7E77">
      <w:pPr>
        <w:pStyle w:val="TOC1"/>
        <w:tabs>
          <w:tab w:val="right" w:leader="hyphen" w:pos="8302"/>
        </w:tabs>
        <w:rPr>
          <w:rFonts w:asciiTheme="minorHAnsi" w:eastAsiaTheme="minorEastAsia" w:hAnsiTheme="minorHAnsi" w:cstheme="minorBidi"/>
          <w:noProof/>
          <w:kern w:val="2"/>
          <w:sz w:val="21"/>
        </w:rPr>
      </w:pPr>
      <w:hyperlink w:anchor="_Toc531710543" w:history="1">
        <w:r w:rsidR="00CD3D2E">
          <w:rPr>
            <w:rStyle w:val="af1"/>
            <w:rFonts w:hint="eastAsia"/>
            <w:noProof/>
          </w:rPr>
          <w:t>六、指令的发送、确认及执行</w:t>
        </w:r>
        <w:r w:rsidR="00CD3D2E">
          <w:rPr>
            <w:noProof/>
          </w:rPr>
          <w:tab/>
        </w:r>
        <w:r w:rsidR="00CD3D2E">
          <w:rPr>
            <w:noProof/>
          </w:rPr>
          <w:fldChar w:fldCharType="begin"/>
        </w:r>
        <w:r w:rsidR="00CD3D2E">
          <w:rPr>
            <w:noProof/>
          </w:rPr>
          <w:instrText xml:space="preserve"> PAGEREF _Toc531710543 \h </w:instrText>
        </w:r>
        <w:r w:rsidR="00CD3D2E">
          <w:rPr>
            <w:noProof/>
          </w:rPr>
        </w:r>
        <w:r w:rsidR="00CD3D2E">
          <w:rPr>
            <w:noProof/>
          </w:rPr>
          <w:fldChar w:fldCharType="separate"/>
        </w:r>
        <w:r w:rsidR="00721655">
          <w:rPr>
            <w:noProof/>
          </w:rPr>
          <w:t>22</w:t>
        </w:r>
        <w:r w:rsidR="00CD3D2E">
          <w:rPr>
            <w:noProof/>
          </w:rPr>
          <w:fldChar w:fldCharType="end"/>
        </w:r>
      </w:hyperlink>
    </w:p>
    <w:p w14:paraId="724D9321" w14:textId="036CB61C" w:rsidR="000F42D5" w:rsidRDefault="00BA7E77">
      <w:pPr>
        <w:pStyle w:val="TOC1"/>
        <w:tabs>
          <w:tab w:val="right" w:leader="hyphen" w:pos="8302"/>
        </w:tabs>
        <w:rPr>
          <w:rFonts w:asciiTheme="minorHAnsi" w:eastAsiaTheme="minorEastAsia" w:hAnsiTheme="minorHAnsi" w:cstheme="minorBidi"/>
          <w:noProof/>
          <w:kern w:val="2"/>
          <w:sz w:val="21"/>
        </w:rPr>
      </w:pPr>
      <w:hyperlink w:anchor="_Toc531710544" w:history="1">
        <w:r w:rsidR="00CD3D2E">
          <w:rPr>
            <w:rStyle w:val="af1"/>
            <w:rFonts w:hint="eastAsia"/>
            <w:noProof/>
          </w:rPr>
          <w:t>七、交易及清算交收安排</w:t>
        </w:r>
        <w:r w:rsidR="00CD3D2E">
          <w:rPr>
            <w:noProof/>
          </w:rPr>
          <w:tab/>
        </w:r>
        <w:r w:rsidR="00CD3D2E">
          <w:rPr>
            <w:noProof/>
          </w:rPr>
          <w:fldChar w:fldCharType="begin"/>
        </w:r>
        <w:r w:rsidR="00CD3D2E">
          <w:rPr>
            <w:noProof/>
          </w:rPr>
          <w:instrText xml:space="preserve"> PAGEREF _Toc531710544 \h </w:instrText>
        </w:r>
        <w:r w:rsidR="00CD3D2E">
          <w:rPr>
            <w:noProof/>
          </w:rPr>
        </w:r>
        <w:r w:rsidR="00CD3D2E">
          <w:rPr>
            <w:noProof/>
          </w:rPr>
          <w:fldChar w:fldCharType="separate"/>
        </w:r>
        <w:r w:rsidR="00721655">
          <w:rPr>
            <w:noProof/>
          </w:rPr>
          <w:t>27</w:t>
        </w:r>
        <w:r w:rsidR="00CD3D2E">
          <w:rPr>
            <w:noProof/>
          </w:rPr>
          <w:fldChar w:fldCharType="end"/>
        </w:r>
      </w:hyperlink>
    </w:p>
    <w:p w14:paraId="25124B1B" w14:textId="7C92FA5A" w:rsidR="000F42D5" w:rsidRDefault="00BA7E77">
      <w:pPr>
        <w:pStyle w:val="TOC1"/>
        <w:tabs>
          <w:tab w:val="right" w:leader="hyphen" w:pos="8302"/>
        </w:tabs>
        <w:rPr>
          <w:rFonts w:asciiTheme="minorHAnsi" w:eastAsiaTheme="minorEastAsia" w:hAnsiTheme="minorHAnsi" w:cstheme="minorBidi"/>
          <w:noProof/>
          <w:kern w:val="2"/>
          <w:sz w:val="21"/>
        </w:rPr>
      </w:pPr>
      <w:hyperlink w:anchor="_Toc531710545" w:history="1">
        <w:r w:rsidR="00CD3D2E">
          <w:rPr>
            <w:rStyle w:val="af1"/>
            <w:rFonts w:hint="eastAsia"/>
            <w:noProof/>
          </w:rPr>
          <w:t>八、基金资产净值计算和会计核算</w:t>
        </w:r>
        <w:r w:rsidR="00CD3D2E">
          <w:rPr>
            <w:noProof/>
          </w:rPr>
          <w:tab/>
        </w:r>
        <w:r w:rsidR="00CD3D2E">
          <w:rPr>
            <w:noProof/>
          </w:rPr>
          <w:fldChar w:fldCharType="begin"/>
        </w:r>
        <w:r w:rsidR="00CD3D2E">
          <w:rPr>
            <w:noProof/>
          </w:rPr>
          <w:instrText xml:space="preserve"> PAGEREF _Toc531710545 \h </w:instrText>
        </w:r>
        <w:r w:rsidR="00CD3D2E">
          <w:rPr>
            <w:noProof/>
          </w:rPr>
        </w:r>
        <w:r w:rsidR="00CD3D2E">
          <w:rPr>
            <w:noProof/>
          </w:rPr>
          <w:fldChar w:fldCharType="separate"/>
        </w:r>
        <w:r w:rsidR="00721655">
          <w:rPr>
            <w:noProof/>
          </w:rPr>
          <w:t>31</w:t>
        </w:r>
        <w:r w:rsidR="00CD3D2E">
          <w:rPr>
            <w:noProof/>
          </w:rPr>
          <w:fldChar w:fldCharType="end"/>
        </w:r>
      </w:hyperlink>
    </w:p>
    <w:p w14:paraId="49D816DC" w14:textId="2D9B5904" w:rsidR="000F42D5" w:rsidRDefault="00BA7E77">
      <w:pPr>
        <w:pStyle w:val="TOC1"/>
        <w:tabs>
          <w:tab w:val="right" w:leader="hyphen" w:pos="8302"/>
        </w:tabs>
        <w:rPr>
          <w:rFonts w:asciiTheme="minorHAnsi" w:eastAsiaTheme="minorEastAsia" w:hAnsiTheme="minorHAnsi" w:cstheme="minorBidi"/>
          <w:noProof/>
          <w:kern w:val="2"/>
          <w:sz w:val="21"/>
        </w:rPr>
      </w:pPr>
      <w:hyperlink w:anchor="_Toc531710546" w:history="1">
        <w:r w:rsidR="00CD3D2E">
          <w:rPr>
            <w:rStyle w:val="af1"/>
            <w:rFonts w:hint="eastAsia"/>
            <w:noProof/>
          </w:rPr>
          <w:t>九、基金收益分配</w:t>
        </w:r>
        <w:r w:rsidR="00CD3D2E">
          <w:rPr>
            <w:noProof/>
          </w:rPr>
          <w:tab/>
        </w:r>
        <w:r w:rsidR="00CD3D2E">
          <w:rPr>
            <w:noProof/>
          </w:rPr>
          <w:fldChar w:fldCharType="begin"/>
        </w:r>
        <w:r w:rsidR="00CD3D2E">
          <w:rPr>
            <w:noProof/>
          </w:rPr>
          <w:instrText xml:space="preserve"> PAGEREF _Toc531710546 \h </w:instrText>
        </w:r>
        <w:r w:rsidR="00CD3D2E">
          <w:rPr>
            <w:noProof/>
          </w:rPr>
        </w:r>
        <w:r w:rsidR="00CD3D2E">
          <w:rPr>
            <w:noProof/>
          </w:rPr>
          <w:fldChar w:fldCharType="separate"/>
        </w:r>
        <w:r w:rsidR="00721655">
          <w:rPr>
            <w:noProof/>
          </w:rPr>
          <w:t>33</w:t>
        </w:r>
        <w:r w:rsidR="00CD3D2E">
          <w:rPr>
            <w:noProof/>
          </w:rPr>
          <w:fldChar w:fldCharType="end"/>
        </w:r>
      </w:hyperlink>
    </w:p>
    <w:p w14:paraId="01F1DDC7" w14:textId="3BB2ADEB" w:rsidR="000F42D5" w:rsidRDefault="00BA7E77">
      <w:pPr>
        <w:pStyle w:val="TOC1"/>
        <w:tabs>
          <w:tab w:val="right" w:leader="hyphen" w:pos="8302"/>
        </w:tabs>
        <w:rPr>
          <w:rFonts w:asciiTheme="minorHAnsi" w:eastAsiaTheme="minorEastAsia" w:hAnsiTheme="minorHAnsi" w:cstheme="minorBidi"/>
          <w:noProof/>
          <w:kern w:val="2"/>
          <w:sz w:val="21"/>
        </w:rPr>
      </w:pPr>
      <w:hyperlink w:anchor="_Toc531710547" w:history="1">
        <w:r w:rsidR="00CD3D2E">
          <w:rPr>
            <w:rStyle w:val="af1"/>
            <w:rFonts w:hint="eastAsia"/>
            <w:noProof/>
          </w:rPr>
          <w:t>十、基金信息披露</w:t>
        </w:r>
        <w:r w:rsidR="00CD3D2E">
          <w:rPr>
            <w:noProof/>
          </w:rPr>
          <w:tab/>
        </w:r>
        <w:r w:rsidR="00CD3D2E">
          <w:rPr>
            <w:noProof/>
          </w:rPr>
          <w:fldChar w:fldCharType="begin"/>
        </w:r>
        <w:r w:rsidR="00CD3D2E">
          <w:rPr>
            <w:noProof/>
          </w:rPr>
          <w:instrText xml:space="preserve"> PAGEREF _Toc531710547 \h </w:instrText>
        </w:r>
        <w:r w:rsidR="00CD3D2E">
          <w:rPr>
            <w:noProof/>
          </w:rPr>
        </w:r>
        <w:r w:rsidR="00CD3D2E">
          <w:rPr>
            <w:noProof/>
          </w:rPr>
          <w:fldChar w:fldCharType="separate"/>
        </w:r>
        <w:r w:rsidR="00721655">
          <w:rPr>
            <w:noProof/>
          </w:rPr>
          <w:t>34</w:t>
        </w:r>
        <w:r w:rsidR="00CD3D2E">
          <w:rPr>
            <w:noProof/>
          </w:rPr>
          <w:fldChar w:fldCharType="end"/>
        </w:r>
      </w:hyperlink>
    </w:p>
    <w:p w14:paraId="36D5C554" w14:textId="50C6E471" w:rsidR="000F42D5" w:rsidRDefault="00BA7E77">
      <w:pPr>
        <w:pStyle w:val="TOC1"/>
        <w:tabs>
          <w:tab w:val="right" w:leader="hyphen" w:pos="8302"/>
        </w:tabs>
        <w:rPr>
          <w:rFonts w:asciiTheme="minorHAnsi" w:eastAsiaTheme="minorEastAsia" w:hAnsiTheme="minorHAnsi" w:cstheme="minorBidi"/>
          <w:noProof/>
          <w:kern w:val="2"/>
          <w:sz w:val="21"/>
        </w:rPr>
      </w:pPr>
      <w:hyperlink w:anchor="_Toc531710548" w:history="1">
        <w:r w:rsidR="00CD3D2E">
          <w:rPr>
            <w:rStyle w:val="af1"/>
            <w:rFonts w:hint="eastAsia"/>
            <w:noProof/>
          </w:rPr>
          <w:t>十一、基金费用</w:t>
        </w:r>
        <w:r w:rsidR="00CD3D2E">
          <w:rPr>
            <w:noProof/>
          </w:rPr>
          <w:tab/>
        </w:r>
        <w:r w:rsidR="00CD3D2E">
          <w:rPr>
            <w:noProof/>
          </w:rPr>
          <w:fldChar w:fldCharType="begin"/>
        </w:r>
        <w:r w:rsidR="00CD3D2E">
          <w:rPr>
            <w:noProof/>
          </w:rPr>
          <w:instrText xml:space="preserve"> PAGEREF _Toc531710548 \h </w:instrText>
        </w:r>
        <w:r w:rsidR="00CD3D2E">
          <w:rPr>
            <w:noProof/>
          </w:rPr>
        </w:r>
        <w:r w:rsidR="00CD3D2E">
          <w:rPr>
            <w:noProof/>
          </w:rPr>
          <w:fldChar w:fldCharType="separate"/>
        </w:r>
        <w:r w:rsidR="00721655">
          <w:rPr>
            <w:noProof/>
          </w:rPr>
          <w:t>36</w:t>
        </w:r>
        <w:r w:rsidR="00CD3D2E">
          <w:rPr>
            <w:noProof/>
          </w:rPr>
          <w:fldChar w:fldCharType="end"/>
        </w:r>
      </w:hyperlink>
    </w:p>
    <w:p w14:paraId="41FFFD89" w14:textId="7936953E" w:rsidR="000F42D5" w:rsidRDefault="00BA7E77">
      <w:pPr>
        <w:pStyle w:val="TOC1"/>
        <w:tabs>
          <w:tab w:val="right" w:leader="hyphen" w:pos="8302"/>
        </w:tabs>
        <w:rPr>
          <w:rFonts w:asciiTheme="minorHAnsi" w:eastAsiaTheme="minorEastAsia" w:hAnsiTheme="minorHAnsi" w:cstheme="minorBidi"/>
          <w:noProof/>
          <w:kern w:val="2"/>
          <w:sz w:val="21"/>
        </w:rPr>
      </w:pPr>
      <w:hyperlink w:anchor="_Toc531710549" w:history="1">
        <w:r w:rsidR="00CD3D2E">
          <w:rPr>
            <w:rStyle w:val="af1"/>
            <w:rFonts w:hint="eastAsia"/>
            <w:noProof/>
          </w:rPr>
          <w:t>十二、基金份额持有人名册的保管</w:t>
        </w:r>
        <w:r w:rsidR="00CD3D2E">
          <w:rPr>
            <w:noProof/>
          </w:rPr>
          <w:tab/>
        </w:r>
        <w:r w:rsidR="00CD3D2E">
          <w:rPr>
            <w:noProof/>
          </w:rPr>
          <w:fldChar w:fldCharType="begin"/>
        </w:r>
        <w:r w:rsidR="00CD3D2E">
          <w:rPr>
            <w:noProof/>
          </w:rPr>
          <w:instrText xml:space="preserve"> PAGEREF _Toc531710549 \h </w:instrText>
        </w:r>
        <w:r w:rsidR="00CD3D2E">
          <w:rPr>
            <w:noProof/>
          </w:rPr>
        </w:r>
        <w:r w:rsidR="00CD3D2E">
          <w:rPr>
            <w:noProof/>
          </w:rPr>
          <w:fldChar w:fldCharType="separate"/>
        </w:r>
        <w:r w:rsidR="00721655">
          <w:rPr>
            <w:noProof/>
          </w:rPr>
          <w:t>37</w:t>
        </w:r>
        <w:r w:rsidR="00CD3D2E">
          <w:rPr>
            <w:noProof/>
          </w:rPr>
          <w:fldChar w:fldCharType="end"/>
        </w:r>
      </w:hyperlink>
    </w:p>
    <w:p w14:paraId="14AE4F55" w14:textId="3E0875B1" w:rsidR="000F42D5" w:rsidRDefault="00BA7E77">
      <w:pPr>
        <w:pStyle w:val="TOC1"/>
        <w:tabs>
          <w:tab w:val="right" w:leader="hyphen" w:pos="8302"/>
        </w:tabs>
        <w:rPr>
          <w:rFonts w:asciiTheme="minorHAnsi" w:eastAsiaTheme="minorEastAsia" w:hAnsiTheme="minorHAnsi" w:cstheme="minorBidi"/>
          <w:noProof/>
          <w:kern w:val="2"/>
          <w:sz w:val="21"/>
        </w:rPr>
      </w:pPr>
      <w:hyperlink w:anchor="_Toc531710550" w:history="1">
        <w:r w:rsidR="00CD3D2E">
          <w:rPr>
            <w:rStyle w:val="af1"/>
            <w:rFonts w:hint="eastAsia"/>
            <w:noProof/>
          </w:rPr>
          <w:t>十三、基金有关文件档案的保存</w:t>
        </w:r>
        <w:r w:rsidR="00CD3D2E">
          <w:rPr>
            <w:noProof/>
          </w:rPr>
          <w:tab/>
        </w:r>
        <w:r w:rsidR="00CD3D2E">
          <w:rPr>
            <w:noProof/>
          </w:rPr>
          <w:fldChar w:fldCharType="begin"/>
        </w:r>
        <w:r w:rsidR="00CD3D2E">
          <w:rPr>
            <w:noProof/>
          </w:rPr>
          <w:instrText xml:space="preserve"> PAGEREF _Toc531710550 \h </w:instrText>
        </w:r>
        <w:r w:rsidR="00CD3D2E">
          <w:rPr>
            <w:noProof/>
          </w:rPr>
        </w:r>
        <w:r w:rsidR="00CD3D2E">
          <w:rPr>
            <w:noProof/>
          </w:rPr>
          <w:fldChar w:fldCharType="separate"/>
        </w:r>
        <w:r w:rsidR="00721655">
          <w:rPr>
            <w:noProof/>
          </w:rPr>
          <w:t>38</w:t>
        </w:r>
        <w:r w:rsidR="00CD3D2E">
          <w:rPr>
            <w:noProof/>
          </w:rPr>
          <w:fldChar w:fldCharType="end"/>
        </w:r>
      </w:hyperlink>
    </w:p>
    <w:p w14:paraId="7E262C31" w14:textId="6597DF0A" w:rsidR="000F42D5" w:rsidRDefault="00BA7E77">
      <w:pPr>
        <w:pStyle w:val="TOC1"/>
        <w:tabs>
          <w:tab w:val="right" w:leader="hyphen" w:pos="8302"/>
        </w:tabs>
        <w:rPr>
          <w:rFonts w:asciiTheme="minorHAnsi" w:eastAsiaTheme="minorEastAsia" w:hAnsiTheme="minorHAnsi" w:cstheme="minorBidi"/>
          <w:noProof/>
          <w:kern w:val="2"/>
          <w:sz w:val="21"/>
        </w:rPr>
      </w:pPr>
      <w:hyperlink w:anchor="_Toc531710551" w:history="1">
        <w:r w:rsidR="00CD3D2E">
          <w:rPr>
            <w:rStyle w:val="af1"/>
            <w:rFonts w:hint="eastAsia"/>
            <w:noProof/>
          </w:rPr>
          <w:t>十四、基金管理人和基金托管人的更换</w:t>
        </w:r>
        <w:r w:rsidR="00CD3D2E">
          <w:rPr>
            <w:noProof/>
          </w:rPr>
          <w:tab/>
        </w:r>
        <w:r w:rsidR="00CD3D2E">
          <w:rPr>
            <w:noProof/>
          </w:rPr>
          <w:fldChar w:fldCharType="begin"/>
        </w:r>
        <w:r w:rsidR="00CD3D2E">
          <w:rPr>
            <w:noProof/>
          </w:rPr>
          <w:instrText xml:space="preserve"> PAGEREF _Toc531710551 \h </w:instrText>
        </w:r>
        <w:r w:rsidR="00CD3D2E">
          <w:rPr>
            <w:noProof/>
          </w:rPr>
        </w:r>
        <w:r w:rsidR="00CD3D2E">
          <w:rPr>
            <w:noProof/>
          </w:rPr>
          <w:fldChar w:fldCharType="separate"/>
        </w:r>
        <w:r w:rsidR="00721655">
          <w:rPr>
            <w:noProof/>
          </w:rPr>
          <w:t>39</w:t>
        </w:r>
        <w:r w:rsidR="00CD3D2E">
          <w:rPr>
            <w:noProof/>
          </w:rPr>
          <w:fldChar w:fldCharType="end"/>
        </w:r>
      </w:hyperlink>
    </w:p>
    <w:p w14:paraId="197A5C79" w14:textId="0E547760" w:rsidR="000F42D5" w:rsidRDefault="00BA7E77">
      <w:pPr>
        <w:pStyle w:val="TOC1"/>
        <w:tabs>
          <w:tab w:val="right" w:leader="hyphen" w:pos="8302"/>
        </w:tabs>
        <w:rPr>
          <w:rFonts w:asciiTheme="minorHAnsi" w:eastAsiaTheme="minorEastAsia" w:hAnsiTheme="minorHAnsi" w:cstheme="minorBidi"/>
          <w:noProof/>
          <w:kern w:val="2"/>
          <w:sz w:val="21"/>
        </w:rPr>
      </w:pPr>
      <w:hyperlink w:anchor="_Toc531710552" w:history="1">
        <w:r w:rsidR="00CD3D2E">
          <w:rPr>
            <w:rStyle w:val="af1"/>
            <w:rFonts w:hint="eastAsia"/>
            <w:noProof/>
          </w:rPr>
          <w:t>十五、禁止行为</w:t>
        </w:r>
        <w:r w:rsidR="00CD3D2E">
          <w:rPr>
            <w:noProof/>
          </w:rPr>
          <w:tab/>
        </w:r>
        <w:r w:rsidR="00CD3D2E">
          <w:rPr>
            <w:noProof/>
          </w:rPr>
          <w:fldChar w:fldCharType="begin"/>
        </w:r>
        <w:r w:rsidR="00CD3D2E">
          <w:rPr>
            <w:noProof/>
          </w:rPr>
          <w:instrText xml:space="preserve"> PAGEREF _Toc531710552 \h </w:instrText>
        </w:r>
        <w:r w:rsidR="00CD3D2E">
          <w:rPr>
            <w:noProof/>
          </w:rPr>
        </w:r>
        <w:r w:rsidR="00CD3D2E">
          <w:rPr>
            <w:noProof/>
          </w:rPr>
          <w:fldChar w:fldCharType="separate"/>
        </w:r>
        <w:r w:rsidR="00721655">
          <w:rPr>
            <w:noProof/>
          </w:rPr>
          <w:t>40</w:t>
        </w:r>
        <w:r w:rsidR="00CD3D2E">
          <w:rPr>
            <w:noProof/>
          </w:rPr>
          <w:fldChar w:fldCharType="end"/>
        </w:r>
      </w:hyperlink>
    </w:p>
    <w:p w14:paraId="063A4D6D" w14:textId="59745133" w:rsidR="000F42D5" w:rsidRDefault="00BA7E77">
      <w:pPr>
        <w:pStyle w:val="TOC1"/>
        <w:tabs>
          <w:tab w:val="right" w:leader="hyphen" w:pos="8302"/>
        </w:tabs>
        <w:rPr>
          <w:rFonts w:asciiTheme="minorHAnsi" w:eastAsiaTheme="minorEastAsia" w:hAnsiTheme="minorHAnsi" w:cstheme="minorBidi"/>
          <w:noProof/>
          <w:kern w:val="2"/>
          <w:sz w:val="21"/>
        </w:rPr>
      </w:pPr>
      <w:hyperlink w:anchor="_Toc531710553" w:history="1">
        <w:r w:rsidR="00CD3D2E">
          <w:rPr>
            <w:rStyle w:val="af1"/>
            <w:rFonts w:hint="eastAsia"/>
            <w:noProof/>
          </w:rPr>
          <w:t>十六、托管协议的变更、终止与基金财</w:t>
        </w:r>
        <w:r w:rsidR="00CD3D2E">
          <w:rPr>
            <w:rStyle w:val="af1"/>
            <w:rFonts w:hint="eastAsia"/>
            <w:noProof/>
          </w:rPr>
          <w:t>产</w:t>
        </w:r>
        <w:r w:rsidR="00CD3D2E">
          <w:rPr>
            <w:rStyle w:val="af1"/>
            <w:rFonts w:hint="eastAsia"/>
            <w:noProof/>
          </w:rPr>
          <w:t>的清算</w:t>
        </w:r>
        <w:r w:rsidR="00CD3D2E">
          <w:rPr>
            <w:noProof/>
          </w:rPr>
          <w:tab/>
        </w:r>
        <w:r w:rsidR="00CD3D2E">
          <w:rPr>
            <w:noProof/>
          </w:rPr>
          <w:fldChar w:fldCharType="begin"/>
        </w:r>
        <w:r w:rsidR="00CD3D2E">
          <w:rPr>
            <w:noProof/>
          </w:rPr>
          <w:instrText xml:space="preserve"> PAGEREF _Toc531710553 \h </w:instrText>
        </w:r>
        <w:r w:rsidR="00CD3D2E">
          <w:rPr>
            <w:noProof/>
          </w:rPr>
        </w:r>
        <w:r w:rsidR="00CD3D2E">
          <w:rPr>
            <w:noProof/>
          </w:rPr>
          <w:fldChar w:fldCharType="separate"/>
        </w:r>
        <w:r w:rsidR="00721655">
          <w:rPr>
            <w:noProof/>
          </w:rPr>
          <w:t>41</w:t>
        </w:r>
        <w:r w:rsidR="00CD3D2E">
          <w:rPr>
            <w:noProof/>
          </w:rPr>
          <w:fldChar w:fldCharType="end"/>
        </w:r>
      </w:hyperlink>
    </w:p>
    <w:p w14:paraId="05B8FC4F" w14:textId="5E5BFBA0" w:rsidR="000F42D5" w:rsidRDefault="00BA7E77">
      <w:pPr>
        <w:pStyle w:val="TOC1"/>
        <w:tabs>
          <w:tab w:val="right" w:leader="hyphen" w:pos="8302"/>
        </w:tabs>
        <w:rPr>
          <w:rFonts w:asciiTheme="minorHAnsi" w:eastAsiaTheme="minorEastAsia" w:hAnsiTheme="minorHAnsi" w:cstheme="minorBidi"/>
          <w:noProof/>
          <w:kern w:val="2"/>
          <w:sz w:val="21"/>
        </w:rPr>
      </w:pPr>
      <w:hyperlink w:anchor="_Toc531710554" w:history="1">
        <w:r w:rsidR="00CD3D2E">
          <w:rPr>
            <w:rStyle w:val="af1"/>
            <w:rFonts w:hint="eastAsia"/>
            <w:noProof/>
          </w:rPr>
          <w:t>十七、违约责任</w:t>
        </w:r>
        <w:r w:rsidR="00CD3D2E">
          <w:rPr>
            <w:noProof/>
          </w:rPr>
          <w:tab/>
        </w:r>
        <w:r w:rsidR="00CD3D2E">
          <w:rPr>
            <w:noProof/>
          </w:rPr>
          <w:fldChar w:fldCharType="begin"/>
        </w:r>
        <w:r w:rsidR="00CD3D2E">
          <w:rPr>
            <w:noProof/>
          </w:rPr>
          <w:instrText xml:space="preserve"> PAGEREF _Toc531710554 \h </w:instrText>
        </w:r>
        <w:r w:rsidR="00CD3D2E">
          <w:rPr>
            <w:noProof/>
          </w:rPr>
        </w:r>
        <w:r w:rsidR="00CD3D2E">
          <w:rPr>
            <w:noProof/>
          </w:rPr>
          <w:fldChar w:fldCharType="separate"/>
        </w:r>
        <w:r w:rsidR="00721655">
          <w:rPr>
            <w:noProof/>
          </w:rPr>
          <w:t>42</w:t>
        </w:r>
        <w:r w:rsidR="00CD3D2E">
          <w:rPr>
            <w:noProof/>
          </w:rPr>
          <w:fldChar w:fldCharType="end"/>
        </w:r>
      </w:hyperlink>
    </w:p>
    <w:p w14:paraId="24B40E89" w14:textId="09D10AC3" w:rsidR="000F42D5" w:rsidRDefault="00BA7E77">
      <w:pPr>
        <w:pStyle w:val="TOC1"/>
        <w:tabs>
          <w:tab w:val="right" w:leader="hyphen" w:pos="8302"/>
        </w:tabs>
        <w:rPr>
          <w:rFonts w:asciiTheme="minorHAnsi" w:eastAsiaTheme="minorEastAsia" w:hAnsiTheme="minorHAnsi" w:cstheme="minorBidi"/>
          <w:noProof/>
          <w:kern w:val="2"/>
          <w:sz w:val="21"/>
        </w:rPr>
      </w:pPr>
      <w:hyperlink w:anchor="_Toc531710555" w:history="1">
        <w:r w:rsidR="00CD3D2E">
          <w:rPr>
            <w:rStyle w:val="af1"/>
            <w:rFonts w:hint="eastAsia"/>
            <w:noProof/>
          </w:rPr>
          <w:t>十八、争议解决方式</w:t>
        </w:r>
        <w:r w:rsidR="00CD3D2E">
          <w:rPr>
            <w:noProof/>
          </w:rPr>
          <w:tab/>
        </w:r>
        <w:r w:rsidR="00CD3D2E">
          <w:rPr>
            <w:noProof/>
          </w:rPr>
          <w:fldChar w:fldCharType="begin"/>
        </w:r>
        <w:r w:rsidR="00CD3D2E">
          <w:rPr>
            <w:noProof/>
          </w:rPr>
          <w:instrText xml:space="preserve"> PAGEREF _Toc531710555 \h </w:instrText>
        </w:r>
        <w:r w:rsidR="00CD3D2E">
          <w:rPr>
            <w:noProof/>
          </w:rPr>
        </w:r>
        <w:r w:rsidR="00CD3D2E">
          <w:rPr>
            <w:noProof/>
          </w:rPr>
          <w:fldChar w:fldCharType="separate"/>
        </w:r>
        <w:r w:rsidR="00721655">
          <w:rPr>
            <w:noProof/>
          </w:rPr>
          <w:t>44</w:t>
        </w:r>
        <w:r w:rsidR="00CD3D2E">
          <w:rPr>
            <w:noProof/>
          </w:rPr>
          <w:fldChar w:fldCharType="end"/>
        </w:r>
      </w:hyperlink>
    </w:p>
    <w:p w14:paraId="2A9E5B36" w14:textId="339681F4" w:rsidR="000F42D5" w:rsidRDefault="00BA7E77">
      <w:pPr>
        <w:pStyle w:val="TOC1"/>
        <w:tabs>
          <w:tab w:val="right" w:leader="hyphen" w:pos="8302"/>
        </w:tabs>
        <w:rPr>
          <w:rFonts w:asciiTheme="minorHAnsi" w:eastAsiaTheme="minorEastAsia" w:hAnsiTheme="minorHAnsi" w:cstheme="minorBidi"/>
          <w:noProof/>
          <w:kern w:val="2"/>
          <w:sz w:val="21"/>
        </w:rPr>
      </w:pPr>
      <w:hyperlink w:anchor="_Toc531710556" w:history="1">
        <w:r w:rsidR="00CD3D2E">
          <w:rPr>
            <w:rStyle w:val="af1"/>
            <w:rFonts w:hint="eastAsia"/>
            <w:noProof/>
          </w:rPr>
          <w:t>十九、托管协议的效力</w:t>
        </w:r>
        <w:r w:rsidR="00CD3D2E">
          <w:rPr>
            <w:noProof/>
          </w:rPr>
          <w:tab/>
        </w:r>
        <w:r w:rsidR="00CD3D2E">
          <w:rPr>
            <w:noProof/>
          </w:rPr>
          <w:fldChar w:fldCharType="begin"/>
        </w:r>
        <w:r w:rsidR="00CD3D2E">
          <w:rPr>
            <w:noProof/>
          </w:rPr>
          <w:instrText xml:space="preserve"> PAGEREF _Toc531710556 \h </w:instrText>
        </w:r>
        <w:r w:rsidR="00CD3D2E">
          <w:rPr>
            <w:noProof/>
          </w:rPr>
        </w:r>
        <w:r w:rsidR="00CD3D2E">
          <w:rPr>
            <w:noProof/>
          </w:rPr>
          <w:fldChar w:fldCharType="separate"/>
        </w:r>
        <w:r w:rsidR="00721655">
          <w:rPr>
            <w:noProof/>
          </w:rPr>
          <w:t>45</w:t>
        </w:r>
        <w:r w:rsidR="00CD3D2E">
          <w:rPr>
            <w:noProof/>
          </w:rPr>
          <w:fldChar w:fldCharType="end"/>
        </w:r>
      </w:hyperlink>
    </w:p>
    <w:p w14:paraId="181DFE5C" w14:textId="30044070" w:rsidR="000F42D5" w:rsidRDefault="00BA7E77">
      <w:pPr>
        <w:pStyle w:val="TOC1"/>
        <w:tabs>
          <w:tab w:val="right" w:leader="hyphen" w:pos="8302"/>
        </w:tabs>
        <w:rPr>
          <w:rFonts w:asciiTheme="minorHAnsi" w:eastAsiaTheme="minorEastAsia" w:hAnsiTheme="minorHAnsi" w:cstheme="minorBidi"/>
          <w:noProof/>
          <w:kern w:val="2"/>
          <w:sz w:val="21"/>
        </w:rPr>
      </w:pPr>
      <w:hyperlink w:anchor="_Toc531710557" w:history="1">
        <w:r w:rsidR="00CD3D2E">
          <w:rPr>
            <w:rStyle w:val="af1"/>
            <w:rFonts w:hint="eastAsia"/>
            <w:noProof/>
          </w:rPr>
          <w:t>二十、其他事项</w:t>
        </w:r>
        <w:r w:rsidR="00CD3D2E">
          <w:rPr>
            <w:noProof/>
          </w:rPr>
          <w:tab/>
        </w:r>
        <w:r w:rsidR="00CD3D2E">
          <w:rPr>
            <w:noProof/>
          </w:rPr>
          <w:fldChar w:fldCharType="begin"/>
        </w:r>
        <w:r w:rsidR="00CD3D2E">
          <w:rPr>
            <w:noProof/>
          </w:rPr>
          <w:instrText xml:space="preserve"> PAGEREF _Toc531710557 \h </w:instrText>
        </w:r>
        <w:r w:rsidR="00CD3D2E">
          <w:rPr>
            <w:noProof/>
          </w:rPr>
        </w:r>
        <w:r w:rsidR="00CD3D2E">
          <w:rPr>
            <w:noProof/>
          </w:rPr>
          <w:fldChar w:fldCharType="separate"/>
        </w:r>
        <w:r w:rsidR="00721655">
          <w:rPr>
            <w:noProof/>
          </w:rPr>
          <w:t>46</w:t>
        </w:r>
        <w:r w:rsidR="00CD3D2E">
          <w:rPr>
            <w:noProof/>
          </w:rPr>
          <w:fldChar w:fldCharType="end"/>
        </w:r>
      </w:hyperlink>
    </w:p>
    <w:p w14:paraId="51B3DDCC" w14:textId="2E28D783" w:rsidR="000F42D5" w:rsidRDefault="00BA7E77">
      <w:pPr>
        <w:pStyle w:val="TOC1"/>
        <w:tabs>
          <w:tab w:val="right" w:leader="hyphen" w:pos="8302"/>
        </w:tabs>
        <w:rPr>
          <w:rFonts w:asciiTheme="minorHAnsi" w:eastAsiaTheme="minorEastAsia" w:hAnsiTheme="minorHAnsi" w:cstheme="minorBidi"/>
          <w:noProof/>
          <w:kern w:val="2"/>
          <w:sz w:val="21"/>
        </w:rPr>
      </w:pPr>
      <w:hyperlink w:anchor="_Toc531710558" w:history="1">
        <w:r w:rsidR="00CD3D2E">
          <w:rPr>
            <w:rStyle w:val="af1"/>
            <w:rFonts w:hint="eastAsia"/>
            <w:noProof/>
          </w:rPr>
          <w:t>二十一、托管协议的签订</w:t>
        </w:r>
        <w:r w:rsidR="00CD3D2E">
          <w:rPr>
            <w:noProof/>
          </w:rPr>
          <w:tab/>
        </w:r>
        <w:r w:rsidR="00CD3D2E">
          <w:rPr>
            <w:noProof/>
          </w:rPr>
          <w:fldChar w:fldCharType="begin"/>
        </w:r>
        <w:r w:rsidR="00CD3D2E">
          <w:rPr>
            <w:noProof/>
          </w:rPr>
          <w:instrText xml:space="preserve"> PAGEREF _Toc531710558 \h </w:instrText>
        </w:r>
        <w:r w:rsidR="00CD3D2E">
          <w:rPr>
            <w:noProof/>
          </w:rPr>
        </w:r>
        <w:r w:rsidR="00CD3D2E">
          <w:rPr>
            <w:noProof/>
          </w:rPr>
          <w:fldChar w:fldCharType="separate"/>
        </w:r>
        <w:r w:rsidR="00721655">
          <w:rPr>
            <w:noProof/>
          </w:rPr>
          <w:t>47</w:t>
        </w:r>
        <w:r w:rsidR="00CD3D2E">
          <w:rPr>
            <w:noProof/>
          </w:rPr>
          <w:fldChar w:fldCharType="end"/>
        </w:r>
      </w:hyperlink>
    </w:p>
    <w:p w14:paraId="7C50B4CC" w14:textId="77777777" w:rsidR="000F42D5" w:rsidRDefault="00CD3D2E">
      <w:pPr>
        <w:spacing w:line="360" w:lineRule="auto"/>
        <w:rPr>
          <w:rFonts w:ascii="宋体" w:hAnsi="宋体"/>
          <w:sz w:val="24"/>
          <w:szCs w:val="24"/>
        </w:rPr>
      </w:pPr>
      <w:r>
        <w:rPr>
          <w:rFonts w:ascii="宋体" w:hAnsi="宋体"/>
          <w:sz w:val="24"/>
          <w:szCs w:val="24"/>
        </w:rPr>
        <w:fldChar w:fldCharType="end"/>
      </w:r>
    </w:p>
    <w:p w14:paraId="3F34E035" w14:textId="77777777" w:rsidR="000F42D5" w:rsidRDefault="000F42D5">
      <w:pPr>
        <w:spacing w:line="360" w:lineRule="auto"/>
        <w:ind w:firstLineChars="200" w:firstLine="480"/>
        <w:rPr>
          <w:rFonts w:ascii="宋体" w:hAnsi="宋体"/>
          <w:sz w:val="24"/>
          <w:szCs w:val="24"/>
        </w:rPr>
      </w:pPr>
    </w:p>
    <w:p w14:paraId="6A8A32E2" w14:textId="77777777" w:rsidR="000F42D5" w:rsidRDefault="00CD3D2E">
      <w:pPr>
        <w:spacing w:line="360" w:lineRule="auto"/>
        <w:ind w:firstLineChars="200" w:firstLine="480"/>
        <w:rPr>
          <w:rFonts w:ascii="宋体" w:hAnsi="宋体"/>
          <w:sz w:val="24"/>
          <w:szCs w:val="24"/>
        </w:rPr>
      </w:pPr>
      <w:r>
        <w:rPr>
          <w:rFonts w:ascii="宋体" w:hAnsi="宋体"/>
          <w:sz w:val="24"/>
          <w:szCs w:val="24"/>
        </w:rPr>
        <w:br w:type="page"/>
      </w:r>
      <w:r>
        <w:rPr>
          <w:rFonts w:ascii="宋体" w:hAnsi="宋体" w:hint="eastAsia"/>
          <w:sz w:val="24"/>
          <w:szCs w:val="24"/>
        </w:rPr>
        <w:lastRenderedPageBreak/>
        <w:t>鉴于富荣基金管理有限公司系一家依照中国法律合法成立并有效存续的有限责任公司，按照相关法律法规的规定具备担任基金管理人的资格和能力；</w:t>
      </w:r>
    </w:p>
    <w:p w14:paraId="52CEFBF1"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鉴于招商银行股份有限公司系一家依照中国法律合法成立并有效存续的银行，按照相关法律法规的规定具备担任基金托管人的资格和能力；</w:t>
      </w:r>
    </w:p>
    <w:p w14:paraId="69A41F58"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鉴于富荣基金管理有限公司拟担任富荣中证500指数增强型证券投资基金的基金管理人，招商银行股份有限公司拟担任富荣中证500指数增强型证券投资基金的基金托管人；</w:t>
      </w:r>
    </w:p>
    <w:p w14:paraId="58536828"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为明确富荣中证500指数增强型证券投资基金的基金管理人和基金托管人之间的权利义务关系，特制订本托管协议；</w:t>
      </w:r>
    </w:p>
    <w:p w14:paraId="12CFA3AC"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除非另有约定，《富荣中证500指数增强型证券投资基金基金合同》(以下简称“基金合同”)中定义的术语在用于本托管协议时应具有相同的含义；若有抵触应以基金合同为准，并依其条款解释。</w:t>
      </w:r>
    </w:p>
    <w:p w14:paraId="42C6A87E" w14:textId="77777777" w:rsidR="000F42D5" w:rsidRDefault="000F42D5">
      <w:pPr>
        <w:spacing w:line="360" w:lineRule="auto"/>
        <w:ind w:firstLineChars="200" w:firstLine="480"/>
        <w:rPr>
          <w:rFonts w:ascii="宋体" w:hAnsi="宋体"/>
          <w:sz w:val="24"/>
          <w:szCs w:val="24"/>
        </w:rPr>
      </w:pPr>
    </w:p>
    <w:p w14:paraId="5A3ACDA7" w14:textId="77777777" w:rsidR="000F42D5" w:rsidRDefault="00CD3D2E">
      <w:pPr>
        <w:pStyle w:val="1"/>
        <w:jc w:val="center"/>
        <w:rPr>
          <w:rFonts w:ascii="宋体" w:hAnsi="宋体"/>
          <w:sz w:val="30"/>
          <w:szCs w:val="30"/>
        </w:rPr>
      </w:pPr>
      <w:r>
        <w:rPr>
          <w:rFonts w:ascii="宋体" w:hAnsi="宋体"/>
          <w:sz w:val="30"/>
          <w:szCs w:val="30"/>
        </w:rPr>
        <w:br w:type="page"/>
      </w:r>
      <w:bookmarkStart w:id="10" w:name="_Toc384992691"/>
      <w:bookmarkStart w:id="11" w:name="_Toc531710538"/>
      <w:bookmarkStart w:id="12" w:name="_Toc348082029"/>
      <w:r>
        <w:rPr>
          <w:rFonts w:hint="eastAsia"/>
          <w:sz w:val="30"/>
          <w:szCs w:val="30"/>
        </w:rPr>
        <w:lastRenderedPageBreak/>
        <w:t>一、基金托管协议当事人</w:t>
      </w:r>
      <w:bookmarkEnd w:id="10"/>
      <w:bookmarkEnd w:id="11"/>
      <w:bookmarkEnd w:id="12"/>
    </w:p>
    <w:p w14:paraId="1CF05E61"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（一）基金管理人（也可称资产管理人）</w:t>
      </w:r>
    </w:p>
    <w:p w14:paraId="4C61797E"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名称：富荣基金管理有限公司</w:t>
      </w:r>
    </w:p>
    <w:p w14:paraId="527EB0D6"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住所：广州市南沙区海滨路171号南沙金融大厦11楼1101之一J20室</w:t>
      </w:r>
    </w:p>
    <w:p w14:paraId="6152E851" w14:textId="07170170" w:rsidR="000F42D5" w:rsidRDefault="00CD3D2E">
      <w:pPr>
        <w:spacing w:line="360" w:lineRule="auto"/>
        <w:ind w:firstLineChars="200" w:firstLine="480"/>
        <w:rPr>
          <w:rFonts w:ascii="宋体" w:hAnsi="宋体"/>
          <w:sz w:val="24"/>
          <w:szCs w:val="24"/>
        </w:rPr>
      </w:pPr>
      <w:r>
        <w:rPr>
          <w:rFonts w:ascii="宋体" w:hAnsi="宋体" w:hint="eastAsia"/>
          <w:sz w:val="24"/>
          <w:szCs w:val="24"/>
        </w:rPr>
        <w:t>办公地址：深圳市福田区八卦四路52号安吉尔大厦24层</w:t>
      </w:r>
    </w:p>
    <w:p w14:paraId="44A75ED1"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邮政编码：518038</w:t>
      </w:r>
    </w:p>
    <w:p w14:paraId="63ED4746"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法定代表人：杨小舟</w:t>
      </w:r>
    </w:p>
    <w:p w14:paraId="20D42FFC"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成立日期：2016年1月25日</w:t>
      </w:r>
    </w:p>
    <w:p w14:paraId="07418B13"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批准设立机关：中国证券监督管理委员会</w:t>
      </w:r>
    </w:p>
    <w:p w14:paraId="7881180A"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批准设立机关及批准设立文号：中国证监会证监许可【2015】3118号</w:t>
      </w:r>
    </w:p>
    <w:p w14:paraId="0B84240F"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组织形式：有限责任公司</w:t>
      </w:r>
    </w:p>
    <w:p w14:paraId="676800A1"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注册资本：2亿元人民币</w:t>
      </w:r>
    </w:p>
    <w:p w14:paraId="1BED0EA3"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存续期间：永续经营</w:t>
      </w:r>
    </w:p>
    <w:p w14:paraId="70573723"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经营范围：基金募集；基金销售；资产管理以及中国证监会许可的其它业务</w:t>
      </w:r>
    </w:p>
    <w:p w14:paraId="5CEB3532"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（二）基金托管人（也可称资产托管人）</w:t>
      </w:r>
    </w:p>
    <w:p w14:paraId="4664A631" w14:textId="77777777" w:rsidR="000F42D5" w:rsidRDefault="00CD3D2E">
      <w:pPr>
        <w:adjustRightInd w:val="0"/>
        <w:snapToGrid w:val="0"/>
        <w:spacing w:line="360" w:lineRule="auto"/>
        <w:ind w:firstLineChars="200" w:firstLine="480"/>
        <w:rPr>
          <w:rFonts w:ascii="宋体" w:hAnsi="宋体"/>
          <w:color w:val="000000"/>
          <w:sz w:val="24"/>
        </w:rPr>
      </w:pPr>
      <w:r>
        <w:rPr>
          <w:rFonts w:ascii="宋体" w:hAnsi="宋体"/>
          <w:color w:val="000000"/>
          <w:sz w:val="24"/>
        </w:rPr>
        <w:t>名称：</w:t>
      </w:r>
      <w:r>
        <w:rPr>
          <w:rFonts w:ascii="宋体" w:hAnsi="宋体" w:hint="eastAsia"/>
          <w:color w:val="000000"/>
          <w:sz w:val="24"/>
        </w:rPr>
        <w:t>招商银行股份有限公司(简称：招商银行)</w:t>
      </w:r>
    </w:p>
    <w:p w14:paraId="1E487647" w14:textId="77777777" w:rsidR="000F42D5" w:rsidRDefault="00CD3D2E">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住所</w:t>
      </w:r>
      <w:r>
        <w:rPr>
          <w:rFonts w:ascii="宋体" w:hAnsi="宋体"/>
          <w:color w:val="000000"/>
          <w:sz w:val="24"/>
        </w:rPr>
        <w:t>：</w:t>
      </w:r>
      <w:r>
        <w:rPr>
          <w:rFonts w:ascii="宋体" w:hAnsi="宋体" w:hint="eastAsia"/>
          <w:color w:val="000000"/>
          <w:sz w:val="24"/>
        </w:rPr>
        <w:t>深圳市深南大道7088号招商银行大厦</w:t>
      </w:r>
    </w:p>
    <w:p w14:paraId="5CEE386A" w14:textId="77777777" w:rsidR="000F42D5" w:rsidRDefault="00CD3D2E">
      <w:pPr>
        <w:adjustRightInd w:val="0"/>
        <w:snapToGrid w:val="0"/>
        <w:spacing w:line="360" w:lineRule="auto"/>
        <w:ind w:firstLineChars="200" w:firstLine="480"/>
        <w:rPr>
          <w:rFonts w:ascii="宋体" w:hAnsi="宋体"/>
          <w:color w:val="000000"/>
          <w:sz w:val="24"/>
        </w:rPr>
      </w:pPr>
      <w:r>
        <w:rPr>
          <w:rFonts w:ascii="宋体" w:hAnsi="宋体"/>
          <w:color w:val="000000"/>
          <w:sz w:val="24"/>
        </w:rPr>
        <w:t>办公地址：</w:t>
      </w:r>
      <w:r>
        <w:rPr>
          <w:rFonts w:ascii="宋体" w:hAnsi="宋体" w:hint="eastAsia"/>
          <w:color w:val="000000"/>
          <w:sz w:val="24"/>
        </w:rPr>
        <w:t>深圳市深南大道7088号招商银行大厦</w:t>
      </w:r>
    </w:p>
    <w:p w14:paraId="39F7244F" w14:textId="77777777" w:rsidR="000F42D5" w:rsidRDefault="00CD3D2E">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邮政编码：518040</w:t>
      </w:r>
    </w:p>
    <w:p w14:paraId="5938B075" w14:textId="189EDE56" w:rsidR="000F42D5" w:rsidRDefault="00CD3D2E">
      <w:pPr>
        <w:adjustRightInd w:val="0"/>
        <w:snapToGrid w:val="0"/>
        <w:spacing w:line="360" w:lineRule="auto"/>
        <w:ind w:firstLineChars="200" w:firstLine="480"/>
        <w:rPr>
          <w:rFonts w:ascii="宋体" w:hAnsi="宋体"/>
          <w:color w:val="000000"/>
          <w:sz w:val="24"/>
        </w:rPr>
      </w:pPr>
      <w:r>
        <w:rPr>
          <w:rFonts w:ascii="宋体" w:hAnsi="宋体"/>
          <w:color w:val="000000"/>
          <w:sz w:val="24"/>
        </w:rPr>
        <w:t>法定代表人：</w:t>
      </w:r>
      <w:r>
        <w:rPr>
          <w:rFonts w:ascii="宋体" w:hAnsi="宋体" w:hint="eastAsia"/>
          <w:color w:val="000000"/>
          <w:sz w:val="24"/>
        </w:rPr>
        <w:t>缪建民</w:t>
      </w:r>
    </w:p>
    <w:p w14:paraId="6ED65676" w14:textId="77777777" w:rsidR="000F42D5" w:rsidRDefault="00CD3D2E">
      <w:pPr>
        <w:adjustRightInd w:val="0"/>
        <w:snapToGrid w:val="0"/>
        <w:spacing w:line="360" w:lineRule="auto"/>
        <w:ind w:firstLineChars="200" w:firstLine="480"/>
        <w:rPr>
          <w:rFonts w:ascii="宋体" w:hAnsi="宋体"/>
          <w:color w:val="000000"/>
          <w:sz w:val="24"/>
        </w:rPr>
      </w:pPr>
      <w:r>
        <w:rPr>
          <w:rFonts w:ascii="宋体" w:hAnsi="宋体"/>
          <w:color w:val="000000"/>
          <w:sz w:val="24"/>
        </w:rPr>
        <w:t>成立时间：</w:t>
      </w:r>
      <w:r>
        <w:rPr>
          <w:rFonts w:ascii="宋体" w:hAnsi="宋体" w:hint="eastAsia"/>
          <w:color w:val="000000"/>
          <w:sz w:val="24"/>
        </w:rPr>
        <w:t>1987年4月8日</w:t>
      </w:r>
    </w:p>
    <w:p w14:paraId="2FBFE487" w14:textId="77777777" w:rsidR="000F42D5" w:rsidRDefault="00CD3D2E">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基金托管业务批准文号：证监基金字[2002]83号</w:t>
      </w:r>
    </w:p>
    <w:p w14:paraId="6FAEEC07" w14:textId="77777777" w:rsidR="000F42D5" w:rsidRDefault="00CD3D2E">
      <w:pPr>
        <w:adjustRightInd w:val="0"/>
        <w:snapToGrid w:val="0"/>
        <w:spacing w:line="360" w:lineRule="auto"/>
        <w:ind w:firstLineChars="200" w:firstLine="480"/>
        <w:rPr>
          <w:rFonts w:ascii="宋体" w:hAnsi="宋体"/>
          <w:color w:val="000000"/>
          <w:sz w:val="24"/>
        </w:rPr>
      </w:pPr>
      <w:r>
        <w:rPr>
          <w:rFonts w:ascii="宋体" w:hAnsi="宋体"/>
          <w:color w:val="000000"/>
          <w:sz w:val="24"/>
        </w:rPr>
        <w:t>组织形式：股份有限公司</w:t>
      </w:r>
    </w:p>
    <w:p w14:paraId="24A1B258" w14:textId="77777777" w:rsidR="000F42D5" w:rsidRDefault="00CD3D2E">
      <w:pPr>
        <w:adjustRightInd w:val="0"/>
        <w:snapToGrid w:val="0"/>
        <w:spacing w:line="360" w:lineRule="auto"/>
        <w:ind w:firstLineChars="200" w:firstLine="480"/>
        <w:rPr>
          <w:rFonts w:ascii="宋体" w:hAnsi="宋体"/>
          <w:color w:val="000000"/>
          <w:sz w:val="24"/>
        </w:rPr>
      </w:pPr>
      <w:r>
        <w:rPr>
          <w:rFonts w:ascii="宋体" w:hAnsi="宋体"/>
          <w:color w:val="000000"/>
          <w:sz w:val="24"/>
        </w:rPr>
        <w:t>注册资本：</w:t>
      </w:r>
      <w:r>
        <w:rPr>
          <w:rFonts w:ascii="宋体" w:hAnsi="宋体" w:hint="eastAsia"/>
          <w:color w:val="000000"/>
          <w:sz w:val="24"/>
        </w:rPr>
        <w:t>人民币252.20亿元</w:t>
      </w:r>
    </w:p>
    <w:p w14:paraId="6A439FBA" w14:textId="77777777" w:rsidR="000F42D5" w:rsidRDefault="00CD3D2E">
      <w:pPr>
        <w:adjustRightInd w:val="0"/>
        <w:snapToGrid w:val="0"/>
        <w:spacing w:line="360" w:lineRule="auto"/>
        <w:ind w:firstLineChars="200" w:firstLine="480"/>
        <w:rPr>
          <w:rFonts w:ascii="宋体" w:hAnsi="宋体"/>
          <w:color w:val="000000"/>
          <w:sz w:val="24"/>
        </w:rPr>
      </w:pPr>
      <w:r>
        <w:rPr>
          <w:rFonts w:ascii="宋体" w:hAnsi="宋体"/>
          <w:color w:val="000000"/>
          <w:sz w:val="24"/>
        </w:rPr>
        <w:t>存续期间：</w:t>
      </w:r>
      <w:r>
        <w:rPr>
          <w:rFonts w:ascii="宋体" w:hAnsi="宋体" w:hint="eastAsia"/>
          <w:color w:val="000000"/>
          <w:sz w:val="24"/>
        </w:rPr>
        <w:t>持续经营</w:t>
      </w:r>
    </w:p>
    <w:p w14:paraId="3F538088" w14:textId="77777777" w:rsidR="000F42D5" w:rsidRDefault="000F42D5">
      <w:pPr>
        <w:spacing w:line="360" w:lineRule="auto"/>
        <w:ind w:firstLineChars="200" w:firstLine="480"/>
        <w:rPr>
          <w:rFonts w:ascii="宋体" w:hAnsi="宋体"/>
          <w:sz w:val="24"/>
          <w:szCs w:val="24"/>
        </w:rPr>
      </w:pPr>
    </w:p>
    <w:p w14:paraId="0176B2B5" w14:textId="77777777" w:rsidR="000F42D5" w:rsidRDefault="00CD3D2E">
      <w:pPr>
        <w:pStyle w:val="1"/>
        <w:jc w:val="center"/>
        <w:rPr>
          <w:rFonts w:ascii="宋体" w:hAnsi="宋体"/>
          <w:sz w:val="30"/>
          <w:szCs w:val="30"/>
        </w:rPr>
      </w:pPr>
      <w:r>
        <w:rPr>
          <w:rFonts w:ascii="宋体" w:hAnsi="宋体"/>
          <w:sz w:val="30"/>
          <w:szCs w:val="30"/>
        </w:rPr>
        <w:br w:type="page"/>
      </w:r>
      <w:bookmarkStart w:id="13" w:name="_Toc384992692"/>
      <w:bookmarkStart w:id="14" w:name="_Toc348082030"/>
      <w:bookmarkStart w:id="15" w:name="_Toc531710539"/>
      <w:r>
        <w:rPr>
          <w:rFonts w:hint="eastAsia"/>
          <w:sz w:val="30"/>
          <w:szCs w:val="30"/>
        </w:rPr>
        <w:lastRenderedPageBreak/>
        <w:t>二、基金托管协议的依据、目的</w:t>
      </w:r>
      <w:bookmarkEnd w:id="13"/>
      <w:bookmarkEnd w:id="14"/>
      <w:r>
        <w:rPr>
          <w:rFonts w:hint="eastAsia"/>
          <w:sz w:val="30"/>
          <w:szCs w:val="30"/>
        </w:rPr>
        <w:t>、原则</w:t>
      </w:r>
      <w:bookmarkEnd w:id="15"/>
    </w:p>
    <w:p w14:paraId="41B2804D"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（一）订立托管协议的依据</w:t>
      </w:r>
    </w:p>
    <w:p w14:paraId="77F0ECCD"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本协议依据《中华人民共和国合同法》、《中华人民共和国证券投资基金法》(以下简称“《基金法》</w:t>
      </w:r>
      <w:r>
        <w:rPr>
          <w:rFonts w:ascii="宋体" w:hAnsi="宋体"/>
          <w:sz w:val="24"/>
          <w:szCs w:val="24"/>
        </w:rPr>
        <w:t>”</w:t>
      </w:r>
      <w:r>
        <w:rPr>
          <w:rFonts w:ascii="宋体" w:hAnsi="宋体" w:hint="eastAsia"/>
          <w:sz w:val="24"/>
          <w:szCs w:val="24"/>
        </w:rPr>
        <w:t>) 《</w:t>
      </w:r>
      <w:r>
        <w:rPr>
          <w:bCs/>
          <w:sz w:val="24"/>
        </w:rPr>
        <w:t>公开募集证券投资基金运作管理办法</w:t>
      </w:r>
      <w:r>
        <w:rPr>
          <w:rFonts w:ascii="宋体" w:hAnsi="宋体" w:hint="eastAsia"/>
          <w:sz w:val="24"/>
          <w:szCs w:val="24"/>
        </w:rPr>
        <w:t>》（以下简称“《运作办法》”）、《公开募集证券投资基金信息披露管理办法》（以下简称“《信息披露办法》”）、《富荣中证500指数增强型证券投资基金基金合同》（以下简称“《基金合同》”）及其他有关规定制订。</w:t>
      </w:r>
    </w:p>
    <w:p w14:paraId="70B9702D"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（二）订立托管协议的目的</w:t>
      </w:r>
    </w:p>
    <w:p w14:paraId="15116A5B"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订立本协议的目的是明确基金管理人与基金托管人之间在基金财产的保管、投资运作、净值计算、收益分配、信息披露及相互监督等相关事宜中的权利义务及职责，确保基金财产的安全，保护基金份额持有人的合法权益。</w:t>
      </w:r>
    </w:p>
    <w:p w14:paraId="5829F036"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（三）订立托管协议的原则</w:t>
      </w:r>
    </w:p>
    <w:p w14:paraId="5BF12893"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基金管理人和基金托管人本着平等自愿、诚实信用、充分保护基金份额持有人合法权益的原则，经协商一致，签订本协议。</w:t>
      </w:r>
    </w:p>
    <w:p w14:paraId="4DAE6AE4" w14:textId="77777777" w:rsidR="000F42D5" w:rsidRDefault="00CD3D2E">
      <w:pPr>
        <w:pStyle w:val="1"/>
        <w:jc w:val="center"/>
        <w:rPr>
          <w:rFonts w:ascii="宋体" w:hAnsi="宋体"/>
          <w:sz w:val="30"/>
          <w:szCs w:val="30"/>
        </w:rPr>
      </w:pPr>
      <w:r>
        <w:rPr>
          <w:rFonts w:ascii="宋体" w:hAnsi="宋体"/>
          <w:sz w:val="30"/>
          <w:szCs w:val="30"/>
        </w:rPr>
        <w:br w:type="page"/>
      </w:r>
      <w:bookmarkStart w:id="16" w:name="_Toc531710540"/>
      <w:bookmarkStart w:id="17" w:name="_Toc348082031"/>
      <w:bookmarkStart w:id="18" w:name="_Toc384992693"/>
      <w:r>
        <w:rPr>
          <w:rFonts w:hint="eastAsia"/>
          <w:sz w:val="30"/>
          <w:szCs w:val="30"/>
        </w:rPr>
        <w:lastRenderedPageBreak/>
        <w:t>三、基金托管人对基金管理人的业务监督和核查</w:t>
      </w:r>
      <w:bookmarkEnd w:id="16"/>
      <w:bookmarkEnd w:id="17"/>
      <w:bookmarkEnd w:id="18"/>
    </w:p>
    <w:p w14:paraId="37477E5A"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一）基金托管人根据有关法律法规的规定以及《基金合同》的约定，对基金投资范围、投资比例、投资限制、关联方交易等进行监督。《基金合同》明确约定基金投资证券选择标准的，基金管理人应事先或定期向基金托管人提供投资品种池，以便基金托管人对基金实际投资是否符合基金合同关于证券选择标准的约定进行监督。</w:t>
      </w:r>
    </w:p>
    <w:p w14:paraId="4CC70E26" w14:textId="77777777" w:rsidR="000F42D5" w:rsidRDefault="00CD3D2E">
      <w:pPr>
        <w:widowControl/>
        <w:spacing w:line="324" w:lineRule="auto"/>
        <w:ind w:firstLineChars="200" w:firstLine="480"/>
        <w:jc w:val="left"/>
        <w:rPr>
          <w:bCs/>
          <w:sz w:val="24"/>
        </w:rPr>
      </w:pPr>
      <w:r>
        <w:rPr>
          <w:rFonts w:hint="eastAsia"/>
          <w:bCs/>
          <w:sz w:val="24"/>
        </w:rPr>
        <w:t>1</w:t>
      </w:r>
      <w:r>
        <w:rPr>
          <w:rFonts w:ascii="宋体" w:hAnsi="宋体" w:hint="eastAsia"/>
          <w:sz w:val="24"/>
          <w:szCs w:val="24"/>
        </w:rPr>
        <w:t>.</w:t>
      </w:r>
      <w:r>
        <w:rPr>
          <w:rFonts w:hint="eastAsia"/>
          <w:bCs/>
          <w:sz w:val="24"/>
        </w:rPr>
        <w:t>本基金的投资范围为：</w:t>
      </w:r>
    </w:p>
    <w:p w14:paraId="0B769E47" w14:textId="77777777" w:rsidR="000F42D5" w:rsidRDefault="00CD3D2E">
      <w:pPr>
        <w:autoSpaceDE w:val="0"/>
        <w:autoSpaceDN w:val="0"/>
        <w:spacing w:line="360" w:lineRule="auto"/>
        <w:ind w:firstLineChars="200" w:firstLine="480"/>
        <w:textAlignment w:val="bottom"/>
        <w:rPr>
          <w:bCs/>
          <w:sz w:val="24"/>
        </w:rPr>
      </w:pPr>
      <w:r>
        <w:rPr>
          <w:rFonts w:hint="eastAsia"/>
          <w:bCs/>
          <w:sz w:val="24"/>
        </w:rPr>
        <w:t>本基金主要投资于中证</w:t>
      </w:r>
      <w:r>
        <w:rPr>
          <w:rFonts w:hint="eastAsia"/>
          <w:bCs/>
          <w:sz w:val="24"/>
        </w:rPr>
        <w:t>500</w:t>
      </w:r>
      <w:r>
        <w:rPr>
          <w:rFonts w:hint="eastAsia"/>
          <w:bCs/>
          <w:sz w:val="24"/>
        </w:rPr>
        <w:t>指数成份股、备选成份股。为更好地实现投资目标</w:t>
      </w:r>
      <w:r>
        <w:rPr>
          <w:rFonts w:hint="eastAsia"/>
          <w:bCs/>
          <w:sz w:val="24"/>
        </w:rPr>
        <w:t>,</w:t>
      </w:r>
      <w:r>
        <w:rPr>
          <w:rFonts w:hint="eastAsia"/>
          <w:bCs/>
          <w:sz w:val="24"/>
        </w:rPr>
        <w:t>本基金可少量投资于非成份股</w:t>
      </w:r>
      <w:r>
        <w:rPr>
          <w:rFonts w:hint="eastAsia"/>
          <w:bCs/>
          <w:sz w:val="24"/>
        </w:rPr>
        <w:t>(</w:t>
      </w:r>
      <w:r>
        <w:rPr>
          <w:rFonts w:hint="eastAsia"/>
          <w:bCs/>
          <w:sz w:val="24"/>
        </w:rPr>
        <w:t>包括中小板、创业板及其他经中国证监会核准上市的股票</w:t>
      </w:r>
      <w:r>
        <w:rPr>
          <w:rFonts w:hint="eastAsia"/>
          <w:bCs/>
          <w:sz w:val="24"/>
        </w:rPr>
        <w:t>)</w:t>
      </w:r>
      <w:r>
        <w:rPr>
          <w:rFonts w:hint="eastAsia"/>
          <w:bCs/>
          <w:sz w:val="24"/>
        </w:rPr>
        <w:t>、存托凭证、债券</w:t>
      </w:r>
      <w:r>
        <w:rPr>
          <w:rFonts w:hint="eastAsia"/>
          <w:bCs/>
          <w:sz w:val="24"/>
        </w:rPr>
        <w:t>(</w:t>
      </w:r>
      <w:r>
        <w:rPr>
          <w:rFonts w:hint="eastAsia"/>
          <w:bCs/>
          <w:sz w:val="24"/>
        </w:rPr>
        <w:t>含国债、金融债、企业债、公司债、央行票据、中期票据、短期融资券、超短期融资券、政府支持机构债、地方政府债、公开发行的次级债、可转换债券、可交换债券、中小企业私募债及其他经中国证监会允许投资的债券</w:t>
      </w:r>
      <w:r>
        <w:rPr>
          <w:rFonts w:hint="eastAsia"/>
          <w:bCs/>
          <w:sz w:val="24"/>
        </w:rPr>
        <w:t>)</w:t>
      </w:r>
      <w:r>
        <w:rPr>
          <w:rFonts w:hint="eastAsia"/>
          <w:bCs/>
          <w:sz w:val="24"/>
        </w:rPr>
        <w:t>、货币市场工具</w:t>
      </w:r>
      <w:r>
        <w:rPr>
          <w:rFonts w:hint="eastAsia"/>
          <w:bCs/>
          <w:sz w:val="24"/>
        </w:rPr>
        <w:t>(</w:t>
      </w:r>
      <w:r>
        <w:rPr>
          <w:rFonts w:hint="eastAsia"/>
          <w:bCs/>
          <w:sz w:val="24"/>
        </w:rPr>
        <w:t>含同业存单等</w:t>
      </w:r>
      <w:r>
        <w:rPr>
          <w:rFonts w:hint="eastAsia"/>
          <w:bCs/>
          <w:sz w:val="24"/>
        </w:rPr>
        <w:t>)</w:t>
      </w:r>
      <w:r>
        <w:rPr>
          <w:rFonts w:hint="eastAsia"/>
          <w:bCs/>
          <w:sz w:val="24"/>
        </w:rPr>
        <w:t>、权证、资产支持证券、股指期货以及法律法规或中国证监会允许基金投资的其他金融工具</w:t>
      </w:r>
      <w:r>
        <w:rPr>
          <w:rFonts w:hint="eastAsia"/>
          <w:bCs/>
          <w:sz w:val="24"/>
        </w:rPr>
        <w:t>(</w:t>
      </w:r>
      <w:r>
        <w:rPr>
          <w:rFonts w:hint="eastAsia"/>
          <w:bCs/>
          <w:sz w:val="24"/>
        </w:rPr>
        <w:t>但须符合中国证监会相关规定</w:t>
      </w:r>
      <w:r>
        <w:rPr>
          <w:rFonts w:hint="eastAsia"/>
          <w:bCs/>
          <w:sz w:val="24"/>
        </w:rPr>
        <w:t>)</w:t>
      </w:r>
      <w:r>
        <w:rPr>
          <w:rFonts w:hint="eastAsia"/>
          <w:bCs/>
          <w:sz w:val="24"/>
        </w:rPr>
        <w:t>。</w:t>
      </w:r>
    </w:p>
    <w:p w14:paraId="60A2AE6E" w14:textId="77777777" w:rsidR="000F42D5" w:rsidRDefault="00CD3D2E">
      <w:pPr>
        <w:autoSpaceDE w:val="0"/>
        <w:autoSpaceDN w:val="0"/>
        <w:spacing w:line="360" w:lineRule="auto"/>
        <w:ind w:firstLineChars="200" w:firstLine="480"/>
        <w:textAlignment w:val="bottom"/>
        <w:rPr>
          <w:bCs/>
          <w:sz w:val="24"/>
        </w:rPr>
      </w:pPr>
      <w:r>
        <w:rPr>
          <w:rFonts w:hint="eastAsia"/>
          <w:bCs/>
          <w:sz w:val="24"/>
        </w:rPr>
        <w:t>如法律法规或监管机构以后允许基金投资其他品种，基金管理人在履行适当程序后，可以将其纳入投资范围。</w:t>
      </w:r>
      <w:r>
        <w:rPr>
          <w:rFonts w:hint="eastAsia"/>
          <w:bCs/>
          <w:sz w:val="24"/>
        </w:rPr>
        <w:t xml:space="preserve"> </w:t>
      </w:r>
    </w:p>
    <w:p w14:paraId="5C0AAB58" w14:textId="77777777" w:rsidR="000F42D5" w:rsidRDefault="00CD3D2E">
      <w:pPr>
        <w:autoSpaceDE w:val="0"/>
        <w:autoSpaceDN w:val="0"/>
        <w:spacing w:line="360" w:lineRule="auto"/>
        <w:ind w:firstLineChars="200" w:firstLine="480"/>
        <w:textAlignment w:val="bottom"/>
        <w:rPr>
          <w:bCs/>
          <w:sz w:val="24"/>
        </w:rPr>
      </w:pPr>
      <w:r>
        <w:rPr>
          <w:rFonts w:hint="eastAsia"/>
          <w:bCs/>
          <w:sz w:val="24"/>
        </w:rPr>
        <w:t>基金的投资组合比例为：股票资产占基金资产的比例不低于</w:t>
      </w:r>
      <w:r>
        <w:rPr>
          <w:rFonts w:hint="eastAsia"/>
          <w:bCs/>
          <w:sz w:val="24"/>
        </w:rPr>
        <w:t>80%</w:t>
      </w:r>
      <w:r>
        <w:rPr>
          <w:rFonts w:hint="eastAsia"/>
          <w:bCs/>
          <w:sz w:val="24"/>
        </w:rPr>
        <w:t>，投资标的指数成份股及其备选成份股的比例不低于非现金基金资产的</w:t>
      </w:r>
      <w:r>
        <w:rPr>
          <w:rFonts w:hint="eastAsia"/>
          <w:bCs/>
          <w:sz w:val="24"/>
        </w:rPr>
        <w:t>80%</w:t>
      </w:r>
      <w:r>
        <w:rPr>
          <w:rFonts w:hint="eastAsia"/>
          <w:bCs/>
          <w:sz w:val="24"/>
        </w:rPr>
        <w:t>；每个交易日日终在扣除股指期货合约需缴纳的交易保证金后，保持不低于基金资产净值</w:t>
      </w:r>
      <w:r>
        <w:rPr>
          <w:rFonts w:hint="eastAsia"/>
          <w:bCs/>
          <w:sz w:val="24"/>
        </w:rPr>
        <w:t>5%</w:t>
      </w:r>
      <w:r>
        <w:rPr>
          <w:rFonts w:hint="eastAsia"/>
          <w:bCs/>
          <w:sz w:val="24"/>
        </w:rPr>
        <w:t>的现金或到期日在一年以内的政府债券，其中现金不包括结算备付金、存出保证金、应收申购款等；权证、股指期货及其他金融工具的投资比例依照法律法规或监管机构的规定执行。</w:t>
      </w:r>
    </w:p>
    <w:p w14:paraId="205C32B3" w14:textId="77777777" w:rsidR="000F42D5" w:rsidRDefault="00CD3D2E">
      <w:pPr>
        <w:widowControl/>
        <w:spacing w:line="360" w:lineRule="auto"/>
        <w:ind w:firstLineChars="200" w:firstLine="480"/>
        <w:jc w:val="left"/>
        <w:rPr>
          <w:rFonts w:ascii="宋体" w:hAnsi="宋体"/>
          <w:sz w:val="24"/>
          <w:szCs w:val="24"/>
        </w:rPr>
      </w:pPr>
      <w:r>
        <w:rPr>
          <w:rFonts w:ascii="宋体" w:hAnsi="宋体" w:hint="eastAsia"/>
          <w:sz w:val="24"/>
          <w:szCs w:val="24"/>
        </w:rPr>
        <w:t>如果法律法规或中国证监会变更投资品种的投资比例限制，基金管理人在履行适当程序后，可以调整上述投资品种的投资比例。</w:t>
      </w:r>
    </w:p>
    <w:p w14:paraId="0C11CDCE" w14:textId="77777777" w:rsidR="000F42D5" w:rsidRDefault="00CD3D2E">
      <w:pPr>
        <w:spacing w:line="360" w:lineRule="auto"/>
        <w:ind w:firstLine="480"/>
        <w:rPr>
          <w:bCs/>
          <w:sz w:val="24"/>
        </w:rPr>
      </w:pPr>
      <w:r>
        <w:rPr>
          <w:rFonts w:hint="eastAsia"/>
          <w:bCs/>
          <w:sz w:val="24"/>
        </w:rPr>
        <w:t>2</w:t>
      </w:r>
      <w:r>
        <w:rPr>
          <w:rFonts w:ascii="宋体" w:hAnsi="宋体" w:hint="eastAsia"/>
          <w:sz w:val="24"/>
          <w:szCs w:val="24"/>
        </w:rPr>
        <w:t>.</w:t>
      </w:r>
      <w:r>
        <w:rPr>
          <w:rFonts w:hint="eastAsia"/>
          <w:bCs/>
          <w:sz w:val="24"/>
        </w:rPr>
        <w:t>本基金各类品种的投资比例、投资限制为：</w:t>
      </w:r>
    </w:p>
    <w:p w14:paraId="221103F9" w14:textId="77777777" w:rsidR="000F42D5" w:rsidRDefault="00CD3D2E">
      <w:pPr>
        <w:spacing w:line="360" w:lineRule="auto"/>
        <w:ind w:firstLineChars="200" w:firstLine="480"/>
        <w:rPr>
          <w:bCs/>
          <w:sz w:val="24"/>
        </w:rPr>
      </w:pPr>
      <w:r>
        <w:rPr>
          <w:bCs/>
          <w:sz w:val="24"/>
        </w:rPr>
        <w:t>基金的投资组合应遵循以下限制：</w:t>
      </w:r>
    </w:p>
    <w:p w14:paraId="01D21A6A" w14:textId="77777777" w:rsidR="000F42D5" w:rsidRDefault="00CD3D2E">
      <w:pPr>
        <w:spacing w:line="360" w:lineRule="auto"/>
        <w:ind w:firstLineChars="200" w:firstLine="480"/>
        <w:rPr>
          <w:bCs/>
          <w:sz w:val="24"/>
          <w:highlight w:val="yellow"/>
        </w:rPr>
      </w:pPr>
      <w:r>
        <w:rPr>
          <w:bCs/>
          <w:sz w:val="24"/>
        </w:rPr>
        <w:t>（</w:t>
      </w:r>
      <w:r>
        <w:rPr>
          <w:bCs/>
          <w:sz w:val="24"/>
        </w:rPr>
        <w:t>1</w:t>
      </w:r>
      <w:r>
        <w:rPr>
          <w:bCs/>
          <w:sz w:val="24"/>
        </w:rPr>
        <w:t>）</w:t>
      </w:r>
      <w:r>
        <w:rPr>
          <w:rFonts w:hint="eastAsia"/>
          <w:bCs/>
          <w:sz w:val="24"/>
        </w:rPr>
        <w:t>股票资产占基金资产的比例不低于</w:t>
      </w:r>
      <w:r>
        <w:rPr>
          <w:rFonts w:hint="eastAsia"/>
          <w:bCs/>
          <w:sz w:val="24"/>
        </w:rPr>
        <w:t>80%</w:t>
      </w:r>
      <w:r>
        <w:rPr>
          <w:rFonts w:hint="eastAsia"/>
          <w:bCs/>
          <w:sz w:val="24"/>
        </w:rPr>
        <w:t>，投资中证</w:t>
      </w:r>
      <w:r>
        <w:rPr>
          <w:rFonts w:hint="eastAsia"/>
          <w:bCs/>
          <w:sz w:val="24"/>
        </w:rPr>
        <w:t>500</w:t>
      </w:r>
      <w:r>
        <w:rPr>
          <w:rFonts w:hint="eastAsia"/>
          <w:bCs/>
          <w:sz w:val="24"/>
        </w:rPr>
        <w:t>指数成份股及其备选成份股的比例不低于非现金基金资产的</w:t>
      </w:r>
      <w:r>
        <w:rPr>
          <w:rFonts w:hint="eastAsia"/>
          <w:bCs/>
          <w:sz w:val="24"/>
        </w:rPr>
        <w:t>80%</w:t>
      </w:r>
      <w:r>
        <w:rPr>
          <w:rFonts w:hint="eastAsia"/>
          <w:bCs/>
          <w:sz w:val="24"/>
        </w:rPr>
        <w:t>；</w:t>
      </w:r>
    </w:p>
    <w:p w14:paraId="744BF566" w14:textId="77777777" w:rsidR="000F42D5" w:rsidRDefault="00CD3D2E">
      <w:pPr>
        <w:spacing w:line="360" w:lineRule="auto"/>
        <w:ind w:firstLineChars="200" w:firstLine="480"/>
        <w:rPr>
          <w:bCs/>
          <w:sz w:val="24"/>
        </w:rPr>
      </w:pPr>
      <w:r>
        <w:rPr>
          <w:bCs/>
          <w:sz w:val="24"/>
        </w:rPr>
        <w:lastRenderedPageBreak/>
        <w:t>（</w:t>
      </w:r>
      <w:r>
        <w:rPr>
          <w:rFonts w:hint="eastAsia"/>
          <w:bCs/>
          <w:sz w:val="24"/>
        </w:rPr>
        <w:t>2</w:t>
      </w:r>
      <w:r>
        <w:rPr>
          <w:bCs/>
          <w:sz w:val="24"/>
        </w:rPr>
        <w:t>）</w:t>
      </w:r>
      <w:r>
        <w:rPr>
          <w:rFonts w:hint="eastAsia"/>
          <w:bCs/>
          <w:sz w:val="24"/>
        </w:rPr>
        <w:t>每个交易日日终在扣除股指期货合约需缴纳的交易保证金后，</w:t>
      </w:r>
      <w:r>
        <w:rPr>
          <w:bCs/>
          <w:sz w:val="24"/>
        </w:rPr>
        <w:t>保持不低于基金资产净值</w:t>
      </w:r>
      <w:r>
        <w:rPr>
          <w:bCs/>
          <w:sz w:val="24"/>
        </w:rPr>
        <w:t>5</w:t>
      </w:r>
      <w:r>
        <w:rPr>
          <w:bCs/>
          <w:sz w:val="24"/>
        </w:rPr>
        <w:t>％的现金或者到期日在一年以内的政府债券</w:t>
      </w:r>
      <w:r>
        <w:rPr>
          <w:rFonts w:hint="eastAsia"/>
          <w:bCs/>
          <w:sz w:val="24"/>
        </w:rPr>
        <w:t>，其中现金不包括结算备付金、存出保证金、应收申购款等</w:t>
      </w:r>
      <w:r>
        <w:rPr>
          <w:bCs/>
          <w:sz w:val="24"/>
        </w:rPr>
        <w:t>；</w:t>
      </w:r>
    </w:p>
    <w:p w14:paraId="2112404C" w14:textId="77777777" w:rsidR="000F42D5" w:rsidRDefault="00CD3D2E">
      <w:pPr>
        <w:spacing w:line="360" w:lineRule="auto"/>
        <w:ind w:firstLineChars="200" w:firstLine="480"/>
        <w:rPr>
          <w:bCs/>
          <w:sz w:val="24"/>
        </w:rPr>
      </w:pPr>
      <w:r>
        <w:rPr>
          <w:bCs/>
          <w:sz w:val="24"/>
        </w:rPr>
        <w:t>（</w:t>
      </w:r>
      <w:r>
        <w:rPr>
          <w:rFonts w:hint="eastAsia"/>
          <w:bCs/>
          <w:sz w:val="24"/>
        </w:rPr>
        <w:t>3</w:t>
      </w:r>
      <w:r>
        <w:rPr>
          <w:bCs/>
          <w:sz w:val="24"/>
        </w:rPr>
        <w:t>）</w:t>
      </w:r>
      <w:r>
        <w:rPr>
          <w:rStyle w:val="fontstyle01"/>
          <w:rFonts w:hint="default"/>
        </w:rPr>
        <w:t>本基金持有一家公司发行的证券</w:t>
      </w:r>
      <w:r>
        <w:rPr>
          <w:bCs/>
          <w:sz w:val="24"/>
        </w:rPr>
        <w:t>，其市值不超过基金资产净值的</w:t>
      </w:r>
      <w:r>
        <w:rPr>
          <w:bCs/>
          <w:sz w:val="24"/>
        </w:rPr>
        <w:t>10</w:t>
      </w:r>
      <w:r>
        <w:rPr>
          <w:bCs/>
          <w:sz w:val="24"/>
        </w:rPr>
        <w:t>％</w:t>
      </w:r>
      <w:r>
        <w:rPr>
          <w:rFonts w:hint="eastAsia"/>
          <w:bCs/>
          <w:sz w:val="24"/>
        </w:rPr>
        <w:t>，但完全按照标的指数的构成比例进行投资的部分不受此限制</w:t>
      </w:r>
      <w:r>
        <w:rPr>
          <w:bCs/>
          <w:sz w:val="24"/>
        </w:rPr>
        <w:t>；</w:t>
      </w:r>
    </w:p>
    <w:p w14:paraId="54395FED" w14:textId="77777777" w:rsidR="000F42D5" w:rsidRDefault="00CD3D2E">
      <w:pPr>
        <w:spacing w:line="360" w:lineRule="auto"/>
        <w:ind w:firstLineChars="200" w:firstLine="480"/>
        <w:rPr>
          <w:bCs/>
          <w:sz w:val="24"/>
          <w:lang w:val="zh-CN"/>
        </w:rPr>
      </w:pPr>
      <w:r>
        <w:rPr>
          <w:bCs/>
          <w:sz w:val="24"/>
        </w:rPr>
        <w:t>（</w:t>
      </w:r>
      <w:r>
        <w:rPr>
          <w:rFonts w:hint="eastAsia"/>
          <w:bCs/>
          <w:sz w:val="24"/>
        </w:rPr>
        <w:t>4</w:t>
      </w:r>
      <w:r>
        <w:rPr>
          <w:bCs/>
          <w:sz w:val="24"/>
        </w:rPr>
        <w:t>）本基金管理人管理的全部基金持有一家公司发行的证券，不超过该证券的</w:t>
      </w:r>
      <w:r>
        <w:rPr>
          <w:bCs/>
          <w:sz w:val="24"/>
        </w:rPr>
        <w:t>10</w:t>
      </w:r>
      <w:r>
        <w:rPr>
          <w:bCs/>
          <w:sz w:val="24"/>
        </w:rPr>
        <w:t>％</w:t>
      </w:r>
      <w:r>
        <w:rPr>
          <w:rFonts w:hint="eastAsia"/>
          <w:bCs/>
          <w:sz w:val="24"/>
        </w:rPr>
        <w:t>，但完全按照标的指数的构成比例进行投资的部分不受此限制</w:t>
      </w:r>
      <w:r>
        <w:rPr>
          <w:bCs/>
          <w:sz w:val="24"/>
        </w:rPr>
        <w:t>；</w:t>
      </w:r>
      <w:r>
        <w:rPr>
          <w:rFonts w:hint="eastAsia"/>
          <w:bCs/>
          <w:sz w:val="24"/>
        </w:rPr>
        <w:t xml:space="preserve"> </w:t>
      </w:r>
    </w:p>
    <w:p w14:paraId="3821E968" w14:textId="77777777" w:rsidR="000F42D5" w:rsidRDefault="00CD3D2E">
      <w:pPr>
        <w:spacing w:line="360" w:lineRule="auto"/>
        <w:ind w:firstLineChars="200" w:firstLine="480"/>
        <w:rPr>
          <w:bCs/>
          <w:sz w:val="24"/>
        </w:rPr>
      </w:pPr>
      <w:r>
        <w:rPr>
          <w:bCs/>
          <w:sz w:val="24"/>
        </w:rPr>
        <w:t>（</w:t>
      </w:r>
      <w:r>
        <w:rPr>
          <w:rFonts w:hint="eastAsia"/>
          <w:bCs/>
          <w:sz w:val="24"/>
        </w:rPr>
        <w:t>5</w:t>
      </w:r>
      <w:r>
        <w:rPr>
          <w:bCs/>
          <w:sz w:val="24"/>
        </w:rPr>
        <w:t>）本基金持有的全部权证，其市值不得超过基金资产净值的</w:t>
      </w:r>
      <w:r>
        <w:rPr>
          <w:bCs/>
          <w:sz w:val="24"/>
        </w:rPr>
        <w:t>3</w:t>
      </w:r>
      <w:r>
        <w:rPr>
          <w:bCs/>
          <w:sz w:val="24"/>
        </w:rPr>
        <w:t>％；</w:t>
      </w:r>
    </w:p>
    <w:p w14:paraId="0803FA40" w14:textId="77777777" w:rsidR="000F42D5" w:rsidRDefault="00CD3D2E">
      <w:pPr>
        <w:spacing w:line="360" w:lineRule="auto"/>
        <w:ind w:firstLineChars="200" w:firstLine="480"/>
        <w:rPr>
          <w:bCs/>
          <w:sz w:val="24"/>
        </w:rPr>
      </w:pPr>
      <w:r>
        <w:rPr>
          <w:bCs/>
          <w:sz w:val="24"/>
        </w:rPr>
        <w:t>（</w:t>
      </w:r>
      <w:r>
        <w:rPr>
          <w:rFonts w:hint="eastAsia"/>
          <w:bCs/>
          <w:sz w:val="24"/>
        </w:rPr>
        <w:t>6</w:t>
      </w:r>
      <w:r>
        <w:rPr>
          <w:bCs/>
          <w:sz w:val="24"/>
        </w:rPr>
        <w:t>）本基金管理人管理的全部基金持有的同一权证，不得超过该权证的</w:t>
      </w:r>
      <w:r>
        <w:rPr>
          <w:rFonts w:hint="eastAsia"/>
          <w:bCs/>
          <w:sz w:val="24"/>
        </w:rPr>
        <w:t xml:space="preserve">   </w:t>
      </w:r>
      <w:r>
        <w:rPr>
          <w:bCs/>
          <w:sz w:val="24"/>
        </w:rPr>
        <w:t>10</w:t>
      </w:r>
      <w:r>
        <w:rPr>
          <w:bCs/>
          <w:sz w:val="24"/>
        </w:rPr>
        <w:t>％；</w:t>
      </w:r>
    </w:p>
    <w:p w14:paraId="1BA416F5" w14:textId="77777777" w:rsidR="000F42D5" w:rsidRDefault="00CD3D2E">
      <w:pPr>
        <w:spacing w:line="360" w:lineRule="auto"/>
        <w:ind w:firstLineChars="200" w:firstLine="480"/>
        <w:rPr>
          <w:bCs/>
          <w:sz w:val="24"/>
        </w:rPr>
      </w:pPr>
      <w:r>
        <w:rPr>
          <w:bCs/>
          <w:sz w:val="24"/>
        </w:rPr>
        <w:t>（</w:t>
      </w:r>
      <w:r>
        <w:rPr>
          <w:rFonts w:hint="eastAsia"/>
          <w:bCs/>
          <w:sz w:val="24"/>
        </w:rPr>
        <w:t>7</w:t>
      </w:r>
      <w:r>
        <w:rPr>
          <w:bCs/>
          <w:sz w:val="24"/>
        </w:rPr>
        <w:t>）本基金在任何交易日买入权证的总金额，不得超过上一交易日基金资产净值的</w:t>
      </w:r>
      <w:r>
        <w:rPr>
          <w:bCs/>
          <w:sz w:val="24"/>
        </w:rPr>
        <w:t>0.5</w:t>
      </w:r>
      <w:r>
        <w:rPr>
          <w:bCs/>
          <w:sz w:val="24"/>
        </w:rPr>
        <w:t>％；</w:t>
      </w:r>
    </w:p>
    <w:p w14:paraId="01118734" w14:textId="77777777" w:rsidR="000F42D5" w:rsidRDefault="00CD3D2E">
      <w:pPr>
        <w:spacing w:line="360" w:lineRule="auto"/>
        <w:ind w:firstLineChars="200" w:firstLine="480"/>
        <w:rPr>
          <w:bCs/>
          <w:sz w:val="24"/>
        </w:rPr>
      </w:pPr>
      <w:r>
        <w:rPr>
          <w:bCs/>
          <w:sz w:val="24"/>
        </w:rPr>
        <w:t>（</w:t>
      </w:r>
      <w:r>
        <w:rPr>
          <w:rFonts w:hint="eastAsia"/>
          <w:bCs/>
          <w:sz w:val="24"/>
        </w:rPr>
        <w:t>8</w:t>
      </w:r>
      <w:r>
        <w:rPr>
          <w:bCs/>
          <w:sz w:val="24"/>
        </w:rPr>
        <w:t>）本基金投资于同一原始权益人的各类资产支持证券的比例，不得超过基金资产净值的</w:t>
      </w:r>
      <w:r>
        <w:rPr>
          <w:bCs/>
          <w:sz w:val="24"/>
        </w:rPr>
        <w:t>10</w:t>
      </w:r>
      <w:r>
        <w:rPr>
          <w:bCs/>
          <w:sz w:val="24"/>
        </w:rPr>
        <w:t>％；</w:t>
      </w:r>
    </w:p>
    <w:p w14:paraId="187C9356" w14:textId="77777777" w:rsidR="000F42D5" w:rsidRDefault="00CD3D2E">
      <w:pPr>
        <w:spacing w:line="360" w:lineRule="auto"/>
        <w:ind w:firstLineChars="200" w:firstLine="480"/>
        <w:rPr>
          <w:bCs/>
          <w:sz w:val="24"/>
        </w:rPr>
      </w:pPr>
      <w:r>
        <w:rPr>
          <w:bCs/>
          <w:sz w:val="24"/>
        </w:rPr>
        <w:t>（</w:t>
      </w:r>
      <w:r>
        <w:rPr>
          <w:rFonts w:hint="eastAsia"/>
          <w:bCs/>
          <w:sz w:val="24"/>
        </w:rPr>
        <w:t>9</w:t>
      </w:r>
      <w:r>
        <w:rPr>
          <w:bCs/>
          <w:sz w:val="24"/>
        </w:rPr>
        <w:t>）本基金持有的全部资产支持证券，其市值不得超过基金资产净值的</w:t>
      </w:r>
      <w:r>
        <w:rPr>
          <w:bCs/>
          <w:sz w:val="24"/>
        </w:rPr>
        <w:t>20</w:t>
      </w:r>
      <w:r>
        <w:rPr>
          <w:bCs/>
          <w:sz w:val="24"/>
        </w:rPr>
        <w:t>％</w:t>
      </w:r>
      <w:r>
        <w:rPr>
          <w:rFonts w:hint="eastAsia"/>
          <w:bCs/>
          <w:sz w:val="24"/>
        </w:rPr>
        <w:t>，中国证监会规定的特殊品种除外</w:t>
      </w:r>
      <w:r>
        <w:rPr>
          <w:bCs/>
          <w:sz w:val="24"/>
        </w:rPr>
        <w:t>；</w:t>
      </w:r>
    </w:p>
    <w:p w14:paraId="7E2CFB9E" w14:textId="77777777" w:rsidR="000F42D5" w:rsidRDefault="00CD3D2E">
      <w:pPr>
        <w:spacing w:line="360" w:lineRule="auto"/>
        <w:ind w:firstLineChars="200" w:firstLine="480"/>
        <w:rPr>
          <w:bCs/>
          <w:sz w:val="24"/>
        </w:rPr>
      </w:pPr>
      <w:r>
        <w:rPr>
          <w:bCs/>
          <w:sz w:val="24"/>
        </w:rPr>
        <w:t>（</w:t>
      </w:r>
      <w:r>
        <w:rPr>
          <w:rFonts w:hint="eastAsia"/>
          <w:bCs/>
          <w:sz w:val="24"/>
        </w:rPr>
        <w:t>10</w:t>
      </w:r>
      <w:r>
        <w:rPr>
          <w:bCs/>
          <w:sz w:val="24"/>
        </w:rPr>
        <w:t>）本基金持有的同一</w:t>
      </w:r>
      <w:r>
        <w:rPr>
          <w:bCs/>
          <w:sz w:val="24"/>
        </w:rPr>
        <w:t>(</w:t>
      </w:r>
      <w:r>
        <w:rPr>
          <w:bCs/>
          <w:sz w:val="24"/>
        </w:rPr>
        <w:t>指同一信用级别</w:t>
      </w:r>
      <w:r>
        <w:rPr>
          <w:bCs/>
          <w:sz w:val="24"/>
        </w:rPr>
        <w:t>)</w:t>
      </w:r>
      <w:r>
        <w:rPr>
          <w:bCs/>
          <w:sz w:val="24"/>
        </w:rPr>
        <w:t>资产支持证券的比例，不得超过该资产支持证券规模的</w:t>
      </w:r>
      <w:r>
        <w:rPr>
          <w:bCs/>
          <w:sz w:val="24"/>
        </w:rPr>
        <w:t>10</w:t>
      </w:r>
      <w:r>
        <w:rPr>
          <w:bCs/>
          <w:sz w:val="24"/>
        </w:rPr>
        <w:t>％；</w:t>
      </w:r>
    </w:p>
    <w:p w14:paraId="1EBDDCA4" w14:textId="77777777" w:rsidR="000F42D5" w:rsidRDefault="00CD3D2E">
      <w:pPr>
        <w:spacing w:line="360" w:lineRule="auto"/>
        <w:ind w:firstLineChars="200" w:firstLine="480"/>
        <w:rPr>
          <w:bCs/>
          <w:sz w:val="24"/>
        </w:rPr>
      </w:pPr>
      <w:r>
        <w:rPr>
          <w:bCs/>
          <w:sz w:val="24"/>
        </w:rPr>
        <w:t>（</w:t>
      </w:r>
      <w:r>
        <w:rPr>
          <w:bCs/>
          <w:sz w:val="24"/>
        </w:rPr>
        <w:t>1</w:t>
      </w:r>
      <w:r>
        <w:rPr>
          <w:rFonts w:hint="eastAsia"/>
          <w:bCs/>
          <w:sz w:val="24"/>
        </w:rPr>
        <w:t>1</w:t>
      </w:r>
      <w:r>
        <w:rPr>
          <w:bCs/>
          <w:sz w:val="24"/>
        </w:rPr>
        <w:t>）本基金管理人管理的全部基金投资于同一原始权益人的各类资产支持证券，不得超过其各类资产支持证券合计规模的</w:t>
      </w:r>
      <w:r>
        <w:rPr>
          <w:bCs/>
          <w:sz w:val="24"/>
        </w:rPr>
        <w:t>10</w:t>
      </w:r>
      <w:r>
        <w:rPr>
          <w:bCs/>
          <w:sz w:val="24"/>
        </w:rPr>
        <w:t>％；</w:t>
      </w:r>
    </w:p>
    <w:p w14:paraId="74C64196" w14:textId="77777777" w:rsidR="000F42D5" w:rsidRDefault="00CD3D2E">
      <w:pPr>
        <w:spacing w:line="360" w:lineRule="auto"/>
        <w:ind w:firstLineChars="200" w:firstLine="480"/>
        <w:rPr>
          <w:bCs/>
          <w:sz w:val="24"/>
        </w:rPr>
      </w:pPr>
      <w:r>
        <w:rPr>
          <w:bCs/>
          <w:sz w:val="24"/>
        </w:rPr>
        <w:t>（</w:t>
      </w:r>
      <w:r>
        <w:rPr>
          <w:bCs/>
          <w:sz w:val="24"/>
        </w:rPr>
        <w:t>1</w:t>
      </w:r>
      <w:r>
        <w:rPr>
          <w:rFonts w:hint="eastAsia"/>
          <w:bCs/>
          <w:sz w:val="24"/>
        </w:rPr>
        <w:t>2</w:t>
      </w:r>
      <w:r>
        <w:rPr>
          <w:bCs/>
          <w:sz w:val="24"/>
        </w:rPr>
        <w:t>）本基金应投资于信用级别评级为</w:t>
      </w:r>
      <w:r>
        <w:rPr>
          <w:bCs/>
          <w:sz w:val="24"/>
        </w:rPr>
        <w:t>BBB</w:t>
      </w:r>
      <w:r>
        <w:rPr>
          <w:bCs/>
          <w:sz w:val="24"/>
        </w:rPr>
        <w:t>以上</w:t>
      </w:r>
      <w:r>
        <w:rPr>
          <w:bCs/>
          <w:sz w:val="24"/>
        </w:rPr>
        <w:t>(</w:t>
      </w:r>
      <w:r>
        <w:rPr>
          <w:bCs/>
          <w:sz w:val="24"/>
        </w:rPr>
        <w:t>含</w:t>
      </w:r>
      <w:r>
        <w:rPr>
          <w:bCs/>
          <w:sz w:val="24"/>
        </w:rPr>
        <w:t>BBB)</w:t>
      </w:r>
      <w:r>
        <w:rPr>
          <w:bCs/>
          <w:sz w:val="24"/>
        </w:rPr>
        <w:t>的资产支持证券。基金持有资产支持证券期间，如果其信用等级下降、不再符合投资标准，应在评级报告发布之日起</w:t>
      </w:r>
      <w:r>
        <w:rPr>
          <w:bCs/>
          <w:sz w:val="24"/>
        </w:rPr>
        <w:t>3</w:t>
      </w:r>
      <w:r>
        <w:rPr>
          <w:bCs/>
          <w:sz w:val="24"/>
        </w:rPr>
        <w:t>个月内予以全部卖出；</w:t>
      </w:r>
    </w:p>
    <w:p w14:paraId="74CF18AA" w14:textId="77777777" w:rsidR="000F42D5" w:rsidRDefault="00CD3D2E">
      <w:pPr>
        <w:spacing w:line="360" w:lineRule="auto"/>
        <w:ind w:firstLineChars="200" w:firstLine="480"/>
        <w:rPr>
          <w:bCs/>
          <w:sz w:val="24"/>
        </w:rPr>
      </w:pPr>
      <w:r>
        <w:rPr>
          <w:bCs/>
          <w:sz w:val="24"/>
        </w:rPr>
        <w:t>（</w:t>
      </w:r>
      <w:r>
        <w:rPr>
          <w:bCs/>
          <w:sz w:val="24"/>
        </w:rPr>
        <w:t>1</w:t>
      </w:r>
      <w:r>
        <w:rPr>
          <w:rFonts w:hint="eastAsia"/>
          <w:bCs/>
          <w:sz w:val="24"/>
        </w:rPr>
        <w:t>3</w:t>
      </w:r>
      <w:r>
        <w:rPr>
          <w:bCs/>
          <w:sz w:val="24"/>
        </w:rPr>
        <w:t>）基金财产参与股票发行申购，本基金所申报的金额不超过本基金的总资产，本基金所申报的股票数量不超过拟发行股票公司本次发行股票的总量；</w:t>
      </w:r>
    </w:p>
    <w:p w14:paraId="47F237A8" w14:textId="77777777" w:rsidR="000F42D5" w:rsidRDefault="00CD3D2E">
      <w:pPr>
        <w:spacing w:line="360" w:lineRule="auto"/>
        <w:ind w:firstLineChars="200" w:firstLine="480"/>
        <w:rPr>
          <w:bCs/>
          <w:sz w:val="24"/>
        </w:rPr>
      </w:pPr>
      <w:r>
        <w:rPr>
          <w:bCs/>
          <w:sz w:val="24"/>
        </w:rPr>
        <w:t>（</w:t>
      </w:r>
      <w:r>
        <w:rPr>
          <w:bCs/>
          <w:sz w:val="24"/>
        </w:rPr>
        <w:t>1</w:t>
      </w:r>
      <w:r>
        <w:rPr>
          <w:rFonts w:hint="eastAsia"/>
          <w:bCs/>
          <w:sz w:val="24"/>
        </w:rPr>
        <w:t>4</w:t>
      </w:r>
      <w:r>
        <w:rPr>
          <w:bCs/>
          <w:sz w:val="24"/>
        </w:rPr>
        <w:t>）本基金进入全国银行间同业市场进行债券回购的资金余额不得超过基金资产净值的</w:t>
      </w:r>
      <w:r>
        <w:rPr>
          <w:bCs/>
          <w:sz w:val="24"/>
        </w:rPr>
        <w:t>40%</w:t>
      </w:r>
      <w:r>
        <w:rPr>
          <w:rFonts w:hint="eastAsia"/>
          <w:bCs/>
          <w:sz w:val="24"/>
        </w:rPr>
        <w:t>，在全国银行间同业市场的债券回购最长期限为</w:t>
      </w:r>
      <w:r>
        <w:rPr>
          <w:rFonts w:hint="eastAsia"/>
          <w:bCs/>
          <w:sz w:val="24"/>
        </w:rPr>
        <w:t>1</w:t>
      </w:r>
      <w:r>
        <w:rPr>
          <w:rFonts w:hint="eastAsia"/>
          <w:bCs/>
          <w:sz w:val="24"/>
        </w:rPr>
        <w:t>年，债券回购到期后不得展期</w:t>
      </w:r>
      <w:r>
        <w:rPr>
          <w:bCs/>
          <w:sz w:val="24"/>
        </w:rPr>
        <w:t>；</w:t>
      </w:r>
    </w:p>
    <w:p w14:paraId="324DF249" w14:textId="77777777" w:rsidR="000F42D5" w:rsidRDefault="00CD3D2E">
      <w:pPr>
        <w:spacing w:line="360" w:lineRule="auto"/>
        <w:ind w:firstLineChars="200" w:firstLine="480"/>
        <w:rPr>
          <w:bCs/>
          <w:sz w:val="24"/>
        </w:rPr>
      </w:pPr>
      <w:r>
        <w:rPr>
          <w:rFonts w:hint="eastAsia"/>
          <w:bCs/>
          <w:sz w:val="24"/>
        </w:rPr>
        <w:t>（</w:t>
      </w:r>
      <w:r>
        <w:rPr>
          <w:rFonts w:hint="eastAsia"/>
          <w:bCs/>
          <w:sz w:val="24"/>
        </w:rPr>
        <w:t>15</w:t>
      </w:r>
      <w:r>
        <w:rPr>
          <w:rFonts w:hint="eastAsia"/>
          <w:bCs/>
          <w:sz w:val="24"/>
        </w:rPr>
        <w:t>）本基金总资产不得超过基金净资产的</w:t>
      </w:r>
      <w:r>
        <w:rPr>
          <w:rFonts w:hint="eastAsia"/>
          <w:bCs/>
          <w:sz w:val="24"/>
        </w:rPr>
        <w:t xml:space="preserve"> 140%</w:t>
      </w:r>
      <w:r>
        <w:rPr>
          <w:rFonts w:hint="eastAsia"/>
          <w:bCs/>
          <w:sz w:val="24"/>
        </w:rPr>
        <w:t>；</w:t>
      </w:r>
    </w:p>
    <w:p w14:paraId="7354B495" w14:textId="77777777" w:rsidR="000F42D5" w:rsidRDefault="00CD3D2E">
      <w:pPr>
        <w:spacing w:line="360" w:lineRule="auto"/>
        <w:ind w:firstLineChars="200" w:firstLine="480"/>
        <w:rPr>
          <w:bCs/>
          <w:sz w:val="24"/>
        </w:rPr>
      </w:pPr>
      <w:r>
        <w:rPr>
          <w:rFonts w:hint="eastAsia"/>
          <w:bCs/>
          <w:sz w:val="24"/>
        </w:rPr>
        <w:lastRenderedPageBreak/>
        <w:t>（</w:t>
      </w:r>
      <w:r>
        <w:rPr>
          <w:rFonts w:hint="eastAsia"/>
          <w:bCs/>
          <w:sz w:val="24"/>
        </w:rPr>
        <w:t>16</w:t>
      </w:r>
      <w:r>
        <w:rPr>
          <w:rFonts w:hint="eastAsia"/>
          <w:bCs/>
          <w:sz w:val="24"/>
        </w:rPr>
        <w:t>）本基金持有单只中小企业私募债券，其市值不得超过本基金资产净值的</w:t>
      </w:r>
      <w:r>
        <w:rPr>
          <w:rFonts w:hint="eastAsia"/>
          <w:bCs/>
          <w:sz w:val="24"/>
        </w:rPr>
        <w:t>10%</w:t>
      </w:r>
      <w:r>
        <w:rPr>
          <w:rFonts w:hint="eastAsia"/>
          <w:bCs/>
          <w:sz w:val="24"/>
        </w:rPr>
        <w:t>；基金投资于中小企业私募债的比例不超过基金资产净值的</w:t>
      </w:r>
      <w:r>
        <w:rPr>
          <w:bCs/>
          <w:sz w:val="24"/>
        </w:rPr>
        <w:t>20%</w:t>
      </w:r>
      <w:r>
        <w:rPr>
          <w:rFonts w:hint="eastAsia"/>
          <w:bCs/>
          <w:sz w:val="24"/>
        </w:rPr>
        <w:t>；</w:t>
      </w:r>
    </w:p>
    <w:p w14:paraId="13A09EB5" w14:textId="77777777" w:rsidR="000F42D5" w:rsidRDefault="00CD3D2E">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17</w:t>
      </w:r>
      <w:r>
        <w:rPr>
          <w:rFonts w:hint="eastAsia"/>
          <w:bCs/>
          <w:sz w:val="24"/>
        </w:rPr>
        <w:t>）本基金参与股指期货交易，需遵守下列规定：</w:t>
      </w:r>
    </w:p>
    <w:p w14:paraId="13F552DC" w14:textId="77777777" w:rsidR="000F42D5" w:rsidRDefault="00CD3D2E">
      <w:pPr>
        <w:spacing w:line="360" w:lineRule="auto"/>
        <w:ind w:firstLineChars="200" w:firstLine="480"/>
        <w:rPr>
          <w:bCs/>
          <w:sz w:val="24"/>
        </w:rPr>
      </w:pPr>
      <w:r>
        <w:rPr>
          <w:rFonts w:hint="eastAsia"/>
          <w:bCs/>
          <w:sz w:val="24"/>
        </w:rPr>
        <w:t>1</w:t>
      </w:r>
      <w:r>
        <w:rPr>
          <w:rFonts w:hint="eastAsia"/>
          <w:bCs/>
          <w:sz w:val="24"/>
        </w:rPr>
        <w:t>）本基金在任何交易日日终，持有的买入股指期货合约价值，不得超过基金资产净值的</w:t>
      </w:r>
      <w:r>
        <w:rPr>
          <w:rFonts w:hint="eastAsia"/>
          <w:bCs/>
          <w:sz w:val="24"/>
        </w:rPr>
        <w:t>10%</w:t>
      </w:r>
      <w:r>
        <w:rPr>
          <w:rFonts w:hint="eastAsia"/>
          <w:bCs/>
          <w:sz w:val="24"/>
        </w:rPr>
        <w:t>；</w:t>
      </w:r>
    </w:p>
    <w:p w14:paraId="457871E0" w14:textId="77777777" w:rsidR="000F42D5" w:rsidRDefault="00CD3D2E">
      <w:pPr>
        <w:spacing w:line="360" w:lineRule="auto"/>
        <w:ind w:firstLineChars="200" w:firstLine="480"/>
        <w:rPr>
          <w:bCs/>
          <w:sz w:val="24"/>
        </w:rPr>
      </w:pPr>
      <w:r>
        <w:rPr>
          <w:rFonts w:hint="eastAsia"/>
          <w:bCs/>
          <w:sz w:val="24"/>
        </w:rPr>
        <w:t>2</w:t>
      </w:r>
      <w:r>
        <w:rPr>
          <w:rFonts w:hint="eastAsia"/>
          <w:bCs/>
          <w:sz w:val="24"/>
        </w:rPr>
        <w:t>）本基金在任何交易日日终，持有的买入股指期货合约价值与有价证券市值之和，不得超过基金资产净值的</w:t>
      </w:r>
      <w:r>
        <w:rPr>
          <w:rFonts w:hint="eastAsia"/>
          <w:bCs/>
          <w:sz w:val="24"/>
        </w:rPr>
        <w:t>95%</w:t>
      </w:r>
      <w:r>
        <w:rPr>
          <w:rFonts w:hint="eastAsia"/>
          <w:bCs/>
          <w:sz w:val="24"/>
        </w:rPr>
        <w:t>，其中，有价证券指股票、债券（不含到期日在一年以内的政府债券）、权证、资产支持证券、买入返售金融资产（不含质押式回购）等；</w:t>
      </w:r>
    </w:p>
    <w:p w14:paraId="38B581CE" w14:textId="77777777" w:rsidR="000F42D5" w:rsidRDefault="00CD3D2E">
      <w:pPr>
        <w:spacing w:line="360" w:lineRule="auto"/>
        <w:ind w:firstLineChars="200" w:firstLine="480"/>
        <w:rPr>
          <w:bCs/>
          <w:sz w:val="24"/>
        </w:rPr>
      </w:pPr>
      <w:r>
        <w:rPr>
          <w:rFonts w:hint="eastAsia"/>
          <w:bCs/>
          <w:sz w:val="24"/>
        </w:rPr>
        <w:t>3</w:t>
      </w:r>
      <w:r>
        <w:rPr>
          <w:rFonts w:hint="eastAsia"/>
          <w:bCs/>
          <w:sz w:val="24"/>
        </w:rPr>
        <w:t>）本基金在任何交易日日终，持有的卖出股指期货合约价值不得超过基金持有的股票总市值的</w:t>
      </w:r>
      <w:r>
        <w:rPr>
          <w:rFonts w:hint="eastAsia"/>
          <w:bCs/>
          <w:sz w:val="24"/>
        </w:rPr>
        <w:t>20%</w:t>
      </w:r>
      <w:r>
        <w:rPr>
          <w:rFonts w:hint="eastAsia"/>
          <w:bCs/>
          <w:sz w:val="24"/>
        </w:rPr>
        <w:t>；</w:t>
      </w:r>
    </w:p>
    <w:p w14:paraId="2641971A" w14:textId="77777777" w:rsidR="000F42D5" w:rsidRDefault="00CD3D2E">
      <w:pPr>
        <w:spacing w:line="360" w:lineRule="auto"/>
        <w:ind w:firstLineChars="200" w:firstLine="480"/>
        <w:rPr>
          <w:bCs/>
          <w:sz w:val="24"/>
        </w:rPr>
      </w:pPr>
      <w:r>
        <w:rPr>
          <w:rFonts w:hint="eastAsia"/>
          <w:bCs/>
          <w:sz w:val="24"/>
        </w:rPr>
        <w:t>4</w:t>
      </w:r>
      <w:r>
        <w:rPr>
          <w:rFonts w:hint="eastAsia"/>
          <w:bCs/>
          <w:sz w:val="24"/>
        </w:rPr>
        <w:t>）本基金在任何交易日内交易（不包括平仓）的股指期货合约的成交金额不得超过上一交易日基金资产净值的</w:t>
      </w:r>
      <w:r>
        <w:rPr>
          <w:rFonts w:hint="eastAsia"/>
          <w:bCs/>
          <w:sz w:val="24"/>
        </w:rPr>
        <w:t>20%</w:t>
      </w:r>
      <w:r>
        <w:rPr>
          <w:rFonts w:hint="eastAsia"/>
          <w:bCs/>
          <w:sz w:val="24"/>
        </w:rPr>
        <w:t>；</w:t>
      </w:r>
    </w:p>
    <w:p w14:paraId="3D4E7D10" w14:textId="77777777" w:rsidR="000F42D5" w:rsidRDefault="00CD3D2E">
      <w:pPr>
        <w:spacing w:line="360" w:lineRule="auto"/>
        <w:ind w:firstLineChars="200" w:firstLine="480"/>
        <w:rPr>
          <w:bCs/>
          <w:sz w:val="24"/>
        </w:rPr>
      </w:pPr>
      <w:r>
        <w:rPr>
          <w:rFonts w:hint="eastAsia"/>
          <w:bCs/>
          <w:sz w:val="24"/>
        </w:rPr>
        <w:t>5</w:t>
      </w:r>
      <w:r>
        <w:rPr>
          <w:rFonts w:hint="eastAsia"/>
          <w:bCs/>
          <w:sz w:val="24"/>
        </w:rPr>
        <w:t>）本基金所持有的股票市值和买入、卖出股指期货合约价值，合计（轧差计算）应当符合基金合同关于股票投资比例的有关规定；</w:t>
      </w:r>
    </w:p>
    <w:p w14:paraId="0720A6A2" w14:textId="77777777" w:rsidR="000F42D5" w:rsidRDefault="00CD3D2E">
      <w:pPr>
        <w:spacing w:line="360" w:lineRule="auto"/>
        <w:ind w:firstLineChars="200" w:firstLine="480"/>
        <w:rPr>
          <w:bCs/>
          <w:sz w:val="24"/>
        </w:rPr>
      </w:pPr>
      <w:r>
        <w:rPr>
          <w:rFonts w:hint="eastAsia"/>
          <w:sz w:val="24"/>
        </w:rPr>
        <w:t>（</w:t>
      </w:r>
      <w:r>
        <w:rPr>
          <w:rFonts w:hint="eastAsia"/>
          <w:sz w:val="24"/>
        </w:rPr>
        <w:t>18</w:t>
      </w:r>
      <w:r>
        <w:rPr>
          <w:rFonts w:hint="eastAsia"/>
          <w:sz w:val="24"/>
        </w:rPr>
        <w:t>）</w:t>
      </w:r>
      <w:r>
        <w:rPr>
          <w:rFonts w:hint="eastAsia"/>
          <w:bCs/>
          <w:sz w:val="24"/>
        </w:rPr>
        <w:t>本基金管理人管理的全部开放式基金（包括开放式基金以及处于开放期的定期开放基金）持有一家上市公司发行的可流通股票，不得超过该上市公司可流通股票的</w:t>
      </w:r>
      <w:r>
        <w:rPr>
          <w:rFonts w:hint="eastAsia"/>
          <w:bCs/>
          <w:sz w:val="24"/>
        </w:rPr>
        <w:t>15%</w:t>
      </w:r>
      <w:r>
        <w:rPr>
          <w:rFonts w:hint="eastAsia"/>
          <w:bCs/>
          <w:sz w:val="24"/>
        </w:rPr>
        <w:t>；本基金管理人管理的全部投资组合持有一家上市公司发行的可流通股票，不得超过该上市公司可流通股票的</w:t>
      </w:r>
      <w:r>
        <w:rPr>
          <w:rFonts w:hint="eastAsia"/>
          <w:bCs/>
          <w:sz w:val="24"/>
        </w:rPr>
        <w:t>30%</w:t>
      </w:r>
      <w:r>
        <w:rPr>
          <w:rFonts w:hint="eastAsia"/>
          <w:bCs/>
          <w:sz w:val="24"/>
        </w:rPr>
        <w:t>；完全按照有关指数的构成比例进行证券投资的开放式基金以及中国证监会认定的特殊投资组合可不受前述比例限制；</w:t>
      </w:r>
    </w:p>
    <w:p w14:paraId="0AA543D6" w14:textId="77777777" w:rsidR="000F42D5" w:rsidRDefault="00CD3D2E">
      <w:pPr>
        <w:spacing w:line="360" w:lineRule="auto"/>
        <w:ind w:firstLineChars="200" w:firstLine="480"/>
        <w:rPr>
          <w:bCs/>
          <w:sz w:val="24"/>
        </w:rPr>
      </w:pPr>
      <w:r>
        <w:rPr>
          <w:rFonts w:hint="eastAsia"/>
          <w:bCs/>
          <w:sz w:val="24"/>
        </w:rPr>
        <w:t>（</w:t>
      </w:r>
      <w:r>
        <w:rPr>
          <w:rFonts w:hint="eastAsia"/>
          <w:bCs/>
          <w:sz w:val="24"/>
        </w:rPr>
        <w:t>19</w:t>
      </w:r>
      <w:r>
        <w:rPr>
          <w:rFonts w:hint="eastAsia"/>
          <w:bCs/>
          <w:sz w:val="24"/>
        </w:rPr>
        <w:t>）本基金主动投资于流动性受限资产的市值合计不得超过基金资产净值的</w:t>
      </w:r>
      <w:r>
        <w:rPr>
          <w:rFonts w:hint="eastAsia"/>
          <w:bCs/>
          <w:sz w:val="24"/>
        </w:rPr>
        <w:t>15%</w:t>
      </w:r>
      <w:r>
        <w:rPr>
          <w:rFonts w:hint="eastAsia"/>
          <w:bCs/>
          <w:sz w:val="24"/>
        </w:rPr>
        <w:t>；</w:t>
      </w:r>
    </w:p>
    <w:p w14:paraId="012817F4" w14:textId="77777777" w:rsidR="000F42D5" w:rsidRDefault="00CD3D2E">
      <w:pPr>
        <w:spacing w:line="360" w:lineRule="auto"/>
        <w:ind w:firstLineChars="200" w:firstLine="480"/>
        <w:rPr>
          <w:bCs/>
          <w:sz w:val="24"/>
        </w:rPr>
      </w:pPr>
      <w:r>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7A2B8962" w14:textId="77777777" w:rsidR="000F42D5" w:rsidRDefault="00CD3D2E">
      <w:pPr>
        <w:spacing w:line="360" w:lineRule="auto"/>
        <w:ind w:firstLineChars="200" w:firstLine="480"/>
        <w:rPr>
          <w:bCs/>
          <w:sz w:val="24"/>
        </w:rPr>
      </w:pPr>
      <w:r>
        <w:rPr>
          <w:rFonts w:hint="eastAsia"/>
          <w:bCs/>
          <w:sz w:val="24"/>
        </w:rPr>
        <w:t>（</w:t>
      </w:r>
      <w:r>
        <w:rPr>
          <w:rFonts w:hint="eastAsia"/>
          <w:bCs/>
          <w:sz w:val="24"/>
        </w:rPr>
        <w:t>20</w:t>
      </w:r>
      <w:r>
        <w:rPr>
          <w:rFonts w:hint="eastAsia"/>
          <w:bCs/>
          <w:sz w:val="24"/>
        </w:rPr>
        <w:t>）本基金与私募类证券资管产品及中国证监会认定的其他主体为交易对手开展逆回购交易的，可接受质押品的资质要求应当与基金合同约定的投资范围保持一致；</w:t>
      </w:r>
    </w:p>
    <w:p w14:paraId="73427913" w14:textId="77777777" w:rsidR="000F42D5" w:rsidRDefault="00CD3D2E">
      <w:pPr>
        <w:autoSpaceDE w:val="0"/>
        <w:autoSpaceDN w:val="0"/>
        <w:spacing w:line="360" w:lineRule="auto"/>
        <w:ind w:firstLineChars="200" w:firstLine="480"/>
        <w:textAlignment w:val="bottom"/>
        <w:rPr>
          <w:bCs/>
          <w:sz w:val="24"/>
        </w:rPr>
      </w:pPr>
      <w:r>
        <w:rPr>
          <w:rFonts w:hint="eastAsia"/>
          <w:bCs/>
          <w:sz w:val="24"/>
        </w:rPr>
        <w:lastRenderedPageBreak/>
        <w:t>（</w:t>
      </w:r>
      <w:r>
        <w:rPr>
          <w:rFonts w:hint="eastAsia"/>
          <w:bCs/>
          <w:sz w:val="24"/>
        </w:rPr>
        <w:t>21</w:t>
      </w:r>
      <w:r>
        <w:rPr>
          <w:rFonts w:hint="eastAsia"/>
          <w:bCs/>
          <w:sz w:val="24"/>
        </w:rPr>
        <w:t>）本基金投资存托凭证的比例限制依照境内上市交易的股票执行，与境内上市交易的股票合并计算；</w:t>
      </w:r>
    </w:p>
    <w:p w14:paraId="582BB8AD" w14:textId="77777777" w:rsidR="000F42D5" w:rsidRDefault="00CD3D2E">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22</w:t>
      </w:r>
      <w:r>
        <w:rPr>
          <w:rFonts w:hint="eastAsia"/>
          <w:bCs/>
          <w:sz w:val="24"/>
        </w:rPr>
        <w:t>）法律法规及中国证监会规定的和《基金合同》约定的其他投资限制。</w:t>
      </w:r>
    </w:p>
    <w:p w14:paraId="2058988B" w14:textId="77777777" w:rsidR="000F42D5" w:rsidRDefault="00CD3D2E">
      <w:pPr>
        <w:autoSpaceDE w:val="0"/>
        <w:autoSpaceDN w:val="0"/>
        <w:spacing w:line="360" w:lineRule="auto"/>
        <w:ind w:firstLineChars="200" w:firstLine="480"/>
        <w:textAlignment w:val="bottom"/>
        <w:rPr>
          <w:bCs/>
          <w:sz w:val="24"/>
        </w:rPr>
      </w:pPr>
      <w:r>
        <w:rPr>
          <w:rFonts w:hint="eastAsia"/>
          <w:bCs/>
          <w:sz w:val="24"/>
        </w:rPr>
        <w:t>除上述第（</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Pr>
          <w:rFonts w:hint="eastAsia"/>
          <w:bCs/>
          <w:sz w:val="24"/>
        </w:rPr>
        <w:t>19</w:t>
      </w:r>
      <w:r>
        <w:rPr>
          <w:rFonts w:hint="eastAsia"/>
          <w:bCs/>
          <w:sz w:val="24"/>
        </w:rPr>
        <w:t>）、（</w:t>
      </w:r>
      <w:r>
        <w:rPr>
          <w:rFonts w:hint="eastAsia"/>
          <w:bCs/>
          <w:sz w:val="24"/>
        </w:rPr>
        <w:t>20</w:t>
      </w:r>
      <w:r>
        <w:rPr>
          <w:rFonts w:hint="eastAsia"/>
          <w:bCs/>
          <w:sz w:val="24"/>
        </w:rPr>
        <w:t>）项外，因证券、期货市场波动、上市公司合并、基金规模变动、股权分置改革中支付对价等基金管理人之外的因素致使基金投资比例不符合上述规定投资比例的，基金管理人应当在</w:t>
      </w:r>
      <w:r>
        <w:rPr>
          <w:rFonts w:hint="eastAsia"/>
          <w:bCs/>
          <w:sz w:val="24"/>
        </w:rPr>
        <w:t>10</w:t>
      </w:r>
      <w:r>
        <w:rPr>
          <w:rFonts w:hint="eastAsia"/>
          <w:bCs/>
          <w:sz w:val="24"/>
        </w:rPr>
        <w:t>个交易日内进行调整，但中国证监会规定的特殊情形除外。</w:t>
      </w:r>
    </w:p>
    <w:p w14:paraId="01E0E238" w14:textId="77777777" w:rsidR="000F42D5" w:rsidRDefault="00CD3D2E">
      <w:pPr>
        <w:spacing w:line="360" w:lineRule="auto"/>
        <w:ind w:firstLine="480"/>
        <w:rPr>
          <w:bCs/>
          <w:sz w:val="24"/>
        </w:rPr>
      </w:pPr>
      <w:r>
        <w:rPr>
          <w:rFonts w:hint="eastAsia"/>
          <w:bCs/>
          <w:sz w:val="24"/>
        </w:rPr>
        <w:t>基金管理人应当自基金合同生效之日起</w:t>
      </w:r>
      <w:r>
        <w:rPr>
          <w:rFonts w:hint="eastAsia"/>
          <w:bCs/>
          <w:sz w:val="24"/>
        </w:rPr>
        <w:t>6</w:t>
      </w:r>
      <w:r>
        <w:rPr>
          <w:rFonts w:hint="eastAsia"/>
          <w:bCs/>
          <w:sz w:val="24"/>
        </w:rPr>
        <w:t>个月内使基金的投资组合比例符合基金合同的有关约定。在上述期间内，本基金的投资范围、投资策略应当符合基金合同的约定。基金托管人对基金的投资的监督与检查自基金合同生效之日起开始。</w:t>
      </w:r>
    </w:p>
    <w:p w14:paraId="2B532A07" w14:textId="77777777" w:rsidR="000F42D5" w:rsidRDefault="00CD3D2E">
      <w:pPr>
        <w:spacing w:line="360" w:lineRule="auto"/>
        <w:ind w:firstLine="480"/>
        <w:rPr>
          <w:bCs/>
          <w:sz w:val="24"/>
        </w:rPr>
      </w:pPr>
      <w:r>
        <w:rPr>
          <w:rFonts w:hint="eastAsia"/>
          <w:bCs/>
          <w:sz w:val="24"/>
        </w:rPr>
        <w:t>法律法规或监管部门取消或调整上述限制，如适用于本基金，基金管理人在履行适当程序后，则本基金投资不再受相关限制或按调整后的规定执行。</w:t>
      </w:r>
    </w:p>
    <w:p w14:paraId="3080246A" w14:textId="77777777" w:rsidR="000F42D5" w:rsidRDefault="00CD3D2E">
      <w:pPr>
        <w:spacing w:line="360" w:lineRule="auto"/>
        <w:ind w:firstLine="480"/>
        <w:rPr>
          <w:bCs/>
          <w:sz w:val="24"/>
        </w:rPr>
      </w:pPr>
      <w:r>
        <w:rPr>
          <w:rFonts w:hint="eastAsia"/>
          <w:bCs/>
          <w:sz w:val="24"/>
        </w:rPr>
        <w:t>3</w:t>
      </w:r>
      <w:r>
        <w:rPr>
          <w:rFonts w:ascii="宋体" w:hAnsi="宋体" w:hint="eastAsia"/>
          <w:sz w:val="24"/>
          <w:szCs w:val="24"/>
        </w:rPr>
        <w:t>.</w:t>
      </w:r>
      <w:r>
        <w:rPr>
          <w:rFonts w:hint="eastAsia"/>
          <w:bCs/>
          <w:sz w:val="24"/>
        </w:rPr>
        <w:t>本基金财产不得用于以下投资或者活动：</w:t>
      </w:r>
    </w:p>
    <w:p w14:paraId="3F01C722" w14:textId="77777777" w:rsidR="000F42D5" w:rsidRDefault="00CD3D2E">
      <w:pPr>
        <w:spacing w:line="360" w:lineRule="auto"/>
        <w:ind w:firstLine="480"/>
        <w:rPr>
          <w:bCs/>
          <w:sz w:val="24"/>
        </w:rPr>
      </w:pPr>
      <w:r>
        <w:rPr>
          <w:rFonts w:hint="eastAsia"/>
          <w:bCs/>
          <w:sz w:val="24"/>
        </w:rPr>
        <w:t>（</w:t>
      </w:r>
      <w:r>
        <w:rPr>
          <w:rFonts w:hint="eastAsia"/>
          <w:bCs/>
          <w:sz w:val="24"/>
        </w:rPr>
        <w:t>1</w:t>
      </w:r>
      <w:r>
        <w:rPr>
          <w:rFonts w:hint="eastAsia"/>
          <w:bCs/>
          <w:sz w:val="24"/>
        </w:rPr>
        <w:t>）承销证券；</w:t>
      </w:r>
    </w:p>
    <w:p w14:paraId="424127E9" w14:textId="77777777" w:rsidR="000F42D5" w:rsidRDefault="00CD3D2E">
      <w:pPr>
        <w:spacing w:line="360" w:lineRule="auto"/>
        <w:ind w:firstLine="480"/>
        <w:rPr>
          <w:bCs/>
          <w:sz w:val="24"/>
        </w:rPr>
      </w:pPr>
      <w:r>
        <w:rPr>
          <w:rFonts w:hint="eastAsia"/>
          <w:bCs/>
          <w:sz w:val="24"/>
        </w:rPr>
        <w:t>（</w:t>
      </w:r>
      <w:r>
        <w:rPr>
          <w:rFonts w:hint="eastAsia"/>
          <w:bCs/>
          <w:sz w:val="24"/>
        </w:rPr>
        <w:t>2</w:t>
      </w:r>
      <w:r>
        <w:rPr>
          <w:rFonts w:hint="eastAsia"/>
          <w:bCs/>
          <w:sz w:val="24"/>
        </w:rPr>
        <w:t>）违反规定向他人贷款或者提供担保；</w:t>
      </w:r>
    </w:p>
    <w:p w14:paraId="58A4F733" w14:textId="77777777" w:rsidR="000F42D5" w:rsidRDefault="00CD3D2E">
      <w:pPr>
        <w:spacing w:line="360" w:lineRule="auto"/>
        <w:ind w:firstLine="480"/>
        <w:rPr>
          <w:bCs/>
          <w:sz w:val="24"/>
        </w:rPr>
      </w:pPr>
      <w:r>
        <w:rPr>
          <w:rFonts w:hint="eastAsia"/>
          <w:bCs/>
          <w:sz w:val="24"/>
        </w:rPr>
        <w:t>（</w:t>
      </w:r>
      <w:r>
        <w:rPr>
          <w:rFonts w:hint="eastAsia"/>
          <w:bCs/>
          <w:sz w:val="24"/>
        </w:rPr>
        <w:t>3</w:t>
      </w:r>
      <w:r>
        <w:rPr>
          <w:rFonts w:hint="eastAsia"/>
          <w:bCs/>
          <w:sz w:val="24"/>
        </w:rPr>
        <w:t>）从事承担无限责任的投资；</w:t>
      </w:r>
    </w:p>
    <w:p w14:paraId="4BAC4C66" w14:textId="77777777" w:rsidR="000F42D5" w:rsidRDefault="00CD3D2E">
      <w:pPr>
        <w:spacing w:line="360" w:lineRule="auto"/>
        <w:ind w:firstLine="480"/>
        <w:rPr>
          <w:bCs/>
          <w:sz w:val="24"/>
        </w:rPr>
      </w:pPr>
      <w:r>
        <w:rPr>
          <w:rFonts w:hint="eastAsia"/>
          <w:bCs/>
          <w:sz w:val="24"/>
        </w:rPr>
        <w:t>（</w:t>
      </w:r>
      <w:r>
        <w:rPr>
          <w:rFonts w:hint="eastAsia"/>
          <w:bCs/>
          <w:sz w:val="24"/>
        </w:rPr>
        <w:t>4</w:t>
      </w:r>
      <w:r>
        <w:rPr>
          <w:rFonts w:hint="eastAsia"/>
          <w:bCs/>
          <w:sz w:val="24"/>
        </w:rPr>
        <w:t>）买卖其他基金份额，但是中国证监会另有规定的除外；</w:t>
      </w:r>
    </w:p>
    <w:p w14:paraId="2BFBBBF9" w14:textId="77777777" w:rsidR="000F42D5" w:rsidRDefault="00CD3D2E">
      <w:pPr>
        <w:spacing w:line="360" w:lineRule="auto"/>
        <w:ind w:firstLine="480"/>
        <w:rPr>
          <w:bCs/>
          <w:sz w:val="24"/>
        </w:rPr>
      </w:pPr>
      <w:r>
        <w:rPr>
          <w:rFonts w:hint="eastAsia"/>
          <w:bCs/>
          <w:sz w:val="24"/>
        </w:rPr>
        <w:t>（</w:t>
      </w:r>
      <w:r>
        <w:rPr>
          <w:rFonts w:hint="eastAsia"/>
          <w:bCs/>
          <w:sz w:val="24"/>
        </w:rPr>
        <w:t>5</w:t>
      </w:r>
      <w:r>
        <w:rPr>
          <w:rFonts w:hint="eastAsia"/>
          <w:bCs/>
          <w:sz w:val="24"/>
        </w:rPr>
        <w:t>）向基金管理人、基金托管人出资；</w:t>
      </w:r>
    </w:p>
    <w:p w14:paraId="73670DE7" w14:textId="77777777" w:rsidR="000F42D5" w:rsidRDefault="00CD3D2E">
      <w:pPr>
        <w:spacing w:line="360" w:lineRule="auto"/>
        <w:ind w:firstLine="480"/>
        <w:rPr>
          <w:bCs/>
          <w:sz w:val="24"/>
        </w:rPr>
      </w:pPr>
      <w:r>
        <w:rPr>
          <w:rFonts w:hint="eastAsia"/>
          <w:bCs/>
          <w:sz w:val="24"/>
        </w:rPr>
        <w:t>（</w:t>
      </w:r>
      <w:r>
        <w:rPr>
          <w:rFonts w:hint="eastAsia"/>
          <w:bCs/>
          <w:sz w:val="24"/>
        </w:rPr>
        <w:t>6</w:t>
      </w:r>
      <w:r>
        <w:rPr>
          <w:rFonts w:hint="eastAsia"/>
          <w:bCs/>
          <w:sz w:val="24"/>
        </w:rPr>
        <w:t>）从事内幕交易、操纵证券交易价格及其他不正当的证券交易活动；</w:t>
      </w:r>
    </w:p>
    <w:p w14:paraId="538D5DF0" w14:textId="77777777" w:rsidR="000F42D5" w:rsidRDefault="00CD3D2E">
      <w:pPr>
        <w:spacing w:line="360" w:lineRule="auto"/>
        <w:ind w:firstLine="480"/>
        <w:rPr>
          <w:bCs/>
          <w:sz w:val="24"/>
        </w:rPr>
      </w:pPr>
      <w:r>
        <w:rPr>
          <w:rFonts w:hint="eastAsia"/>
          <w:bCs/>
          <w:sz w:val="24"/>
        </w:rPr>
        <w:t>（</w:t>
      </w:r>
      <w:r>
        <w:rPr>
          <w:rFonts w:hint="eastAsia"/>
          <w:bCs/>
          <w:sz w:val="24"/>
        </w:rPr>
        <w:t>7</w:t>
      </w:r>
      <w:r>
        <w:rPr>
          <w:rFonts w:hint="eastAsia"/>
          <w:bCs/>
          <w:sz w:val="24"/>
        </w:rPr>
        <w:t>）法律、行政法规或者中国证监会规定禁止的其他活动。</w:t>
      </w:r>
    </w:p>
    <w:p w14:paraId="7159A650" w14:textId="77777777" w:rsidR="000F42D5" w:rsidRDefault="00CD3D2E">
      <w:pPr>
        <w:spacing w:line="360" w:lineRule="auto"/>
        <w:ind w:firstLine="480"/>
        <w:rPr>
          <w:bCs/>
          <w:sz w:val="24"/>
        </w:rPr>
      </w:pPr>
      <w:r>
        <w:rPr>
          <w:rFonts w:hint="eastAsia"/>
          <w:bCs/>
          <w:sz w:val="24"/>
        </w:rPr>
        <w:t>4</w:t>
      </w:r>
      <w:r>
        <w:rPr>
          <w:rFonts w:hint="eastAsia"/>
          <w:bCs/>
          <w:sz w:val="24"/>
        </w:rPr>
        <w:t>、基金管理人运用基金财产买卖基金管理人、基金托管人及其控股股东、实际控制人或者与其有其他重大利害关系的公司发行的证券或者承销期内承销的证券，或者从事其他重大关联交易的，应当符合基金的投资目标和投资策略，遵循基金份额持有人利益优先的原则，防范利益冲突，建立健全内部审批机制和评估机制，按照市场公平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174E3B02"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lastRenderedPageBreak/>
        <w:t>（二）基金托管人根据有关法律法规的规定及《基金合同》的约定，对基金管理人选择存款银行进行监督。基金投资银行定期存款的，基金管理人应根据法律法规的规定及《基金合同》的约定，确定符合条件的所有存款银行的名单，并及时提供给基金托管人，基金托管人应据以对基金投资银行存款的交易对手是否符合有关规定进行监督。对于不符合规定的银行存款，基金托管人可以拒绝执行，并通知基金管理人。</w:t>
      </w:r>
    </w:p>
    <w:p w14:paraId="2F3A7D97"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本基金投资银行存款应符合如下规定：</w:t>
      </w:r>
    </w:p>
    <w:p w14:paraId="71F0D6BB"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1.本基金投资于有固定期限银行存款的比例，不得超过基金资产净值的30%，但投资于有存款期限，根据协议可提前支取的银行存款不受上述比例限制;本基金投资于具有基金托管人资格的同一商业银行的银行存款、同业存单占基金资产净值的比例合计不得超过 20%，投资于不具有基金托管人资格的同一商业银行的银行存款、同业存单占基金资产净值的比例合计不得超过 5%。</w:t>
      </w:r>
    </w:p>
    <w:p w14:paraId="3F6AABB6"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有关法律法规或监管部门制定或修改新的定期存款投资政策，基金管理人履行适当程序后，可相应调整投资组合限制的规定。</w:t>
      </w:r>
    </w:p>
    <w:p w14:paraId="7A4A2E9E"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2.基金管理人负责对本基金存款银行的评估与研究，建立健全银行存款的业务流程、岗位职责、风险控制措施和监察稽核制度，切实防范有关风险。基金托管人负责对本基金银行定期存款业务的监督与核查，审查、复核相关协议、账户资料、投资指令、存款证实书等有关文件，切实履行托管职责。</w:t>
      </w:r>
    </w:p>
    <w:p w14:paraId="0AEB6ADF"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（1）基金管理人负责控制信用风险。信用风险主要包括存款银行的信用等级、存款银行的支付能力等涉及到存款银行选择方面的风险。因选择存款银行不当造成基金财产损失的，由基金管理人承担责任。</w:t>
      </w:r>
    </w:p>
    <w:p w14:paraId="046FB014"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2）基金管理人负责控制流动性风险，并承担因控制不力而造成的损失。流动性风险主要包括基金管理人要求全部提前支取、部分提前支取或到期支取而存款银行未能及时兑付的风险、基金投资银行存款不能满足基金正常结算业务的风险、因全部提前支取或部分提前支取而涉及的利息损失影响估值等涉及到基金流动性方面的风险。</w:t>
      </w:r>
    </w:p>
    <w:p w14:paraId="4BC2922F"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（3）基金管理人须加强内部风险控制制度的建设。如因基金管理人员工职务行为导致基金财产受到损失的，需由基金管理人承担由此造成的损失。</w:t>
      </w:r>
    </w:p>
    <w:p w14:paraId="026EE148"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（4）基金管理人与基金托管人在开展基金存款业务时，应严格遵守《基金</w:t>
      </w:r>
      <w:r>
        <w:rPr>
          <w:rFonts w:ascii="宋体" w:hAnsi="宋体" w:hint="eastAsia"/>
          <w:sz w:val="24"/>
          <w:szCs w:val="24"/>
        </w:rPr>
        <w:lastRenderedPageBreak/>
        <w:t>法》、《运作办法》等有关法律法规，以及国家有关账户管理、利率管理、支付结算等的各项规定。</w:t>
      </w:r>
    </w:p>
    <w:p w14:paraId="72C53037"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（三）基金投资银行存款协议的签订、账户开设与管理、投资指令与资金划付、账目核对、到期兑付、提前支取</w:t>
      </w:r>
    </w:p>
    <w:p w14:paraId="11D79C81"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1.基金投资银行存款协议的签订</w:t>
      </w:r>
    </w:p>
    <w:p w14:paraId="179BC846"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1）基金管理人应与符合资格的存款银行总行或其授权分行签订《基金存款业务总体合作协议》（以下简称《总体合作协议》），确定《存款协议书》的格式范本。《总体合作协议》和《存款协议书》的格式范本由基金托管人与基金管理人共同商定。</w:t>
      </w:r>
    </w:p>
    <w:p w14:paraId="4E5EDCE0"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（2）基金托管人依据相关法规对《总体合作协议》和《存款协议书》的内容进行复核，审查存款银行资格等。</w:t>
      </w:r>
    </w:p>
    <w:p w14:paraId="284C671A"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（3）基金管理人应在《存款协议书》中明确存款证实书或其他有效存款凭证的办理方式、邮寄地址、联系人和联系电话，以及存款证实书或其他有效凭证在邮寄过程中遗失后，存款余额的确认及兑付办法等。</w:t>
      </w:r>
    </w:p>
    <w:p w14:paraId="161C0F3D"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4）由存款银行指定的存放存款的分支机构（以下简称“存款分支机构”）寄送或上门交付存款证实书或其他有效存款凭证的，基金托管人可向存款分支机构的上级行发出存款余额询证函，存款分支机构及其上级行应予配合。</w:t>
      </w:r>
    </w:p>
    <w:p w14:paraId="4D8152E1"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（5）基金管理人应在《存款协议书》中规定，基金存放到期或提前兑付的资金应全部划转到指定的基金托管账户，并在《存款协议书》写明账户名称和账号，未划入指定账户的，由存款银行承担一切责任。</w:t>
      </w:r>
    </w:p>
    <w:p w14:paraId="755552A8"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6）基金管理人应在《存款协议书》中规定，在存期内，如本基金银行账户、预留印鉴发生变更，管理人应及时书面通知存款行，书面通知应加盖基金托管人预留印鉴。存款分支机构应及时就变更事项向基金管理人、基金托管人出具正式书面确认书。变更通知的送达方式同开户手续。在存期内，存款分支机构和基金托管人的指定联系人变更，应及时加盖公章书面通知对方。</w:t>
      </w:r>
    </w:p>
    <w:p w14:paraId="6550FDD3"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（7）基金管理人应在《存款协议书》中规定，因定期存款产生的存单不得被质押或以任何方式被抵押，不得用于转让和背书。</w:t>
      </w:r>
    </w:p>
    <w:p w14:paraId="6F267F29"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2.基金投资银行存款时的账户开设与管理</w:t>
      </w:r>
    </w:p>
    <w:p w14:paraId="32E93D3C"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（1）基金投资于银行存款时，基金管理人应当依据基金管理人与存款银行</w:t>
      </w:r>
      <w:r>
        <w:rPr>
          <w:rFonts w:ascii="宋体" w:hAnsi="宋体" w:hint="eastAsia"/>
          <w:sz w:val="24"/>
          <w:szCs w:val="24"/>
        </w:rPr>
        <w:lastRenderedPageBreak/>
        <w:t>签订的《总体合作协议》、《存款协议书》等，以基金的名义在存款银行总行或授权分行指定的分支机构开立银行账户。</w:t>
      </w:r>
    </w:p>
    <w:p w14:paraId="38DEEBA8"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（2）基金投资于银行存款时的预留印鉴由基金托管人保管和使用。</w:t>
      </w:r>
    </w:p>
    <w:p w14:paraId="5B036319"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3.存款凭证传递、账目核对及到期兑付</w:t>
      </w:r>
    </w:p>
    <w:p w14:paraId="2BFD9278"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（1）存款证实书等存款凭证传递</w:t>
      </w:r>
    </w:p>
    <w:p w14:paraId="39E8DE03"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存款资金只能存放于存款银行总行或者其授权分行指定的分支机构。基金管理人应在《存款协议书》中规定，存款银行分支机构应为基金开具存款证实书或其他有效存款凭证（下称“存款凭证”），该存款凭证为基金存款确认或到期提款的有效凭证，且对应每笔存款仅能开具唯一存款凭证。资金到账当日，由存款银行分支机构指定的会计主管传真一份存款凭证复印件并与基金托管人电话确认收妥后，将存款凭证原件通过快递寄送或上门交付至基金托管人指定联系人；若存款银行分支机构代为保管存款凭证的，由存款银行分支机构指定会计主管传真一份存款凭证复印件并与基金托管人电话确认收妥。</w:t>
      </w:r>
    </w:p>
    <w:p w14:paraId="3599D974"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（2）存款凭证的遗失补办</w:t>
      </w:r>
    </w:p>
    <w:p w14:paraId="6A38121A"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存款凭证在邮寄过程中遗失的，由基金管理人向存款银行提出补办申请，基金管理人应督促存款银行尽快补办存款凭证，并按以上（1）的方式快递或上门交付至托管人，原存款凭证自动作废。</w:t>
      </w:r>
    </w:p>
    <w:p w14:paraId="041B5CEB"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（3）账目核对</w:t>
      </w:r>
    </w:p>
    <w:p w14:paraId="28C8654F"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每个工作日，基金管理人应与基金托管人核对各项银行存款投资余额及应计利息。</w:t>
      </w:r>
    </w:p>
    <w:p w14:paraId="2AE35B8C"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基金管理人应在《存款协议书》中规定，对于存期超过3个月的定期存款，存款银行应于每季末后5个工作日内向基金托管人指定人员寄送对账单。因存款银行未寄送对账单造成的资金被挪用、盗取的责任由存款银行承担。</w:t>
      </w:r>
    </w:p>
    <w:p w14:paraId="6F3BC726"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存款银行应配合基金托管人对存款凭证的询证，并在询证函上加盖存款银行公章寄送至基金托管人指定联系人。</w:t>
      </w:r>
    </w:p>
    <w:p w14:paraId="6353ECF8"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（4）到期兑付</w:t>
      </w:r>
    </w:p>
    <w:p w14:paraId="25B6E327"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基金管理人提前通知基金托管人通过快递将存款凭证原件寄给存款银行分支机构指定的会计主管。存款银行未收到存款凭证原件的，应与基金托管人电话询问。存款到期前基金管理人与存款银行确认存款凭证收到并于到期日兑付存款</w:t>
      </w:r>
      <w:r>
        <w:rPr>
          <w:rFonts w:ascii="宋体" w:hAnsi="宋体" w:hint="eastAsia"/>
          <w:sz w:val="24"/>
          <w:szCs w:val="24"/>
        </w:rPr>
        <w:lastRenderedPageBreak/>
        <w:t>本息事宜。</w:t>
      </w:r>
    </w:p>
    <w:p w14:paraId="743508B6"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基金托管人在存款到期日未收到存款本息或存款本息金额不符时，通知基金管理人与存款银行接洽存款到账时间及利息补付事宜。基金管理人应将接洽结果告知基金托管人，基金托管人收妥存款本息的当日通知基金管理人。</w:t>
      </w:r>
    </w:p>
    <w:p w14:paraId="319C1B24"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基金管理人应在《存款协议书》中规定，存款凭证在邮寄过程中遗失的，存款银行应立即通知基金托管人，基金托管人在原存款凭证复印件上加盖公章并出具相关证明文件后，与存款银行指定会计主管电话确认后，存款银行应在到期日将存款本息划至指定的基金资金账户。如果存款到期日为法定节假日，存款银行顺延至到期后第一个工作日支付，存款银行需按原协议约定利率和实际延期天数支付延期利息。</w:t>
      </w:r>
    </w:p>
    <w:p w14:paraId="4CC9F2A5"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4.提前支取</w:t>
      </w:r>
    </w:p>
    <w:p w14:paraId="7A6E711D"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如果在存款期限内，由于基金规模发生缩减的原因或者出于流动性管理的需要等原因，基金管理人可以提前支取全部或部分资金。</w:t>
      </w:r>
    </w:p>
    <w:p w14:paraId="79F6692E"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提前支取的具体事项按照基金管理人与存款银行签订的《存款协议书》执行。</w:t>
      </w:r>
    </w:p>
    <w:p w14:paraId="7D2E0F74"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5.基金投资银行存款的监督</w:t>
      </w:r>
    </w:p>
    <w:p w14:paraId="6B13DE2F"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基金托管人发现基金管理人在进行存款投资时有违反有关法律法规的规定及《基金合同》的约定的行为，应及时以书面形式通知基金管理人在10 个工作日内纠正。基金管理人对基金托管人通知的违规事项未能在10 个工作日内纠正的，基金托管人应报告中国证监会。基金托管人发现基金管理人有重大违规行为，应立即报告中国证监会，同时通知基金管理人在10 个工作日内纠正或拒绝结算，若因基金管理人拒不执行造成基金财产损失的，相关损失由基金管理人承担，基金托管人不承担任何责任。</w:t>
      </w:r>
    </w:p>
    <w:p w14:paraId="743F9374"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四）基金托管人根据有关法律法规的规定及《基金合同》的约定，对基金管理人参与银行间债券市场进行监督。基金管理人应在基金投资运作之前向基金托管人提供符合法律法规及行业标准的、经慎重选择的、本基金适用的银行间债券市场交易对手名单并约定各交易对手所适用的交易结算方式。基金管理人有责任确保及时将更新后的交易对手名单发送给基金托管人，否则由此造成的损失应由基金管理人承担。基金管理人应严格按照交易对手名单的范围在银行间债券市场选择交易对手。基金托管人监督基金管理人是否按事前提供的银行间债券市场</w:t>
      </w:r>
      <w:r>
        <w:rPr>
          <w:rFonts w:ascii="宋体" w:hAnsi="宋体" w:hint="eastAsia"/>
          <w:sz w:val="24"/>
          <w:szCs w:val="24"/>
        </w:rPr>
        <w:lastRenderedPageBreak/>
        <w:t>交易对手名单进行交易。在基金存续期间基金管理人可以调整交易对手名单，但应将调整结果至少提前一个工作日书面通知基金托管人。新名单确定时已与本次剔除的交易对手所进行但尚未结算的交易，仍应按照协议进行结算，但不得再发生新的交易。如基金管理人根据市场需要临时调整银行间债券交易对手名单及结算方式的，应向基金托管人说明理由，并在与交易对手发生交易前3个交易日内与基金托管人协商解决。</w:t>
      </w:r>
    </w:p>
    <w:p w14:paraId="4608B603"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基金管理人负责对交易对手的资信控制，按银行间债券市场的交易规则进行交易，并负责解决因交易对手不履行合同而造成的纠纷及损失。若未履约的交易对手在基金管理人确定的时间内仍未承担违约责任及其他相关法律责任的，基金管理人可以对相应损失先行予以承担，然后再向相关交易对手追偿。基金托管人则根据银行间债券市场成交单对合同履行情况进行监督。如基金托管人事后发现基金管理人没有按照事先约定的交易对手进行交易时，基金托管人应及时提醒基金管理人，基金托管人不承担由此造成的任何损失和责任。</w:t>
      </w:r>
    </w:p>
    <w:p w14:paraId="573B6815"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（五）本基金投资流通受限证券，应遵守《关于基金投资非公开发行股票等流通受限证券有关问题的通知》等有关监管规定。</w:t>
      </w:r>
    </w:p>
    <w:p w14:paraId="1D14C30D"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1.流通受限证券包括由《上市公司证券发行管理办法》规范的非公开发行股票、公开发行股票网下配售部分等在发行时明确一定期限锁定期的可交易证券，不包括由于发布重大消息或其他原因而临时停牌的证券、已发行未上市证券、回购交易中的质押券等流通受限证券。</w:t>
      </w:r>
    </w:p>
    <w:p w14:paraId="408B7FE5"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本基金可以投资经中国证监会批准的非公开发行证券，且限于由中国证券登记结算有限责任公司、中央国债登记结算有限责任公司或银行间市场清算所股份有限公司负责登记和存管的，并可在证券交易所或全国银行间债券市场交易的证券。</w:t>
      </w:r>
    </w:p>
    <w:p w14:paraId="42B65A8B"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本基金不得投资未经中国证监会批准的非公开发行证券。</w:t>
      </w:r>
    </w:p>
    <w:p w14:paraId="68BC64FA"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本基金不得投资有锁定期但锁定期不明确的证券。</w:t>
      </w:r>
    </w:p>
    <w:p w14:paraId="1E7ACCE6"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2. 基金管理人应在基金首次投资流通受限证券前，向基金托管人提供经基金管理人董事会批准的有关基金投资流通受限证券的投资决策流程、风险控制制度。基金投资非公开发行股票，基金管理人还应提供基金管理人董事会批准的流动性风险处置预案。上述资料应包括但不限于基金投资流通受限证券的投资额度</w:t>
      </w:r>
      <w:r>
        <w:rPr>
          <w:rFonts w:ascii="宋体" w:hAnsi="宋体" w:hint="eastAsia"/>
          <w:sz w:val="24"/>
          <w:szCs w:val="24"/>
        </w:rPr>
        <w:lastRenderedPageBreak/>
        <w:t>和投资比例控制情况。</w:t>
      </w:r>
    </w:p>
    <w:p w14:paraId="6813539E"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基金管理人应至少于首次执行投资指令之前两个工作日将上述资料书面发至基金托管人，保证基金托管人有足够的时间进行审核。基金托管人应在收到上述资料后两个工作日内，以书面或其他双方认可的方式确认收到上述资料。</w:t>
      </w:r>
    </w:p>
    <w:p w14:paraId="487BB9DA"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基金管理人对本基金投资流通受限证券的流动性风险负责，确保对相关风险采取积极有效的措施，在合理的时间内有效解决基金运作的流动性问题。如因基金巨额赎回或市场发生剧烈变动等原因而导致基金现金周转困难时，基金管理人应保证提供足额现金确保基金的支付结算，并承担所有损失。对本基金因投资流通受限证券导致的流动性风险，基金托管人不承担任何责任。</w:t>
      </w:r>
    </w:p>
    <w:p w14:paraId="4D95B7C9"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3.基金投资流通受限证券前，基金管理人应向基金托管人提供符合法律法规要求的有关书面信息，包括但不限于拟发行证券主体的中国证监会批准文件、发行证券数量、发行价格、锁定期，基金拟认购的数量、价格、总成本、应划付的认购款、资金划付时间等。基金管理人应保证上述信息的真实、完整，并应至少于拟执行投资指令前两个工作日将上述信息书面发至基金托管人，保证基金托管人有足够的时间进行审核。</w:t>
      </w:r>
    </w:p>
    <w:p w14:paraId="03B880D3"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由于基金管理人未及时提供有关证券的具体的必要的信息，致使托管人无法审核认购指令而影响认购款项划拨的，基金托管人免于承担责任。</w:t>
      </w:r>
    </w:p>
    <w:p w14:paraId="5832DA38"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4.基金托管人依照法律法规、《基金合同》、《托管协议》审核基金管理人投资流通受限证券的行为。如发现基金管理人违反了《基金合同》、《托管协议》以及其他相关法律法规的有关规定，应及时通知基金管理人，并呈报中国证监会，同时采取合理措施保护基金投资人的利益。基金托管人有权对基金管理人的违法、违规以及违反《基金合同》、《托管协议》的投资指令不予执行，并立即通知基金管理人纠正，基金管理人不予纠正或已代表基金签署合同不得不执行时，基金托管人应向中国证监会报告。</w:t>
      </w:r>
    </w:p>
    <w:p w14:paraId="31EA7FB2"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5. 基金管理人应在基金投资非公开发行股票后两个交易日内,在中国证监会指定媒介披露所投资非公开发行股票的名称、数量、总成本、账面价值,以及总成本和账面价值占基金资产净值的比例、锁定期等信息。</w:t>
      </w:r>
    </w:p>
    <w:p w14:paraId="0C3191FB"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（六）基金管理人应当对投资中期票据业务进行研究，认真评估中期票据投资业务的风险，本着审慎、勤勉尽责的原则进行中期票据的投资业务，并应符合</w:t>
      </w:r>
      <w:r>
        <w:rPr>
          <w:rFonts w:ascii="宋体" w:hAnsi="宋体" w:hint="eastAsia"/>
          <w:sz w:val="24"/>
          <w:szCs w:val="24"/>
        </w:rPr>
        <w:lastRenderedPageBreak/>
        <w:t>法律法规及监管机构的相关规定。</w:t>
      </w:r>
    </w:p>
    <w:p w14:paraId="64B9F424"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七）基金托管人根据有关法律法规的规定及《基金合同》的约定，对基金资产净值计算、基金份额净值计算、基金费用开支及收入确定、基金收益分配、相关信息披露、基金宣传推介材料中登载基金业绩表现数据等进行监督和核查。</w:t>
      </w:r>
    </w:p>
    <w:p w14:paraId="4CD7FE7E"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八）基金托管人发现基金管理人的上述事项及投资指令或实际投资运作违反法律法规、《基金合同》和本托管协议的规定，应及时以电话提醒或书面提示等方式通知基金管理人限期纠正。基金管理人应积极配合和协助基金托管人的监督和核查。基金管理人收到通知后应及时核对并回复基金托管人，对于收到的书面通知，基金管理人应以书面形式给基金托管人发出回函，就基金托管人的疑义进行解释或举证，说明违规原因及纠正期限。在上述规定期限内，基金托管人有权随时对通知事项进行复查，督促基金管理人改正。基金管理人对基金托管人通知的违规事项未能在限期内纠正的，基金托管人应报告中国证监会。</w:t>
      </w:r>
    </w:p>
    <w:p w14:paraId="154AF374"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九）基金管理人有义务配合和协助基金托管人依照法律法规、《基金合同》和本托管协议对基金业务执行核查。包括但不限于：对基金托管人发出的提示，基金管理人应在规定时间内答复并改正，或就基金托管人的疑义进行解释或举证；对基金托管人按照法律法规、基金合同和本托管协议的要求需向中国证监会报送基金监督报告的事项，基金管理人应积极配合提供相关数据资料和制度等。</w:t>
      </w:r>
    </w:p>
    <w:p w14:paraId="776A6E26"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十）若基金托管人发现基金管理人依据交易程序已经生效的指令违反法律、行政法规和其他有关规定，或者违反基金合同约定的，应当立即通知基金管理人及时纠正，由此造成的损失由基金管理人承担，托管人在履行其通知义务后，予以免责。</w:t>
      </w:r>
    </w:p>
    <w:p w14:paraId="49108CCF"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（十一）基金托管人发现基金管理人有重大违规行为，应及时报告中国证监会，同时通知基金管理人限期纠正。</w:t>
      </w:r>
    </w:p>
    <w:p w14:paraId="1AF6B559" w14:textId="77777777" w:rsidR="000F42D5" w:rsidRDefault="00CD3D2E">
      <w:pPr>
        <w:pStyle w:val="1"/>
        <w:jc w:val="center"/>
        <w:rPr>
          <w:rFonts w:ascii="宋体" w:hAnsi="宋体"/>
          <w:sz w:val="30"/>
          <w:szCs w:val="30"/>
        </w:rPr>
      </w:pPr>
      <w:bookmarkStart w:id="19" w:name="_Toc86223242"/>
      <w:bookmarkStart w:id="20" w:name="_Toc86225291"/>
      <w:bookmarkStart w:id="21" w:name="_Toc86649722"/>
      <w:bookmarkStart w:id="22" w:name="_Toc86726439"/>
      <w:bookmarkStart w:id="23" w:name="_Toc86727355"/>
      <w:bookmarkStart w:id="24" w:name="_Toc110765660"/>
      <w:bookmarkStart w:id="25" w:name="_Toc119402710"/>
      <w:bookmarkStart w:id="26" w:name="_Toc120435783"/>
      <w:bookmarkStart w:id="27" w:name="_Toc118774803"/>
      <w:bookmarkStart w:id="28" w:name="_Toc110830492"/>
      <w:bookmarkStart w:id="29" w:name="_Toc89163368"/>
      <w:bookmarkStart w:id="30" w:name="_Toc110761796"/>
      <w:bookmarkStart w:id="31" w:name="_Toc118212950"/>
      <w:bookmarkStart w:id="32" w:name="_Toc86737929"/>
      <w:bookmarkStart w:id="33" w:name="_Toc118972648"/>
      <w:bookmarkStart w:id="34" w:name="_Toc108512358"/>
      <w:r>
        <w:rPr>
          <w:rFonts w:ascii="宋体" w:hAnsi="宋体"/>
          <w:sz w:val="30"/>
          <w:szCs w:val="30"/>
        </w:rPr>
        <w:br w:type="page"/>
      </w:r>
      <w:bookmarkStart w:id="35" w:name="_Toc384992694"/>
      <w:bookmarkStart w:id="36" w:name="_Toc348082032"/>
      <w:bookmarkStart w:id="37" w:name="_Toc531710541"/>
      <w:r>
        <w:rPr>
          <w:rFonts w:hint="eastAsia"/>
          <w:sz w:val="30"/>
          <w:szCs w:val="30"/>
        </w:rPr>
        <w:lastRenderedPageBreak/>
        <w:t>四、基金管理人对基金托管人的业务核查</w:t>
      </w:r>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p>
    <w:p w14:paraId="0597CA23"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一）基金管理人对基金托管人履行托管职责情况进行核查，核查事项包括基金托管人安全保管基金财产、开设基金财产的资金账户、证券账户等投资所需账户、复核基金管理人计算的基金资产净值和基金份额净值、根据基金管理人指令办理清算交收、相关信息披露和监督基金投资运作等行为。</w:t>
      </w:r>
    </w:p>
    <w:p w14:paraId="2B325A09"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二）基金管理人发现基金托管人擅自挪用基金财产、未对基金财产实行分账管理、未执行或无故延迟执行基金管理人资金划拨指令、泄露基金投资信息等违反《基金法》、基金合同、托管协议及其他有关规定时，应及时以书面形式通知基金托管人限期纠正。基金托管人收到书面通知后应在下一工作日前及时核对并以书面形式给基金管理人发出回函，说明违规原因及纠正期限，并保证在规定期限内及时改正。在上述规定期限内，基金管理人有权随时对通知事项进行复查，督促基金托管人改正。</w:t>
      </w:r>
    </w:p>
    <w:p w14:paraId="45B4E363"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三）基金托管人有义务配合和协助基金管理人依照法律法规、基金合同和本托管协议对基金业务执行核查，包括但不限于：对基金管理人发出的书面提示，基金托管人应在规定时间内答复并改正，或就基金管理人的疑义进行解释或举证；基金托管人应积极配合提供相关资料以供基金管理人核查托管财产的完整性和真实性。</w:t>
      </w:r>
    </w:p>
    <w:p w14:paraId="478417D1"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（四）基金管理人发现基金托管人有重大违规行为，应及时报告中国证监会，同时通知基金托管人限期纠正，并将纠正结果报告中国证监会。</w:t>
      </w:r>
    </w:p>
    <w:p w14:paraId="31929860" w14:textId="77777777" w:rsidR="000F42D5" w:rsidRDefault="00CD3D2E">
      <w:pPr>
        <w:pStyle w:val="1"/>
        <w:jc w:val="center"/>
        <w:rPr>
          <w:rFonts w:ascii="宋体" w:hAnsi="宋体"/>
          <w:sz w:val="30"/>
          <w:szCs w:val="30"/>
        </w:rPr>
      </w:pPr>
      <w:bookmarkStart w:id="38" w:name="_Toc120435784"/>
      <w:bookmarkStart w:id="39" w:name="_Toc86727356"/>
      <w:bookmarkStart w:id="40" w:name="_Toc119402711"/>
      <w:bookmarkStart w:id="41" w:name="_Toc108512359"/>
      <w:bookmarkStart w:id="42" w:name="_Toc110761797"/>
      <w:bookmarkStart w:id="43" w:name="_Toc110765661"/>
      <w:bookmarkStart w:id="44" w:name="_Toc110830493"/>
      <w:bookmarkStart w:id="45" w:name="_Toc86726440"/>
      <w:bookmarkStart w:id="46" w:name="_Toc86737930"/>
      <w:bookmarkStart w:id="47" w:name="_Toc86223243"/>
      <w:bookmarkStart w:id="48" w:name="_Toc118774804"/>
      <w:bookmarkStart w:id="49" w:name="_Toc84234435"/>
      <w:bookmarkStart w:id="50" w:name="_Toc84234388"/>
      <w:bookmarkStart w:id="51" w:name="_Toc89163369"/>
      <w:bookmarkStart w:id="52" w:name="_Toc118212951"/>
      <w:bookmarkStart w:id="53" w:name="_Toc118972649"/>
      <w:bookmarkStart w:id="54" w:name="_Toc84133786"/>
      <w:bookmarkStart w:id="55" w:name="_Toc86204789"/>
      <w:bookmarkStart w:id="56" w:name="_Toc86649723"/>
      <w:bookmarkStart w:id="57" w:name="_Toc86225292"/>
      <w:r>
        <w:rPr>
          <w:rFonts w:ascii="宋体" w:hAnsi="宋体"/>
          <w:sz w:val="30"/>
          <w:szCs w:val="30"/>
        </w:rPr>
        <w:br w:type="page"/>
      </w:r>
      <w:bookmarkStart w:id="58" w:name="_Toc384992695"/>
      <w:bookmarkStart w:id="59" w:name="_Toc348082033"/>
      <w:bookmarkStart w:id="60" w:name="_Toc531710542"/>
      <w:r>
        <w:rPr>
          <w:rFonts w:hint="eastAsia"/>
          <w:sz w:val="30"/>
          <w:szCs w:val="30"/>
        </w:rPr>
        <w:lastRenderedPageBreak/>
        <w:t>五、基金财产的保管</w:t>
      </w:r>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p>
    <w:p w14:paraId="5FEC607B"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（一）基金财产保管的原则</w:t>
      </w:r>
    </w:p>
    <w:p w14:paraId="0A3E4513" w14:textId="6501E871" w:rsidR="000F42D5" w:rsidRDefault="00CD3D2E">
      <w:pPr>
        <w:spacing w:line="360" w:lineRule="auto"/>
        <w:ind w:firstLineChars="200" w:firstLine="480"/>
        <w:rPr>
          <w:rFonts w:ascii="宋体" w:hAnsi="宋体"/>
          <w:sz w:val="24"/>
          <w:szCs w:val="24"/>
        </w:rPr>
      </w:pPr>
      <w:r>
        <w:rPr>
          <w:rFonts w:ascii="宋体" w:hAnsi="宋体" w:hint="eastAsia"/>
          <w:sz w:val="24"/>
          <w:szCs w:val="24"/>
        </w:rPr>
        <w:t>1.基金财产应独立于基金管理人、基金托管人</w:t>
      </w:r>
      <w:r w:rsidR="005C455B">
        <w:rPr>
          <w:rFonts w:ascii="宋体" w:hAnsi="宋体" w:hint="eastAsia"/>
          <w:sz w:val="24"/>
          <w:szCs w:val="24"/>
        </w:rPr>
        <w:t>和证券经纪机构</w:t>
      </w:r>
      <w:r>
        <w:rPr>
          <w:rFonts w:ascii="宋体" w:hAnsi="宋体" w:hint="eastAsia"/>
          <w:sz w:val="24"/>
          <w:szCs w:val="24"/>
        </w:rPr>
        <w:t>的固有财产。</w:t>
      </w:r>
    </w:p>
    <w:p w14:paraId="11EC9D15"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2.基金托管人应安全保管基金财产。</w:t>
      </w:r>
    </w:p>
    <w:p w14:paraId="3D52E46E"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3.基金托管人按照规定开设基金财产投资所需的相关账户。</w:t>
      </w:r>
    </w:p>
    <w:p w14:paraId="30121379"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4.基金托管人对所托管的不同基金财产分别设置账户，确保基金财产的完整与独立。</w:t>
      </w:r>
    </w:p>
    <w:p w14:paraId="4081D5AF"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5.基金托管人根据基金管理人的指令，按照基金合同和本协议的约定保管基金财产。未经基金管理人的正当指令，不得自行运用、处分、分配基金的任何资产。不属于基金托管人实际有效控制下的资产及实物证券等在基金托管人保管期间的损坏、灭失，基金托管人不承担由此产生的责任。</w:t>
      </w:r>
    </w:p>
    <w:p w14:paraId="4FEF746A"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6.对于因为基金投资产生的应收资产，应由基金管理人负责与有关当事人确定到账日期并通知基金托管人，到账日基金财产没有到达基金资金账户的，基金托管人应及时通知基金管理人采取措施进行催收，基金管理人应负责向有关当事人追偿基金财产的损失。</w:t>
      </w:r>
    </w:p>
    <w:p w14:paraId="3051D82E" w14:textId="6FE099B9" w:rsidR="000F42D5" w:rsidRDefault="00CD3D2E">
      <w:pPr>
        <w:spacing w:line="360" w:lineRule="auto"/>
        <w:ind w:firstLineChars="200" w:firstLine="480"/>
        <w:rPr>
          <w:rFonts w:ascii="宋体" w:hAnsi="宋体"/>
          <w:sz w:val="24"/>
          <w:szCs w:val="24"/>
        </w:rPr>
      </w:pPr>
      <w:r>
        <w:rPr>
          <w:rFonts w:ascii="宋体" w:hAnsi="宋体" w:hint="eastAsia"/>
          <w:sz w:val="24"/>
          <w:szCs w:val="24"/>
        </w:rPr>
        <w:t>7.基金托管人对因为基金管理人投资产生的存放或存管在基金托管人以外机构的基金资产，或交由期货公司或证券公司负责清算交收的基金资产（包括但不限于</w:t>
      </w:r>
      <w:r w:rsidR="00987CFD" w:rsidRPr="00987CFD">
        <w:rPr>
          <w:rFonts w:ascii="宋体" w:hAnsi="宋体" w:hint="eastAsia"/>
          <w:sz w:val="24"/>
          <w:szCs w:val="24"/>
        </w:rPr>
        <w:t>证券资金账户内的资金、证券类基金资产、</w:t>
      </w:r>
      <w:r>
        <w:rPr>
          <w:rFonts w:ascii="宋体" w:hAnsi="宋体" w:hint="eastAsia"/>
          <w:sz w:val="24"/>
          <w:szCs w:val="24"/>
        </w:rPr>
        <w:t>期货保证金账户内的资金、期货合约等）及其收益，由于该等机构或该机构会员单位等本协议当事人外第三方的欺诈、疏忽、过失或破产等原因给基金资产造成的损失等不承担责任。</w:t>
      </w:r>
    </w:p>
    <w:p w14:paraId="4EDF361A"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8.除依据法律法规和基金合同的规定外，基金托管人不得委托第三人托管基金财产。</w:t>
      </w:r>
    </w:p>
    <w:p w14:paraId="6CE8FF3C" w14:textId="52661294" w:rsidR="000F42D5" w:rsidRDefault="00CD3D2E">
      <w:pPr>
        <w:spacing w:line="360" w:lineRule="auto"/>
        <w:ind w:firstLineChars="200" w:firstLine="480"/>
        <w:rPr>
          <w:rFonts w:ascii="宋体" w:hAnsi="宋体"/>
          <w:sz w:val="24"/>
          <w:szCs w:val="24"/>
        </w:rPr>
      </w:pPr>
      <w:r>
        <w:rPr>
          <w:rFonts w:ascii="宋体" w:hAnsi="宋体" w:hint="eastAsia"/>
          <w:sz w:val="24"/>
          <w:szCs w:val="24"/>
        </w:rPr>
        <w:t>（二）基金资金账户的开立和管理</w:t>
      </w:r>
    </w:p>
    <w:p w14:paraId="41949323"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1.基金托管人以本基金的名义在其营业机构开立基金的资金账户（也可称为“托管账户”），保管基金的银行存款，并根据基金管理人的指令办理资金收付。托管账户名称应为“富荣中证500指数增强型证券投资基金”，预留印鉴为基金托管人印章。</w:t>
      </w:r>
    </w:p>
    <w:p w14:paraId="7BDD86BE"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2.基金资金账户的开立和使用，限于满足开展本基金业务的需要。基金托管人和基金管理人不得假借本基金的名义开立任何其他银行账户；亦不得使用基金</w:t>
      </w:r>
      <w:r>
        <w:rPr>
          <w:rFonts w:ascii="宋体" w:hAnsi="宋体" w:hint="eastAsia"/>
          <w:sz w:val="24"/>
          <w:szCs w:val="24"/>
        </w:rPr>
        <w:lastRenderedPageBreak/>
        <w:t>的任何账户进行本基金业务以外的活动。</w:t>
      </w:r>
    </w:p>
    <w:p w14:paraId="7C872FD7"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3.基金资金账户的开立和管理应符合法律法规及银行业监督管理机构的有关规定。</w:t>
      </w:r>
    </w:p>
    <w:p w14:paraId="69433F04" w14:textId="30E3A46A" w:rsidR="000F42D5" w:rsidRDefault="00CD3D2E">
      <w:pPr>
        <w:spacing w:line="360" w:lineRule="auto"/>
        <w:ind w:firstLineChars="200" w:firstLine="480"/>
        <w:rPr>
          <w:rFonts w:ascii="宋体" w:hAnsi="宋体"/>
          <w:sz w:val="24"/>
          <w:szCs w:val="24"/>
        </w:rPr>
      </w:pPr>
      <w:r>
        <w:rPr>
          <w:rFonts w:ascii="宋体" w:hAnsi="宋体" w:hint="eastAsia"/>
          <w:sz w:val="24"/>
          <w:szCs w:val="24"/>
        </w:rPr>
        <w:t>（三）基金证券账户和</w:t>
      </w:r>
      <w:r w:rsidR="005C455B">
        <w:rPr>
          <w:rFonts w:ascii="宋体" w:hAnsi="宋体" w:hint="eastAsia"/>
          <w:sz w:val="24"/>
          <w:szCs w:val="24"/>
        </w:rPr>
        <w:t>证券资金</w:t>
      </w:r>
      <w:r>
        <w:rPr>
          <w:rFonts w:ascii="宋体" w:hAnsi="宋体" w:hint="eastAsia"/>
          <w:sz w:val="24"/>
          <w:szCs w:val="24"/>
        </w:rPr>
        <w:t>账户的开立和管理</w:t>
      </w:r>
    </w:p>
    <w:p w14:paraId="53D57CA8"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1.基金托管人在中国证券登记结算有限责任公司上海分公司、深圳分公司为基金开立基金托管人与基金联名的证券账户。</w:t>
      </w:r>
    </w:p>
    <w:p w14:paraId="401C0AB4"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2.基金证券账户的开立和使用，仅限于满足开展本基金业务的需要。基金托管人和基金管理人不得出借或未经对方同意擅自转让基金的任何证券账户，亦不得使用基金的任何账户进行本基金业务以外的活动。</w:t>
      </w:r>
    </w:p>
    <w:p w14:paraId="0ED374C9"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3.基金证券账户的开立和证券账户卡的保管由基金托管人负责，账户资产的管理和运用由基金管理人负责。</w:t>
      </w:r>
    </w:p>
    <w:p w14:paraId="77D14093" w14:textId="16F3CE86" w:rsidR="005C455B" w:rsidRPr="005C455B" w:rsidRDefault="00CD3D2E" w:rsidP="005C455B">
      <w:pPr>
        <w:spacing w:line="360" w:lineRule="auto"/>
        <w:ind w:firstLineChars="200" w:firstLine="480"/>
        <w:rPr>
          <w:rFonts w:ascii="宋体" w:hAnsi="宋体"/>
          <w:sz w:val="24"/>
          <w:szCs w:val="24"/>
        </w:rPr>
      </w:pPr>
      <w:r>
        <w:rPr>
          <w:rFonts w:ascii="宋体" w:hAnsi="宋体" w:hint="eastAsia"/>
          <w:sz w:val="24"/>
          <w:szCs w:val="24"/>
        </w:rPr>
        <w:t>4.</w:t>
      </w:r>
      <w:r w:rsidR="005C455B" w:rsidRPr="005C455B">
        <w:rPr>
          <w:rFonts w:hint="eastAsia"/>
        </w:rPr>
        <w:t xml:space="preserve"> </w:t>
      </w:r>
      <w:r w:rsidR="005C455B" w:rsidRPr="005C455B">
        <w:rPr>
          <w:rFonts w:ascii="宋体" w:hAnsi="宋体" w:hint="eastAsia"/>
          <w:sz w:val="24"/>
          <w:szCs w:val="24"/>
        </w:rPr>
        <w:t>基金管理人以基金名义在基金管理人选择的证券</w:t>
      </w:r>
      <w:r w:rsidR="00587409">
        <w:rPr>
          <w:rFonts w:ascii="宋体" w:hAnsi="宋体" w:hint="eastAsia"/>
          <w:sz w:val="24"/>
          <w:szCs w:val="24"/>
        </w:rPr>
        <w:t>经纪</w:t>
      </w:r>
      <w:r w:rsidR="005C455B" w:rsidRPr="005C455B">
        <w:rPr>
          <w:rFonts w:ascii="宋体" w:hAnsi="宋体" w:hint="eastAsia"/>
          <w:sz w:val="24"/>
          <w:szCs w:val="24"/>
        </w:rPr>
        <w:t>机构开立证券资金账户。证券</w:t>
      </w:r>
      <w:r w:rsidR="00587409">
        <w:rPr>
          <w:rFonts w:ascii="宋体" w:hAnsi="宋体" w:hint="eastAsia"/>
          <w:sz w:val="24"/>
          <w:szCs w:val="24"/>
        </w:rPr>
        <w:t>经纪</w:t>
      </w:r>
      <w:r w:rsidR="005C455B" w:rsidRPr="005C455B">
        <w:rPr>
          <w:rFonts w:ascii="宋体" w:hAnsi="宋体" w:hint="eastAsia"/>
          <w:sz w:val="24"/>
          <w:szCs w:val="24"/>
        </w:rPr>
        <w:t>机构根据相关法律法规、规范性文件为本基金开立相关资金账户并按照该证券</w:t>
      </w:r>
      <w:r w:rsidR="00587409">
        <w:rPr>
          <w:rFonts w:ascii="宋体" w:hAnsi="宋体" w:hint="eastAsia"/>
          <w:sz w:val="24"/>
          <w:szCs w:val="24"/>
        </w:rPr>
        <w:t>经纪</w:t>
      </w:r>
      <w:r w:rsidR="005C455B" w:rsidRPr="005C455B">
        <w:rPr>
          <w:rFonts w:ascii="宋体" w:hAnsi="宋体" w:hint="eastAsia"/>
          <w:sz w:val="24"/>
          <w:szCs w:val="24"/>
        </w:rPr>
        <w:t>机构开户的流程和要求与基金管理人签订相关协议。</w:t>
      </w:r>
    </w:p>
    <w:p w14:paraId="6133EAE1" w14:textId="0D952F05" w:rsidR="000F42D5" w:rsidRDefault="005C455B" w:rsidP="005C455B">
      <w:pPr>
        <w:spacing w:line="360" w:lineRule="auto"/>
        <w:ind w:firstLineChars="200" w:firstLine="480"/>
        <w:rPr>
          <w:rFonts w:ascii="宋体" w:hAnsi="宋体"/>
          <w:sz w:val="24"/>
          <w:szCs w:val="24"/>
        </w:rPr>
      </w:pPr>
      <w:r w:rsidRPr="005C455B">
        <w:rPr>
          <w:rFonts w:ascii="宋体" w:hAnsi="宋体" w:hint="eastAsia"/>
          <w:sz w:val="24"/>
          <w:szCs w:val="24"/>
        </w:rPr>
        <w:t>交易所证券交易资金采用第三方存管模式，即用于证券交易结算的资金全额存放在基金管理人为基金开设的证券资金账户中，场内的证券交易资金清算由基金管理人所选择的证券</w:t>
      </w:r>
      <w:r w:rsidR="00587409">
        <w:rPr>
          <w:rFonts w:ascii="宋体" w:hAnsi="宋体" w:hint="eastAsia"/>
          <w:sz w:val="24"/>
          <w:szCs w:val="24"/>
        </w:rPr>
        <w:t>经纪机构</w:t>
      </w:r>
      <w:r w:rsidRPr="005C455B">
        <w:rPr>
          <w:rFonts w:ascii="宋体" w:hAnsi="宋体" w:hint="eastAsia"/>
          <w:sz w:val="24"/>
          <w:szCs w:val="24"/>
        </w:rPr>
        <w:t>负责。</w:t>
      </w:r>
    </w:p>
    <w:p w14:paraId="316E549F" w14:textId="75545278" w:rsidR="00CC1B23" w:rsidRDefault="00CC1B23" w:rsidP="005C455B">
      <w:pPr>
        <w:spacing w:line="360" w:lineRule="auto"/>
        <w:ind w:firstLineChars="200" w:firstLine="480"/>
        <w:rPr>
          <w:rFonts w:ascii="宋体" w:hAnsi="宋体"/>
          <w:sz w:val="24"/>
          <w:szCs w:val="24"/>
        </w:rPr>
      </w:pPr>
      <w:r w:rsidRPr="00CC1B23">
        <w:rPr>
          <w:rFonts w:ascii="宋体" w:hAnsi="宋体" w:hint="eastAsia"/>
          <w:sz w:val="24"/>
          <w:szCs w:val="24"/>
        </w:rPr>
        <w:t>本基金通过证券经纪机构进行的交易由证券经纪机构作为结算参与人代理本基金进行结算。</w:t>
      </w:r>
    </w:p>
    <w:p w14:paraId="3EECC978" w14:textId="76FC6E28" w:rsidR="00455694" w:rsidRDefault="00455694" w:rsidP="005C455B">
      <w:pPr>
        <w:spacing w:line="360" w:lineRule="auto"/>
        <w:ind w:firstLineChars="200" w:firstLine="480"/>
        <w:rPr>
          <w:rFonts w:ascii="宋体" w:hAnsi="宋体"/>
          <w:sz w:val="24"/>
          <w:szCs w:val="24"/>
        </w:rPr>
      </w:pPr>
      <w:r w:rsidRPr="00455694">
        <w:rPr>
          <w:rFonts w:ascii="宋体" w:hAnsi="宋体" w:hint="eastAsia"/>
          <w:sz w:val="24"/>
          <w:szCs w:val="24"/>
        </w:rPr>
        <w:t>基金管理人承诺证券资金账户为主资金账户，不开立任何辅助资金账户；不为证券资金账户另行开立托管账户以外的其他银行账户。</w:t>
      </w:r>
    </w:p>
    <w:p w14:paraId="1FC6ABDB"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5.若中国证监会或其他监管机构在本托管协议订立日之后允许基金从事其他投资品种的投资业务，涉及相关账户的开立、使用的，按有关规定开立、使用并管理；若无相关规定，则基金托管人比照上述关于账户开立、使用的规定执行。</w:t>
      </w:r>
    </w:p>
    <w:p w14:paraId="23BBBC8A"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（四）债券托管专户的开设和管理</w:t>
      </w:r>
    </w:p>
    <w:p w14:paraId="743CB4A6"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基金合同生效后，基金托管人根据中国人民银行、中央国债登记结算有限责任公司和银行间市场清算所股份有限公司的有关规定，以基金的名义在银行间登记结算机构开立债券托管账户，并代表基金进行银行间市场债券的结算。</w:t>
      </w:r>
    </w:p>
    <w:p w14:paraId="57EB3F30"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（五）其他账户的开立和管理</w:t>
      </w:r>
    </w:p>
    <w:p w14:paraId="76E3EA14"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lastRenderedPageBreak/>
        <w:t>1.基金管理人根据投资需要按照规定开立期货保证金账户及期货交易编码等，基金托管人按照规定开立期货结算账户等投资所需账户。完成上述账户开立后，基金管理人应以书面形式将期货公司提供的期货保证金账户的初始资金密码和保证金监控中心的登录用户名及密码告知基金托管人。资金密码和保证金监控中心登录密码重置由基金管理人进行，重置后务必及时通知托管人。</w:t>
      </w:r>
    </w:p>
    <w:p w14:paraId="2097F2B6"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基金托管人和基金管理人应当在开户过程中相互配合，并提供所需资料。基金管理人保证所提供的账户开户材料的真实性和有效性，且在相关资料变更后及时将变更的资料提供给基金托管人。</w:t>
      </w:r>
    </w:p>
    <w:p w14:paraId="0046E3E6"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2.因业务发展需要而开立的其他账户，可以根据法律法规和基金合同的规定，由基金管理人协助基金托管人按照有关法律法规和本协议的约定协商后开立。新账户按有关规定使用并管理。</w:t>
      </w:r>
    </w:p>
    <w:p w14:paraId="3AA18F60"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3.法律法规等有关规定对相关账户的开立和管理另有规定的，从其规定办理。</w:t>
      </w:r>
    </w:p>
    <w:p w14:paraId="63061EC8"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（六）基金财产投资的有关有价凭证等的保管</w:t>
      </w:r>
    </w:p>
    <w:p w14:paraId="7CD7BCC3"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基金财产投资的有关实物证券等有价凭证按约定由基金托管人存放于基金托管人的保管库，或存入中央国债登记结算有限责任公司、银行间市场清算所股份有限公司、中国证券登记结算有限责任公司或票据营业中心的代保管库，实物保管凭证由基金托管人持有。实物证券等有价凭证的购买和转让，由基金托管人根据基金管理人的指令办理。基金托管人对由上述存放机构及基金托管人以外机构实际有效控制的有价凭证不承担保管责任。</w:t>
      </w:r>
    </w:p>
    <w:p w14:paraId="7B718A6F"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（七）与基金财产有关的重大合同的保管</w:t>
      </w:r>
    </w:p>
    <w:p w14:paraId="4DD8BF6E"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由基金管理人代表基金签署的、与基金财产有关的重大合同的原件分别由基金管理人、基金托管人保管。除本协议另有规定外，基金管理人代表基金签署的与基金财产有关的重大合同应保证基金管理人和基金托管人至少各持有一份正本的原件。基金管理人应在重大合同签署后及时将重大合同传真给基金托管人，并在三十个工作日内将正本送达基金托管人处。因基金管理人发送的合同传真件与事后送达的合同原件不一致所造成的后果，由基金管理人负责。重大合同的保管期限为基金合同终止后不少于15年。</w:t>
      </w:r>
    </w:p>
    <w:p w14:paraId="0F34C996"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对于无法取得二份以上的正本的，基金管理人应向基金托管人提供加盖公章的合同传真件，未经双方协商一致，合同原件不得转移。基金管理人向基金托管</w:t>
      </w:r>
      <w:r>
        <w:rPr>
          <w:rFonts w:ascii="宋体" w:hAnsi="宋体" w:hint="eastAsia"/>
          <w:sz w:val="24"/>
          <w:szCs w:val="24"/>
        </w:rPr>
        <w:lastRenderedPageBreak/>
        <w:t>人提供的合同传真件与基金管理人留存原件不一致的，以传真件为准。</w:t>
      </w:r>
    </w:p>
    <w:p w14:paraId="7726452C" w14:textId="77777777" w:rsidR="000F42D5" w:rsidRDefault="00CD3D2E">
      <w:pPr>
        <w:spacing w:line="360" w:lineRule="auto"/>
        <w:ind w:firstLineChars="200" w:firstLine="480"/>
        <w:rPr>
          <w:rFonts w:ascii="宋体" w:hAnsi="宋体"/>
          <w:sz w:val="24"/>
          <w:szCs w:val="24"/>
        </w:rPr>
      </w:pPr>
      <w:r>
        <w:rPr>
          <w:rFonts w:ascii="宋体" w:hAnsi="宋体"/>
          <w:sz w:val="24"/>
          <w:szCs w:val="24"/>
        </w:rPr>
        <w:t xml:space="preserve"> </w:t>
      </w:r>
    </w:p>
    <w:p w14:paraId="1238A658" w14:textId="77777777" w:rsidR="000F42D5" w:rsidRDefault="00CD3D2E">
      <w:pPr>
        <w:pStyle w:val="1"/>
        <w:jc w:val="center"/>
        <w:rPr>
          <w:rFonts w:ascii="宋体" w:hAnsi="宋体"/>
          <w:sz w:val="30"/>
          <w:szCs w:val="30"/>
        </w:rPr>
      </w:pPr>
      <w:bookmarkStart w:id="61" w:name="_Toc118774805"/>
      <w:bookmarkStart w:id="62" w:name="_Toc118972650"/>
      <w:bookmarkStart w:id="63" w:name="_Toc108512360"/>
      <w:bookmarkStart w:id="64" w:name="_Toc119402712"/>
      <w:bookmarkStart w:id="65" w:name="_Toc120435785"/>
      <w:bookmarkStart w:id="66" w:name="_Toc86726441"/>
      <w:bookmarkStart w:id="67" w:name="_Toc86649724"/>
      <w:bookmarkStart w:id="68" w:name="_Toc84234389"/>
      <w:bookmarkStart w:id="69" w:name="_Toc84234436"/>
      <w:bookmarkStart w:id="70" w:name="_Toc84133787"/>
      <w:bookmarkStart w:id="71" w:name="_Toc86204790"/>
      <w:bookmarkStart w:id="72" w:name="_Toc86223244"/>
      <w:bookmarkStart w:id="73" w:name="_Toc86225293"/>
      <w:bookmarkStart w:id="74" w:name="_Toc86727357"/>
      <w:bookmarkStart w:id="75" w:name="_Toc86737931"/>
      <w:bookmarkStart w:id="76" w:name="_Toc89163370"/>
      <w:bookmarkStart w:id="77" w:name="_Toc110761798"/>
      <w:bookmarkStart w:id="78" w:name="_Toc110765662"/>
      <w:bookmarkStart w:id="79" w:name="_Toc110830494"/>
      <w:bookmarkStart w:id="80" w:name="_Toc118212952"/>
      <w:r>
        <w:rPr>
          <w:rFonts w:ascii="宋体" w:hAnsi="宋体"/>
          <w:sz w:val="30"/>
          <w:szCs w:val="30"/>
        </w:rPr>
        <w:br w:type="page"/>
      </w:r>
      <w:bookmarkStart w:id="81" w:name="_Toc531710543"/>
      <w:bookmarkStart w:id="82" w:name="_Toc384992696"/>
      <w:bookmarkStart w:id="83" w:name="_Toc348082034"/>
      <w:r>
        <w:rPr>
          <w:rFonts w:hint="eastAsia"/>
          <w:sz w:val="30"/>
          <w:szCs w:val="30"/>
        </w:rPr>
        <w:lastRenderedPageBreak/>
        <w:t>六、指令的发送、确认及执行</w:t>
      </w:r>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p>
    <w:p w14:paraId="22522D1A"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基金管理人在运用基金财产时向基金托管人发送资金划拨及其他款项付款指令，基金托管人执行基金管理人的指令、办理基金名下的资金往来等有关事项。</w:t>
      </w:r>
    </w:p>
    <w:p w14:paraId="4598FB96"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基金管理人发送的指令包括电子指令和纸质指令。</w:t>
      </w:r>
    </w:p>
    <w:p w14:paraId="18F88BBA"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电子指令包括基金管理人发送的电子指令（采用电子报文传送的电子指令、网上托管银行管理人客户端录入的电子指令）、自动产生的电子指令（网上托管银行托管人端根据预先设定的业务规则自动产生的电子指令）。基金管理人在启用电子指令前应使用传真或其他与基金托管人协商一致的方式向基金托管人发出启用函。启用函应注明启用的业务类型、启用日期等。启用函应加盖基金管理人公司公章。</w:t>
      </w:r>
    </w:p>
    <w:p w14:paraId="12151712"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（一）基金管理人对发送指令人员的书面授权</w:t>
      </w:r>
    </w:p>
    <w:p w14:paraId="4E22BF5E"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授权通知的内容：基金管理人应事先向基金托管人提供书面授权通知（以下称“授权通知”），指定指令的被授权人员及被授权印鉴，授权通知的内容包括被授权人的名单、签章样本、权限和预留印鉴。授权通知应加盖基金管理人公司公章并写明生效时间。基金管理人应使用传真或其他与基金托管人协商一致的方式向基金托管人发出授权通知，同时电话通知基金托管人。授权通知经基金管理人与基金托管人以电话方式或其他基金管理人和基金托管人认可的方式确认后，于授权通知载明的生效时间生效。基金管理人在此后三个工作日内将授权通知的正本送交基金托管人。授权通知书正本内容与基金托管人收到的传真不一致的，以基金托管人收到的传真为准。</w:t>
      </w:r>
    </w:p>
    <w:p w14:paraId="26144AF9"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基金管理人和基金托管人对授权通知负有保密义务，其内容不得向授权人、被授权人及相关操作人员以外的任何人泄露，但法律法规规定或有权机关另有要求的除外。</w:t>
      </w:r>
    </w:p>
    <w:p w14:paraId="738CF36B"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（二）指令的内容</w:t>
      </w:r>
    </w:p>
    <w:p w14:paraId="01633C39"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投资指令是在管理本基金时，基金管理人向基金托管人发出的交易成交单、交易指令及资金划拨类指令（以下简称“指令”）。指令应加盖预留印鉴并由被授权人签章。基金管理人发给基金托管人的资金划拨类指令应写明款项事由、时间、金额、出款和收款账户信息等。</w:t>
      </w:r>
    </w:p>
    <w:p w14:paraId="5709FCFF"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（三）指令的发送、确认及执行的时间和程序</w:t>
      </w:r>
    </w:p>
    <w:p w14:paraId="353B9582"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lastRenderedPageBreak/>
        <w:t>1.指令的发送：基金管理人应按照相关法律法规以及本协议的规定，在其合法的经营权限和交易权限内依照授权通知的授权用传真方式或其他基金托管人和基金管理人认可的方式向基金托管人发送。基金管理人在发送指令时，应确保相关出款账户有足够的资金余额，并为基金托管人留出执行指令所必需的时间。</w:t>
      </w:r>
    </w:p>
    <w:p w14:paraId="49E37D7C"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对于新股、新债申购等网下公开发行业务，基金管理人应于网下申购缴款日的10:00前将指令发送给基金托管人。</w:t>
      </w:r>
    </w:p>
    <w:p w14:paraId="3751CF0C"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对于期货出入金业务，基金管理人应于交易日期货出入金截止时间前2小时将期货出入金指令发送至基金托管人。</w:t>
      </w:r>
    </w:p>
    <w:p w14:paraId="5880C065"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对于场内业务，首次进行场内交易前基金管理人应与基金托管人确认已完成交易单元和股东代码设置后方可进行。</w:t>
      </w:r>
    </w:p>
    <w:p w14:paraId="5E61D601"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对于银行间业务，基金管理人应于交易日15:00前将银行间成交单及相关划款指令发送至基金托管人。基金管理人应与基金托管人确认基金托管人已完成证书和权限设置后方可进行本基金的银行间交易。</w:t>
      </w:r>
    </w:p>
    <w:p w14:paraId="6A5BD31B"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对上海证券交易所认购权证行权交易，基金管理人应于行权日15:00 前将需要交付的行权金额及费用书面通知基金托管人，基金托管人在16:00 前支付至中国证券登记结算有限责任公司指定账户。</w:t>
      </w:r>
    </w:p>
    <w:p w14:paraId="5FBE9E7B"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对于指定时间出款的交易指令，基金管理人应提前2小时将指令发送至基金托管人；对于基金管理人于15:00以后发送至基金托管人的指令，基金托管人不保证当日出款。</w:t>
      </w:r>
    </w:p>
    <w:p w14:paraId="2ED2AF33"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2.指令的确认：基金管理人有义务在发送指令后与基金托管人进行电话确认。指令以获得基金托管人确认该指令已成功接收之时视为送达基金托管人。对于依照“授权通知”发出的指令，基金管理人不得否认其效力。</w:t>
      </w:r>
    </w:p>
    <w:p w14:paraId="6397FB30"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3.指令的执行：基金托管人确认收到基金管理人发送的指令后，应对指令进行形式审查，验证指令的要素是否齐全，传真指令还应审核印鉴和签章是否和预留印鉴和签章样本相符，指令复核无误后应在规定期限内及时执行。</w:t>
      </w:r>
    </w:p>
    <w:p w14:paraId="588C3B19"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正常情况下由基金托管人依据基金管理人发出的出入金指令，通过期货结算银行银期转账系统进行出入金操作。</w:t>
      </w:r>
    </w:p>
    <w:p w14:paraId="16C4260C"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当结算银行银期转账系统出现故障等其他紧急情况时，基金管理人可以使用非银期转账手工出入金。</w:t>
      </w:r>
    </w:p>
    <w:p w14:paraId="7DF4466A"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lastRenderedPageBreak/>
        <w:t>非银期转账手工出入金，入金由基金托管人依据基金管理人提供的划款指令通过结算银行的网银系统划往期货公司指定账户后，由基金管理人通知期货公司进行入金操作，出金由基金管理人通知期货公司出金后，再发送指令给基金托管人，由基金托管人依据基金管理人提供的划款指令通过结算银行的网银系统划往基金托管账户。</w:t>
      </w:r>
    </w:p>
    <w:p w14:paraId="1F3E4938"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执行完期货出金或入金的操作后，基金管理人应通过其交易系统或终端系统查询出金划出情况和入金到账情况。</w:t>
      </w:r>
    </w:p>
    <w:p w14:paraId="338BB4CC"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在指令未执行的前提下，若基金管理人撤销指令，基金管理人应在原指令上注明“作废”并加盖预留印鉴及被授权人签章后传真给基金托管人，并电话通知基金托管人。</w:t>
      </w:r>
    </w:p>
    <w:p w14:paraId="11A3CC94"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（四）基金管理人发送错误指令的情形和处理程序</w:t>
      </w:r>
    </w:p>
    <w:p w14:paraId="53EC14C5"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1、基金管理人发送错误指令的情形包括指令发送人员无权或超越权限发送指令，指令不能辨识或要素不全导致无法执行等情形。</w:t>
      </w:r>
    </w:p>
    <w:p w14:paraId="22E59C97"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2、当基金托管人认为所接受指令为错误指令时，应及时与基金管理人进行电话确认，暂停指令的执行并要求基金管理人重新发送指令。基金托管人有权要求基金管理人提供相关交易凭证、合同或其他有效会计资料，以确保基金托管人有足够的资料来判断指令的有效性。基金托管人待收齐相关资料并判断指令有效后重新开始执行指令。基金管理人应在合理时间内补充相关资料，并给基金托管人预留必要的执行时间，否则基金托管人对因此造成的延误不承担责任。</w:t>
      </w:r>
    </w:p>
    <w:p w14:paraId="5DB50A38"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（五）基金托管人依照法律法规暂缓、拒绝执行指令的情形和处理程序</w:t>
      </w:r>
    </w:p>
    <w:p w14:paraId="0555FD7C"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基金托管人发现基金管理人发送的指令有可能违反《基金法》、《运作办法》、《基金合同》、本协议或其他有关法律法规的规定时，应暂缓执行指令，并及时通知基金管理人，基金管理人收到通知后应及时核对并纠正；如相关交易已生效，则应通知基金管理人在10个工作日内纠正，并报告中国证监会。对于基金托管人事前难以监督的交易行为，基金托管人在事后履行了对基金管理人的通知以及向中国证监会的报告义务后，即视为完全履行了其投资监督职责。对于基金管理人违反《基金法》、《运作办法》、《基金合同》、本协议或其他有关法律法规的规定造成基金财产损失的，由基金管理人承担全部责任，基金托管人免于承担责任。</w:t>
      </w:r>
    </w:p>
    <w:p w14:paraId="4EEA2A2E"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（六）基金托管人未按照基金管理人指令执行的处理方法</w:t>
      </w:r>
    </w:p>
    <w:p w14:paraId="08610007"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lastRenderedPageBreak/>
        <w:t>对于基金管理人的有效指令和通知，除非违反法律法规、基金合同、托管协议或具有第（四）项所述错误，基金托管人不得无故拒绝或拖延执行，否则应就基金或基金管理人由此产生的损失负赔偿责任。</w:t>
      </w:r>
    </w:p>
    <w:p w14:paraId="0C4AD3CE"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除因故意或过失致使基金、基金管理人的利益受到损害而负赔偿责任外，基金托管人对执行基金管理人的合法指令对基金财产造成的损失不承担赔偿责任。</w:t>
      </w:r>
    </w:p>
    <w:p w14:paraId="2DAC2F59"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（七）更换被授权人员的程序</w:t>
      </w:r>
    </w:p>
    <w:p w14:paraId="41A134EF"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基金管理人撤换被授权人员或改变被授权人员的权限，必须提前至少一个交易日，使用传真方式或其他基金管理人和基金托管人认可的方式向基金托管人发出加盖基金管理人公司公章的书面变更通知，同时电话通知基金托管人。被授权人变更通知，经基金管理人与基金托管人以电话方式或其他基金管理人和基金托管人认可的方式确认后，于授权通知载明的生效时间生效，同时原授权通知失效。基金管理人在此后三个工作日内将被授权人变更通知的正本送交基金托管人。变更通知书书面正本内容与基金托管人收到的传真不一致的，以基金托管人收到的传真为准。</w:t>
      </w:r>
    </w:p>
    <w:p w14:paraId="6078993A"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基金托管人更换接收基金管理人指令的人员，应提前通知基金管理人。</w:t>
      </w:r>
    </w:p>
    <w:p w14:paraId="0D9B2F33"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（八）指令的保管</w:t>
      </w:r>
    </w:p>
    <w:p w14:paraId="156E64F0"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指令若以传真形式发出，则正本由基金管理人保管，基金托管人保管指令传真件。当两者不一致时，以基金托管人收到的指令传真件为准。</w:t>
      </w:r>
    </w:p>
    <w:p w14:paraId="47230183"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（九）相关责任</w:t>
      </w:r>
    </w:p>
    <w:p w14:paraId="24FDCC84"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对基金管理人在没有充足资金的情况下向基金托管人发出的指令致使资金未能及时清算所造成的损失由基金管理人承担。因基金管理人原因造成的传输不及时、未能留出足够执行时间、未能及时与基金托管人进行指令确认致使资金未能及时清算或交易失败所造成的损失由基金管理人承担。基金托管人正确执行基金管理人发送的有效指令，基金财产发生损失的，基金托管人不承担任何形式的责任。在正常业务受理渠道和指令规定的时间内，因基金托管人原因造成未能及时或正确执行合法合规的指令而导致基金财产受损的，基金托管人应承担相应的责任，但如遇到不可抗力的情况除外。</w:t>
      </w:r>
    </w:p>
    <w:p w14:paraId="379BBA32"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基金托管人根据本协议相关规定履行形式审核职责，如果基金管理人的指令存在事实上未经授权、欺诈、伪造或未能及时提供授权通知等情形，基金托管人</w:t>
      </w:r>
      <w:r>
        <w:rPr>
          <w:rFonts w:ascii="宋体" w:hAnsi="宋体" w:hint="eastAsia"/>
          <w:sz w:val="24"/>
          <w:szCs w:val="24"/>
        </w:rPr>
        <w:lastRenderedPageBreak/>
        <w:t>不承担因执行有关指令或拒绝执行有关指令而给基金管理人或基金资产或任何第三方带来的损失，全部责任由基金管理人承担，但基金托管人未按合同约定尽形式审核义务执行指令而造成损失的情形除外。</w:t>
      </w:r>
    </w:p>
    <w:p w14:paraId="6C42ECA0" w14:textId="77777777" w:rsidR="000F42D5" w:rsidRDefault="00CD3D2E">
      <w:pPr>
        <w:pStyle w:val="1"/>
        <w:jc w:val="center"/>
        <w:rPr>
          <w:rFonts w:ascii="宋体" w:hAnsi="宋体"/>
          <w:sz w:val="30"/>
          <w:szCs w:val="30"/>
        </w:rPr>
      </w:pPr>
      <w:bookmarkStart w:id="84" w:name="_Toc84133788"/>
      <w:bookmarkStart w:id="85" w:name="_Toc84234390"/>
      <w:bookmarkStart w:id="86" w:name="_Toc86204791"/>
      <w:bookmarkStart w:id="87" w:name="_Toc84234437"/>
      <w:bookmarkStart w:id="88" w:name="_Toc86223245"/>
      <w:bookmarkStart w:id="89" w:name="_Toc86225294"/>
      <w:bookmarkStart w:id="90" w:name="_Toc86649725"/>
      <w:bookmarkStart w:id="91" w:name="_Toc118212953"/>
      <w:bookmarkStart w:id="92" w:name="_Toc86737932"/>
      <w:bookmarkStart w:id="93" w:name="_Toc86727358"/>
      <w:bookmarkStart w:id="94" w:name="_Toc110830495"/>
      <w:bookmarkStart w:id="95" w:name="_Toc89163371"/>
      <w:bookmarkStart w:id="96" w:name="_Toc119402713"/>
      <w:bookmarkStart w:id="97" w:name="_Toc118972651"/>
      <w:bookmarkStart w:id="98" w:name="_Toc110765663"/>
      <w:bookmarkStart w:id="99" w:name="_Toc110761799"/>
      <w:bookmarkStart w:id="100" w:name="_Toc108512361"/>
      <w:bookmarkStart w:id="101" w:name="_Toc118774806"/>
      <w:bookmarkStart w:id="102" w:name="_Toc120435786"/>
      <w:bookmarkStart w:id="103" w:name="_Toc86726442"/>
      <w:r>
        <w:rPr>
          <w:rFonts w:ascii="宋体" w:hAnsi="宋体"/>
          <w:sz w:val="30"/>
          <w:szCs w:val="30"/>
        </w:rPr>
        <w:br w:type="page"/>
      </w:r>
      <w:bookmarkStart w:id="104" w:name="_Toc531710544"/>
      <w:bookmarkStart w:id="105" w:name="_Toc348082035"/>
      <w:bookmarkStart w:id="106" w:name="_Toc384992697"/>
      <w:r>
        <w:rPr>
          <w:rFonts w:hint="eastAsia"/>
          <w:sz w:val="30"/>
          <w:szCs w:val="30"/>
        </w:rPr>
        <w:lastRenderedPageBreak/>
        <w:t>七、交易及清算交收安排</w:t>
      </w:r>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p>
    <w:p w14:paraId="5E7C9582"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（一）选择代理证券、期货买卖的证券、期货经营机构</w:t>
      </w:r>
    </w:p>
    <w:p w14:paraId="6C807EE8" w14:textId="1EACA276" w:rsidR="000F42D5" w:rsidRDefault="00CD3D2E">
      <w:pPr>
        <w:spacing w:line="360" w:lineRule="auto"/>
        <w:ind w:firstLineChars="200" w:firstLine="480"/>
        <w:rPr>
          <w:rFonts w:ascii="宋体" w:hAnsi="宋体"/>
          <w:sz w:val="24"/>
          <w:szCs w:val="24"/>
        </w:rPr>
      </w:pPr>
      <w:r>
        <w:rPr>
          <w:rFonts w:ascii="宋体" w:hAnsi="宋体" w:hint="eastAsia"/>
          <w:sz w:val="24"/>
          <w:szCs w:val="24"/>
        </w:rPr>
        <w:t>1.</w:t>
      </w:r>
      <w:r w:rsidR="00D14757" w:rsidRPr="00D14757">
        <w:rPr>
          <w:rFonts w:hint="eastAsia"/>
        </w:rPr>
        <w:t xml:space="preserve"> </w:t>
      </w:r>
      <w:r w:rsidR="00D14757" w:rsidRPr="00D14757">
        <w:rPr>
          <w:rFonts w:ascii="宋体" w:hAnsi="宋体" w:hint="eastAsia"/>
          <w:sz w:val="24"/>
          <w:szCs w:val="24"/>
        </w:rPr>
        <w:t>基金管理人负责选择代理本基金证券买卖的证券经纪机构，并与基金托管人、证券</w:t>
      </w:r>
      <w:r w:rsidR="00587409">
        <w:rPr>
          <w:rFonts w:ascii="宋体" w:hAnsi="宋体" w:hint="eastAsia"/>
          <w:sz w:val="24"/>
          <w:szCs w:val="24"/>
        </w:rPr>
        <w:t>经纪</w:t>
      </w:r>
      <w:r w:rsidR="00D14757" w:rsidRPr="00D14757">
        <w:rPr>
          <w:rFonts w:ascii="宋体" w:hAnsi="宋体" w:hint="eastAsia"/>
          <w:sz w:val="24"/>
          <w:szCs w:val="24"/>
        </w:rPr>
        <w:t>机构签订证券经纪服务协议，明确三方在本基金参与场内证券买卖中各类证券交易、证券交收及相关资金交收、交易数据传输及接收过程中的职责和义务。</w:t>
      </w:r>
      <w:r>
        <w:rPr>
          <w:rFonts w:ascii="宋体" w:hAnsi="宋体" w:hint="eastAsia"/>
          <w:sz w:val="24"/>
          <w:szCs w:val="24"/>
        </w:rPr>
        <w:t>基金管理人应根据有关规定，在基金的中期报告和年度报告中将所选证券</w:t>
      </w:r>
      <w:r w:rsidR="007B2CB3">
        <w:rPr>
          <w:rFonts w:ascii="宋体" w:hAnsi="宋体" w:hint="eastAsia"/>
          <w:sz w:val="24"/>
          <w:szCs w:val="24"/>
        </w:rPr>
        <w:t>经纪</w:t>
      </w:r>
      <w:r>
        <w:rPr>
          <w:rFonts w:ascii="宋体" w:hAnsi="宋体" w:hint="eastAsia"/>
          <w:sz w:val="24"/>
          <w:szCs w:val="24"/>
        </w:rPr>
        <w:t>机构的有关情况、基金通过该证券</w:t>
      </w:r>
      <w:r w:rsidR="007B2CB3">
        <w:rPr>
          <w:rFonts w:ascii="宋体" w:hAnsi="宋体" w:hint="eastAsia"/>
          <w:sz w:val="24"/>
          <w:szCs w:val="24"/>
        </w:rPr>
        <w:t>经纪</w:t>
      </w:r>
      <w:r>
        <w:rPr>
          <w:rFonts w:ascii="宋体" w:hAnsi="宋体" w:hint="eastAsia"/>
          <w:sz w:val="24"/>
          <w:szCs w:val="24"/>
        </w:rPr>
        <w:t>机构买卖证券的成交量、回购成交量和支付的佣金等予以披露，并将该等情况及基金交易单元号、佣金费率等基本信息以及变更情况及时以书面形式通知基金托管人。</w:t>
      </w:r>
    </w:p>
    <w:p w14:paraId="18916C97"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2.基金管理人负责选择代理本基金期货交易的期货经纪机构，并与其签订期货经纪合同，其他事宜根据法律法规、《基金合同》的相关规定执行，若无明确规定的，可参照有关证券买卖、证券经纪机构选择的规则执行。</w:t>
      </w:r>
    </w:p>
    <w:p w14:paraId="1DFF9C52"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（1）基金管理人所选择的期货公司负责办理委托资产的期货交易的清算交割。</w:t>
      </w:r>
    </w:p>
    <w:p w14:paraId="721CC9DB"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2）基金管理人应责成其选择的期货公司通过深证通向基金托管人及基金管理人发送以保证金监控中心格式显示本基金成交结果的交易结算报告及参照保证金监控中心格式制作的显示本基金期货保证金账户权益状况的交易结算报告。经基金托管人同意，可采用电子邮件的传送方式作为应急备份方式传输当日交易结算数据。</w:t>
      </w:r>
    </w:p>
    <w:p w14:paraId="5578CF1E"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正常情况下当日交易结算报告的发送时间应在交易日当日的17：00之前。因交易所原因而造成数据延迟发送的，基金管理人应及时通知基金托管人，并在恢复后告知期货公司立即发送至基金托管人，并电话确认数据接收状况。若期货公司发送的期货数据有误，重新向基金管理人、基金托管人发送的，基金管理人应责成期货公司在发送新的期货数据后立即通知基金托管人，并电话确认数据接收状况。</w:t>
      </w:r>
    </w:p>
    <w:p w14:paraId="16AE95C8"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（3）基金管理人应责成其选择的期货公司对发送的数据的准确性、完整性、真实性负责。</w:t>
      </w:r>
    </w:p>
    <w:p w14:paraId="42B4D201"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由于交易结算报告的记载事项出现与实际交易结果和权益不符造成本基金估值计算错误的，应由基金管理人负责向数据发送方追偿，基金托管人不承担责</w:t>
      </w:r>
      <w:r>
        <w:rPr>
          <w:rFonts w:ascii="宋体" w:hAnsi="宋体" w:hint="eastAsia"/>
          <w:sz w:val="24"/>
          <w:szCs w:val="24"/>
        </w:rPr>
        <w:lastRenderedPageBreak/>
        <w:t>任。</w:t>
      </w:r>
    </w:p>
    <w:p w14:paraId="2DE93A9E"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（二）基金投资证券后的清算交收安排</w:t>
      </w:r>
    </w:p>
    <w:p w14:paraId="3D1B6AD6" w14:textId="5FE15179" w:rsidR="00D14757" w:rsidRDefault="00D14757">
      <w:pPr>
        <w:spacing w:line="360" w:lineRule="auto"/>
        <w:ind w:firstLineChars="200" w:firstLine="480"/>
        <w:rPr>
          <w:rFonts w:ascii="宋体" w:hAnsi="宋体"/>
          <w:sz w:val="24"/>
          <w:szCs w:val="24"/>
        </w:rPr>
      </w:pPr>
      <w:r>
        <w:rPr>
          <w:rFonts w:ascii="宋体" w:hAnsi="宋体" w:hint="eastAsia"/>
          <w:sz w:val="24"/>
          <w:szCs w:val="24"/>
        </w:rPr>
        <w:t>1、</w:t>
      </w:r>
      <w:r w:rsidRPr="00D14757">
        <w:rPr>
          <w:rFonts w:ascii="宋体" w:hAnsi="宋体" w:hint="eastAsia"/>
          <w:sz w:val="24"/>
          <w:szCs w:val="24"/>
        </w:rPr>
        <w:t xml:space="preserve">基金投资证券后的清算交收安排 </w:t>
      </w:r>
    </w:p>
    <w:p w14:paraId="4174903C" w14:textId="2B508280" w:rsidR="00D14757" w:rsidRDefault="00D14757">
      <w:pPr>
        <w:spacing w:line="360" w:lineRule="auto"/>
        <w:ind w:firstLineChars="200" w:firstLine="480"/>
        <w:rPr>
          <w:rFonts w:ascii="宋体" w:hAnsi="宋体"/>
          <w:sz w:val="24"/>
          <w:szCs w:val="24"/>
        </w:rPr>
      </w:pPr>
      <w:r w:rsidRPr="00D14757">
        <w:rPr>
          <w:rFonts w:ascii="宋体" w:hAnsi="宋体" w:hint="eastAsia"/>
          <w:sz w:val="24"/>
          <w:szCs w:val="24"/>
        </w:rPr>
        <w:t>本基金通过证券经纪机构进行的交易由证券经纪机构作为结算参与人代理本基金进行结算；</w:t>
      </w:r>
      <w:r w:rsidR="004451CD" w:rsidRPr="004451CD">
        <w:rPr>
          <w:rFonts w:ascii="宋体" w:hAnsi="宋体" w:hint="eastAsia"/>
          <w:sz w:val="24"/>
          <w:szCs w:val="24"/>
        </w:rPr>
        <w:t>本基金投资于所有场外交易的资金汇划，由基金托管人负责办理。</w:t>
      </w:r>
    </w:p>
    <w:p w14:paraId="7138F4A7" w14:textId="77777777" w:rsidR="00D14757" w:rsidRDefault="00D14757">
      <w:pPr>
        <w:spacing w:line="360" w:lineRule="auto"/>
        <w:ind w:firstLineChars="200" w:firstLine="480"/>
        <w:rPr>
          <w:rFonts w:ascii="宋体" w:hAnsi="宋体"/>
          <w:sz w:val="24"/>
          <w:szCs w:val="24"/>
        </w:rPr>
      </w:pPr>
      <w:r>
        <w:rPr>
          <w:rFonts w:ascii="宋体" w:hAnsi="宋体"/>
          <w:sz w:val="24"/>
          <w:szCs w:val="24"/>
        </w:rPr>
        <w:t>2</w:t>
      </w:r>
      <w:r>
        <w:rPr>
          <w:rFonts w:ascii="宋体" w:hAnsi="宋体" w:hint="eastAsia"/>
          <w:sz w:val="24"/>
          <w:szCs w:val="24"/>
        </w:rPr>
        <w:t>、</w:t>
      </w:r>
      <w:r w:rsidRPr="00D14757">
        <w:rPr>
          <w:rFonts w:ascii="宋体" w:hAnsi="宋体" w:hint="eastAsia"/>
          <w:sz w:val="24"/>
          <w:szCs w:val="24"/>
        </w:rPr>
        <w:t xml:space="preserve">证券交易所证券资金结算 </w:t>
      </w:r>
    </w:p>
    <w:p w14:paraId="5668DA34" w14:textId="7A7F6782" w:rsidR="00D14757" w:rsidRDefault="00D14757">
      <w:pPr>
        <w:spacing w:line="360" w:lineRule="auto"/>
        <w:ind w:firstLineChars="200" w:firstLine="480"/>
        <w:rPr>
          <w:rFonts w:ascii="宋体" w:hAnsi="宋体"/>
          <w:sz w:val="24"/>
          <w:szCs w:val="24"/>
        </w:rPr>
      </w:pPr>
      <w:r w:rsidRPr="00D14757">
        <w:rPr>
          <w:rFonts w:ascii="宋体" w:hAnsi="宋体" w:hint="eastAsia"/>
          <w:sz w:val="24"/>
          <w:szCs w:val="24"/>
        </w:rPr>
        <w:t>基金托管人、基金管理人应共同遵守</w:t>
      </w:r>
      <w:r w:rsidR="00543642">
        <w:rPr>
          <w:rFonts w:ascii="宋体" w:hAnsi="宋体" w:hint="eastAsia"/>
          <w:sz w:val="24"/>
          <w:szCs w:val="24"/>
        </w:rPr>
        <w:t>中国证券登记结算有限责任公司</w:t>
      </w:r>
      <w:r w:rsidRPr="00D14757">
        <w:rPr>
          <w:rFonts w:ascii="宋体" w:hAnsi="宋体" w:hint="eastAsia"/>
          <w:sz w:val="24"/>
          <w:szCs w:val="24"/>
        </w:rPr>
        <w:t>制定的相关业务规则和规定，该等规则和规定自动成为本条款约定内容。基金管理人在投资前，应充分知晓与理解</w:t>
      </w:r>
      <w:r w:rsidR="00543642">
        <w:rPr>
          <w:rFonts w:ascii="宋体" w:hAnsi="宋体" w:hint="eastAsia"/>
          <w:sz w:val="24"/>
          <w:szCs w:val="24"/>
        </w:rPr>
        <w:t>中国证券登记结算有限责任公司</w:t>
      </w:r>
      <w:r w:rsidRPr="00D14757">
        <w:rPr>
          <w:rFonts w:ascii="宋体" w:hAnsi="宋体" w:hint="eastAsia"/>
          <w:sz w:val="24"/>
          <w:szCs w:val="24"/>
        </w:rPr>
        <w:t>针对各类交易品种制定的结算业务规则和规定。证券经纪机构代理本基金与</w:t>
      </w:r>
      <w:r w:rsidR="00543642" w:rsidRPr="004A358C">
        <w:rPr>
          <w:rFonts w:ascii="宋体" w:hAnsi="宋体" w:hint="eastAsia"/>
          <w:b/>
          <w:bCs/>
          <w:sz w:val="24"/>
          <w:szCs w:val="24"/>
        </w:rPr>
        <w:t>中国证券登记结算有限责任公司</w:t>
      </w:r>
      <w:r w:rsidRPr="00D14757">
        <w:rPr>
          <w:rFonts w:ascii="宋体" w:hAnsi="宋体" w:hint="eastAsia"/>
          <w:sz w:val="24"/>
          <w:szCs w:val="24"/>
        </w:rPr>
        <w:t>完成证券交易及非交易涉及的证券资金结算业务，并承担由证券经纪机构原因造成的正常结算、交收业务无法完成的责任；若由于基金管理人原因造成的正常结算业务无法完成，责任由基金管理人承担。对于任何原因发生的证券资金交收违约事件，相关各方应当及时协商解决。</w:t>
      </w:r>
    </w:p>
    <w:p w14:paraId="655E2A71"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（三）基金申购、赎回和转换业务处理的基本规定</w:t>
      </w:r>
    </w:p>
    <w:p w14:paraId="688F2470"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1.基金份额申购、赎回、转换的确认、清算由基金管理人或其委托的登记机构负责。</w:t>
      </w:r>
    </w:p>
    <w:p w14:paraId="5675D266"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2.基金管理人应将每个开放日的申购、赎回、转换开放式基金的数据传送给基金托管人。基金管理人应对传递的申购、赎回、转换开放式基金的数据真实性和准确性负责。基金托管人应及时查收申购及转入资金的到账情况并根据基金管理人指令及时划付赎回及转出款项。</w:t>
      </w:r>
    </w:p>
    <w:p w14:paraId="01157A9C"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3.基金管理人应保证本基金（或本基金管理人委托）的登记机构每个工作日15:00前向基金托管人发送前一开放日上述有关数据，并保证相关数据的准确、完整。</w:t>
      </w:r>
    </w:p>
    <w:p w14:paraId="300D6733"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4.登记机构应通过与基金管理人建立的系统发送有关数据，由基金管理人向基金托管人发送有关数据，如因各种原因，该系统无法正常发送，双方可协商解决处理方式。基金管理人向基金托管人发送的数据，双方各自按有关规定保存。</w:t>
      </w:r>
    </w:p>
    <w:p w14:paraId="0D3CCFAC"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5.如基金管理人委托其他机构办理本基金的登记业务，应保证上述相关事宜</w:t>
      </w:r>
      <w:r>
        <w:rPr>
          <w:rFonts w:ascii="宋体" w:hAnsi="宋体" w:hint="eastAsia"/>
          <w:sz w:val="24"/>
          <w:szCs w:val="24"/>
        </w:rPr>
        <w:lastRenderedPageBreak/>
        <w:t>按时进行。否则，由基金管理人承担相应的责任。</w:t>
      </w:r>
    </w:p>
    <w:p w14:paraId="70F7A4AE"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6.关于清算专用账户的设立和管理</w:t>
      </w:r>
    </w:p>
    <w:p w14:paraId="67758954"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为满足申购、赎回、转换及分红资金汇划的需要，由基金管理人开立资金清算的专用账户，该账户由登记机构管理。</w:t>
      </w:r>
    </w:p>
    <w:p w14:paraId="23224325"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7.对于基金申购、转换过程中产生的应收款，应由基金管理人负责与有关当事人确定到账日期并通知基金托管人，到账日应收款没有到达基金资金账户的，基金托管人应及时通知基金管理人采取措施进行催收，由此造成基金损失的，基金管理人应负责向有关当事人追偿基金的损失。</w:t>
      </w:r>
    </w:p>
    <w:p w14:paraId="74769DEE"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8.赎回、转换资金划付规定</w:t>
      </w:r>
    </w:p>
    <w:p w14:paraId="0595BC35"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划付赎回款、转换转出款时，如基金资金账户有足够的资金，基金托管人应按时划付；因基金资金账户没有足够的资金，导致基金托管人不能按时划付，基金托管人不承担责任，责任由基金管理人承担，基金托管人不承担垫款义务。</w:t>
      </w:r>
    </w:p>
    <w:p w14:paraId="5C6203C3"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9.资金指令</w:t>
      </w:r>
    </w:p>
    <w:p w14:paraId="373726C2"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除申购款项到达基金资金账户需双方按约定方式对账外，与投资有关的付款、赎回和分红资金划拨时，基金管理人需向基金托管人下达指令。</w:t>
      </w:r>
    </w:p>
    <w:p w14:paraId="59D6AEED"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资金指令的格式、内容、发送、接收和确认方式等与投资指令相同。</w:t>
      </w:r>
    </w:p>
    <w:p w14:paraId="1C019AC2"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（四）资金净额结算</w:t>
      </w:r>
    </w:p>
    <w:p w14:paraId="049AC418"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基金资金账户与“基金清算账户”间的资金结算遵循“全额清算、净额交收”的原则，每日按照资金账户应收资金与应付资金的差额来确定资金账户净应收额或净应付额，以此确定资金交收额，基金托管人应当为基金管理人提供适当方式，便于基金管理人进行查询和账务管理。当存在资金账户净应收额时，基金管理人应在交收日15:00时之前从基金清算账户划往基金资金账户，基金管理人通过基金托管人提供的方式查询结果；当存在资金账户净应付额时，基金托管人按照基金管理人的划款指令将托管账户净应付额在交收日及时划往基金清算账户，基金管理人通过基金托管人提供的方式查询结果。</w:t>
      </w:r>
    </w:p>
    <w:p w14:paraId="4061885D"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当存在资金账户净应付额时，如基金银行账户有足够的资金，基金托管人应按时划付；因基金资金账户没有足够的资金，导致基金托管人不能按时划付，基金托管人应及时通知基金管理人，基金托管人不承担责任；如系基金管理人的原因造成，责任由基金管理人承担，基金托管人不承担垫款义务。</w:t>
      </w:r>
    </w:p>
    <w:p w14:paraId="78B921BC"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lastRenderedPageBreak/>
        <w:t>（五）基金现金分红</w:t>
      </w:r>
    </w:p>
    <w:p w14:paraId="71503436"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1.基金管理人确定分红方案通知基金托管人，双方核定后依照《信息披露办法》的有关规定在中国证监会指定媒介上公告并报中国证监会备案。</w:t>
      </w:r>
    </w:p>
    <w:p w14:paraId="2CEFF2D4"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2.基金托管人和基金管理人对基金分红进行账务处理并核对后，基金管理人向基金托管人发送现金红利的划款指令，基金托管人应根据指令及时将分红款划往基金清算账户。</w:t>
      </w:r>
    </w:p>
    <w:p w14:paraId="0C43888F"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3.基金管理人在下达指令时，应给基金托管人留出必需的划款时间。</w:t>
      </w:r>
    </w:p>
    <w:p w14:paraId="15DA8BC0" w14:textId="77777777" w:rsidR="000F42D5" w:rsidRDefault="00CD3D2E">
      <w:pPr>
        <w:pStyle w:val="1"/>
        <w:jc w:val="center"/>
        <w:rPr>
          <w:rFonts w:ascii="宋体" w:hAnsi="宋体"/>
          <w:sz w:val="30"/>
          <w:szCs w:val="30"/>
        </w:rPr>
      </w:pPr>
      <w:r>
        <w:rPr>
          <w:rFonts w:ascii="宋体" w:hAnsi="宋体"/>
          <w:sz w:val="30"/>
          <w:szCs w:val="30"/>
        </w:rPr>
        <w:br w:type="page"/>
      </w:r>
      <w:bookmarkStart w:id="107" w:name="_Toc348082036"/>
      <w:bookmarkStart w:id="108" w:name="_Toc384992698"/>
      <w:bookmarkStart w:id="109" w:name="_Toc531710545"/>
      <w:r>
        <w:rPr>
          <w:rFonts w:hint="eastAsia"/>
          <w:sz w:val="30"/>
          <w:szCs w:val="30"/>
        </w:rPr>
        <w:lastRenderedPageBreak/>
        <w:t>八、</w:t>
      </w:r>
      <w:bookmarkEnd w:id="107"/>
      <w:bookmarkEnd w:id="108"/>
      <w:r>
        <w:rPr>
          <w:rFonts w:hint="eastAsia"/>
          <w:sz w:val="30"/>
          <w:szCs w:val="30"/>
        </w:rPr>
        <w:t>基金资产净值计算和会计核算</w:t>
      </w:r>
      <w:bookmarkEnd w:id="109"/>
    </w:p>
    <w:p w14:paraId="7C300842"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（一）基金资产净值的计算、复核与完成的时间及程序</w:t>
      </w:r>
    </w:p>
    <w:p w14:paraId="59B9BF11"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1.基金资产净值</w:t>
      </w:r>
    </w:p>
    <w:p w14:paraId="45E3C904"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基金资产净值是指基金资产总值减去基金负债后的价值。</w:t>
      </w:r>
    </w:p>
    <w:p w14:paraId="4EA37020"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各类基金份额净值是指估值日该类基金资产净值除以估值日该类基金份额总数，基金份额净值的计算，精确到0.0001元，小数点后第五位四舍五入，国家另有规定的，从其规定。</w:t>
      </w:r>
    </w:p>
    <w:p w14:paraId="6F115503"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基金管理人每个工作日计算基金资产净值、两类基金份额净值，经基金托管人复核，按规定公告。</w:t>
      </w:r>
    </w:p>
    <w:p w14:paraId="06F748AF"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2.复核程序</w:t>
      </w:r>
    </w:p>
    <w:p w14:paraId="57AC06F6"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基金管理人每工作日对基金资产进行估值后，将基金资产净值、两类基金份额净值发送基金托管人，经基金托管人复核无误后，由基金管理人对外公布。</w:t>
      </w:r>
    </w:p>
    <w:p w14:paraId="7D93FDB4"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3.根据有关法律法规，基金资产净值计算和基金会计核算的义务由基金管理人承担。本基金的基金会计责任方由基金管理人担任，因此，就与本基金有关的会计问题，如经相关各方在平等基础上充分讨论后，仍无法达成一致意见的，按照基金管理人对基金资产净值的计算结果对外予以公布。</w:t>
      </w:r>
    </w:p>
    <w:p w14:paraId="3178E9A3"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（二）基金资产的估值</w:t>
      </w:r>
    </w:p>
    <w:p w14:paraId="06A7E6D0"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基金管理人及基金托管人应当按照《基金合同》的约定进行估值。</w:t>
      </w:r>
    </w:p>
    <w:p w14:paraId="724E6FCF"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（三）基金份额净值错误的处理方式</w:t>
      </w:r>
    </w:p>
    <w:p w14:paraId="46244585"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基金管理人及基金托管人应当按照《基金合同》的约定处理份额净值错误。</w:t>
      </w:r>
    </w:p>
    <w:p w14:paraId="788BD9C0"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（四）基金会计制度</w:t>
      </w:r>
    </w:p>
    <w:p w14:paraId="282DA42C"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按国家有关部门规定的会计制度执行。</w:t>
      </w:r>
    </w:p>
    <w:p w14:paraId="79FFE48D"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（五）基金账册的建立</w:t>
      </w:r>
    </w:p>
    <w:p w14:paraId="68EFFABE"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基金管理人和基金托管人在基金合同生效后，应按照双方约定的同一记账方法和会计处理原则，分别独立地设置、记录和保管本基金的全套账册，对相关各方各自的账册定期进行核对，互相监督，以保证基金资产的安全。</w:t>
      </w:r>
    </w:p>
    <w:p w14:paraId="59733F3C"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（六）基金财务报表与报告的编制和复核</w:t>
      </w:r>
    </w:p>
    <w:p w14:paraId="354DD66F"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1.财务报表的编制</w:t>
      </w:r>
    </w:p>
    <w:p w14:paraId="062840E9"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基金财务报表由基金管理人编制，基金托管人复核。</w:t>
      </w:r>
    </w:p>
    <w:p w14:paraId="514EE34A"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lastRenderedPageBreak/>
        <w:t>2.报表复核</w:t>
      </w:r>
    </w:p>
    <w:p w14:paraId="5A727402"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基金托管人在收到基金管理人编制的基金财务报表后，进行独立的复核。核对不符时，应及时通知基金管理人共同查出原因，进行调整，直至双方数据完全一致。</w:t>
      </w:r>
    </w:p>
    <w:p w14:paraId="73D960AB"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3.财务报表的编制与复核时间安排</w:t>
      </w:r>
    </w:p>
    <w:p w14:paraId="755E6832"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基金管理人、基金托管人应当在每月结束后5个工作日内完成月度报表的编制及复核；在每个季度结束之日起15个工作日内完成基金季度报告的编制及复核；在上半年结束之日起两个月内完成基金中期报告的编制及复核；在每年结束之日起三个月内完成基金年度报告的编制及复核。基金托管人在复核过程中，发现双方的报表存在不符时，基金管理人和基金托管人应共同查明原因，进行调整，调整以国家有关规定为准。基金年度报告的财务会计报告应当经过审计。基金合同生效不足两个月的，基金管理人可以不编制当期季度报告、中期报告或者年度报告。</w:t>
      </w:r>
    </w:p>
    <w:p w14:paraId="41D02B8B"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（七）在有需要时，基金管理人应每季度向基金托管人提供基金业绩比较基准的基础数据和编制结果。</w:t>
      </w:r>
    </w:p>
    <w:p w14:paraId="6A234431" w14:textId="77777777" w:rsidR="000F42D5" w:rsidRDefault="00CD3D2E">
      <w:pPr>
        <w:pStyle w:val="1"/>
        <w:jc w:val="center"/>
        <w:rPr>
          <w:rFonts w:ascii="宋体" w:hAnsi="宋体"/>
          <w:sz w:val="30"/>
          <w:szCs w:val="30"/>
        </w:rPr>
      </w:pPr>
      <w:r>
        <w:rPr>
          <w:rFonts w:ascii="宋体" w:hAnsi="宋体"/>
          <w:sz w:val="30"/>
          <w:szCs w:val="30"/>
        </w:rPr>
        <w:br w:type="page"/>
      </w:r>
      <w:bookmarkStart w:id="110" w:name="_Toc384992699"/>
      <w:bookmarkStart w:id="111" w:name="_Toc348082037"/>
      <w:bookmarkStart w:id="112" w:name="_Toc531710546"/>
      <w:r>
        <w:rPr>
          <w:rFonts w:hint="eastAsia"/>
          <w:sz w:val="30"/>
          <w:szCs w:val="30"/>
        </w:rPr>
        <w:lastRenderedPageBreak/>
        <w:t>九、基金收益分配</w:t>
      </w:r>
      <w:bookmarkEnd w:id="110"/>
      <w:bookmarkEnd w:id="111"/>
      <w:bookmarkEnd w:id="112"/>
    </w:p>
    <w:p w14:paraId="65FBFDB1" w14:textId="77777777" w:rsidR="000F42D5" w:rsidRDefault="00CD3D2E">
      <w:pPr>
        <w:spacing w:line="360" w:lineRule="auto"/>
        <w:rPr>
          <w:rFonts w:ascii="宋体" w:hAnsi="宋体"/>
          <w:sz w:val="24"/>
          <w:szCs w:val="24"/>
        </w:rPr>
      </w:pPr>
      <w:r>
        <w:rPr>
          <w:rFonts w:ascii="宋体" w:hAnsi="宋体" w:hint="eastAsia"/>
          <w:sz w:val="24"/>
          <w:szCs w:val="24"/>
        </w:rPr>
        <w:t>基金管理人与基金托管人按照《基金合同》的约定处理基金收益分配。</w:t>
      </w:r>
    </w:p>
    <w:p w14:paraId="0F404CBD" w14:textId="77777777" w:rsidR="000F42D5" w:rsidRDefault="00CD3D2E">
      <w:pPr>
        <w:pStyle w:val="1"/>
        <w:jc w:val="center"/>
        <w:rPr>
          <w:rFonts w:ascii="宋体" w:hAnsi="宋体"/>
          <w:sz w:val="30"/>
          <w:szCs w:val="30"/>
        </w:rPr>
      </w:pPr>
      <w:r>
        <w:rPr>
          <w:rFonts w:ascii="宋体" w:hAnsi="宋体"/>
          <w:sz w:val="30"/>
          <w:szCs w:val="30"/>
        </w:rPr>
        <w:br w:type="page"/>
      </w:r>
      <w:bookmarkStart w:id="113" w:name="_Toc348082038"/>
      <w:bookmarkStart w:id="114" w:name="_Toc531710547"/>
      <w:bookmarkStart w:id="115" w:name="_Toc384992700"/>
      <w:r>
        <w:rPr>
          <w:rFonts w:hint="eastAsia"/>
          <w:sz w:val="30"/>
          <w:szCs w:val="30"/>
        </w:rPr>
        <w:lastRenderedPageBreak/>
        <w:t>十、基金信息披露</w:t>
      </w:r>
      <w:bookmarkEnd w:id="113"/>
      <w:bookmarkEnd w:id="114"/>
      <w:bookmarkEnd w:id="115"/>
    </w:p>
    <w:p w14:paraId="30CCB58B"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（一）保密义务</w:t>
      </w:r>
    </w:p>
    <w:p w14:paraId="385D68E4"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基金托管人和基金管理人应按法律法规、基金合同的有关规定进行信息披露，拟公开披露的信息在公开披露之前应予保密。除按《基金法》、基金合同、《信息披露办法》及其他有关规定进行信息披露外，基金管理人和基金托管人对基金运作中产生的信息以及从对方获得的业务信息应予保密。但是，如下情况不应视为基金管理人或基金托管人违反保密义务：</w:t>
      </w:r>
    </w:p>
    <w:p w14:paraId="728DD309"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1.非因基金管理人和基金托管人的原因导致保密信息被披露、泄露或公开；</w:t>
      </w:r>
    </w:p>
    <w:p w14:paraId="45E5E2CD"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2.基金管理人和基金托管人为遵守和服从法院判决或裁定、仲裁裁决或中国证监会等监管机构的命令、决定所做出的信息披露或公开。</w:t>
      </w:r>
    </w:p>
    <w:p w14:paraId="1F3AA6EB"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（二）信息披露的内容</w:t>
      </w:r>
    </w:p>
    <w:p w14:paraId="2822540C"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基金的信息披露内容主要包括基金招募说明书、基金合同、托管协议、基金产品资料概要、基金资产净值、基金份额净值、基金份额累计净值、基金份额申购、赎回价格、基金定期报告（包括基金年度报告、基金中期报告和基金季度报告）、临时报告、澄清公告、清算报告、基金份额持有人大会决议、中国证监会规定的其他信息。基金年度报告需经具有证券、</w:t>
      </w:r>
      <w:r>
        <w:rPr>
          <w:rFonts w:ascii="宋体" w:hAnsi="宋体"/>
          <w:sz w:val="24"/>
          <w:szCs w:val="24"/>
        </w:rPr>
        <w:t>期货</w:t>
      </w:r>
      <w:r>
        <w:rPr>
          <w:rFonts w:ascii="宋体" w:hAnsi="宋体" w:hint="eastAsia"/>
          <w:sz w:val="24"/>
          <w:szCs w:val="24"/>
        </w:rPr>
        <w:t>相关业务资格的会计师事务所审计后，方可披露。</w:t>
      </w:r>
    </w:p>
    <w:p w14:paraId="47FF1F8F"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信息披露相关事项以基金合同第十八部分《基金的信息披露》及本章节的约定为准。</w:t>
      </w:r>
    </w:p>
    <w:p w14:paraId="216A8A91"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 xml:space="preserve">基金管理人应当在基金投资中小企业私募债券后两个交易日内，在中国证监会指定媒介披露所投资中小企业私募债券的名称、数量、期限、收益率等信息，在季度报告、中期报告、年度报告等定期报告和招募说明书（更新）等文件中披露中小企业私募债券的投资情况。  </w:t>
      </w:r>
    </w:p>
    <w:p w14:paraId="0F529972" w14:textId="77777777" w:rsidR="000F42D5" w:rsidRDefault="00CD3D2E">
      <w:pPr>
        <w:spacing w:line="360" w:lineRule="auto"/>
        <w:ind w:firstLineChars="200" w:firstLine="480"/>
        <w:rPr>
          <w:rFonts w:ascii="宋体" w:hAnsi="宋体"/>
          <w:bCs/>
          <w:sz w:val="24"/>
          <w:szCs w:val="24"/>
        </w:rPr>
      </w:pPr>
      <w:r>
        <w:rPr>
          <w:rFonts w:ascii="宋体" w:hAnsi="宋体" w:hint="eastAsia"/>
          <w:bCs/>
          <w:sz w:val="24"/>
          <w:szCs w:val="24"/>
        </w:rPr>
        <w:t>本基金投资资产支持证券，基金管理人应在基金年报及中期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10名资产支持证券明细。</w:t>
      </w:r>
    </w:p>
    <w:p w14:paraId="6ED569CD"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基金管理人应当在季度报告、中期报告、年度报告等定期报告和招募说明书</w:t>
      </w:r>
      <w:r>
        <w:rPr>
          <w:rFonts w:ascii="宋体" w:hAnsi="宋体" w:hint="eastAsia"/>
          <w:sz w:val="24"/>
          <w:szCs w:val="24"/>
        </w:rPr>
        <w:lastRenderedPageBreak/>
        <w:t>（更新）等文件中披露股指期货情况，包括投资政策、持仓情况、损益情况、风险指标等，并充分揭示股指期货、交易对基金总体风险的影响以及是否符合既定的投资政策和投资目标。</w:t>
      </w:r>
    </w:p>
    <w:p w14:paraId="0C48D0F1"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（三）基金托管人和基金管理人在信息披露中的职责和信息披露程序</w:t>
      </w:r>
    </w:p>
    <w:p w14:paraId="60845D94"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1.职责</w:t>
      </w:r>
    </w:p>
    <w:p w14:paraId="5106E12A"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基金托管人和基金管理人在信息披露过程中应以保护基金份额持有人利益为宗旨，诚实信用，严守秘密。基金管理人负责办理与基金有关的信息披露事宜，对于根据相关法律法规和基金合同规定的需要由基金托管人复核的信息披露文件，在经基金托管人复核无误后，由基金管理人予以公布。</w:t>
      </w:r>
    </w:p>
    <w:p w14:paraId="0FF8DF67"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基金管理人和基金托管人应积极配合、互相监督，保证其履行按照法定方式和限时披露的义务。</w:t>
      </w:r>
    </w:p>
    <w:p w14:paraId="599F2F69"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基金管理人应当在中国证监会规定的时间内，将应予披露的基金信息通过中国证监会指定的用以进行信息披露的全国性报刊及指定互联网网站（包括基金管理人网站、基金托管人网站、中国证监会基金电子披露网站）等媒介披露。根据法律法规应由基金托管人公开披露的信息，基金托管人指定报刊和指定网站公开披露。</w:t>
      </w:r>
    </w:p>
    <w:p w14:paraId="4AEAA370"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当出现下述情况时，基金管理人和基金托管人可暂停或延迟披露基金相关信息：</w:t>
      </w:r>
    </w:p>
    <w:p w14:paraId="268CE6CA"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(1)不可抗力；</w:t>
      </w:r>
    </w:p>
    <w:p w14:paraId="067EAAD4"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(2)发生暂停估值的情形；</w:t>
      </w:r>
    </w:p>
    <w:p w14:paraId="446C3984"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(3)法律法规、基金合同或中国证监会规定的情况。</w:t>
      </w:r>
    </w:p>
    <w:p w14:paraId="06E76721"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2.程序</w:t>
      </w:r>
    </w:p>
    <w:p w14:paraId="766C1F39"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按有关规定须经基金托管人复核的信息披露文件，由基金管理人起草、并经基金托管人复核后由基金管理人公告。发生基金合同中规定需要披露的事项时，按基金合同规定公布。</w:t>
      </w:r>
    </w:p>
    <w:p w14:paraId="2CF6BD6D"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3.信息文本的存放</w:t>
      </w:r>
    </w:p>
    <w:p w14:paraId="10CDD1D9"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予以披露的信息文本，存放在基金管理人/基金托管人处，投资者可以免费查阅。在支付工本费后可在合理时间获得上述文件的复制件或复印件。基金管理人和基金托管人应保证文本的内容与所公告的内容完全一致。</w:t>
      </w:r>
    </w:p>
    <w:p w14:paraId="4399C66F" w14:textId="3765536B" w:rsidR="000F42D5" w:rsidRDefault="00CD3D2E" w:rsidP="00F71394">
      <w:pPr>
        <w:spacing w:line="360" w:lineRule="auto"/>
        <w:ind w:firstLineChars="200" w:firstLine="480"/>
        <w:rPr>
          <w:rFonts w:ascii="宋体" w:hAnsi="宋体"/>
          <w:sz w:val="30"/>
          <w:szCs w:val="30"/>
        </w:rPr>
      </w:pPr>
      <w:r>
        <w:rPr>
          <w:rFonts w:ascii="宋体" w:hAnsi="宋体"/>
          <w:sz w:val="24"/>
          <w:szCs w:val="24"/>
        </w:rPr>
        <w:lastRenderedPageBreak/>
        <w:t xml:space="preserve"> </w:t>
      </w:r>
      <w:bookmarkStart w:id="116" w:name="_Toc531710548"/>
      <w:bookmarkStart w:id="117" w:name="_Toc348082039"/>
      <w:bookmarkStart w:id="118" w:name="_Toc384992701"/>
      <w:r>
        <w:rPr>
          <w:rFonts w:hint="eastAsia"/>
          <w:sz w:val="30"/>
          <w:szCs w:val="30"/>
        </w:rPr>
        <w:t>十一、基金费用</w:t>
      </w:r>
      <w:bookmarkEnd w:id="116"/>
      <w:bookmarkEnd w:id="117"/>
      <w:bookmarkEnd w:id="118"/>
    </w:p>
    <w:p w14:paraId="7D5E63F1"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基金费用按照《基金合同》的约定计提和支付。</w:t>
      </w:r>
    </w:p>
    <w:p w14:paraId="292D09AA" w14:textId="77777777" w:rsidR="000F42D5" w:rsidRDefault="00CD3D2E">
      <w:pPr>
        <w:pStyle w:val="1"/>
        <w:jc w:val="center"/>
        <w:rPr>
          <w:rFonts w:ascii="宋体" w:hAnsi="宋体"/>
          <w:sz w:val="30"/>
          <w:szCs w:val="30"/>
        </w:rPr>
      </w:pPr>
      <w:r>
        <w:rPr>
          <w:rFonts w:ascii="宋体" w:hAnsi="宋体"/>
          <w:sz w:val="30"/>
          <w:szCs w:val="30"/>
        </w:rPr>
        <w:br w:type="page"/>
      </w:r>
      <w:bookmarkStart w:id="119" w:name="_Toc348082040"/>
      <w:bookmarkStart w:id="120" w:name="_Toc384992702"/>
      <w:bookmarkStart w:id="121" w:name="_Toc531710549"/>
      <w:r>
        <w:rPr>
          <w:rFonts w:hint="eastAsia"/>
          <w:sz w:val="30"/>
          <w:szCs w:val="30"/>
        </w:rPr>
        <w:lastRenderedPageBreak/>
        <w:t>十二、基金份额持有人名册的保管</w:t>
      </w:r>
      <w:bookmarkEnd w:id="119"/>
      <w:bookmarkEnd w:id="120"/>
      <w:bookmarkEnd w:id="121"/>
    </w:p>
    <w:p w14:paraId="3FD89500"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基金份额持有人名册至少应包括基金份额持有人的名称、证件号码和持有的基金份额。基金份额持有人名册由基金登记机构根据基金管理人的指令编制和保管，基金管理人和基金托管人应分别保管基金份额持有人名册，保存期不少于15年。如不能妥善保管，则按相关法律法规承担责任。</w:t>
      </w:r>
    </w:p>
    <w:p w14:paraId="72D8FD75"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在基金托管人要求或编制半年报和年报前，基金管理人应将有关资料送交基金托管人，不得无故拒绝或延误提供，并保证其的真实性、准确性和完整性。基金管理人和托管人不得将所保管的基金份额持有人名册用于基金托管业务以外的其他用途，并应遵守保密义务。</w:t>
      </w:r>
    </w:p>
    <w:p w14:paraId="09807741" w14:textId="77777777" w:rsidR="000F42D5" w:rsidRDefault="00CD3D2E">
      <w:pPr>
        <w:spacing w:line="360" w:lineRule="auto"/>
        <w:ind w:firstLineChars="200" w:firstLine="480"/>
        <w:rPr>
          <w:rFonts w:ascii="宋体" w:hAnsi="宋体"/>
          <w:sz w:val="24"/>
          <w:szCs w:val="24"/>
        </w:rPr>
      </w:pPr>
      <w:r>
        <w:rPr>
          <w:rFonts w:ascii="宋体" w:hAnsi="宋体"/>
          <w:sz w:val="24"/>
          <w:szCs w:val="24"/>
        </w:rPr>
        <w:t xml:space="preserve"> </w:t>
      </w:r>
    </w:p>
    <w:p w14:paraId="206BB4EF" w14:textId="77777777" w:rsidR="000F42D5" w:rsidRDefault="00CD3D2E">
      <w:pPr>
        <w:pStyle w:val="1"/>
        <w:jc w:val="center"/>
        <w:rPr>
          <w:rFonts w:ascii="宋体" w:hAnsi="宋体"/>
          <w:sz w:val="30"/>
          <w:szCs w:val="30"/>
        </w:rPr>
      </w:pPr>
      <w:r>
        <w:rPr>
          <w:rFonts w:ascii="宋体" w:hAnsi="宋体"/>
          <w:sz w:val="30"/>
          <w:szCs w:val="30"/>
        </w:rPr>
        <w:br w:type="page"/>
      </w:r>
      <w:bookmarkStart w:id="122" w:name="_Toc384992703"/>
      <w:bookmarkStart w:id="123" w:name="_Toc348082041"/>
      <w:bookmarkStart w:id="124" w:name="_Toc531710550"/>
      <w:r>
        <w:rPr>
          <w:rFonts w:hint="eastAsia"/>
          <w:sz w:val="30"/>
          <w:szCs w:val="30"/>
        </w:rPr>
        <w:lastRenderedPageBreak/>
        <w:t>十三、基金有关文件档案的保存</w:t>
      </w:r>
      <w:bookmarkEnd w:id="122"/>
      <w:bookmarkEnd w:id="123"/>
      <w:bookmarkEnd w:id="124"/>
    </w:p>
    <w:p w14:paraId="5F08F0C4"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（一）档案保存</w:t>
      </w:r>
    </w:p>
    <w:p w14:paraId="75097507"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基金管理人应保存基金财产管理业务活动的记录、账册、报表和其他相关资料。基金托管人应保存基金托管业务活动的记录、账册、报表和其他相关资料。基金管理人和基金托管人都应当按规定的期限保管。保存期限不少于15年。</w:t>
      </w:r>
    </w:p>
    <w:p w14:paraId="06DB87FB"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（二）合同档案的建立</w:t>
      </w:r>
    </w:p>
    <w:p w14:paraId="2EFC542B"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1.基金管理人签署重大合同文本后，应及时将合同文本正本送达基金托管人处。</w:t>
      </w:r>
    </w:p>
    <w:p w14:paraId="2135C100"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2.基金管理人应及时将与本基金账务处理、资金划拨等有关的合同、协议传真至基金托管人。</w:t>
      </w:r>
    </w:p>
    <w:p w14:paraId="2639EC80"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（三）变更与协助</w:t>
      </w:r>
    </w:p>
    <w:p w14:paraId="1732B9A1"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若基金管理人/基金托管人发生变更，未变更的一方有义务协助变更后的接任人接收相应文件。</w:t>
      </w:r>
    </w:p>
    <w:p w14:paraId="100801C6"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（四）基金管理人和基金托管人应按各自职责完整保存原始凭证、记账凭证、基金账册、交易记录和重要合同等，承担保密义务并保存至少十五年以上。</w:t>
      </w:r>
    </w:p>
    <w:p w14:paraId="1E38C9D2" w14:textId="77777777" w:rsidR="000F42D5" w:rsidRDefault="00CD3D2E">
      <w:pPr>
        <w:spacing w:line="360" w:lineRule="auto"/>
        <w:ind w:firstLineChars="200" w:firstLine="480"/>
        <w:rPr>
          <w:rFonts w:ascii="宋体" w:hAnsi="宋体"/>
          <w:sz w:val="24"/>
          <w:szCs w:val="24"/>
        </w:rPr>
      </w:pPr>
      <w:r>
        <w:rPr>
          <w:rFonts w:ascii="宋体" w:hAnsi="宋体"/>
          <w:sz w:val="24"/>
          <w:szCs w:val="24"/>
        </w:rPr>
        <w:t xml:space="preserve"> </w:t>
      </w:r>
    </w:p>
    <w:p w14:paraId="03A33C4F" w14:textId="77777777" w:rsidR="000F42D5" w:rsidRDefault="00CD3D2E">
      <w:pPr>
        <w:pStyle w:val="1"/>
        <w:jc w:val="center"/>
        <w:rPr>
          <w:rFonts w:ascii="宋体" w:hAnsi="宋体"/>
          <w:sz w:val="30"/>
          <w:szCs w:val="30"/>
        </w:rPr>
      </w:pPr>
      <w:r>
        <w:rPr>
          <w:rFonts w:ascii="宋体" w:hAnsi="宋体"/>
          <w:sz w:val="30"/>
          <w:szCs w:val="30"/>
        </w:rPr>
        <w:br w:type="page"/>
      </w:r>
      <w:bookmarkStart w:id="125" w:name="_Toc348082042"/>
      <w:bookmarkStart w:id="126" w:name="_Toc384992704"/>
      <w:bookmarkStart w:id="127" w:name="_Toc531710551"/>
      <w:r>
        <w:rPr>
          <w:rFonts w:hint="eastAsia"/>
          <w:sz w:val="30"/>
          <w:szCs w:val="30"/>
        </w:rPr>
        <w:lastRenderedPageBreak/>
        <w:t>十四、基金管理人和基金托管人的更换</w:t>
      </w:r>
      <w:bookmarkEnd w:id="125"/>
      <w:bookmarkEnd w:id="126"/>
      <w:bookmarkEnd w:id="127"/>
    </w:p>
    <w:p w14:paraId="284D4CF6"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一）基金管理人职责终止后，仍应妥善保管基金管理业务资料，保证不做出对基金份额持有人的利益造成损害的行为，并与新任基金管理人或临时基金管理人及时办理基金管理业务的移交手续。基金托管人应给予积极配合，并与新任基金管理人或临时基金管理人核对基金资产总值和基金资产净值。</w:t>
      </w:r>
    </w:p>
    <w:p w14:paraId="388E3DED"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二）基金托管人职责终止后，仍应妥善保管基金财产和基金托管业务资料，保证不做出对基金份额持有人的利益造成损害的行为，并与新任基金托管人或临时基金托管人及时办理基金财产和基金托管业务的移交手续。基金管理人应给予积极配合，并与新任基金托管人或临时基金托管人核对基金资产总值和基金资产净值。</w:t>
      </w:r>
    </w:p>
    <w:p w14:paraId="43EA8EA8"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（三）其他事宜见基金合同的相关约定。</w:t>
      </w:r>
    </w:p>
    <w:p w14:paraId="186F898B" w14:textId="77777777" w:rsidR="000F42D5" w:rsidRDefault="00CD3D2E">
      <w:pPr>
        <w:pStyle w:val="1"/>
        <w:jc w:val="center"/>
        <w:rPr>
          <w:rFonts w:ascii="宋体" w:hAnsi="宋体"/>
          <w:sz w:val="30"/>
          <w:szCs w:val="30"/>
        </w:rPr>
      </w:pPr>
      <w:r>
        <w:rPr>
          <w:rFonts w:ascii="宋体" w:hAnsi="宋体"/>
          <w:sz w:val="30"/>
          <w:szCs w:val="30"/>
        </w:rPr>
        <w:br w:type="page"/>
      </w:r>
      <w:bookmarkStart w:id="128" w:name="_Toc384992705"/>
      <w:bookmarkStart w:id="129" w:name="_Toc531710552"/>
      <w:bookmarkStart w:id="130" w:name="_Toc348082043"/>
      <w:r>
        <w:rPr>
          <w:rFonts w:hint="eastAsia"/>
          <w:sz w:val="30"/>
          <w:szCs w:val="30"/>
        </w:rPr>
        <w:lastRenderedPageBreak/>
        <w:t>十五、禁止行为</w:t>
      </w:r>
      <w:bookmarkEnd w:id="128"/>
      <w:bookmarkEnd w:id="129"/>
      <w:bookmarkEnd w:id="130"/>
    </w:p>
    <w:p w14:paraId="09FC4A0E"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本协议当事人禁止从事的行为，包括但不限于：</w:t>
      </w:r>
    </w:p>
    <w:p w14:paraId="2EB1A32D"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（一）基金管理人、基金托管人将其固有财产或者他人财产混同于基金财产从事证券投资。</w:t>
      </w:r>
    </w:p>
    <w:p w14:paraId="6FCDAFA4"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（二）基金管理人不公平地对待其管理的不同基金财产，基金托管人不公平地对待其托管的不同基金财产。</w:t>
      </w:r>
    </w:p>
    <w:p w14:paraId="40D80C8E"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（三）基金管理人、基金托管人利用基金财产为基金份额持有人以外的第三人牟取利益。</w:t>
      </w:r>
    </w:p>
    <w:p w14:paraId="3B6685AB"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（四）基金管理人、基金托管人向基金份额持有人违规承诺收益或者承担损失。</w:t>
      </w:r>
    </w:p>
    <w:p w14:paraId="6722C20B"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（五）基金管理人、基金托管人对他人泄漏基金运作和管理过程中任何尚未按法律法规规定的方式公开披露的信息。</w:t>
      </w:r>
    </w:p>
    <w:p w14:paraId="3B7B006E"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（六）基金管理人在没有充足资金的情况下向基金托管人发出投资指令和付款指令，或违规向基金托管人发出指令。</w:t>
      </w:r>
    </w:p>
    <w:p w14:paraId="78CC4D08"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（七）基金管理人、基金托管人在行政上、财务上不独立，其高级管理人员和其他从业人员相互兼职。</w:t>
      </w:r>
    </w:p>
    <w:p w14:paraId="50B41A46"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（八）基金托管人私自动用或处分基金财产，根据基金管理人的合法指令、基金合同或托管协议的规定进行处分的除外。</w:t>
      </w:r>
    </w:p>
    <w:p w14:paraId="2860DEB3"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（九）法律法规和基金合同禁止的其他行为，以及依照法律、行政法规有关规定，由中国证监会规定禁止基金管理人、基金托管人从事的其他行为。</w:t>
      </w:r>
    </w:p>
    <w:p w14:paraId="274C48C1" w14:textId="77777777" w:rsidR="000F42D5" w:rsidRDefault="00CD3D2E">
      <w:pPr>
        <w:spacing w:line="360" w:lineRule="auto"/>
        <w:ind w:firstLineChars="200" w:firstLine="480"/>
        <w:rPr>
          <w:rFonts w:ascii="宋体" w:hAnsi="宋体"/>
          <w:sz w:val="24"/>
          <w:szCs w:val="24"/>
        </w:rPr>
      </w:pPr>
      <w:r>
        <w:rPr>
          <w:rFonts w:ascii="宋体" w:hAnsi="宋体"/>
          <w:sz w:val="24"/>
          <w:szCs w:val="24"/>
        </w:rPr>
        <w:t xml:space="preserve"> </w:t>
      </w:r>
    </w:p>
    <w:p w14:paraId="348FD1C8" w14:textId="77777777" w:rsidR="000F42D5" w:rsidRDefault="00CD3D2E">
      <w:pPr>
        <w:pStyle w:val="1"/>
        <w:jc w:val="center"/>
        <w:rPr>
          <w:rFonts w:ascii="宋体" w:hAnsi="宋体"/>
          <w:sz w:val="30"/>
          <w:szCs w:val="30"/>
        </w:rPr>
      </w:pPr>
      <w:r>
        <w:rPr>
          <w:rFonts w:ascii="宋体" w:hAnsi="宋体"/>
          <w:sz w:val="30"/>
          <w:szCs w:val="30"/>
        </w:rPr>
        <w:br w:type="page"/>
      </w:r>
      <w:bookmarkStart w:id="131" w:name="_Toc384992706"/>
      <w:bookmarkStart w:id="132" w:name="_Toc531710553"/>
      <w:bookmarkStart w:id="133" w:name="_Toc348082044"/>
      <w:r>
        <w:rPr>
          <w:rFonts w:hint="eastAsia"/>
          <w:sz w:val="30"/>
          <w:szCs w:val="30"/>
        </w:rPr>
        <w:lastRenderedPageBreak/>
        <w:t>十六、托管协议的变更、终止与基金财产的清算</w:t>
      </w:r>
      <w:bookmarkEnd w:id="131"/>
      <w:bookmarkEnd w:id="132"/>
      <w:bookmarkEnd w:id="133"/>
    </w:p>
    <w:p w14:paraId="0C6FABF1"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（一）托管协议的变更程序</w:t>
      </w:r>
    </w:p>
    <w:p w14:paraId="3323FE90"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本协议双方当事人经协商一致，可以对协议进行修改。修改后的新协议，其内容不得与基金合同的规定有任何冲突。基金托管协议的变更应报中国证监会备案。</w:t>
      </w:r>
    </w:p>
    <w:p w14:paraId="06E9B521"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（二）基金托管协议终止的情形</w:t>
      </w:r>
    </w:p>
    <w:p w14:paraId="4ED66C28"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1、《基金合同》终止；</w:t>
      </w:r>
    </w:p>
    <w:p w14:paraId="13002B14"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2、基金托管人因解散、破产、撤销等事由，不能继续担任基金托管人的职务，而在6个月内无其他适当的托管机构承接其原有权利义务；</w:t>
      </w:r>
    </w:p>
    <w:p w14:paraId="08814B00"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3、基金管理人因解散、破产、撤销等事由，不能继续担任基金管理人的职务，而在6个月内无其他适当的基金管理公司承接其原有权利义务；</w:t>
      </w:r>
    </w:p>
    <w:p w14:paraId="63270355"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4、发生法律法规或《基金合同》规定的其他终止事项。</w:t>
      </w:r>
    </w:p>
    <w:p w14:paraId="6AB7C6E4"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（三）基金财产的清算</w:t>
      </w:r>
    </w:p>
    <w:p w14:paraId="27561210"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基金管理人与基金托管人按照《基金合同》的约定处理基金财产的清算。</w:t>
      </w:r>
    </w:p>
    <w:p w14:paraId="2BFFC59B" w14:textId="77777777" w:rsidR="000F42D5" w:rsidRDefault="00CD3D2E">
      <w:pPr>
        <w:spacing w:line="360" w:lineRule="auto"/>
        <w:ind w:firstLineChars="200" w:firstLine="480"/>
        <w:rPr>
          <w:rFonts w:ascii="宋体" w:hAnsi="宋体"/>
          <w:sz w:val="24"/>
          <w:szCs w:val="24"/>
        </w:rPr>
      </w:pPr>
      <w:r>
        <w:rPr>
          <w:rFonts w:ascii="宋体" w:hAnsi="宋体"/>
          <w:sz w:val="24"/>
          <w:szCs w:val="24"/>
        </w:rPr>
        <w:t xml:space="preserve"> </w:t>
      </w:r>
    </w:p>
    <w:p w14:paraId="0E4CA454" w14:textId="77777777" w:rsidR="000F42D5" w:rsidRDefault="00CD3D2E">
      <w:pPr>
        <w:pStyle w:val="1"/>
        <w:jc w:val="center"/>
        <w:rPr>
          <w:rFonts w:ascii="宋体" w:hAnsi="宋体"/>
          <w:sz w:val="30"/>
          <w:szCs w:val="30"/>
        </w:rPr>
      </w:pPr>
      <w:r>
        <w:rPr>
          <w:rFonts w:ascii="宋体" w:hAnsi="宋体"/>
          <w:sz w:val="30"/>
          <w:szCs w:val="30"/>
        </w:rPr>
        <w:br w:type="page"/>
      </w:r>
      <w:bookmarkStart w:id="134" w:name="_Toc531710554"/>
      <w:bookmarkStart w:id="135" w:name="_Toc348082045"/>
      <w:bookmarkStart w:id="136" w:name="_Toc384992707"/>
      <w:r>
        <w:rPr>
          <w:rFonts w:hint="eastAsia"/>
          <w:sz w:val="30"/>
          <w:szCs w:val="30"/>
        </w:rPr>
        <w:lastRenderedPageBreak/>
        <w:t>十七、违约责任</w:t>
      </w:r>
      <w:bookmarkEnd w:id="134"/>
      <w:bookmarkEnd w:id="135"/>
      <w:bookmarkEnd w:id="136"/>
    </w:p>
    <w:p w14:paraId="2D48D5E7"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（一）基金管理人、基金托管人不履行本协议或履行本协议不符合约定的，应当承担违约责任。</w:t>
      </w:r>
    </w:p>
    <w:p w14:paraId="5E42B8E9"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二）基金管理人、基金托管人在履行各自职责的过程中，违反《基金法》、《基金合同》和本托管协议约定，给基金财产或者基金份额持有人造成损害的，应当分别对各自的行为依法承担赔偿责任；因共同行为给基金财产或者基金份额持有人造成损害的，</w:t>
      </w:r>
      <w:r>
        <w:rPr>
          <w:rFonts w:ascii="宋体" w:hAnsi="宋体"/>
          <w:sz w:val="24"/>
          <w:szCs w:val="24"/>
        </w:rPr>
        <w:t>应当</w:t>
      </w:r>
      <w:r>
        <w:rPr>
          <w:rFonts w:ascii="宋体" w:hAnsi="宋体" w:hint="eastAsia"/>
          <w:sz w:val="24"/>
          <w:szCs w:val="24"/>
        </w:rPr>
        <w:t>根据各自的过错程度</w:t>
      </w:r>
      <w:r>
        <w:rPr>
          <w:rFonts w:ascii="宋体" w:hAnsi="宋体"/>
          <w:sz w:val="24"/>
          <w:szCs w:val="24"/>
        </w:rPr>
        <w:t>对</w:t>
      </w:r>
      <w:r>
        <w:rPr>
          <w:rFonts w:ascii="宋体" w:hAnsi="宋体" w:hint="eastAsia"/>
          <w:sz w:val="24"/>
          <w:szCs w:val="24"/>
        </w:rPr>
        <w:t>由此造成</w:t>
      </w:r>
      <w:r>
        <w:rPr>
          <w:rFonts w:ascii="宋体" w:hAnsi="宋体"/>
          <w:sz w:val="24"/>
          <w:szCs w:val="24"/>
        </w:rPr>
        <w:t>的直接损</w:t>
      </w:r>
      <w:r>
        <w:rPr>
          <w:rFonts w:ascii="宋体" w:hAnsi="宋体" w:hint="eastAsia"/>
          <w:sz w:val="24"/>
          <w:szCs w:val="24"/>
        </w:rPr>
        <w:t>失分别承担相应的</w:t>
      </w:r>
      <w:r>
        <w:rPr>
          <w:rFonts w:ascii="宋体" w:hAnsi="宋体"/>
          <w:sz w:val="24"/>
          <w:szCs w:val="24"/>
        </w:rPr>
        <w:t>责任</w:t>
      </w:r>
      <w:r>
        <w:rPr>
          <w:rFonts w:ascii="宋体" w:hAnsi="宋体" w:hint="eastAsia"/>
          <w:sz w:val="24"/>
          <w:szCs w:val="24"/>
        </w:rPr>
        <w:t>。</w:t>
      </w:r>
    </w:p>
    <w:p w14:paraId="40BCB31D"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（三）一方当事人违约，给另一方当事人或基金财产造成损失的，应就直接损失进行赔偿，另一方当事人有权利及义务代表基金向违约方追偿。但是如发生下列情况，当事人可以免责：</w:t>
      </w:r>
    </w:p>
    <w:p w14:paraId="22302BAA"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1.基金管理人和/或基金托管人按照当时有效的法律法规或中国证监会的规定作为或不作为而造成的损失等；</w:t>
      </w:r>
    </w:p>
    <w:p w14:paraId="2D07E137"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2.基金管理人由于按照《基金合同》规定的投资原则而行使或不行使其投资权而造成的损失等；</w:t>
      </w:r>
    </w:p>
    <w:p w14:paraId="2257C742"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3.非因基金管理人、基金托管人的故意或重大过失造成的计算机系统故障、网络故障、通讯故障、电力故障、计算机病毒攻击及其它意外事故，所导致的损失等；</w:t>
      </w:r>
    </w:p>
    <w:p w14:paraId="1C84055F"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4.不可抗力；</w:t>
      </w:r>
    </w:p>
    <w:p w14:paraId="0FCED18D"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（四）一方当事人违约，另一方当事人在职责范围内有义务及时采取必要的措施，尽力防止损失的扩大。</w:t>
      </w:r>
    </w:p>
    <w:p w14:paraId="0C49BF01"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五）违约行为虽已发生，但本托管协议能够继续履行的，在最大限度地保护基金份额持有人利益的前提下，基金管理人和基金托管人应当继续履行本协议。若基金管理人或基金托管人因履行本协议而被起诉，另一方应提供合理的必要支持。</w:t>
      </w:r>
    </w:p>
    <w:p w14:paraId="0431465C"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六）由于基金管理人、基金托管人不可控制的因素导致业务出现差错，基金管理人和基金托管人虽然已经采取必要、适当、合理的措施进行检查，但是未能发现错误的，由此造成基金财产或投资人损失，基金管理人和基金托管人免除赔偿责任。但是基金管理人和基金托管人应积极采取必要的措施减轻或消除由此</w:t>
      </w:r>
      <w:r>
        <w:rPr>
          <w:rFonts w:ascii="宋体" w:hAnsi="宋体" w:hint="eastAsia"/>
          <w:sz w:val="24"/>
          <w:szCs w:val="24"/>
        </w:rPr>
        <w:lastRenderedPageBreak/>
        <w:t>造成的影响。</w:t>
      </w:r>
    </w:p>
    <w:p w14:paraId="7164E55A" w14:textId="77777777" w:rsidR="000F42D5" w:rsidRDefault="00CD3D2E">
      <w:pPr>
        <w:spacing w:line="360" w:lineRule="auto"/>
        <w:ind w:firstLineChars="200" w:firstLine="480"/>
        <w:rPr>
          <w:rFonts w:ascii="宋体" w:hAnsi="宋体"/>
          <w:sz w:val="24"/>
          <w:szCs w:val="24"/>
        </w:rPr>
      </w:pPr>
      <w:r>
        <w:rPr>
          <w:rFonts w:ascii="宋体" w:hAnsi="宋体"/>
          <w:sz w:val="24"/>
          <w:szCs w:val="24"/>
        </w:rPr>
        <w:t xml:space="preserve"> </w:t>
      </w:r>
    </w:p>
    <w:p w14:paraId="46BF94CC" w14:textId="77777777" w:rsidR="000F42D5" w:rsidRDefault="00CD3D2E">
      <w:pPr>
        <w:pStyle w:val="1"/>
        <w:jc w:val="center"/>
        <w:rPr>
          <w:rFonts w:ascii="宋体" w:hAnsi="宋体"/>
          <w:sz w:val="30"/>
          <w:szCs w:val="30"/>
        </w:rPr>
      </w:pPr>
      <w:r>
        <w:rPr>
          <w:rFonts w:ascii="宋体" w:hAnsi="宋体"/>
          <w:sz w:val="30"/>
          <w:szCs w:val="30"/>
        </w:rPr>
        <w:br w:type="page"/>
      </w:r>
      <w:bookmarkStart w:id="137" w:name="_Toc384992708"/>
      <w:bookmarkStart w:id="138" w:name="_Toc531710555"/>
      <w:bookmarkStart w:id="139" w:name="_Toc348082046"/>
      <w:r>
        <w:rPr>
          <w:rFonts w:hint="eastAsia"/>
          <w:sz w:val="30"/>
          <w:szCs w:val="30"/>
        </w:rPr>
        <w:lastRenderedPageBreak/>
        <w:t>十八、争议解决方式</w:t>
      </w:r>
      <w:bookmarkEnd w:id="137"/>
      <w:bookmarkEnd w:id="138"/>
      <w:bookmarkEnd w:id="139"/>
    </w:p>
    <w:p w14:paraId="3EBC2D8D"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各方当事人同意，因本协议而产生的或与本协议有关的一切争议，如经友好协商未能解决的，任何一方均有权将争议提交华南国际经济贸易仲裁委员会，按照华南国际经济贸易仲裁委员会届时有效的仲裁规则进行仲裁。仲裁地点为深圳市。仲裁裁决是终局的，对各方当事人均有约束力，仲裁费用由败诉方承担。</w:t>
      </w:r>
    </w:p>
    <w:p w14:paraId="542C5316"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争议处理期间，双方当事人应恪守基金管理人和基金托管人职责，各自继续忠实、勤勉、尽责地履行基金合同和本托管协议规定的义务，维护基金份额持有人的合法权益。</w:t>
      </w:r>
    </w:p>
    <w:p w14:paraId="437C5D2A"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本协议受中华人民共和国法律（不含港澳台立法）管辖。</w:t>
      </w:r>
    </w:p>
    <w:p w14:paraId="150EFCDC" w14:textId="77777777" w:rsidR="000F42D5" w:rsidRDefault="00CD3D2E">
      <w:pPr>
        <w:spacing w:line="360" w:lineRule="auto"/>
        <w:ind w:firstLineChars="200" w:firstLine="480"/>
        <w:rPr>
          <w:rFonts w:ascii="宋体" w:hAnsi="宋体"/>
          <w:sz w:val="24"/>
          <w:szCs w:val="24"/>
        </w:rPr>
      </w:pPr>
      <w:r>
        <w:rPr>
          <w:rFonts w:ascii="宋体" w:hAnsi="宋体"/>
          <w:sz w:val="24"/>
          <w:szCs w:val="24"/>
        </w:rPr>
        <w:t xml:space="preserve"> </w:t>
      </w:r>
    </w:p>
    <w:p w14:paraId="7B074D46" w14:textId="77777777" w:rsidR="000F42D5" w:rsidRDefault="00CD3D2E">
      <w:pPr>
        <w:pStyle w:val="1"/>
        <w:jc w:val="center"/>
        <w:rPr>
          <w:rFonts w:ascii="宋体" w:hAnsi="宋体"/>
          <w:sz w:val="30"/>
          <w:szCs w:val="30"/>
        </w:rPr>
      </w:pPr>
      <w:r>
        <w:rPr>
          <w:rFonts w:ascii="宋体" w:hAnsi="宋体"/>
          <w:sz w:val="30"/>
          <w:szCs w:val="30"/>
        </w:rPr>
        <w:br w:type="page"/>
      </w:r>
      <w:bookmarkStart w:id="140" w:name="_Toc384992709"/>
      <w:bookmarkStart w:id="141" w:name="_Toc531710556"/>
      <w:bookmarkStart w:id="142" w:name="_Toc348082047"/>
      <w:r>
        <w:rPr>
          <w:rFonts w:hint="eastAsia"/>
          <w:sz w:val="30"/>
          <w:szCs w:val="30"/>
        </w:rPr>
        <w:lastRenderedPageBreak/>
        <w:t>十九、托管协议的效力</w:t>
      </w:r>
      <w:bookmarkEnd w:id="140"/>
      <w:bookmarkEnd w:id="141"/>
      <w:bookmarkEnd w:id="142"/>
    </w:p>
    <w:p w14:paraId="622C6FF6"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双方对托管协议的效力约定如下：</w:t>
      </w:r>
    </w:p>
    <w:p w14:paraId="5DD0222F"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一）基金管理人在向中国证监会申请变更注册时提交的托管协议草案，应经托管协议当事人双方盖章以及双方法定代表人或授权代表签章，协议当事人双方根据中国证监会的意见修改并正式签署托管协议。托管协议以中国证监会注册的文本为正式文本。</w:t>
      </w:r>
    </w:p>
    <w:p w14:paraId="14BC3B8B"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（二）托管协议自基金合同成立之日起成立，自基金合同生效之日起生效。托管协议的有效期自其生效之日起至基金财产清算结果报中国证监会备案并公告之日止。</w:t>
      </w:r>
    </w:p>
    <w:p w14:paraId="14450E81"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（三）托管协议自生效之日起对托管协议当事人具有同等的法律约束力。</w:t>
      </w:r>
    </w:p>
    <w:p w14:paraId="384A1785"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（四）本协议一式三份，协议双方各持一份，由基金管理人根据需要上报监管机构</w:t>
      </w:r>
      <w:r>
        <w:rPr>
          <w:rFonts w:ascii="宋体" w:hAnsi="宋体" w:cs="Arial" w:hint="eastAsia"/>
          <w:szCs w:val="21"/>
        </w:rPr>
        <w:t>一</w:t>
      </w:r>
      <w:r>
        <w:rPr>
          <w:rFonts w:ascii="宋体" w:hAnsi="宋体" w:hint="eastAsia"/>
          <w:sz w:val="24"/>
          <w:szCs w:val="24"/>
        </w:rPr>
        <w:t>份，每份具有同等法律效力。</w:t>
      </w:r>
    </w:p>
    <w:p w14:paraId="0D752D0D" w14:textId="77777777" w:rsidR="000F42D5" w:rsidRDefault="00CD3D2E">
      <w:pPr>
        <w:spacing w:line="360" w:lineRule="auto"/>
        <w:ind w:firstLineChars="200" w:firstLine="480"/>
        <w:rPr>
          <w:rFonts w:ascii="宋体" w:hAnsi="宋体"/>
          <w:sz w:val="24"/>
          <w:szCs w:val="24"/>
        </w:rPr>
      </w:pPr>
      <w:r>
        <w:rPr>
          <w:rFonts w:ascii="宋体" w:hAnsi="宋体"/>
          <w:sz w:val="24"/>
          <w:szCs w:val="24"/>
        </w:rPr>
        <w:t xml:space="preserve"> </w:t>
      </w:r>
    </w:p>
    <w:p w14:paraId="634DF621" w14:textId="77777777" w:rsidR="000F42D5" w:rsidRDefault="00CD3D2E">
      <w:pPr>
        <w:pStyle w:val="1"/>
        <w:jc w:val="center"/>
        <w:rPr>
          <w:rFonts w:ascii="宋体" w:hAnsi="宋体"/>
          <w:sz w:val="30"/>
          <w:szCs w:val="30"/>
        </w:rPr>
      </w:pPr>
      <w:r>
        <w:rPr>
          <w:rFonts w:ascii="宋体" w:hAnsi="宋体"/>
          <w:sz w:val="30"/>
          <w:szCs w:val="30"/>
        </w:rPr>
        <w:br w:type="page"/>
      </w:r>
      <w:bookmarkStart w:id="143" w:name="_Toc531710557"/>
      <w:bookmarkStart w:id="144" w:name="_Toc384992710"/>
      <w:bookmarkStart w:id="145" w:name="_Toc348082048"/>
      <w:r>
        <w:rPr>
          <w:rFonts w:hint="eastAsia"/>
          <w:sz w:val="30"/>
          <w:szCs w:val="30"/>
        </w:rPr>
        <w:lastRenderedPageBreak/>
        <w:t>二十、其他事项</w:t>
      </w:r>
      <w:bookmarkEnd w:id="143"/>
      <w:bookmarkEnd w:id="144"/>
      <w:bookmarkEnd w:id="145"/>
    </w:p>
    <w:p w14:paraId="40E848D9"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如发生有权司法机关依法冻结基金份额持有人的基金份额时，基金管理人应予以配合，承担司法协助义务。</w:t>
      </w:r>
    </w:p>
    <w:p w14:paraId="2A3F8626"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除本协议有明确定义外，本协议的用语定义适用基金合同的约定。本协议未尽事宜，当事人依据基金合同、有关法律法规等规定协商办理。</w:t>
      </w:r>
    </w:p>
    <w:p w14:paraId="3A8960B0" w14:textId="069F6CF9" w:rsidR="000F42D5" w:rsidRDefault="000F42D5">
      <w:pPr>
        <w:spacing w:line="360" w:lineRule="auto"/>
        <w:ind w:firstLineChars="200" w:firstLine="480"/>
        <w:rPr>
          <w:rFonts w:ascii="宋体" w:hAnsi="宋体"/>
          <w:sz w:val="24"/>
          <w:szCs w:val="24"/>
        </w:rPr>
      </w:pPr>
    </w:p>
    <w:p w14:paraId="434F0B8A" w14:textId="77777777" w:rsidR="000F42D5" w:rsidRDefault="00CD3D2E">
      <w:pPr>
        <w:pStyle w:val="1"/>
        <w:jc w:val="center"/>
        <w:rPr>
          <w:rFonts w:ascii="宋体" w:hAnsi="宋体"/>
          <w:sz w:val="30"/>
          <w:szCs w:val="30"/>
        </w:rPr>
      </w:pPr>
      <w:r>
        <w:rPr>
          <w:rFonts w:ascii="宋体" w:hAnsi="宋体"/>
          <w:sz w:val="30"/>
          <w:szCs w:val="30"/>
        </w:rPr>
        <w:br w:type="page"/>
      </w:r>
      <w:bookmarkStart w:id="146" w:name="_Toc531710558"/>
      <w:bookmarkStart w:id="147" w:name="_Toc384992711"/>
      <w:bookmarkStart w:id="148" w:name="_Toc348082049"/>
      <w:r>
        <w:rPr>
          <w:rFonts w:hint="eastAsia"/>
          <w:sz w:val="30"/>
          <w:szCs w:val="30"/>
        </w:rPr>
        <w:lastRenderedPageBreak/>
        <w:t>二十一、托管协议的签订</w:t>
      </w:r>
      <w:bookmarkEnd w:id="146"/>
      <w:bookmarkEnd w:id="147"/>
      <w:bookmarkEnd w:id="148"/>
    </w:p>
    <w:p w14:paraId="4A7A9189" w14:textId="77777777" w:rsidR="000F42D5" w:rsidRDefault="00CD3D2E">
      <w:pPr>
        <w:spacing w:line="360" w:lineRule="auto"/>
        <w:ind w:firstLineChars="200" w:firstLine="480"/>
        <w:rPr>
          <w:rFonts w:ascii="宋体" w:hAnsi="宋体"/>
          <w:sz w:val="24"/>
          <w:szCs w:val="24"/>
        </w:rPr>
      </w:pPr>
      <w:r>
        <w:rPr>
          <w:rFonts w:ascii="宋体" w:hAnsi="宋体" w:hint="eastAsia"/>
          <w:sz w:val="24"/>
          <w:szCs w:val="24"/>
        </w:rPr>
        <w:t>本协议双方法定代表人或授权代表签章、签订地、签订日</w:t>
      </w:r>
    </w:p>
    <w:p w14:paraId="5B2E1DE5" w14:textId="77777777" w:rsidR="000F42D5" w:rsidRDefault="000F42D5">
      <w:pPr>
        <w:rPr>
          <w:rFonts w:ascii="宋体" w:hAnsi="宋体"/>
          <w:sz w:val="24"/>
          <w:szCs w:val="24"/>
        </w:rPr>
      </w:pPr>
    </w:p>
    <w:p w14:paraId="133DADF7" w14:textId="63F2ABB9" w:rsidR="00C027A5" w:rsidRDefault="00C027A5">
      <w:pPr>
        <w:widowControl/>
        <w:jc w:val="left"/>
        <w:rPr>
          <w:rFonts w:ascii="宋体" w:hAnsi="宋体"/>
          <w:sz w:val="24"/>
          <w:szCs w:val="24"/>
        </w:rPr>
      </w:pPr>
      <w:r>
        <w:rPr>
          <w:rFonts w:ascii="宋体" w:hAnsi="宋体"/>
          <w:sz w:val="24"/>
          <w:szCs w:val="24"/>
        </w:rPr>
        <w:br w:type="page"/>
      </w:r>
    </w:p>
    <w:p w14:paraId="124FE60F" w14:textId="77777777" w:rsidR="00C027A5" w:rsidRPr="00C027A5" w:rsidRDefault="00C027A5" w:rsidP="00C027A5">
      <w:pPr>
        <w:spacing w:line="360" w:lineRule="auto"/>
        <w:rPr>
          <w:rFonts w:ascii="宋体" w:hAnsi="宋体"/>
          <w:sz w:val="24"/>
          <w:szCs w:val="24"/>
        </w:rPr>
      </w:pPr>
      <w:r w:rsidRPr="00C027A5">
        <w:rPr>
          <w:rFonts w:ascii="宋体" w:hAnsi="宋体" w:hint="eastAsia"/>
          <w:sz w:val="24"/>
          <w:szCs w:val="24"/>
        </w:rPr>
        <w:lastRenderedPageBreak/>
        <w:t>本页无正文，为《富荣中证500指数增强型证券投资基金托管协议》签字页。</w:t>
      </w:r>
    </w:p>
    <w:p w14:paraId="1E398A38" w14:textId="77777777" w:rsidR="00C027A5" w:rsidRPr="00C027A5" w:rsidRDefault="00C027A5" w:rsidP="00C027A5">
      <w:pPr>
        <w:spacing w:line="360" w:lineRule="auto"/>
        <w:rPr>
          <w:rFonts w:ascii="宋体" w:hAnsi="宋体"/>
          <w:sz w:val="24"/>
          <w:szCs w:val="24"/>
        </w:rPr>
      </w:pPr>
    </w:p>
    <w:p w14:paraId="207845BC" w14:textId="77777777" w:rsidR="00C027A5" w:rsidRPr="00C027A5" w:rsidRDefault="00C027A5" w:rsidP="00C027A5">
      <w:pPr>
        <w:spacing w:line="360" w:lineRule="auto"/>
        <w:rPr>
          <w:rFonts w:ascii="宋体" w:hAnsi="宋体"/>
          <w:sz w:val="24"/>
          <w:szCs w:val="24"/>
        </w:rPr>
      </w:pPr>
    </w:p>
    <w:p w14:paraId="41180A66" w14:textId="77777777" w:rsidR="00C027A5" w:rsidRPr="00C027A5" w:rsidRDefault="00C027A5" w:rsidP="00C027A5">
      <w:pPr>
        <w:spacing w:line="360" w:lineRule="auto"/>
        <w:rPr>
          <w:rFonts w:ascii="宋体" w:hAnsi="宋体"/>
          <w:sz w:val="24"/>
          <w:szCs w:val="24"/>
        </w:rPr>
      </w:pPr>
      <w:r w:rsidRPr="00C027A5">
        <w:rPr>
          <w:rFonts w:ascii="宋体" w:hAnsi="宋体" w:hint="eastAsia"/>
          <w:sz w:val="24"/>
          <w:szCs w:val="24"/>
        </w:rPr>
        <w:t>《托管协议》当事人盖章及法定代表人或授权代表签字、签订地、签订日</w:t>
      </w:r>
    </w:p>
    <w:p w14:paraId="5253C15F" w14:textId="77777777" w:rsidR="00C027A5" w:rsidRPr="00C027A5" w:rsidRDefault="00C027A5" w:rsidP="00C027A5">
      <w:pPr>
        <w:spacing w:line="360" w:lineRule="auto"/>
        <w:rPr>
          <w:rFonts w:ascii="宋体" w:hAnsi="宋体"/>
          <w:sz w:val="24"/>
          <w:szCs w:val="24"/>
        </w:rPr>
      </w:pPr>
    </w:p>
    <w:p w14:paraId="722E3CF0" w14:textId="77777777" w:rsidR="00C027A5" w:rsidRPr="00C027A5" w:rsidRDefault="00C027A5" w:rsidP="00C027A5">
      <w:pPr>
        <w:spacing w:line="360" w:lineRule="auto"/>
        <w:rPr>
          <w:rFonts w:ascii="宋体" w:hAnsi="宋体"/>
          <w:sz w:val="24"/>
          <w:szCs w:val="24"/>
        </w:rPr>
      </w:pPr>
    </w:p>
    <w:p w14:paraId="72E4C4D0" w14:textId="77777777" w:rsidR="00C027A5" w:rsidRPr="00C027A5" w:rsidRDefault="00C027A5" w:rsidP="00C027A5">
      <w:pPr>
        <w:spacing w:line="360" w:lineRule="auto"/>
        <w:rPr>
          <w:rFonts w:ascii="宋体" w:hAnsi="宋体"/>
          <w:sz w:val="24"/>
          <w:szCs w:val="24"/>
        </w:rPr>
      </w:pPr>
      <w:r w:rsidRPr="00C027A5">
        <w:rPr>
          <w:rFonts w:ascii="宋体" w:hAnsi="宋体" w:hint="eastAsia"/>
          <w:sz w:val="24"/>
          <w:szCs w:val="24"/>
        </w:rPr>
        <w:t>基金管理人：富荣基金管理有限公司（章）</w:t>
      </w:r>
    </w:p>
    <w:p w14:paraId="4D5F42B1" w14:textId="77777777" w:rsidR="00C027A5" w:rsidRPr="00C027A5" w:rsidRDefault="00C027A5" w:rsidP="00C027A5">
      <w:pPr>
        <w:spacing w:line="360" w:lineRule="auto"/>
        <w:rPr>
          <w:rFonts w:ascii="宋体" w:hAnsi="宋体"/>
          <w:sz w:val="24"/>
          <w:szCs w:val="24"/>
        </w:rPr>
      </w:pPr>
    </w:p>
    <w:p w14:paraId="5A8E6621" w14:textId="77777777" w:rsidR="00C027A5" w:rsidRPr="00C027A5" w:rsidRDefault="00C027A5" w:rsidP="00C027A5">
      <w:pPr>
        <w:spacing w:line="360" w:lineRule="auto"/>
        <w:rPr>
          <w:rFonts w:ascii="宋体" w:hAnsi="宋体"/>
          <w:sz w:val="24"/>
          <w:szCs w:val="24"/>
        </w:rPr>
      </w:pPr>
    </w:p>
    <w:p w14:paraId="23F0D40F" w14:textId="77777777" w:rsidR="00C027A5" w:rsidRPr="00C027A5" w:rsidRDefault="00C027A5" w:rsidP="00C027A5">
      <w:pPr>
        <w:spacing w:line="360" w:lineRule="auto"/>
        <w:rPr>
          <w:rFonts w:ascii="宋体" w:hAnsi="宋体"/>
          <w:sz w:val="24"/>
          <w:szCs w:val="24"/>
        </w:rPr>
      </w:pPr>
      <w:r w:rsidRPr="00C027A5">
        <w:rPr>
          <w:rFonts w:ascii="宋体" w:hAnsi="宋体" w:hint="eastAsia"/>
          <w:sz w:val="24"/>
          <w:szCs w:val="24"/>
        </w:rPr>
        <w:t>法定代表人或授权代表：                   （签章）</w:t>
      </w:r>
    </w:p>
    <w:p w14:paraId="690415A5" w14:textId="77777777" w:rsidR="00C027A5" w:rsidRPr="00C027A5" w:rsidRDefault="00C027A5" w:rsidP="00C027A5">
      <w:pPr>
        <w:spacing w:line="360" w:lineRule="auto"/>
        <w:rPr>
          <w:rFonts w:ascii="宋体" w:hAnsi="宋体"/>
          <w:sz w:val="24"/>
          <w:szCs w:val="24"/>
        </w:rPr>
      </w:pPr>
    </w:p>
    <w:p w14:paraId="5CBF3EBF" w14:textId="77777777" w:rsidR="00C027A5" w:rsidRPr="00C027A5" w:rsidRDefault="00C027A5" w:rsidP="00C027A5">
      <w:pPr>
        <w:spacing w:line="360" w:lineRule="auto"/>
        <w:rPr>
          <w:rFonts w:ascii="宋体" w:hAnsi="宋体"/>
          <w:sz w:val="24"/>
          <w:szCs w:val="24"/>
        </w:rPr>
      </w:pPr>
    </w:p>
    <w:p w14:paraId="2FD6FD21" w14:textId="77777777" w:rsidR="00C027A5" w:rsidRPr="00C027A5" w:rsidRDefault="00C027A5" w:rsidP="00C027A5">
      <w:pPr>
        <w:spacing w:line="360" w:lineRule="auto"/>
        <w:rPr>
          <w:rFonts w:ascii="宋体" w:hAnsi="宋体"/>
          <w:sz w:val="24"/>
          <w:szCs w:val="24"/>
        </w:rPr>
      </w:pPr>
    </w:p>
    <w:p w14:paraId="65B9A95C" w14:textId="77777777" w:rsidR="00C027A5" w:rsidRPr="00C027A5" w:rsidRDefault="00C027A5" w:rsidP="00C027A5">
      <w:pPr>
        <w:spacing w:line="360" w:lineRule="auto"/>
        <w:rPr>
          <w:rFonts w:ascii="宋体" w:hAnsi="宋体"/>
          <w:sz w:val="24"/>
          <w:szCs w:val="24"/>
        </w:rPr>
      </w:pPr>
    </w:p>
    <w:p w14:paraId="1EA32E7A" w14:textId="77777777" w:rsidR="00C027A5" w:rsidRPr="00C027A5" w:rsidRDefault="00C027A5" w:rsidP="00C027A5">
      <w:pPr>
        <w:spacing w:line="360" w:lineRule="auto"/>
        <w:rPr>
          <w:rFonts w:ascii="宋体" w:hAnsi="宋体"/>
          <w:sz w:val="24"/>
          <w:szCs w:val="24"/>
        </w:rPr>
      </w:pPr>
    </w:p>
    <w:p w14:paraId="753AC20D" w14:textId="77777777" w:rsidR="00C027A5" w:rsidRPr="00C027A5" w:rsidRDefault="00C027A5" w:rsidP="00C027A5">
      <w:pPr>
        <w:spacing w:line="360" w:lineRule="auto"/>
        <w:rPr>
          <w:rFonts w:ascii="宋体" w:hAnsi="宋体"/>
          <w:sz w:val="24"/>
          <w:szCs w:val="24"/>
        </w:rPr>
      </w:pPr>
    </w:p>
    <w:p w14:paraId="6A3374B7" w14:textId="77777777" w:rsidR="00C027A5" w:rsidRPr="00C027A5" w:rsidRDefault="00C027A5" w:rsidP="00C027A5">
      <w:pPr>
        <w:spacing w:line="360" w:lineRule="auto"/>
        <w:rPr>
          <w:rFonts w:ascii="宋体" w:hAnsi="宋体"/>
          <w:sz w:val="24"/>
          <w:szCs w:val="24"/>
        </w:rPr>
      </w:pPr>
      <w:r w:rsidRPr="00C027A5">
        <w:rPr>
          <w:rFonts w:ascii="宋体" w:hAnsi="宋体" w:hint="eastAsia"/>
          <w:sz w:val="24"/>
          <w:szCs w:val="24"/>
        </w:rPr>
        <w:t>基金托管人：招商银行股份有限公司（章）</w:t>
      </w:r>
    </w:p>
    <w:p w14:paraId="53118465" w14:textId="77777777" w:rsidR="00C027A5" w:rsidRPr="00C027A5" w:rsidRDefault="00C027A5" w:rsidP="00C027A5">
      <w:pPr>
        <w:spacing w:line="360" w:lineRule="auto"/>
        <w:rPr>
          <w:rFonts w:ascii="宋体" w:hAnsi="宋体"/>
          <w:sz w:val="24"/>
          <w:szCs w:val="24"/>
        </w:rPr>
      </w:pPr>
    </w:p>
    <w:p w14:paraId="6210F074" w14:textId="77777777" w:rsidR="00C027A5" w:rsidRPr="00C027A5" w:rsidRDefault="00C027A5" w:rsidP="00C027A5">
      <w:pPr>
        <w:spacing w:line="360" w:lineRule="auto"/>
        <w:rPr>
          <w:rFonts w:ascii="宋体" w:hAnsi="宋体"/>
          <w:sz w:val="24"/>
          <w:szCs w:val="24"/>
        </w:rPr>
      </w:pPr>
    </w:p>
    <w:p w14:paraId="3EE58335" w14:textId="77777777" w:rsidR="00C027A5" w:rsidRPr="00C027A5" w:rsidRDefault="00C027A5" w:rsidP="00C027A5">
      <w:pPr>
        <w:spacing w:line="360" w:lineRule="auto"/>
        <w:rPr>
          <w:rFonts w:ascii="宋体" w:hAnsi="宋体"/>
          <w:sz w:val="24"/>
          <w:szCs w:val="24"/>
        </w:rPr>
      </w:pPr>
      <w:r w:rsidRPr="00C027A5">
        <w:rPr>
          <w:rFonts w:ascii="宋体" w:hAnsi="宋体" w:hint="eastAsia"/>
          <w:sz w:val="24"/>
          <w:szCs w:val="24"/>
        </w:rPr>
        <w:t>法定代表人或授权代表：                   （签章）</w:t>
      </w:r>
    </w:p>
    <w:p w14:paraId="05E765C5" w14:textId="77777777" w:rsidR="00C027A5" w:rsidRPr="00C027A5" w:rsidRDefault="00C027A5" w:rsidP="00C027A5">
      <w:pPr>
        <w:spacing w:line="360" w:lineRule="auto"/>
        <w:rPr>
          <w:rFonts w:ascii="宋体" w:hAnsi="宋体"/>
          <w:sz w:val="24"/>
          <w:szCs w:val="24"/>
        </w:rPr>
      </w:pPr>
    </w:p>
    <w:p w14:paraId="1937DE0E" w14:textId="77777777" w:rsidR="00C027A5" w:rsidRPr="00C027A5" w:rsidRDefault="00C027A5" w:rsidP="00C027A5">
      <w:pPr>
        <w:spacing w:line="360" w:lineRule="auto"/>
        <w:rPr>
          <w:rFonts w:ascii="宋体" w:hAnsi="宋体"/>
          <w:sz w:val="24"/>
          <w:szCs w:val="24"/>
        </w:rPr>
      </w:pPr>
    </w:p>
    <w:p w14:paraId="0F4E8E5D" w14:textId="77777777" w:rsidR="00C027A5" w:rsidRPr="00C027A5" w:rsidRDefault="00C027A5" w:rsidP="00C027A5">
      <w:pPr>
        <w:spacing w:line="360" w:lineRule="auto"/>
        <w:rPr>
          <w:rFonts w:ascii="宋体" w:hAnsi="宋体"/>
          <w:sz w:val="24"/>
          <w:szCs w:val="24"/>
        </w:rPr>
      </w:pPr>
    </w:p>
    <w:p w14:paraId="53B84001" w14:textId="77777777" w:rsidR="00C027A5" w:rsidRPr="00C027A5" w:rsidRDefault="00C027A5" w:rsidP="00C027A5">
      <w:pPr>
        <w:spacing w:line="360" w:lineRule="auto"/>
        <w:rPr>
          <w:rFonts w:ascii="宋体" w:hAnsi="宋体"/>
          <w:sz w:val="24"/>
          <w:szCs w:val="24"/>
        </w:rPr>
      </w:pPr>
    </w:p>
    <w:p w14:paraId="5E7C455F" w14:textId="77777777" w:rsidR="00C027A5" w:rsidRPr="00C027A5" w:rsidRDefault="00C027A5" w:rsidP="00C027A5">
      <w:pPr>
        <w:spacing w:line="360" w:lineRule="auto"/>
        <w:rPr>
          <w:rFonts w:ascii="宋体" w:hAnsi="宋体"/>
          <w:sz w:val="24"/>
          <w:szCs w:val="24"/>
        </w:rPr>
      </w:pPr>
    </w:p>
    <w:p w14:paraId="607E33A3" w14:textId="77777777" w:rsidR="00C027A5" w:rsidRPr="00C027A5" w:rsidRDefault="00C027A5" w:rsidP="00C027A5">
      <w:pPr>
        <w:spacing w:line="360" w:lineRule="auto"/>
        <w:rPr>
          <w:rFonts w:ascii="宋体" w:hAnsi="宋体"/>
          <w:sz w:val="24"/>
          <w:szCs w:val="24"/>
        </w:rPr>
      </w:pPr>
      <w:r w:rsidRPr="00C027A5">
        <w:rPr>
          <w:rFonts w:ascii="宋体" w:hAnsi="宋体" w:hint="eastAsia"/>
          <w:sz w:val="24"/>
          <w:szCs w:val="24"/>
        </w:rPr>
        <w:t>签订地点：深圳</w:t>
      </w:r>
    </w:p>
    <w:p w14:paraId="6FB2BA36" w14:textId="648FE428" w:rsidR="000F42D5" w:rsidRDefault="00C027A5" w:rsidP="00C027A5">
      <w:pPr>
        <w:spacing w:line="360" w:lineRule="auto"/>
        <w:rPr>
          <w:rFonts w:ascii="宋体" w:hAnsi="宋体"/>
          <w:sz w:val="24"/>
          <w:szCs w:val="24"/>
        </w:rPr>
      </w:pPr>
      <w:r w:rsidRPr="00C027A5">
        <w:rPr>
          <w:rFonts w:ascii="宋体" w:hAnsi="宋体" w:hint="eastAsia"/>
          <w:sz w:val="24"/>
          <w:szCs w:val="24"/>
        </w:rPr>
        <w:t>签 订 日：      年  月  日</w:t>
      </w:r>
    </w:p>
    <w:p w14:paraId="2D51DAE3" w14:textId="77777777" w:rsidR="000F42D5" w:rsidRPr="00BA7E77" w:rsidRDefault="000F42D5" w:rsidP="004A358C">
      <w:pPr>
        <w:spacing w:line="360" w:lineRule="auto"/>
        <w:rPr>
          <w:rFonts w:ascii="宋体" w:hAnsi="宋体"/>
          <w:sz w:val="24"/>
          <w:szCs w:val="24"/>
        </w:rPr>
      </w:pPr>
    </w:p>
    <w:sectPr w:rsidR="000F42D5" w:rsidRPr="00BA7E77">
      <w:footerReference w:type="default" r:id="rId22"/>
      <w:headerReference w:type="first" r:id="rId23"/>
      <w:footerReference w:type="first" r:id="rId24"/>
      <w:pgSz w:w="11906" w:h="16838"/>
      <w:pgMar w:top="1440" w:right="1797" w:bottom="1440" w:left="1797" w:header="851" w:footer="992" w:gutter="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F15FA3" w14:textId="77777777" w:rsidR="00F8013E" w:rsidRDefault="00F8013E">
      <w:r>
        <w:separator/>
      </w:r>
    </w:p>
  </w:endnote>
  <w:endnote w:type="continuationSeparator" w:id="0">
    <w:p w14:paraId="6E311A0F" w14:textId="77777777" w:rsidR="00F8013E" w:rsidRDefault="00F801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18349156"/>
      <w:docPartObj>
        <w:docPartGallery w:val="AutoText"/>
      </w:docPartObj>
    </w:sdtPr>
    <w:sdtEndPr/>
    <w:sdtContent>
      <w:p w14:paraId="6592ADAF" w14:textId="3426C937" w:rsidR="00587409" w:rsidRDefault="00587409">
        <w:pPr>
          <w:pStyle w:val="aa"/>
          <w:jc w:val="center"/>
        </w:pPr>
        <w:r>
          <w:fldChar w:fldCharType="begin"/>
        </w:r>
        <w:r>
          <w:instrText>PAGE   \* MERGEFORMAT</w:instrText>
        </w:r>
        <w:r>
          <w:fldChar w:fldCharType="separate"/>
        </w:r>
        <w:r w:rsidR="004451CD" w:rsidRPr="004451CD">
          <w:rPr>
            <w:noProof/>
            <w:lang w:val="zh-CN"/>
          </w:rPr>
          <w:t>27</w:t>
        </w:r>
        <w:r>
          <w:fldChar w:fldCharType="end"/>
        </w:r>
      </w:p>
    </w:sdtContent>
  </w:sdt>
  <w:p w14:paraId="471DFCE6" w14:textId="77777777" w:rsidR="00587409" w:rsidRDefault="00587409">
    <w:pPr>
      <w:pStyle w:val="aa"/>
      <w:rPr>
        <w:rFonts w:ascii="宋体" w:hAnsi="宋体"/>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766E0B" w14:textId="77777777" w:rsidR="00587409" w:rsidRDefault="00587409">
    <w:pPr>
      <w:pStyle w:val="aa"/>
      <w:jc w:val="center"/>
    </w:pPr>
  </w:p>
  <w:p w14:paraId="43689647" w14:textId="77777777" w:rsidR="00587409" w:rsidRDefault="00587409">
    <w:pPr>
      <w:pStyle w:val="a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75681393"/>
      <w:docPartObj>
        <w:docPartGallery w:val="Page Numbers (Bottom of Page)"/>
        <w:docPartUnique/>
      </w:docPartObj>
    </w:sdtPr>
    <w:sdtEndPr/>
    <w:sdtContent>
      <w:p w14:paraId="2D1930D1" w14:textId="56E041A1" w:rsidR="00B1759F" w:rsidRDefault="00B1759F">
        <w:pPr>
          <w:pStyle w:val="aa"/>
          <w:jc w:val="center"/>
        </w:pPr>
        <w:r>
          <w:fldChar w:fldCharType="begin"/>
        </w:r>
        <w:r>
          <w:instrText>PAGE   \* MERGEFORMAT</w:instrText>
        </w:r>
        <w:r>
          <w:fldChar w:fldCharType="separate"/>
        </w:r>
        <w:r>
          <w:rPr>
            <w:lang w:val="zh-CN"/>
          </w:rPr>
          <w:t>2</w:t>
        </w:r>
        <w:r>
          <w:fldChar w:fldCharType="end"/>
        </w:r>
      </w:p>
    </w:sdtContent>
  </w:sdt>
  <w:p w14:paraId="7D54B6C8" w14:textId="77777777" w:rsidR="00587409" w:rsidRDefault="00587409">
    <w:pPr>
      <w:pStyle w:val="aa"/>
      <w:jc w:val="center"/>
      <w:rPr>
        <w:rFonts w:ascii="宋体" w:hAnsi="宋体"/>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00BA39" w14:textId="77777777" w:rsidR="00587409" w:rsidRDefault="00587409">
    <w:pPr>
      <w:pStyle w:val="aa"/>
      <w:jc w:val="center"/>
    </w:pPr>
  </w:p>
  <w:p w14:paraId="05F4E4F1" w14:textId="77777777" w:rsidR="00587409" w:rsidRDefault="00587409">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4EEA73" w14:textId="77777777" w:rsidR="00F8013E" w:rsidRDefault="00F8013E">
      <w:r>
        <w:separator/>
      </w:r>
    </w:p>
  </w:footnote>
  <w:footnote w:type="continuationSeparator" w:id="0">
    <w:p w14:paraId="0C0D1859" w14:textId="77777777" w:rsidR="00F8013E" w:rsidRDefault="00F8013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F68E0A" w14:textId="77777777" w:rsidR="00587409" w:rsidRDefault="00587409">
    <w:pPr>
      <w:pStyle w:val="ac"/>
      <w:ind w:right="90"/>
      <w:jc w:val="left"/>
    </w:pPr>
    <w:r>
      <w:rPr>
        <w:rFonts w:hint="eastAsia"/>
      </w:rPr>
      <w:t>富荣中证</w:t>
    </w:r>
    <w:r>
      <w:rPr>
        <w:rFonts w:hint="eastAsia"/>
      </w:rPr>
      <w:t>500</w:t>
    </w:r>
    <w:r>
      <w:rPr>
        <w:rFonts w:hint="eastAsia"/>
      </w:rPr>
      <w:t>指数增强型证券投资基金</w:t>
    </w:r>
    <w:r>
      <w:rPr>
        <w:rFonts w:hint="eastAsia"/>
      </w:rPr>
      <w:t xml:space="preserve">                                                 </w:t>
    </w:r>
    <w:r>
      <w:rPr>
        <w:rFonts w:hint="eastAsia"/>
      </w:rPr>
      <w:t>托管协议</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9D461F" w14:textId="77777777" w:rsidR="00587409" w:rsidRDefault="00587409">
    <w:pPr>
      <w:pStyle w:val="ac"/>
      <w:jc w:val="left"/>
    </w:pPr>
    <w:r>
      <w:rPr>
        <w:rFonts w:hint="eastAsia"/>
      </w:rPr>
      <w:t>富荣中证</w:t>
    </w:r>
    <w:r>
      <w:rPr>
        <w:rFonts w:hint="eastAsia"/>
      </w:rPr>
      <w:t>500</w:t>
    </w:r>
    <w:r>
      <w:rPr>
        <w:rFonts w:hint="eastAsia"/>
      </w:rPr>
      <w:t>指数增强型证券投资基金</w:t>
    </w:r>
    <w:r>
      <w:rPr>
        <w:rFonts w:hint="eastAsia"/>
      </w:rPr>
      <w:t xml:space="preserve">                                                  </w:t>
    </w:r>
    <w:r>
      <w:rPr>
        <w:rFonts w:hint="eastAsia"/>
      </w:rPr>
      <w:t>托管协议</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trackRevisions/>
  <w:defaultTabStop w:val="420"/>
  <w:drawingGridHorizontalSpacing w:val="105"/>
  <w:drawingGridVerticalSpacing w:val="156"/>
  <w:displayHorizontalDrawingGridEvery w:val="0"/>
  <w:displayVerticalDrawingGridEvery w:val="2"/>
  <w:characterSpacingControl w:val="compressPunctuation"/>
  <w:hdrShapeDefaults>
    <o:shapedefaults v:ext="edit" spidmax="1228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360AA"/>
    <w:rsid w:val="00001AB6"/>
    <w:rsid w:val="00001E42"/>
    <w:rsid w:val="00002977"/>
    <w:rsid w:val="00003DDD"/>
    <w:rsid w:val="00004215"/>
    <w:rsid w:val="00007C2F"/>
    <w:rsid w:val="00010125"/>
    <w:rsid w:val="0001044F"/>
    <w:rsid w:val="00012336"/>
    <w:rsid w:val="00014D21"/>
    <w:rsid w:val="00016A01"/>
    <w:rsid w:val="00017201"/>
    <w:rsid w:val="00021421"/>
    <w:rsid w:val="00022D6C"/>
    <w:rsid w:val="00023EE9"/>
    <w:rsid w:val="00024205"/>
    <w:rsid w:val="00025B86"/>
    <w:rsid w:val="00027D10"/>
    <w:rsid w:val="00031A4E"/>
    <w:rsid w:val="00031D78"/>
    <w:rsid w:val="00031D96"/>
    <w:rsid w:val="0003637C"/>
    <w:rsid w:val="000401E9"/>
    <w:rsid w:val="00041EA9"/>
    <w:rsid w:val="00042898"/>
    <w:rsid w:val="000441B2"/>
    <w:rsid w:val="00045017"/>
    <w:rsid w:val="00045690"/>
    <w:rsid w:val="00046DB8"/>
    <w:rsid w:val="00047948"/>
    <w:rsid w:val="00047EDD"/>
    <w:rsid w:val="00050464"/>
    <w:rsid w:val="00052827"/>
    <w:rsid w:val="00052BEE"/>
    <w:rsid w:val="00052D58"/>
    <w:rsid w:val="00053108"/>
    <w:rsid w:val="0005490F"/>
    <w:rsid w:val="00054E66"/>
    <w:rsid w:val="00056832"/>
    <w:rsid w:val="0005698F"/>
    <w:rsid w:val="00056992"/>
    <w:rsid w:val="00060F46"/>
    <w:rsid w:val="00062518"/>
    <w:rsid w:val="00064E77"/>
    <w:rsid w:val="00066197"/>
    <w:rsid w:val="00066315"/>
    <w:rsid w:val="0006703B"/>
    <w:rsid w:val="0006718A"/>
    <w:rsid w:val="00067DA7"/>
    <w:rsid w:val="00071723"/>
    <w:rsid w:val="00072176"/>
    <w:rsid w:val="0007281A"/>
    <w:rsid w:val="00074758"/>
    <w:rsid w:val="00074F42"/>
    <w:rsid w:val="00075886"/>
    <w:rsid w:val="00075A6E"/>
    <w:rsid w:val="00076C89"/>
    <w:rsid w:val="00076E60"/>
    <w:rsid w:val="0007714A"/>
    <w:rsid w:val="00080AFA"/>
    <w:rsid w:val="00080E58"/>
    <w:rsid w:val="0008111E"/>
    <w:rsid w:val="00082FA8"/>
    <w:rsid w:val="00084D81"/>
    <w:rsid w:val="0009016D"/>
    <w:rsid w:val="00090707"/>
    <w:rsid w:val="000916D3"/>
    <w:rsid w:val="00091E90"/>
    <w:rsid w:val="00092E10"/>
    <w:rsid w:val="0009373C"/>
    <w:rsid w:val="00095055"/>
    <w:rsid w:val="00095A6D"/>
    <w:rsid w:val="000962B3"/>
    <w:rsid w:val="00097239"/>
    <w:rsid w:val="000A0690"/>
    <w:rsid w:val="000A06C9"/>
    <w:rsid w:val="000A128B"/>
    <w:rsid w:val="000A139D"/>
    <w:rsid w:val="000A1593"/>
    <w:rsid w:val="000A1777"/>
    <w:rsid w:val="000A1B12"/>
    <w:rsid w:val="000A1B38"/>
    <w:rsid w:val="000A20C8"/>
    <w:rsid w:val="000B014C"/>
    <w:rsid w:val="000B0B54"/>
    <w:rsid w:val="000B239B"/>
    <w:rsid w:val="000B3268"/>
    <w:rsid w:val="000B696B"/>
    <w:rsid w:val="000B6AA8"/>
    <w:rsid w:val="000B72B6"/>
    <w:rsid w:val="000C05C0"/>
    <w:rsid w:val="000C100E"/>
    <w:rsid w:val="000C1D2F"/>
    <w:rsid w:val="000C1FA6"/>
    <w:rsid w:val="000C26FF"/>
    <w:rsid w:val="000C3131"/>
    <w:rsid w:val="000C4F4E"/>
    <w:rsid w:val="000C51AE"/>
    <w:rsid w:val="000C5514"/>
    <w:rsid w:val="000C5A20"/>
    <w:rsid w:val="000C6767"/>
    <w:rsid w:val="000C68E7"/>
    <w:rsid w:val="000C6E3B"/>
    <w:rsid w:val="000C6E67"/>
    <w:rsid w:val="000C6FAD"/>
    <w:rsid w:val="000D0C4E"/>
    <w:rsid w:val="000D1CC0"/>
    <w:rsid w:val="000D385F"/>
    <w:rsid w:val="000D38A7"/>
    <w:rsid w:val="000D7E47"/>
    <w:rsid w:val="000E35CB"/>
    <w:rsid w:val="000E6573"/>
    <w:rsid w:val="000E7A28"/>
    <w:rsid w:val="000F0D21"/>
    <w:rsid w:val="000F0F67"/>
    <w:rsid w:val="000F2B08"/>
    <w:rsid w:val="000F3A96"/>
    <w:rsid w:val="000F42D5"/>
    <w:rsid w:val="000F5773"/>
    <w:rsid w:val="000F5EE3"/>
    <w:rsid w:val="00101318"/>
    <w:rsid w:val="00101B58"/>
    <w:rsid w:val="00102071"/>
    <w:rsid w:val="0010485A"/>
    <w:rsid w:val="001051B2"/>
    <w:rsid w:val="00105310"/>
    <w:rsid w:val="00110704"/>
    <w:rsid w:val="00113B59"/>
    <w:rsid w:val="00115064"/>
    <w:rsid w:val="00117512"/>
    <w:rsid w:val="0011783B"/>
    <w:rsid w:val="00120287"/>
    <w:rsid w:val="00120ABE"/>
    <w:rsid w:val="0012139D"/>
    <w:rsid w:val="001221A4"/>
    <w:rsid w:val="00124047"/>
    <w:rsid w:val="00124764"/>
    <w:rsid w:val="001263D2"/>
    <w:rsid w:val="00126670"/>
    <w:rsid w:val="001279A2"/>
    <w:rsid w:val="00130A39"/>
    <w:rsid w:val="00131569"/>
    <w:rsid w:val="00132D3A"/>
    <w:rsid w:val="00133130"/>
    <w:rsid w:val="0013367F"/>
    <w:rsid w:val="00134CB2"/>
    <w:rsid w:val="00135008"/>
    <w:rsid w:val="00135F72"/>
    <w:rsid w:val="001360AA"/>
    <w:rsid w:val="00136679"/>
    <w:rsid w:val="00140CFC"/>
    <w:rsid w:val="0014224E"/>
    <w:rsid w:val="001451B1"/>
    <w:rsid w:val="00146246"/>
    <w:rsid w:val="001523DF"/>
    <w:rsid w:val="00153191"/>
    <w:rsid w:val="00153CD2"/>
    <w:rsid w:val="00154134"/>
    <w:rsid w:val="0015665A"/>
    <w:rsid w:val="00156A3F"/>
    <w:rsid w:val="00157581"/>
    <w:rsid w:val="00157813"/>
    <w:rsid w:val="00157CEB"/>
    <w:rsid w:val="00160684"/>
    <w:rsid w:val="001606F6"/>
    <w:rsid w:val="00160700"/>
    <w:rsid w:val="00161DD2"/>
    <w:rsid w:val="00167DA4"/>
    <w:rsid w:val="00170A79"/>
    <w:rsid w:val="00172530"/>
    <w:rsid w:val="0017370E"/>
    <w:rsid w:val="00174565"/>
    <w:rsid w:val="001748DD"/>
    <w:rsid w:val="00174C62"/>
    <w:rsid w:val="00175369"/>
    <w:rsid w:val="00176684"/>
    <w:rsid w:val="0017785B"/>
    <w:rsid w:val="00182D88"/>
    <w:rsid w:val="00183965"/>
    <w:rsid w:val="00185465"/>
    <w:rsid w:val="00185825"/>
    <w:rsid w:val="00185AD1"/>
    <w:rsid w:val="00185C90"/>
    <w:rsid w:val="001863BD"/>
    <w:rsid w:val="0018653A"/>
    <w:rsid w:val="00186545"/>
    <w:rsid w:val="00186551"/>
    <w:rsid w:val="0019194A"/>
    <w:rsid w:val="00191D4C"/>
    <w:rsid w:val="00192703"/>
    <w:rsid w:val="001945D9"/>
    <w:rsid w:val="0019555E"/>
    <w:rsid w:val="001961E4"/>
    <w:rsid w:val="00197C29"/>
    <w:rsid w:val="001A27BB"/>
    <w:rsid w:val="001A31BA"/>
    <w:rsid w:val="001A4014"/>
    <w:rsid w:val="001A4100"/>
    <w:rsid w:val="001A6B33"/>
    <w:rsid w:val="001B07DD"/>
    <w:rsid w:val="001B0F9B"/>
    <w:rsid w:val="001B2F5E"/>
    <w:rsid w:val="001B3B5D"/>
    <w:rsid w:val="001B4E82"/>
    <w:rsid w:val="001C044F"/>
    <w:rsid w:val="001C0471"/>
    <w:rsid w:val="001C1296"/>
    <w:rsid w:val="001C2010"/>
    <w:rsid w:val="001C2A8E"/>
    <w:rsid w:val="001C3C95"/>
    <w:rsid w:val="001C5B7E"/>
    <w:rsid w:val="001C67D7"/>
    <w:rsid w:val="001C7718"/>
    <w:rsid w:val="001D0D88"/>
    <w:rsid w:val="001D181C"/>
    <w:rsid w:val="001D25D0"/>
    <w:rsid w:val="001D2A34"/>
    <w:rsid w:val="001D2DD7"/>
    <w:rsid w:val="001D4655"/>
    <w:rsid w:val="001D46C2"/>
    <w:rsid w:val="001D5CCB"/>
    <w:rsid w:val="001D695B"/>
    <w:rsid w:val="001D747C"/>
    <w:rsid w:val="001E2A8F"/>
    <w:rsid w:val="001E30BF"/>
    <w:rsid w:val="001E516B"/>
    <w:rsid w:val="001E5F15"/>
    <w:rsid w:val="001F0F63"/>
    <w:rsid w:val="001F2D81"/>
    <w:rsid w:val="001F31FB"/>
    <w:rsid w:val="001F3255"/>
    <w:rsid w:val="001F4169"/>
    <w:rsid w:val="001F4EA4"/>
    <w:rsid w:val="001F56B3"/>
    <w:rsid w:val="001F6CF0"/>
    <w:rsid w:val="001F6F44"/>
    <w:rsid w:val="001F79EF"/>
    <w:rsid w:val="002009F5"/>
    <w:rsid w:val="00200A19"/>
    <w:rsid w:val="002019B6"/>
    <w:rsid w:val="00201C01"/>
    <w:rsid w:val="00201FEC"/>
    <w:rsid w:val="00206847"/>
    <w:rsid w:val="00206BB9"/>
    <w:rsid w:val="002071A9"/>
    <w:rsid w:val="00214A33"/>
    <w:rsid w:val="00215314"/>
    <w:rsid w:val="00216CAA"/>
    <w:rsid w:val="002205E7"/>
    <w:rsid w:val="002215D2"/>
    <w:rsid w:val="00222341"/>
    <w:rsid w:val="00222D5F"/>
    <w:rsid w:val="002232EF"/>
    <w:rsid w:val="0022603B"/>
    <w:rsid w:val="00227B04"/>
    <w:rsid w:val="002306C9"/>
    <w:rsid w:val="00231B62"/>
    <w:rsid w:val="002330CA"/>
    <w:rsid w:val="002332D3"/>
    <w:rsid w:val="00236B29"/>
    <w:rsid w:val="00237AD7"/>
    <w:rsid w:val="0024032B"/>
    <w:rsid w:val="00242261"/>
    <w:rsid w:val="00242944"/>
    <w:rsid w:val="00242E69"/>
    <w:rsid w:val="00246109"/>
    <w:rsid w:val="00246B69"/>
    <w:rsid w:val="00247986"/>
    <w:rsid w:val="00247FC1"/>
    <w:rsid w:val="002534A1"/>
    <w:rsid w:val="00256A86"/>
    <w:rsid w:val="002570D9"/>
    <w:rsid w:val="002602DD"/>
    <w:rsid w:val="0026065F"/>
    <w:rsid w:val="002631C1"/>
    <w:rsid w:val="00263996"/>
    <w:rsid w:val="00266019"/>
    <w:rsid w:val="00267009"/>
    <w:rsid w:val="00270827"/>
    <w:rsid w:val="00271A77"/>
    <w:rsid w:val="002759C1"/>
    <w:rsid w:val="00275EA7"/>
    <w:rsid w:val="00275FBA"/>
    <w:rsid w:val="00276CBA"/>
    <w:rsid w:val="0027747A"/>
    <w:rsid w:val="00280FBF"/>
    <w:rsid w:val="00282C7D"/>
    <w:rsid w:val="00284581"/>
    <w:rsid w:val="00284857"/>
    <w:rsid w:val="00284D05"/>
    <w:rsid w:val="00285E1A"/>
    <w:rsid w:val="0028655B"/>
    <w:rsid w:val="002877FB"/>
    <w:rsid w:val="00287B07"/>
    <w:rsid w:val="00287DD6"/>
    <w:rsid w:val="002915A3"/>
    <w:rsid w:val="00291ACE"/>
    <w:rsid w:val="00292A48"/>
    <w:rsid w:val="0029563B"/>
    <w:rsid w:val="002961C9"/>
    <w:rsid w:val="002A0333"/>
    <w:rsid w:val="002A0B4E"/>
    <w:rsid w:val="002A2BDE"/>
    <w:rsid w:val="002A3237"/>
    <w:rsid w:val="002A3627"/>
    <w:rsid w:val="002A3FDF"/>
    <w:rsid w:val="002A790E"/>
    <w:rsid w:val="002A7E73"/>
    <w:rsid w:val="002B0CE5"/>
    <w:rsid w:val="002B11CF"/>
    <w:rsid w:val="002B163D"/>
    <w:rsid w:val="002B19DD"/>
    <w:rsid w:val="002B2AD4"/>
    <w:rsid w:val="002B62FE"/>
    <w:rsid w:val="002B7266"/>
    <w:rsid w:val="002B7527"/>
    <w:rsid w:val="002B767E"/>
    <w:rsid w:val="002B7E77"/>
    <w:rsid w:val="002C06D7"/>
    <w:rsid w:val="002C06EA"/>
    <w:rsid w:val="002C101D"/>
    <w:rsid w:val="002C1557"/>
    <w:rsid w:val="002C2148"/>
    <w:rsid w:val="002C2B27"/>
    <w:rsid w:val="002C5BD0"/>
    <w:rsid w:val="002C5E66"/>
    <w:rsid w:val="002C6520"/>
    <w:rsid w:val="002C6DF2"/>
    <w:rsid w:val="002C7C3C"/>
    <w:rsid w:val="002D12B1"/>
    <w:rsid w:val="002D155A"/>
    <w:rsid w:val="002D1D4F"/>
    <w:rsid w:val="002D2780"/>
    <w:rsid w:val="002E05C3"/>
    <w:rsid w:val="002E1684"/>
    <w:rsid w:val="002E2CB4"/>
    <w:rsid w:val="002E3B6D"/>
    <w:rsid w:val="002E3DED"/>
    <w:rsid w:val="002E46D7"/>
    <w:rsid w:val="002E4BA6"/>
    <w:rsid w:val="002E54B5"/>
    <w:rsid w:val="002E6116"/>
    <w:rsid w:val="002F0F28"/>
    <w:rsid w:val="002F1E2E"/>
    <w:rsid w:val="002F2074"/>
    <w:rsid w:val="002F211E"/>
    <w:rsid w:val="002F2AB7"/>
    <w:rsid w:val="002F3F6D"/>
    <w:rsid w:val="002F5461"/>
    <w:rsid w:val="002F66B1"/>
    <w:rsid w:val="002F6890"/>
    <w:rsid w:val="002F68F6"/>
    <w:rsid w:val="002F6B89"/>
    <w:rsid w:val="00302576"/>
    <w:rsid w:val="003026F5"/>
    <w:rsid w:val="00302FFA"/>
    <w:rsid w:val="00303276"/>
    <w:rsid w:val="00306429"/>
    <w:rsid w:val="003106AB"/>
    <w:rsid w:val="0031199D"/>
    <w:rsid w:val="00311E12"/>
    <w:rsid w:val="003123ED"/>
    <w:rsid w:val="003137F2"/>
    <w:rsid w:val="0031445C"/>
    <w:rsid w:val="003154CF"/>
    <w:rsid w:val="00317638"/>
    <w:rsid w:val="00317945"/>
    <w:rsid w:val="00320358"/>
    <w:rsid w:val="00320987"/>
    <w:rsid w:val="003229BF"/>
    <w:rsid w:val="00322A50"/>
    <w:rsid w:val="00323511"/>
    <w:rsid w:val="0032522B"/>
    <w:rsid w:val="003261CC"/>
    <w:rsid w:val="00330931"/>
    <w:rsid w:val="00332723"/>
    <w:rsid w:val="00333318"/>
    <w:rsid w:val="003336F7"/>
    <w:rsid w:val="00334F74"/>
    <w:rsid w:val="003369A7"/>
    <w:rsid w:val="00337938"/>
    <w:rsid w:val="003409C6"/>
    <w:rsid w:val="00342DF8"/>
    <w:rsid w:val="003431C7"/>
    <w:rsid w:val="00344BA1"/>
    <w:rsid w:val="00345036"/>
    <w:rsid w:val="00352A98"/>
    <w:rsid w:val="003532E6"/>
    <w:rsid w:val="00353894"/>
    <w:rsid w:val="0035541D"/>
    <w:rsid w:val="00355528"/>
    <w:rsid w:val="00360142"/>
    <w:rsid w:val="00360FE3"/>
    <w:rsid w:val="00365189"/>
    <w:rsid w:val="003659AF"/>
    <w:rsid w:val="003667B9"/>
    <w:rsid w:val="00370CE0"/>
    <w:rsid w:val="00371A76"/>
    <w:rsid w:val="00371CDD"/>
    <w:rsid w:val="003726C2"/>
    <w:rsid w:val="003775E9"/>
    <w:rsid w:val="00382FB4"/>
    <w:rsid w:val="00383076"/>
    <w:rsid w:val="003855D3"/>
    <w:rsid w:val="00392338"/>
    <w:rsid w:val="00392FEC"/>
    <w:rsid w:val="003935D0"/>
    <w:rsid w:val="00395607"/>
    <w:rsid w:val="0039673F"/>
    <w:rsid w:val="003979A1"/>
    <w:rsid w:val="003A1410"/>
    <w:rsid w:val="003A18F9"/>
    <w:rsid w:val="003A1FD0"/>
    <w:rsid w:val="003A30E5"/>
    <w:rsid w:val="003A4D2B"/>
    <w:rsid w:val="003A4F07"/>
    <w:rsid w:val="003A6B7B"/>
    <w:rsid w:val="003A726C"/>
    <w:rsid w:val="003B061F"/>
    <w:rsid w:val="003B2451"/>
    <w:rsid w:val="003B2EAA"/>
    <w:rsid w:val="003B2EC9"/>
    <w:rsid w:val="003B5DEA"/>
    <w:rsid w:val="003B76E3"/>
    <w:rsid w:val="003C0916"/>
    <w:rsid w:val="003C104A"/>
    <w:rsid w:val="003C1821"/>
    <w:rsid w:val="003C217B"/>
    <w:rsid w:val="003C29ED"/>
    <w:rsid w:val="003C5DC5"/>
    <w:rsid w:val="003C74E4"/>
    <w:rsid w:val="003C756C"/>
    <w:rsid w:val="003C7AD3"/>
    <w:rsid w:val="003D3A28"/>
    <w:rsid w:val="003D49AD"/>
    <w:rsid w:val="003D4BBC"/>
    <w:rsid w:val="003D4D98"/>
    <w:rsid w:val="003D5389"/>
    <w:rsid w:val="003D7BA3"/>
    <w:rsid w:val="003E0139"/>
    <w:rsid w:val="003E06E5"/>
    <w:rsid w:val="003E0AD5"/>
    <w:rsid w:val="003E0B0B"/>
    <w:rsid w:val="003E16F3"/>
    <w:rsid w:val="003E46C5"/>
    <w:rsid w:val="003E7782"/>
    <w:rsid w:val="003F16F4"/>
    <w:rsid w:val="003F1E9B"/>
    <w:rsid w:val="003F2FA0"/>
    <w:rsid w:val="003F45A9"/>
    <w:rsid w:val="003F4D5C"/>
    <w:rsid w:val="003F784C"/>
    <w:rsid w:val="003F7B1D"/>
    <w:rsid w:val="003F7DCC"/>
    <w:rsid w:val="004008A7"/>
    <w:rsid w:val="00400995"/>
    <w:rsid w:val="0040160C"/>
    <w:rsid w:val="00401C64"/>
    <w:rsid w:val="00402D4E"/>
    <w:rsid w:val="004038C3"/>
    <w:rsid w:val="00404AE8"/>
    <w:rsid w:val="00405405"/>
    <w:rsid w:val="0040782C"/>
    <w:rsid w:val="00407946"/>
    <w:rsid w:val="00411088"/>
    <w:rsid w:val="00411ABF"/>
    <w:rsid w:val="00412D2C"/>
    <w:rsid w:val="00413681"/>
    <w:rsid w:val="004142E4"/>
    <w:rsid w:val="004156D9"/>
    <w:rsid w:val="00423845"/>
    <w:rsid w:val="004255F7"/>
    <w:rsid w:val="00425D01"/>
    <w:rsid w:val="004265DC"/>
    <w:rsid w:val="00426D6A"/>
    <w:rsid w:val="004275E3"/>
    <w:rsid w:val="00427FD7"/>
    <w:rsid w:val="00431AC3"/>
    <w:rsid w:val="00431F66"/>
    <w:rsid w:val="004324F7"/>
    <w:rsid w:val="00433155"/>
    <w:rsid w:val="004333BE"/>
    <w:rsid w:val="004333C0"/>
    <w:rsid w:val="00434945"/>
    <w:rsid w:val="004359C6"/>
    <w:rsid w:val="00435A96"/>
    <w:rsid w:val="004365D5"/>
    <w:rsid w:val="00436D3B"/>
    <w:rsid w:val="00437913"/>
    <w:rsid w:val="00440182"/>
    <w:rsid w:val="00440E3A"/>
    <w:rsid w:val="0044103D"/>
    <w:rsid w:val="00441241"/>
    <w:rsid w:val="004412C0"/>
    <w:rsid w:val="00442664"/>
    <w:rsid w:val="00442CB6"/>
    <w:rsid w:val="00443C07"/>
    <w:rsid w:val="004451CD"/>
    <w:rsid w:val="0044539E"/>
    <w:rsid w:val="00447BEB"/>
    <w:rsid w:val="00447C98"/>
    <w:rsid w:val="00450FE9"/>
    <w:rsid w:val="004535FF"/>
    <w:rsid w:val="00455694"/>
    <w:rsid w:val="00461B7F"/>
    <w:rsid w:val="00461F61"/>
    <w:rsid w:val="004621C0"/>
    <w:rsid w:val="004621F1"/>
    <w:rsid w:val="004638B3"/>
    <w:rsid w:val="00464303"/>
    <w:rsid w:val="00467DCB"/>
    <w:rsid w:val="00470498"/>
    <w:rsid w:val="00470E62"/>
    <w:rsid w:val="0047119A"/>
    <w:rsid w:val="00473B5C"/>
    <w:rsid w:val="004740E6"/>
    <w:rsid w:val="0047425D"/>
    <w:rsid w:val="00474919"/>
    <w:rsid w:val="00474951"/>
    <w:rsid w:val="00474B5A"/>
    <w:rsid w:val="00475541"/>
    <w:rsid w:val="00476249"/>
    <w:rsid w:val="0048026F"/>
    <w:rsid w:val="00480B39"/>
    <w:rsid w:val="00482FCD"/>
    <w:rsid w:val="00486012"/>
    <w:rsid w:val="0048671F"/>
    <w:rsid w:val="0048715E"/>
    <w:rsid w:val="00487968"/>
    <w:rsid w:val="00487A7D"/>
    <w:rsid w:val="00492B35"/>
    <w:rsid w:val="00492BCA"/>
    <w:rsid w:val="00493296"/>
    <w:rsid w:val="00493DC8"/>
    <w:rsid w:val="00494817"/>
    <w:rsid w:val="00496431"/>
    <w:rsid w:val="00496531"/>
    <w:rsid w:val="00496826"/>
    <w:rsid w:val="004A02E5"/>
    <w:rsid w:val="004A358C"/>
    <w:rsid w:val="004A381A"/>
    <w:rsid w:val="004A3AD7"/>
    <w:rsid w:val="004A4931"/>
    <w:rsid w:val="004A5241"/>
    <w:rsid w:val="004B02FE"/>
    <w:rsid w:val="004B0ED0"/>
    <w:rsid w:val="004B144E"/>
    <w:rsid w:val="004B21FE"/>
    <w:rsid w:val="004B2C2F"/>
    <w:rsid w:val="004B2CB0"/>
    <w:rsid w:val="004B31DB"/>
    <w:rsid w:val="004B5926"/>
    <w:rsid w:val="004B6573"/>
    <w:rsid w:val="004B7C6E"/>
    <w:rsid w:val="004C007C"/>
    <w:rsid w:val="004C2330"/>
    <w:rsid w:val="004C532C"/>
    <w:rsid w:val="004C707D"/>
    <w:rsid w:val="004D2350"/>
    <w:rsid w:val="004D2553"/>
    <w:rsid w:val="004D2A62"/>
    <w:rsid w:val="004D2E26"/>
    <w:rsid w:val="004D2FCF"/>
    <w:rsid w:val="004D32C3"/>
    <w:rsid w:val="004D4784"/>
    <w:rsid w:val="004D59E2"/>
    <w:rsid w:val="004D5ACC"/>
    <w:rsid w:val="004D5B48"/>
    <w:rsid w:val="004E0F7D"/>
    <w:rsid w:val="004E1291"/>
    <w:rsid w:val="004E14CC"/>
    <w:rsid w:val="004E3ECB"/>
    <w:rsid w:val="004E576C"/>
    <w:rsid w:val="004E7184"/>
    <w:rsid w:val="004F3258"/>
    <w:rsid w:val="004F42C1"/>
    <w:rsid w:val="004F4803"/>
    <w:rsid w:val="004F6344"/>
    <w:rsid w:val="00503D3F"/>
    <w:rsid w:val="00504AC5"/>
    <w:rsid w:val="00504C5C"/>
    <w:rsid w:val="00505AC7"/>
    <w:rsid w:val="00507D4A"/>
    <w:rsid w:val="00511C6C"/>
    <w:rsid w:val="005123EB"/>
    <w:rsid w:val="005143A9"/>
    <w:rsid w:val="00515D94"/>
    <w:rsid w:val="00517893"/>
    <w:rsid w:val="00521B52"/>
    <w:rsid w:val="00521F74"/>
    <w:rsid w:val="0052319D"/>
    <w:rsid w:val="005248B6"/>
    <w:rsid w:val="00526015"/>
    <w:rsid w:val="00527783"/>
    <w:rsid w:val="00527B02"/>
    <w:rsid w:val="00532DB0"/>
    <w:rsid w:val="00534E8E"/>
    <w:rsid w:val="00535417"/>
    <w:rsid w:val="005361F3"/>
    <w:rsid w:val="00540250"/>
    <w:rsid w:val="00541C7A"/>
    <w:rsid w:val="00543642"/>
    <w:rsid w:val="00544CED"/>
    <w:rsid w:val="005451F9"/>
    <w:rsid w:val="00546338"/>
    <w:rsid w:val="005470C3"/>
    <w:rsid w:val="005502D9"/>
    <w:rsid w:val="00550F23"/>
    <w:rsid w:val="00553A7B"/>
    <w:rsid w:val="00556EE6"/>
    <w:rsid w:val="0055738D"/>
    <w:rsid w:val="00560727"/>
    <w:rsid w:val="005630A4"/>
    <w:rsid w:val="00564D50"/>
    <w:rsid w:val="005660EE"/>
    <w:rsid w:val="0056678C"/>
    <w:rsid w:val="00570215"/>
    <w:rsid w:val="00570851"/>
    <w:rsid w:val="00571650"/>
    <w:rsid w:val="00571B4A"/>
    <w:rsid w:val="00571FCF"/>
    <w:rsid w:val="005722F1"/>
    <w:rsid w:val="00573317"/>
    <w:rsid w:val="005752B1"/>
    <w:rsid w:val="00576BC6"/>
    <w:rsid w:val="005770CE"/>
    <w:rsid w:val="00580351"/>
    <w:rsid w:val="00580A4E"/>
    <w:rsid w:val="005822B8"/>
    <w:rsid w:val="00582659"/>
    <w:rsid w:val="00583F43"/>
    <w:rsid w:val="005849A4"/>
    <w:rsid w:val="00586675"/>
    <w:rsid w:val="00587409"/>
    <w:rsid w:val="00587BC1"/>
    <w:rsid w:val="005906F5"/>
    <w:rsid w:val="00591E65"/>
    <w:rsid w:val="00593932"/>
    <w:rsid w:val="00594072"/>
    <w:rsid w:val="00594A4C"/>
    <w:rsid w:val="005A0206"/>
    <w:rsid w:val="005A06D7"/>
    <w:rsid w:val="005A0DBD"/>
    <w:rsid w:val="005A3CA6"/>
    <w:rsid w:val="005A41FF"/>
    <w:rsid w:val="005A60D5"/>
    <w:rsid w:val="005A6B4D"/>
    <w:rsid w:val="005A7140"/>
    <w:rsid w:val="005B060E"/>
    <w:rsid w:val="005B1738"/>
    <w:rsid w:val="005B215B"/>
    <w:rsid w:val="005B240C"/>
    <w:rsid w:val="005B26A0"/>
    <w:rsid w:val="005B4925"/>
    <w:rsid w:val="005B5CD4"/>
    <w:rsid w:val="005B6483"/>
    <w:rsid w:val="005B66FD"/>
    <w:rsid w:val="005B685B"/>
    <w:rsid w:val="005B6A9D"/>
    <w:rsid w:val="005B779B"/>
    <w:rsid w:val="005C0810"/>
    <w:rsid w:val="005C2546"/>
    <w:rsid w:val="005C323E"/>
    <w:rsid w:val="005C377E"/>
    <w:rsid w:val="005C414A"/>
    <w:rsid w:val="005C455B"/>
    <w:rsid w:val="005C4FF8"/>
    <w:rsid w:val="005C507D"/>
    <w:rsid w:val="005C5691"/>
    <w:rsid w:val="005C7F22"/>
    <w:rsid w:val="005D3BFB"/>
    <w:rsid w:val="005D45B2"/>
    <w:rsid w:val="005D58AE"/>
    <w:rsid w:val="005D5B2C"/>
    <w:rsid w:val="005D6727"/>
    <w:rsid w:val="005D6D61"/>
    <w:rsid w:val="005D7F1C"/>
    <w:rsid w:val="005E2DED"/>
    <w:rsid w:val="005E3FC9"/>
    <w:rsid w:val="005E6E86"/>
    <w:rsid w:val="005E70F2"/>
    <w:rsid w:val="005E75CA"/>
    <w:rsid w:val="005E7BE2"/>
    <w:rsid w:val="005F0439"/>
    <w:rsid w:val="005F0EBB"/>
    <w:rsid w:val="005F20E0"/>
    <w:rsid w:val="005F2142"/>
    <w:rsid w:val="005F288F"/>
    <w:rsid w:val="005F2B6C"/>
    <w:rsid w:val="005F2BCB"/>
    <w:rsid w:val="005F3385"/>
    <w:rsid w:val="005F3898"/>
    <w:rsid w:val="005F3B5B"/>
    <w:rsid w:val="005F3CC2"/>
    <w:rsid w:val="005F3E7C"/>
    <w:rsid w:val="005F4DAE"/>
    <w:rsid w:val="00601F25"/>
    <w:rsid w:val="0060335A"/>
    <w:rsid w:val="0060476E"/>
    <w:rsid w:val="00606CE1"/>
    <w:rsid w:val="00607523"/>
    <w:rsid w:val="00607CC6"/>
    <w:rsid w:val="006100CE"/>
    <w:rsid w:val="0061136C"/>
    <w:rsid w:val="006114C3"/>
    <w:rsid w:val="006118C3"/>
    <w:rsid w:val="00611B5E"/>
    <w:rsid w:val="00611B88"/>
    <w:rsid w:val="00611F48"/>
    <w:rsid w:val="0061322F"/>
    <w:rsid w:val="00613F8A"/>
    <w:rsid w:val="00613FA0"/>
    <w:rsid w:val="00614643"/>
    <w:rsid w:val="00615A06"/>
    <w:rsid w:val="00621321"/>
    <w:rsid w:val="006218E4"/>
    <w:rsid w:val="0062335A"/>
    <w:rsid w:val="006256CA"/>
    <w:rsid w:val="00625D04"/>
    <w:rsid w:val="00626949"/>
    <w:rsid w:val="00635594"/>
    <w:rsid w:val="00640099"/>
    <w:rsid w:val="006436D6"/>
    <w:rsid w:val="00644B26"/>
    <w:rsid w:val="00646AC3"/>
    <w:rsid w:val="006475D5"/>
    <w:rsid w:val="006520C3"/>
    <w:rsid w:val="00652128"/>
    <w:rsid w:val="00652650"/>
    <w:rsid w:val="00652DBF"/>
    <w:rsid w:val="006541EF"/>
    <w:rsid w:val="006567C0"/>
    <w:rsid w:val="00656A8E"/>
    <w:rsid w:val="00656BF6"/>
    <w:rsid w:val="00657120"/>
    <w:rsid w:val="00657BB9"/>
    <w:rsid w:val="00660A76"/>
    <w:rsid w:val="00660EDE"/>
    <w:rsid w:val="006635A6"/>
    <w:rsid w:val="00663B13"/>
    <w:rsid w:val="00665539"/>
    <w:rsid w:val="00665F08"/>
    <w:rsid w:val="006661D0"/>
    <w:rsid w:val="00667E4B"/>
    <w:rsid w:val="00670B94"/>
    <w:rsid w:val="0067112F"/>
    <w:rsid w:val="00671B9A"/>
    <w:rsid w:val="00671F68"/>
    <w:rsid w:val="00672A62"/>
    <w:rsid w:val="00673714"/>
    <w:rsid w:val="00675591"/>
    <w:rsid w:val="006767DF"/>
    <w:rsid w:val="0067725F"/>
    <w:rsid w:val="00677614"/>
    <w:rsid w:val="00681481"/>
    <w:rsid w:val="00682F51"/>
    <w:rsid w:val="00683A15"/>
    <w:rsid w:val="006840ED"/>
    <w:rsid w:val="006841EB"/>
    <w:rsid w:val="00685EC8"/>
    <w:rsid w:val="00690989"/>
    <w:rsid w:val="00691621"/>
    <w:rsid w:val="00694182"/>
    <w:rsid w:val="006943CF"/>
    <w:rsid w:val="00694C3B"/>
    <w:rsid w:val="006975FC"/>
    <w:rsid w:val="006A0272"/>
    <w:rsid w:val="006A2CB1"/>
    <w:rsid w:val="006A4448"/>
    <w:rsid w:val="006B0809"/>
    <w:rsid w:val="006B14A3"/>
    <w:rsid w:val="006B1A03"/>
    <w:rsid w:val="006B1B5A"/>
    <w:rsid w:val="006B1C93"/>
    <w:rsid w:val="006B42CE"/>
    <w:rsid w:val="006B61D0"/>
    <w:rsid w:val="006B6A5C"/>
    <w:rsid w:val="006B758E"/>
    <w:rsid w:val="006B7B59"/>
    <w:rsid w:val="006C0C7E"/>
    <w:rsid w:val="006C0E4C"/>
    <w:rsid w:val="006C4AB2"/>
    <w:rsid w:val="006C7BF9"/>
    <w:rsid w:val="006C7C04"/>
    <w:rsid w:val="006D2279"/>
    <w:rsid w:val="006D28B5"/>
    <w:rsid w:val="006D37C7"/>
    <w:rsid w:val="006D44D0"/>
    <w:rsid w:val="006D5FE6"/>
    <w:rsid w:val="006D62EB"/>
    <w:rsid w:val="006D75CE"/>
    <w:rsid w:val="006E182C"/>
    <w:rsid w:val="006E463B"/>
    <w:rsid w:val="006E4D5D"/>
    <w:rsid w:val="006E56FE"/>
    <w:rsid w:val="006E5ECE"/>
    <w:rsid w:val="006E66B2"/>
    <w:rsid w:val="006E7E3E"/>
    <w:rsid w:val="006F083C"/>
    <w:rsid w:val="006F1996"/>
    <w:rsid w:val="006F2C40"/>
    <w:rsid w:val="006F5582"/>
    <w:rsid w:val="00700DE7"/>
    <w:rsid w:val="00701585"/>
    <w:rsid w:val="00701D53"/>
    <w:rsid w:val="007030BF"/>
    <w:rsid w:val="00703E48"/>
    <w:rsid w:val="00703FD5"/>
    <w:rsid w:val="00704A65"/>
    <w:rsid w:val="00705895"/>
    <w:rsid w:val="0070609D"/>
    <w:rsid w:val="00706DF4"/>
    <w:rsid w:val="007124F5"/>
    <w:rsid w:val="0071404B"/>
    <w:rsid w:val="007142B4"/>
    <w:rsid w:val="00717934"/>
    <w:rsid w:val="00717978"/>
    <w:rsid w:val="00721655"/>
    <w:rsid w:val="007216A5"/>
    <w:rsid w:val="00722A46"/>
    <w:rsid w:val="007244D7"/>
    <w:rsid w:val="00731589"/>
    <w:rsid w:val="007328E1"/>
    <w:rsid w:val="00732CE8"/>
    <w:rsid w:val="00734112"/>
    <w:rsid w:val="00734A9B"/>
    <w:rsid w:val="0073522F"/>
    <w:rsid w:val="00735EE5"/>
    <w:rsid w:val="00737DBF"/>
    <w:rsid w:val="0074155D"/>
    <w:rsid w:val="00741591"/>
    <w:rsid w:val="00746CAE"/>
    <w:rsid w:val="0074720D"/>
    <w:rsid w:val="00752515"/>
    <w:rsid w:val="0075257C"/>
    <w:rsid w:val="00752925"/>
    <w:rsid w:val="0075647E"/>
    <w:rsid w:val="00756BF1"/>
    <w:rsid w:val="00756DE6"/>
    <w:rsid w:val="00756E58"/>
    <w:rsid w:val="00757919"/>
    <w:rsid w:val="00757EF2"/>
    <w:rsid w:val="0076074D"/>
    <w:rsid w:val="00762EDC"/>
    <w:rsid w:val="0076471D"/>
    <w:rsid w:val="007662C0"/>
    <w:rsid w:val="00766662"/>
    <w:rsid w:val="00766773"/>
    <w:rsid w:val="00766CC7"/>
    <w:rsid w:val="00766F04"/>
    <w:rsid w:val="0077236E"/>
    <w:rsid w:val="00774674"/>
    <w:rsid w:val="0077494E"/>
    <w:rsid w:val="00774D42"/>
    <w:rsid w:val="007754C0"/>
    <w:rsid w:val="00776BA8"/>
    <w:rsid w:val="007801DE"/>
    <w:rsid w:val="00780560"/>
    <w:rsid w:val="00780FEC"/>
    <w:rsid w:val="00781111"/>
    <w:rsid w:val="0078152B"/>
    <w:rsid w:val="007817C4"/>
    <w:rsid w:val="0078195F"/>
    <w:rsid w:val="00785A06"/>
    <w:rsid w:val="007861DB"/>
    <w:rsid w:val="0078628A"/>
    <w:rsid w:val="00787792"/>
    <w:rsid w:val="00790C66"/>
    <w:rsid w:val="007911F6"/>
    <w:rsid w:val="0079281B"/>
    <w:rsid w:val="00792AAD"/>
    <w:rsid w:val="00793C1F"/>
    <w:rsid w:val="00795C80"/>
    <w:rsid w:val="00796837"/>
    <w:rsid w:val="00796B3C"/>
    <w:rsid w:val="00796DD2"/>
    <w:rsid w:val="00797097"/>
    <w:rsid w:val="00797644"/>
    <w:rsid w:val="007A351B"/>
    <w:rsid w:val="007A3F9F"/>
    <w:rsid w:val="007A42CF"/>
    <w:rsid w:val="007A6E8B"/>
    <w:rsid w:val="007B0B36"/>
    <w:rsid w:val="007B0E25"/>
    <w:rsid w:val="007B2667"/>
    <w:rsid w:val="007B2CB3"/>
    <w:rsid w:val="007B2DFC"/>
    <w:rsid w:val="007B2EB0"/>
    <w:rsid w:val="007B4173"/>
    <w:rsid w:val="007B4881"/>
    <w:rsid w:val="007B49C3"/>
    <w:rsid w:val="007B65FA"/>
    <w:rsid w:val="007C0329"/>
    <w:rsid w:val="007C1033"/>
    <w:rsid w:val="007C1BEB"/>
    <w:rsid w:val="007C1C98"/>
    <w:rsid w:val="007C3037"/>
    <w:rsid w:val="007C535F"/>
    <w:rsid w:val="007C558C"/>
    <w:rsid w:val="007C7465"/>
    <w:rsid w:val="007D2175"/>
    <w:rsid w:val="007D4FBD"/>
    <w:rsid w:val="007D5C10"/>
    <w:rsid w:val="007E028F"/>
    <w:rsid w:val="007E1AC2"/>
    <w:rsid w:val="007E47E3"/>
    <w:rsid w:val="007E4C79"/>
    <w:rsid w:val="007E53FF"/>
    <w:rsid w:val="007E5A3A"/>
    <w:rsid w:val="007E6F7F"/>
    <w:rsid w:val="007E7A88"/>
    <w:rsid w:val="007F0197"/>
    <w:rsid w:val="007F0C87"/>
    <w:rsid w:val="007F4006"/>
    <w:rsid w:val="007F5E2B"/>
    <w:rsid w:val="007F64C0"/>
    <w:rsid w:val="0080033D"/>
    <w:rsid w:val="00800A9F"/>
    <w:rsid w:val="00801335"/>
    <w:rsid w:val="008059C9"/>
    <w:rsid w:val="00805F2E"/>
    <w:rsid w:val="00806BB3"/>
    <w:rsid w:val="00806BE9"/>
    <w:rsid w:val="00807072"/>
    <w:rsid w:val="00807368"/>
    <w:rsid w:val="00807401"/>
    <w:rsid w:val="00807645"/>
    <w:rsid w:val="00810902"/>
    <w:rsid w:val="00811A25"/>
    <w:rsid w:val="00811F94"/>
    <w:rsid w:val="00812583"/>
    <w:rsid w:val="00813A33"/>
    <w:rsid w:val="00815297"/>
    <w:rsid w:val="00816F18"/>
    <w:rsid w:val="00820A94"/>
    <w:rsid w:val="0082124A"/>
    <w:rsid w:val="008227A2"/>
    <w:rsid w:val="00822FD6"/>
    <w:rsid w:val="0082507C"/>
    <w:rsid w:val="00825DC2"/>
    <w:rsid w:val="008268A7"/>
    <w:rsid w:val="00826953"/>
    <w:rsid w:val="008274A4"/>
    <w:rsid w:val="00830F1B"/>
    <w:rsid w:val="00832D12"/>
    <w:rsid w:val="00832DBF"/>
    <w:rsid w:val="008334AE"/>
    <w:rsid w:val="00835D85"/>
    <w:rsid w:val="00836508"/>
    <w:rsid w:val="00836E06"/>
    <w:rsid w:val="00840CC0"/>
    <w:rsid w:val="00842A4E"/>
    <w:rsid w:val="0084364F"/>
    <w:rsid w:val="0084367A"/>
    <w:rsid w:val="00843C14"/>
    <w:rsid w:val="008460EA"/>
    <w:rsid w:val="00846296"/>
    <w:rsid w:val="008477EC"/>
    <w:rsid w:val="00850315"/>
    <w:rsid w:val="00852396"/>
    <w:rsid w:val="00853BE4"/>
    <w:rsid w:val="0085410E"/>
    <w:rsid w:val="00854772"/>
    <w:rsid w:val="0085557E"/>
    <w:rsid w:val="00857803"/>
    <w:rsid w:val="00860E5A"/>
    <w:rsid w:val="00865507"/>
    <w:rsid w:val="00865EAB"/>
    <w:rsid w:val="008670AF"/>
    <w:rsid w:val="00870568"/>
    <w:rsid w:val="0087067E"/>
    <w:rsid w:val="00870727"/>
    <w:rsid w:val="00871E20"/>
    <w:rsid w:val="00877C12"/>
    <w:rsid w:val="00880D4D"/>
    <w:rsid w:val="00883E2E"/>
    <w:rsid w:val="00884A40"/>
    <w:rsid w:val="0088517F"/>
    <w:rsid w:val="0088608E"/>
    <w:rsid w:val="00895585"/>
    <w:rsid w:val="00895A78"/>
    <w:rsid w:val="00895C7C"/>
    <w:rsid w:val="00896655"/>
    <w:rsid w:val="008A0D1F"/>
    <w:rsid w:val="008A0EC8"/>
    <w:rsid w:val="008A2276"/>
    <w:rsid w:val="008A29E5"/>
    <w:rsid w:val="008A2DBE"/>
    <w:rsid w:val="008A381C"/>
    <w:rsid w:val="008A3BF5"/>
    <w:rsid w:val="008A4443"/>
    <w:rsid w:val="008A475E"/>
    <w:rsid w:val="008A4AF8"/>
    <w:rsid w:val="008A583E"/>
    <w:rsid w:val="008A5B6B"/>
    <w:rsid w:val="008A7BC4"/>
    <w:rsid w:val="008A7E71"/>
    <w:rsid w:val="008B007A"/>
    <w:rsid w:val="008B14AB"/>
    <w:rsid w:val="008B1C86"/>
    <w:rsid w:val="008B35A5"/>
    <w:rsid w:val="008B3600"/>
    <w:rsid w:val="008B4216"/>
    <w:rsid w:val="008C0121"/>
    <w:rsid w:val="008C0F64"/>
    <w:rsid w:val="008C0FCB"/>
    <w:rsid w:val="008C115C"/>
    <w:rsid w:val="008C462B"/>
    <w:rsid w:val="008D1B5E"/>
    <w:rsid w:val="008D2326"/>
    <w:rsid w:val="008D251D"/>
    <w:rsid w:val="008D3DBB"/>
    <w:rsid w:val="008D6569"/>
    <w:rsid w:val="008E0C98"/>
    <w:rsid w:val="008E1879"/>
    <w:rsid w:val="008E37D0"/>
    <w:rsid w:val="008E6C96"/>
    <w:rsid w:val="008F08C0"/>
    <w:rsid w:val="008F2631"/>
    <w:rsid w:val="008F2A68"/>
    <w:rsid w:val="008F2B93"/>
    <w:rsid w:val="008F4BFE"/>
    <w:rsid w:val="00900BD8"/>
    <w:rsid w:val="009045B4"/>
    <w:rsid w:val="00906B6F"/>
    <w:rsid w:val="00907862"/>
    <w:rsid w:val="0090792E"/>
    <w:rsid w:val="00910249"/>
    <w:rsid w:val="0091042A"/>
    <w:rsid w:val="0091223D"/>
    <w:rsid w:val="00912F9F"/>
    <w:rsid w:val="00913805"/>
    <w:rsid w:val="00913B61"/>
    <w:rsid w:val="00916B44"/>
    <w:rsid w:val="00917808"/>
    <w:rsid w:val="009179DD"/>
    <w:rsid w:val="0092043E"/>
    <w:rsid w:val="009207A4"/>
    <w:rsid w:val="00921C43"/>
    <w:rsid w:val="00921F94"/>
    <w:rsid w:val="00922881"/>
    <w:rsid w:val="00923A95"/>
    <w:rsid w:val="00925601"/>
    <w:rsid w:val="00925CD6"/>
    <w:rsid w:val="009261AE"/>
    <w:rsid w:val="00926997"/>
    <w:rsid w:val="00926B86"/>
    <w:rsid w:val="009271F5"/>
    <w:rsid w:val="00933358"/>
    <w:rsid w:val="00935656"/>
    <w:rsid w:val="009359A5"/>
    <w:rsid w:val="009372F9"/>
    <w:rsid w:val="00941381"/>
    <w:rsid w:val="00941843"/>
    <w:rsid w:val="009428D7"/>
    <w:rsid w:val="00943072"/>
    <w:rsid w:val="009431EE"/>
    <w:rsid w:val="00944BA7"/>
    <w:rsid w:val="00945121"/>
    <w:rsid w:val="009454F9"/>
    <w:rsid w:val="00945AA1"/>
    <w:rsid w:val="0094778B"/>
    <w:rsid w:val="00950031"/>
    <w:rsid w:val="00950757"/>
    <w:rsid w:val="00950F26"/>
    <w:rsid w:val="00952965"/>
    <w:rsid w:val="00952B6F"/>
    <w:rsid w:val="00953D84"/>
    <w:rsid w:val="00954499"/>
    <w:rsid w:val="00954EED"/>
    <w:rsid w:val="009556C6"/>
    <w:rsid w:val="00955759"/>
    <w:rsid w:val="00955893"/>
    <w:rsid w:val="0095650F"/>
    <w:rsid w:val="00957CFA"/>
    <w:rsid w:val="009615C7"/>
    <w:rsid w:val="00961AF3"/>
    <w:rsid w:val="00962DED"/>
    <w:rsid w:val="00965D45"/>
    <w:rsid w:val="00966A97"/>
    <w:rsid w:val="00966E0D"/>
    <w:rsid w:val="00971C82"/>
    <w:rsid w:val="00971F2C"/>
    <w:rsid w:val="0097369D"/>
    <w:rsid w:val="00976296"/>
    <w:rsid w:val="00977883"/>
    <w:rsid w:val="00977F16"/>
    <w:rsid w:val="00980470"/>
    <w:rsid w:val="0098089F"/>
    <w:rsid w:val="00980FD0"/>
    <w:rsid w:val="009810C9"/>
    <w:rsid w:val="00981211"/>
    <w:rsid w:val="00982B83"/>
    <w:rsid w:val="00983463"/>
    <w:rsid w:val="0098566E"/>
    <w:rsid w:val="009859C5"/>
    <w:rsid w:val="00985BCB"/>
    <w:rsid w:val="0098670C"/>
    <w:rsid w:val="00987B0E"/>
    <w:rsid w:val="00987BB6"/>
    <w:rsid w:val="00987CFD"/>
    <w:rsid w:val="0099009F"/>
    <w:rsid w:val="00992167"/>
    <w:rsid w:val="0099216A"/>
    <w:rsid w:val="009934A7"/>
    <w:rsid w:val="00996576"/>
    <w:rsid w:val="00996942"/>
    <w:rsid w:val="009969AC"/>
    <w:rsid w:val="009A319A"/>
    <w:rsid w:val="009A3982"/>
    <w:rsid w:val="009A3A62"/>
    <w:rsid w:val="009A3ED6"/>
    <w:rsid w:val="009A4C7F"/>
    <w:rsid w:val="009A75F5"/>
    <w:rsid w:val="009A7D06"/>
    <w:rsid w:val="009B2078"/>
    <w:rsid w:val="009B2287"/>
    <w:rsid w:val="009B26B2"/>
    <w:rsid w:val="009B292C"/>
    <w:rsid w:val="009B3884"/>
    <w:rsid w:val="009B41D2"/>
    <w:rsid w:val="009B4212"/>
    <w:rsid w:val="009B57E0"/>
    <w:rsid w:val="009B5F78"/>
    <w:rsid w:val="009B6396"/>
    <w:rsid w:val="009C08FE"/>
    <w:rsid w:val="009C297A"/>
    <w:rsid w:val="009C3F7E"/>
    <w:rsid w:val="009C4A72"/>
    <w:rsid w:val="009C4AAE"/>
    <w:rsid w:val="009C4DE8"/>
    <w:rsid w:val="009C6445"/>
    <w:rsid w:val="009C6CD5"/>
    <w:rsid w:val="009C6D89"/>
    <w:rsid w:val="009C7626"/>
    <w:rsid w:val="009D0C29"/>
    <w:rsid w:val="009D0D3C"/>
    <w:rsid w:val="009D4BA5"/>
    <w:rsid w:val="009D5903"/>
    <w:rsid w:val="009D78E5"/>
    <w:rsid w:val="009E227B"/>
    <w:rsid w:val="009E2853"/>
    <w:rsid w:val="009E2978"/>
    <w:rsid w:val="009E37A4"/>
    <w:rsid w:val="009E37D1"/>
    <w:rsid w:val="009E411C"/>
    <w:rsid w:val="009E4948"/>
    <w:rsid w:val="009E59D7"/>
    <w:rsid w:val="009E5B23"/>
    <w:rsid w:val="009F0F8E"/>
    <w:rsid w:val="009F1F57"/>
    <w:rsid w:val="009F25A2"/>
    <w:rsid w:val="009F35D5"/>
    <w:rsid w:val="009F3EA2"/>
    <w:rsid w:val="009F3FE1"/>
    <w:rsid w:val="009F40BE"/>
    <w:rsid w:val="009F48B3"/>
    <w:rsid w:val="009F5194"/>
    <w:rsid w:val="009F53A5"/>
    <w:rsid w:val="00A01902"/>
    <w:rsid w:val="00A01C18"/>
    <w:rsid w:val="00A0384D"/>
    <w:rsid w:val="00A04270"/>
    <w:rsid w:val="00A0506D"/>
    <w:rsid w:val="00A063D0"/>
    <w:rsid w:val="00A072CD"/>
    <w:rsid w:val="00A101E3"/>
    <w:rsid w:val="00A103CB"/>
    <w:rsid w:val="00A10943"/>
    <w:rsid w:val="00A129C9"/>
    <w:rsid w:val="00A13F97"/>
    <w:rsid w:val="00A14730"/>
    <w:rsid w:val="00A15F89"/>
    <w:rsid w:val="00A16593"/>
    <w:rsid w:val="00A20406"/>
    <w:rsid w:val="00A21798"/>
    <w:rsid w:val="00A21CE1"/>
    <w:rsid w:val="00A23E2C"/>
    <w:rsid w:val="00A246A9"/>
    <w:rsid w:val="00A26AB3"/>
    <w:rsid w:val="00A27125"/>
    <w:rsid w:val="00A27BEE"/>
    <w:rsid w:val="00A27ED4"/>
    <w:rsid w:val="00A32231"/>
    <w:rsid w:val="00A32986"/>
    <w:rsid w:val="00A352A1"/>
    <w:rsid w:val="00A36248"/>
    <w:rsid w:val="00A41504"/>
    <w:rsid w:val="00A419E5"/>
    <w:rsid w:val="00A45263"/>
    <w:rsid w:val="00A45D46"/>
    <w:rsid w:val="00A47A6A"/>
    <w:rsid w:val="00A50139"/>
    <w:rsid w:val="00A5120E"/>
    <w:rsid w:val="00A51BFA"/>
    <w:rsid w:val="00A549D9"/>
    <w:rsid w:val="00A5644B"/>
    <w:rsid w:val="00A6202F"/>
    <w:rsid w:val="00A620DD"/>
    <w:rsid w:val="00A64BBA"/>
    <w:rsid w:val="00A64C6D"/>
    <w:rsid w:val="00A650E2"/>
    <w:rsid w:val="00A66060"/>
    <w:rsid w:val="00A7031D"/>
    <w:rsid w:val="00A723EA"/>
    <w:rsid w:val="00A73353"/>
    <w:rsid w:val="00A74398"/>
    <w:rsid w:val="00A809E6"/>
    <w:rsid w:val="00A81138"/>
    <w:rsid w:val="00A82E9E"/>
    <w:rsid w:val="00A83D75"/>
    <w:rsid w:val="00A84AB9"/>
    <w:rsid w:val="00A86DBF"/>
    <w:rsid w:val="00A90182"/>
    <w:rsid w:val="00A903EA"/>
    <w:rsid w:val="00A93209"/>
    <w:rsid w:val="00A93473"/>
    <w:rsid w:val="00A95C57"/>
    <w:rsid w:val="00A96A42"/>
    <w:rsid w:val="00A97054"/>
    <w:rsid w:val="00AA00B1"/>
    <w:rsid w:val="00AA062D"/>
    <w:rsid w:val="00AA0844"/>
    <w:rsid w:val="00AA1D83"/>
    <w:rsid w:val="00AA3002"/>
    <w:rsid w:val="00AA3CE7"/>
    <w:rsid w:val="00AA44BE"/>
    <w:rsid w:val="00AA6069"/>
    <w:rsid w:val="00AA7E18"/>
    <w:rsid w:val="00AB09A1"/>
    <w:rsid w:val="00AB0E0E"/>
    <w:rsid w:val="00AB18B3"/>
    <w:rsid w:val="00AB1967"/>
    <w:rsid w:val="00AB1D9C"/>
    <w:rsid w:val="00AB1FEC"/>
    <w:rsid w:val="00AB3D14"/>
    <w:rsid w:val="00AB5F9F"/>
    <w:rsid w:val="00AB65AE"/>
    <w:rsid w:val="00AC14D2"/>
    <w:rsid w:val="00AC224A"/>
    <w:rsid w:val="00AC2C6E"/>
    <w:rsid w:val="00AC54D8"/>
    <w:rsid w:val="00AC7BE3"/>
    <w:rsid w:val="00AD065B"/>
    <w:rsid w:val="00AD1D79"/>
    <w:rsid w:val="00AD3779"/>
    <w:rsid w:val="00AD397F"/>
    <w:rsid w:val="00AD57B5"/>
    <w:rsid w:val="00AD6CC2"/>
    <w:rsid w:val="00AD6DF4"/>
    <w:rsid w:val="00AD75A0"/>
    <w:rsid w:val="00AE0A46"/>
    <w:rsid w:val="00AE1478"/>
    <w:rsid w:val="00AE2532"/>
    <w:rsid w:val="00AE2549"/>
    <w:rsid w:val="00AE27C3"/>
    <w:rsid w:val="00AE2D7D"/>
    <w:rsid w:val="00AE403A"/>
    <w:rsid w:val="00AE4C6E"/>
    <w:rsid w:val="00AE6AB8"/>
    <w:rsid w:val="00AE712A"/>
    <w:rsid w:val="00AE7F08"/>
    <w:rsid w:val="00AF2353"/>
    <w:rsid w:val="00AF29BA"/>
    <w:rsid w:val="00AF29CE"/>
    <w:rsid w:val="00AF648E"/>
    <w:rsid w:val="00B00168"/>
    <w:rsid w:val="00B0090E"/>
    <w:rsid w:val="00B00B62"/>
    <w:rsid w:val="00B01D52"/>
    <w:rsid w:val="00B03923"/>
    <w:rsid w:val="00B0544F"/>
    <w:rsid w:val="00B06276"/>
    <w:rsid w:val="00B06D85"/>
    <w:rsid w:val="00B07B59"/>
    <w:rsid w:val="00B11121"/>
    <w:rsid w:val="00B112C7"/>
    <w:rsid w:val="00B1198E"/>
    <w:rsid w:val="00B12ECE"/>
    <w:rsid w:val="00B14D35"/>
    <w:rsid w:val="00B174A9"/>
    <w:rsid w:val="00B1759F"/>
    <w:rsid w:val="00B179C5"/>
    <w:rsid w:val="00B204A8"/>
    <w:rsid w:val="00B21114"/>
    <w:rsid w:val="00B21652"/>
    <w:rsid w:val="00B21B02"/>
    <w:rsid w:val="00B22329"/>
    <w:rsid w:val="00B2251C"/>
    <w:rsid w:val="00B23534"/>
    <w:rsid w:val="00B23A73"/>
    <w:rsid w:val="00B23FF4"/>
    <w:rsid w:val="00B24D22"/>
    <w:rsid w:val="00B24DF6"/>
    <w:rsid w:val="00B25AA6"/>
    <w:rsid w:val="00B30634"/>
    <w:rsid w:val="00B30863"/>
    <w:rsid w:val="00B31D7E"/>
    <w:rsid w:val="00B32C0D"/>
    <w:rsid w:val="00B3504F"/>
    <w:rsid w:val="00B3563B"/>
    <w:rsid w:val="00B35C8E"/>
    <w:rsid w:val="00B361BB"/>
    <w:rsid w:val="00B368D9"/>
    <w:rsid w:val="00B36B6E"/>
    <w:rsid w:val="00B37C57"/>
    <w:rsid w:val="00B37D2D"/>
    <w:rsid w:val="00B4022D"/>
    <w:rsid w:val="00B433B1"/>
    <w:rsid w:val="00B43EB2"/>
    <w:rsid w:val="00B44EEC"/>
    <w:rsid w:val="00B475EE"/>
    <w:rsid w:val="00B50FF1"/>
    <w:rsid w:val="00B5336D"/>
    <w:rsid w:val="00B544D6"/>
    <w:rsid w:val="00B54B0B"/>
    <w:rsid w:val="00B55172"/>
    <w:rsid w:val="00B57281"/>
    <w:rsid w:val="00B57A97"/>
    <w:rsid w:val="00B61804"/>
    <w:rsid w:val="00B6306F"/>
    <w:rsid w:val="00B655F2"/>
    <w:rsid w:val="00B65DC7"/>
    <w:rsid w:val="00B677E0"/>
    <w:rsid w:val="00B7051B"/>
    <w:rsid w:val="00B70D75"/>
    <w:rsid w:val="00B71C1F"/>
    <w:rsid w:val="00B721D3"/>
    <w:rsid w:val="00B74A80"/>
    <w:rsid w:val="00B74B7A"/>
    <w:rsid w:val="00B75C75"/>
    <w:rsid w:val="00B76A3B"/>
    <w:rsid w:val="00B80807"/>
    <w:rsid w:val="00B8288B"/>
    <w:rsid w:val="00B839FC"/>
    <w:rsid w:val="00B855B4"/>
    <w:rsid w:val="00B859F1"/>
    <w:rsid w:val="00B85DA7"/>
    <w:rsid w:val="00B862CC"/>
    <w:rsid w:val="00B86630"/>
    <w:rsid w:val="00B8746E"/>
    <w:rsid w:val="00B90D94"/>
    <w:rsid w:val="00B924D6"/>
    <w:rsid w:val="00B9272D"/>
    <w:rsid w:val="00B92F8D"/>
    <w:rsid w:val="00B93FC3"/>
    <w:rsid w:val="00B9518F"/>
    <w:rsid w:val="00B95CFC"/>
    <w:rsid w:val="00B96881"/>
    <w:rsid w:val="00BA0B0C"/>
    <w:rsid w:val="00BA0CEF"/>
    <w:rsid w:val="00BA10C2"/>
    <w:rsid w:val="00BA6A0F"/>
    <w:rsid w:val="00BA7E77"/>
    <w:rsid w:val="00BB0623"/>
    <w:rsid w:val="00BB0D46"/>
    <w:rsid w:val="00BB204F"/>
    <w:rsid w:val="00BB24A1"/>
    <w:rsid w:val="00BB2912"/>
    <w:rsid w:val="00BB473D"/>
    <w:rsid w:val="00BB52C4"/>
    <w:rsid w:val="00BB6A60"/>
    <w:rsid w:val="00BB7F82"/>
    <w:rsid w:val="00BC005C"/>
    <w:rsid w:val="00BC1462"/>
    <w:rsid w:val="00BC2AB2"/>
    <w:rsid w:val="00BC30DF"/>
    <w:rsid w:val="00BC4F68"/>
    <w:rsid w:val="00BC66EB"/>
    <w:rsid w:val="00BC751E"/>
    <w:rsid w:val="00BC76A0"/>
    <w:rsid w:val="00BD0295"/>
    <w:rsid w:val="00BD099D"/>
    <w:rsid w:val="00BD2153"/>
    <w:rsid w:val="00BD22B1"/>
    <w:rsid w:val="00BD27C8"/>
    <w:rsid w:val="00BD2D7E"/>
    <w:rsid w:val="00BD2F48"/>
    <w:rsid w:val="00BD310C"/>
    <w:rsid w:val="00BD3A23"/>
    <w:rsid w:val="00BD4C92"/>
    <w:rsid w:val="00BD4FD3"/>
    <w:rsid w:val="00BD5F39"/>
    <w:rsid w:val="00BD66F9"/>
    <w:rsid w:val="00BD6896"/>
    <w:rsid w:val="00BE086C"/>
    <w:rsid w:val="00BE1CA1"/>
    <w:rsid w:val="00BE1FE7"/>
    <w:rsid w:val="00BE2D90"/>
    <w:rsid w:val="00BE32ED"/>
    <w:rsid w:val="00BE3691"/>
    <w:rsid w:val="00BE4978"/>
    <w:rsid w:val="00BE4A3A"/>
    <w:rsid w:val="00BF0D44"/>
    <w:rsid w:val="00BF24DC"/>
    <w:rsid w:val="00BF2C5A"/>
    <w:rsid w:val="00BF41DA"/>
    <w:rsid w:val="00BF4FB5"/>
    <w:rsid w:val="00BF5A45"/>
    <w:rsid w:val="00BF5C40"/>
    <w:rsid w:val="00BF6E03"/>
    <w:rsid w:val="00C00AA3"/>
    <w:rsid w:val="00C01E9C"/>
    <w:rsid w:val="00C024D8"/>
    <w:rsid w:val="00C027A5"/>
    <w:rsid w:val="00C06268"/>
    <w:rsid w:val="00C079FF"/>
    <w:rsid w:val="00C10685"/>
    <w:rsid w:val="00C10926"/>
    <w:rsid w:val="00C114A2"/>
    <w:rsid w:val="00C11C76"/>
    <w:rsid w:val="00C120AC"/>
    <w:rsid w:val="00C15231"/>
    <w:rsid w:val="00C22DB2"/>
    <w:rsid w:val="00C242E8"/>
    <w:rsid w:val="00C267AD"/>
    <w:rsid w:val="00C26B0A"/>
    <w:rsid w:val="00C312FC"/>
    <w:rsid w:val="00C3250C"/>
    <w:rsid w:val="00C329D4"/>
    <w:rsid w:val="00C3361F"/>
    <w:rsid w:val="00C33E69"/>
    <w:rsid w:val="00C342C2"/>
    <w:rsid w:val="00C34FE9"/>
    <w:rsid w:val="00C35D67"/>
    <w:rsid w:val="00C405A7"/>
    <w:rsid w:val="00C41223"/>
    <w:rsid w:val="00C44A48"/>
    <w:rsid w:val="00C44C70"/>
    <w:rsid w:val="00C45120"/>
    <w:rsid w:val="00C451DC"/>
    <w:rsid w:val="00C46966"/>
    <w:rsid w:val="00C47100"/>
    <w:rsid w:val="00C4747C"/>
    <w:rsid w:val="00C479DB"/>
    <w:rsid w:val="00C506E3"/>
    <w:rsid w:val="00C50D30"/>
    <w:rsid w:val="00C5206F"/>
    <w:rsid w:val="00C5361F"/>
    <w:rsid w:val="00C538ED"/>
    <w:rsid w:val="00C5597A"/>
    <w:rsid w:val="00C55A43"/>
    <w:rsid w:val="00C60E74"/>
    <w:rsid w:val="00C640B7"/>
    <w:rsid w:val="00C72F4C"/>
    <w:rsid w:val="00C73BD5"/>
    <w:rsid w:val="00C74F65"/>
    <w:rsid w:val="00C7566F"/>
    <w:rsid w:val="00C77CA7"/>
    <w:rsid w:val="00C77D41"/>
    <w:rsid w:val="00C8101F"/>
    <w:rsid w:val="00C81E26"/>
    <w:rsid w:val="00C82637"/>
    <w:rsid w:val="00C82765"/>
    <w:rsid w:val="00C8304B"/>
    <w:rsid w:val="00C83466"/>
    <w:rsid w:val="00C8579C"/>
    <w:rsid w:val="00C861CA"/>
    <w:rsid w:val="00C928F5"/>
    <w:rsid w:val="00C92F34"/>
    <w:rsid w:val="00C937F0"/>
    <w:rsid w:val="00C93A7B"/>
    <w:rsid w:val="00C94905"/>
    <w:rsid w:val="00C9609E"/>
    <w:rsid w:val="00C97867"/>
    <w:rsid w:val="00CA13E6"/>
    <w:rsid w:val="00CA2396"/>
    <w:rsid w:val="00CA2560"/>
    <w:rsid w:val="00CA2DF3"/>
    <w:rsid w:val="00CB174C"/>
    <w:rsid w:val="00CB2D8D"/>
    <w:rsid w:val="00CB40E0"/>
    <w:rsid w:val="00CB4F30"/>
    <w:rsid w:val="00CB5002"/>
    <w:rsid w:val="00CB5BC9"/>
    <w:rsid w:val="00CB5DCD"/>
    <w:rsid w:val="00CB6149"/>
    <w:rsid w:val="00CB663F"/>
    <w:rsid w:val="00CB6DA4"/>
    <w:rsid w:val="00CB75A5"/>
    <w:rsid w:val="00CC13D2"/>
    <w:rsid w:val="00CC1B23"/>
    <w:rsid w:val="00CC23BD"/>
    <w:rsid w:val="00CC2A6E"/>
    <w:rsid w:val="00CC417D"/>
    <w:rsid w:val="00CC4287"/>
    <w:rsid w:val="00CC4451"/>
    <w:rsid w:val="00CC6C6C"/>
    <w:rsid w:val="00CC7F18"/>
    <w:rsid w:val="00CD012C"/>
    <w:rsid w:val="00CD15F0"/>
    <w:rsid w:val="00CD2977"/>
    <w:rsid w:val="00CD3D2E"/>
    <w:rsid w:val="00CD4109"/>
    <w:rsid w:val="00CD49DF"/>
    <w:rsid w:val="00CD5788"/>
    <w:rsid w:val="00CD5FFC"/>
    <w:rsid w:val="00CE276D"/>
    <w:rsid w:val="00CE606A"/>
    <w:rsid w:val="00CE62CD"/>
    <w:rsid w:val="00CE68F8"/>
    <w:rsid w:val="00CE6D88"/>
    <w:rsid w:val="00CE7CC4"/>
    <w:rsid w:val="00CE7D56"/>
    <w:rsid w:val="00CE7FCD"/>
    <w:rsid w:val="00CF070D"/>
    <w:rsid w:val="00CF1293"/>
    <w:rsid w:val="00CF260A"/>
    <w:rsid w:val="00CF2FDE"/>
    <w:rsid w:val="00CF3324"/>
    <w:rsid w:val="00CF5676"/>
    <w:rsid w:val="00CF6DD7"/>
    <w:rsid w:val="00CF7C44"/>
    <w:rsid w:val="00D0209D"/>
    <w:rsid w:val="00D02FB4"/>
    <w:rsid w:val="00D03924"/>
    <w:rsid w:val="00D076A4"/>
    <w:rsid w:val="00D113EB"/>
    <w:rsid w:val="00D12142"/>
    <w:rsid w:val="00D12219"/>
    <w:rsid w:val="00D1282F"/>
    <w:rsid w:val="00D13508"/>
    <w:rsid w:val="00D13AC5"/>
    <w:rsid w:val="00D14757"/>
    <w:rsid w:val="00D147D6"/>
    <w:rsid w:val="00D16D15"/>
    <w:rsid w:val="00D204A6"/>
    <w:rsid w:val="00D20847"/>
    <w:rsid w:val="00D21679"/>
    <w:rsid w:val="00D216B6"/>
    <w:rsid w:val="00D219BF"/>
    <w:rsid w:val="00D219DF"/>
    <w:rsid w:val="00D21D28"/>
    <w:rsid w:val="00D21EC3"/>
    <w:rsid w:val="00D22DB1"/>
    <w:rsid w:val="00D236CA"/>
    <w:rsid w:val="00D2395F"/>
    <w:rsid w:val="00D24A96"/>
    <w:rsid w:val="00D2621F"/>
    <w:rsid w:val="00D27602"/>
    <w:rsid w:val="00D3193D"/>
    <w:rsid w:val="00D31995"/>
    <w:rsid w:val="00D34969"/>
    <w:rsid w:val="00D419D8"/>
    <w:rsid w:val="00D438F7"/>
    <w:rsid w:val="00D45243"/>
    <w:rsid w:val="00D46506"/>
    <w:rsid w:val="00D47B40"/>
    <w:rsid w:val="00D47BF5"/>
    <w:rsid w:val="00D5144C"/>
    <w:rsid w:val="00D51504"/>
    <w:rsid w:val="00D51987"/>
    <w:rsid w:val="00D520A3"/>
    <w:rsid w:val="00D531CD"/>
    <w:rsid w:val="00D54C54"/>
    <w:rsid w:val="00D55C41"/>
    <w:rsid w:val="00D5669B"/>
    <w:rsid w:val="00D575DD"/>
    <w:rsid w:val="00D57C37"/>
    <w:rsid w:val="00D600B6"/>
    <w:rsid w:val="00D63B5A"/>
    <w:rsid w:val="00D64CAC"/>
    <w:rsid w:val="00D64D49"/>
    <w:rsid w:val="00D65C66"/>
    <w:rsid w:val="00D664D8"/>
    <w:rsid w:val="00D67AAF"/>
    <w:rsid w:val="00D702C9"/>
    <w:rsid w:val="00D70B71"/>
    <w:rsid w:val="00D7404F"/>
    <w:rsid w:val="00D748CF"/>
    <w:rsid w:val="00D74CE7"/>
    <w:rsid w:val="00D752FF"/>
    <w:rsid w:val="00D75B30"/>
    <w:rsid w:val="00D7640E"/>
    <w:rsid w:val="00D766FD"/>
    <w:rsid w:val="00D76F14"/>
    <w:rsid w:val="00D77623"/>
    <w:rsid w:val="00D81BE8"/>
    <w:rsid w:val="00D82A16"/>
    <w:rsid w:val="00D8341E"/>
    <w:rsid w:val="00D871F7"/>
    <w:rsid w:val="00D879AD"/>
    <w:rsid w:val="00D9402B"/>
    <w:rsid w:val="00D94390"/>
    <w:rsid w:val="00D94926"/>
    <w:rsid w:val="00D94A1E"/>
    <w:rsid w:val="00D954A3"/>
    <w:rsid w:val="00D95676"/>
    <w:rsid w:val="00D95DCA"/>
    <w:rsid w:val="00D95EFC"/>
    <w:rsid w:val="00DA31C9"/>
    <w:rsid w:val="00DA3242"/>
    <w:rsid w:val="00DA4514"/>
    <w:rsid w:val="00DA4D85"/>
    <w:rsid w:val="00DA5F3F"/>
    <w:rsid w:val="00DA614E"/>
    <w:rsid w:val="00DA7D9A"/>
    <w:rsid w:val="00DB3BE4"/>
    <w:rsid w:val="00DB3CE2"/>
    <w:rsid w:val="00DB4046"/>
    <w:rsid w:val="00DB4AE5"/>
    <w:rsid w:val="00DB7853"/>
    <w:rsid w:val="00DC05D7"/>
    <w:rsid w:val="00DC0C3C"/>
    <w:rsid w:val="00DC18DD"/>
    <w:rsid w:val="00DC3796"/>
    <w:rsid w:val="00DC4DED"/>
    <w:rsid w:val="00DC5C25"/>
    <w:rsid w:val="00DC614B"/>
    <w:rsid w:val="00DC6348"/>
    <w:rsid w:val="00DC6BFE"/>
    <w:rsid w:val="00DC6EC1"/>
    <w:rsid w:val="00DC7E74"/>
    <w:rsid w:val="00DD0660"/>
    <w:rsid w:val="00DD1AF6"/>
    <w:rsid w:val="00DD25A5"/>
    <w:rsid w:val="00DD3637"/>
    <w:rsid w:val="00DD363B"/>
    <w:rsid w:val="00DD568D"/>
    <w:rsid w:val="00DD5D93"/>
    <w:rsid w:val="00DE00A0"/>
    <w:rsid w:val="00DE00A7"/>
    <w:rsid w:val="00DE1BFD"/>
    <w:rsid w:val="00DE400F"/>
    <w:rsid w:val="00DE4F7C"/>
    <w:rsid w:val="00DE7E91"/>
    <w:rsid w:val="00DF2AB8"/>
    <w:rsid w:val="00DF31D3"/>
    <w:rsid w:val="00DF3717"/>
    <w:rsid w:val="00DF4957"/>
    <w:rsid w:val="00DF75D4"/>
    <w:rsid w:val="00E000E4"/>
    <w:rsid w:val="00E062AD"/>
    <w:rsid w:val="00E06470"/>
    <w:rsid w:val="00E1062A"/>
    <w:rsid w:val="00E12670"/>
    <w:rsid w:val="00E12CDB"/>
    <w:rsid w:val="00E13955"/>
    <w:rsid w:val="00E13C85"/>
    <w:rsid w:val="00E140DB"/>
    <w:rsid w:val="00E15472"/>
    <w:rsid w:val="00E15A81"/>
    <w:rsid w:val="00E15ADE"/>
    <w:rsid w:val="00E16F85"/>
    <w:rsid w:val="00E200E1"/>
    <w:rsid w:val="00E21218"/>
    <w:rsid w:val="00E24640"/>
    <w:rsid w:val="00E24732"/>
    <w:rsid w:val="00E2473B"/>
    <w:rsid w:val="00E25A21"/>
    <w:rsid w:val="00E26B2F"/>
    <w:rsid w:val="00E300E1"/>
    <w:rsid w:val="00E302B0"/>
    <w:rsid w:val="00E306F9"/>
    <w:rsid w:val="00E309FF"/>
    <w:rsid w:val="00E31932"/>
    <w:rsid w:val="00E31C1B"/>
    <w:rsid w:val="00E3280F"/>
    <w:rsid w:val="00E33558"/>
    <w:rsid w:val="00E33ADC"/>
    <w:rsid w:val="00E34149"/>
    <w:rsid w:val="00E36939"/>
    <w:rsid w:val="00E36D98"/>
    <w:rsid w:val="00E401CD"/>
    <w:rsid w:val="00E40CA7"/>
    <w:rsid w:val="00E4548E"/>
    <w:rsid w:val="00E5031F"/>
    <w:rsid w:val="00E512E4"/>
    <w:rsid w:val="00E51569"/>
    <w:rsid w:val="00E51C8F"/>
    <w:rsid w:val="00E5351F"/>
    <w:rsid w:val="00E561F6"/>
    <w:rsid w:val="00E60751"/>
    <w:rsid w:val="00E60BC8"/>
    <w:rsid w:val="00E61B9D"/>
    <w:rsid w:val="00E64E60"/>
    <w:rsid w:val="00E656C0"/>
    <w:rsid w:val="00E65B0D"/>
    <w:rsid w:val="00E678B6"/>
    <w:rsid w:val="00E73325"/>
    <w:rsid w:val="00E737FA"/>
    <w:rsid w:val="00E737FD"/>
    <w:rsid w:val="00E75929"/>
    <w:rsid w:val="00E77DD3"/>
    <w:rsid w:val="00E80595"/>
    <w:rsid w:val="00E80CAD"/>
    <w:rsid w:val="00E81186"/>
    <w:rsid w:val="00E815E4"/>
    <w:rsid w:val="00E83037"/>
    <w:rsid w:val="00E8315F"/>
    <w:rsid w:val="00E83907"/>
    <w:rsid w:val="00E84B71"/>
    <w:rsid w:val="00E85229"/>
    <w:rsid w:val="00E86C77"/>
    <w:rsid w:val="00E870E0"/>
    <w:rsid w:val="00E8764F"/>
    <w:rsid w:val="00E90D07"/>
    <w:rsid w:val="00E923B0"/>
    <w:rsid w:val="00E92429"/>
    <w:rsid w:val="00E932FE"/>
    <w:rsid w:val="00E9435F"/>
    <w:rsid w:val="00E954BF"/>
    <w:rsid w:val="00E957BA"/>
    <w:rsid w:val="00E96121"/>
    <w:rsid w:val="00E96960"/>
    <w:rsid w:val="00EA0B55"/>
    <w:rsid w:val="00EA0C8B"/>
    <w:rsid w:val="00EA12B6"/>
    <w:rsid w:val="00EA231F"/>
    <w:rsid w:val="00EA29A3"/>
    <w:rsid w:val="00EA2B62"/>
    <w:rsid w:val="00EA2B8A"/>
    <w:rsid w:val="00EA566E"/>
    <w:rsid w:val="00EA5911"/>
    <w:rsid w:val="00EA64FE"/>
    <w:rsid w:val="00EA6A84"/>
    <w:rsid w:val="00EA74D6"/>
    <w:rsid w:val="00EA76F9"/>
    <w:rsid w:val="00EA78EC"/>
    <w:rsid w:val="00EB106E"/>
    <w:rsid w:val="00EB1B58"/>
    <w:rsid w:val="00EB279F"/>
    <w:rsid w:val="00EB27B7"/>
    <w:rsid w:val="00EB2A4D"/>
    <w:rsid w:val="00EB2BFD"/>
    <w:rsid w:val="00EB3012"/>
    <w:rsid w:val="00EB46DD"/>
    <w:rsid w:val="00EB4A2A"/>
    <w:rsid w:val="00EB5A16"/>
    <w:rsid w:val="00EB5DC2"/>
    <w:rsid w:val="00EC0F17"/>
    <w:rsid w:val="00EC38EC"/>
    <w:rsid w:val="00EC3A70"/>
    <w:rsid w:val="00EC41BB"/>
    <w:rsid w:val="00EC6E75"/>
    <w:rsid w:val="00EC7289"/>
    <w:rsid w:val="00EC7679"/>
    <w:rsid w:val="00EC7D92"/>
    <w:rsid w:val="00ED1B91"/>
    <w:rsid w:val="00ED20F2"/>
    <w:rsid w:val="00ED2A25"/>
    <w:rsid w:val="00ED3B44"/>
    <w:rsid w:val="00ED4113"/>
    <w:rsid w:val="00ED4121"/>
    <w:rsid w:val="00ED7203"/>
    <w:rsid w:val="00EE0F73"/>
    <w:rsid w:val="00EE1299"/>
    <w:rsid w:val="00EE1700"/>
    <w:rsid w:val="00EE227F"/>
    <w:rsid w:val="00EE2F7F"/>
    <w:rsid w:val="00EE5557"/>
    <w:rsid w:val="00EF127C"/>
    <w:rsid w:val="00EF303D"/>
    <w:rsid w:val="00EF3E4E"/>
    <w:rsid w:val="00EF475E"/>
    <w:rsid w:val="00EF71F3"/>
    <w:rsid w:val="00F06A78"/>
    <w:rsid w:val="00F100A2"/>
    <w:rsid w:val="00F10A74"/>
    <w:rsid w:val="00F11EE1"/>
    <w:rsid w:val="00F1286B"/>
    <w:rsid w:val="00F1296E"/>
    <w:rsid w:val="00F13963"/>
    <w:rsid w:val="00F13999"/>
    <w:rsid w:val="00F13BAB"/>
    <w:rsid w:val="00F1403C"/>
    <w:rsid w:val="00F15A80"/>
    <w:rsid w:val="00F16227"/>
    <w:rsid w:val="00F21368"/>
    <w:rsid w:val="00F21BCB"/>
    <w:rsid w:val="00F22C9F"/>
    <w:rsid w:val="00F246A3"/>
    <w:rsid w:val="00F25338"/>
    <w:rsid w:val="00F2665F"/>
    <w:rsid w:val="00F27F44"/>
    <w:rsid w:val="00F30148"/>
    <w:rsid w:val="00F32EB2"/>
    <w:rsid w:val="00F33824"/>
    <w:rsid w:val="00F34C94"/>
    <w:rsid w:val="00F35823"/>
    <w:rsid w:val="00F36BC1"/>
    <w:rsid w:val="00F415E7"/>
    <w:rsid w:val="00F42B77"/>
    <w:rsid w:val="00F440CF"/>
    <w:rsid w:val="00F44562"/>
    <w:rsid w:val="00F4628E"/>
    <w:rsid w:val="00F47E8C"/>
    <w:rsid w:val="00F501CD"/>
    <w:rsid w:val="00F50765"/>
    <w:rsid w:val="00F50E48"/>
    <w:rsid w:val="00F51425"/>
    <w:rsid w:val="00F524FE"/>
    <w:rsid w:val="00F5262B"/>
    <w:rsid w:val="00F528D3"/>
    <w:rsid w:val="00F52F1C"/>
    <w:rsid w:val="00F55D0F"/>
    <w:rsid w:val="00F569D9"/>
    <w:rsid w:val="00F57D13"/>
    <w:rsid w:val="00F57D27"/>
    <w:rsid w:val="00F60907"/>
    <w:rsid w:val="00F60DE0"/>
    <w:rsid w:val="00F63BAD"/>
    <w:rsid w:val="00F647BA"/>
    <w:rsid w:val="00F64C0B"/>
    <w:rsid w:val="00F65136"/>
    <w:rsid w:val="00F66D91"/>
    <w:rsid w:val="00F671BF"/>
    <w:rsid w:val="00F67905"/>
    <w:rsid w:val="00F67A52"/>
    <w:rsid w:val="00F708B2"/>
    <w:rsid w:val="00F71394"/>
    <w:rsid w:val="00F74A02"/>
    <w:rsid w:val="00F74CBB"/>
    <w:rsid w:val="00F757C6"/>
    <w:rsid w:val="00F75C2F"/>
    <w:rsid w:val="00F8013E"/>
    <w:rsid w:val="00F84435"/>
    <w:rsid w:val="00F848C5"/>
    <w:rsid w:val="00F849AE"/>
    <w:rsid w:val="00F84B55"/>
    <w:rsid w:val="00F85DBF"/>
    <w:rsid w:val="00F87F1A"/>
    <w:rsid w:val="00F90A81"/>
    <w:rsid w:val="00F90DB7"/>
    <w:rsid w:val="00F913BD"/>
    <w:rsid w:val="00F927EF"/>
    <w:rsid w:val="00F929D0"/>
    <w:rsid w:val="00F94289"/>
    <w:rsid w:val="00F94F04"/>
    <w:rsid w:val="00F9534F"/>
    <w:rsid w:val="00F953F5"/>
    <w:rsid w:val="00F95FF6"/>
    <w:rsid w:val="00F96364"/>
    <w:rsid w:val="00FA0156"/>
    <w:rsid w:val="00FA0E11"/>
    <w:rsid w:val="00FA20C5"/>
    <w:rsid w:val="00FA4ABB"/>
    <w:rsid w:val="00FA6503"/>
    <w:rsid w:val="00FA7884"/>
    <w:rsid w:val="00FB2794"/>
    <w:rsid w:val="00FB27EB"/>
    <w:rsid w:val="00FB39F2"/>
    <w:rsid w:val="00FB7B1C"/>
    <w:rsid w:val="00FB7F4F"/>
    <w:rsid w:val="00FC0DF4"/>
    <w:rsid w:val="00FC1027"/>
    <w:rsid w:val="00FC1D0F"/>
    <w:rsid w:val="00FC1F16"/>
    <w:rsid w:val="00FC60E2"/>
    <w:rsid w:val="00FC6337"/>
    <w:rsid w:val="00FD08AE"/>
    <w:rsid w:val="00FD2D65"/>
    <w:rsid w:val="00FD4417"/>
    <w:rsid w:val="00FD520D"/>
    <w:rsid w:val="00FD5FFF"/>
    <w:rsid w:val="00FD74C1"/>
    <w:rsid w:val="00FD7593"/>
    <w:rsid w:val="00FE13D9"/>
    <w:rsid w:val="00FE192A"/>
    <w:rsid w:val="00FE1AF1"/>
    <w:rsid w:val="00FE2BF6"/>
    <w:rsid w:val="00FE67A8"/>
    <w:rsid w:val="00FE729B"/>
    <w:rsid w:val="00FE792D"/>
    <w:rsid w:val="00FF0BB0"/>
    <w:rsid w:val="00FF1FFC"/>
    <w:rsid w:val="3A3928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o:shapelayout v:ext="edit">
      <o:idmap v:ext="edit" data="1"/>
    </o:shapelayout>
  </w:shapeDefaults>
  <w:decimalSymbol w:val="."/>
  <w:listSeparator w:val=","/>
  <w14:docId w14:val="2E5E3748"/>
  <w15:docId w15:val="{AAA402EC-E82F-4AE5-B69A-4E996CD9A1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qFormat="1"/>
    <w:lsdException w:name="footnote text" w:semiHidden="1" w:unhideWhenUsed="1"/>
    <w:lsdException w:name="annotation text" w:uiPriority="0"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Calibri" w:hAnsi="Calibri"/>
      <w:kern w:val="2"/>
      <w:sz w:val="21"/>
      <w:szCs w:val="22"/>
    </w:rPr>
  </w:style>
  <w:style w:type="paragraph" w:styleId="1">
    <w:name w:val="heading 1"/>
    <w:basedOn w:val="a"/>
    <w:next w:val="a"/>
    <w:link w:val="10"/>
    <w:qFormat/>
    <w:pPr>
      <w:keepNext/>
      <w:keepLines/>
      <w:spacing w:line="360" w:lineRule="auto"/>
      <w:outlineLvl w:val="0"/>
    </w:pPr>
    <w:rPr>
      <w:b/>
      <w:bCs/>
      <w:kern w:val="44"/>
      <w:sz w:val="28"/>
      <w:szCs w:val="44"/>
    </w:rPr>
  </w:style>
  <w:style w:type="paragraph" w:styleId="2">
    <w:name w:val="heading 2"/>
    <w:basedOn w:val="a"/>
    <w:next w:val="a"/>
    <w:link w:val="20"/>
    <w:uiPriority w:val="9"/>
    <w:qFormat/>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uiPriority w:val="9"/>
    <w:qFormat/>
    <w:pPr>
      <w:keepNext/>
      <w:keepLines/>
      <w:spacing w:before="260" w:after="260" w:line="416" w:lineRule="auto"/>
      <w:outlineLvl w:val="2"/>
    </w:pPr>
    <w:rPr>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uiPriority w:val="99"/>
    <w:qFormat/>
    <w:pPr>
      <w:ind w:firstLineChars="200" w:firstLine="420"/>
    </w:pPr>
    <w:rPr>
      <w:rFonts w:ascii="Times New Roman" w:hAnsi="Times New Roman"/>
      <w:szCs w:val="24"/>
    </w:rPr>
  </w:style>
  <w:style w:type="paragraph" w:styleId="a4">
    <w:name w:val="Document Map"/>
    <w:basedOn w:val="a"/>
    <w:link w:val="a5"/>
    <w:uiPriority w:val="99"/>
    <w:semiHidden/>
    <w:unhideWhenUsed/>
    <w:rPr>
      <w:rFonts w:ascii="宋体"/>
      <w:kern w:val="0"/>
      <w:sz w:val="18"/>
      <w:szCs w:val="18"/>
    </w:rPr>
  </w:style>
  <w:style w:type="paragraph" w:styleId="a6">
    <w:name w:val="annotation text"/>
    <w:basedOn w:val="a"/>
    <w:link w:val="a7"/>
    <w:unhideWhenUsed/>
    <w:pPr>
      <w:jc w:val="left"/>
    </w:pPr>
  </w:style>
  <w:style w:type="paragraph" w:styleId="TOC3">
    <w:name w:val="toc 3"/>
    <w:basedOn w:val="a"/>
    <w:next w:val="a"/>
    <w:uiPriority w:val="39"/>
    <w:semiHidden/>
    <w:unhideWhenUsed/>
    <w:qFormat/>
    <w:pPr>
      <w:widowControl/>
      <w:spacing w:after="100" w:line="276" w:lineRule="auto"/>
      <w:ind w:left="440"/>
      <w:jc w:val="left"/>
    </w:pPr>
    <w:rPr>
      <w:kern w:val="0"/>
      <w:sz w:val="22"/>
    </w:rPr>
  </w:style>
  <w:style w:type="paragraph" w:styleId="a8">
    <w:name w:val="Balloon Text"/>
    <w:basedOn w:val="a"/>
    <w:link w:val="a9"/>
    <w:uiPriority w:val="99"/>
    <w:semiHidden/>
    <w:unhideWhenUsed/>
    <w:rPr>
      <w:kern w:val="0"/>
      <w:sz w:val="18"/>
      <w:szCs w:val="18"/>
    </w:rPr>
  </w:style>
  <w:style w:type="paragraph" w:styleId="aa">
    <w:name w:val="footer"/>
    <w:basedOn w:val="a"/>
    <w:link w:val="ab"/>
    <w:uiPriority w:val="99"/>
    <w:unhideWhenUsed/>
    <w:pPr>
      <w:tabs>
        <w:tab w:val="center" w:pos="4153"/>
        <w:tab w:val="right" w:pos="8306"/>
      </w:tabs>
      <w:snapToGrid w:val="0"/>
      <w:jc w:val="left"/>
    </w:pPr>
    <w:rPr>
      <w:kern w:val="0"/>
      <w:sz w:val="18"/>
      <w:szCs w:val="18"/>
    </w:rPr>
  </w:style>
  <w:style w:type="paragraph" w:styleId="ac">
    <w:name w:val="header"/>
    <w:basedOn w:val="a"/>
    <w:link w:val="ad"/>
    <w:uiPriority w:val="99"/>
    <w:unhideWhenUsed/>
    <w:pPr>
      <w:pBdr>
        <w:bottom w:val="single" w:sz="6" w:space="1" w:color="auto"/>
      </w:pBdr>
      <w:tabs>
        <w:tab w:val="center" w:pos="4153"/>
        <w:tab w:val="right" w:pos="8306"/>
      </w:tabs>
      <w:snapToGrid w:val="0"/>
      <w:jc w:val="center"/>
    </w:pPr>
    <w:rPr>
      <w:kern w:val="0"/>
      <w:sz w:val="18"/>
      <w:szCs w:val="18"/>
    </w:rPr>
  </w:style>
  <w:style w:type="paragraph" w:styleId="TOC1">
    <w:name w:val="toc 1"/>
    <w:basedOn w:val="a"/>
    <w:next w:val="a"/>
    <w:uiPriority w:val="39"/>
    <w:unhideWhenUsed/>
    <w:qFormat/>
    <w:pPr>
      <w:widowControl/>
      <w:spacing w:after="100" w:line="276" w:lineRule="auto"/>
      <w:jc w:val="left"/>
    </w:pPr>
    <w:rPr>
      <w:kern w:val="0"/>
      <w:sz w:val="22"/>
    </w:rPr>
  </w:style>
  <w:style w:type="paragraph" w:styleId="TOC2">
    <w:name w:val="toc 2"/>
    <w:basedOn w:val="a"/>
    <w:next w:val="a"/>
    <w:uiPriority w:val="39"/>
    <w:semiHidden/>
    <w:unhideWhenUsed/>
    <w:qFormat/>
    <w:pPr>
      <w:widowControl/>
      <w:spacing w:after="100" w:line="276" w:lineRule="auto"/>
      <w:ind w:left="220"/>
      <w:jc w:val="left"/>
    </w:pPr>
    <w:rPr>
      <w:kern w:val="0"/>
      <w:sz w:val="22"/>
    </w:rPr>
  </w:style>
  <w:style w:type="paragraph" w:styleId="ae">
    <w:name w:val="annotation subject"/>
    <w:basedOn w:val="a6"/>
    <w:next w:val="a6"/>
    <w:link w:val="af"/>
    <w:uiPriority w:val="99"/>
    <w:semiHidden/>
    <w:unhideWhenUsed/>
    <w:rPr>
      <w:b/>
      <w:bCs/>
      <w:kern w:val="0"/>
      <w:sz w:val="20"/>
      <w:szCs w:val="20"/>
    </w:rPr>
  </w:style>
  <w:style w:type="character" w:styleId="af0">
    <w:name w:val="page number"/>
    <w:basedOn w:val="a0"/>
    <w:qFormat/>
  </w:style>
  <w:style w:type="character" w:styleId="af1">
    <w:name w:val="Hyperlink"/>
    <w:uiPriority w:val="99"/>
    <w:unhideWhenUsed/>
    <w:qFormat/>
    <w:rPr>
      <w:color w:val="0000FF"/>
      <w:u w:val="single"/>
    </w:rPr>
  </w:style>
  <w:style w:type="character" w:styleId="af2">
    <w:name w:val="annotation reference"/>
    <w:unhideWhenUsed/>
    <w:rPr>
      <w:sz w:val="21"/>
      <w:szCs w:val="21"/>
    </w:rPr>
  </w:style>
  <w:style w:type="character" w:customStyle="1" w:styleId="ad">
    <w:name w:val="页眉 字符"/>
    <w:link w:val="ac"/>
    <w:uiPriority w:val="99"/>
    <w:rPr>
      <w:sz w:val="18"/>
      <w:szCs w:val="18"/>
    </w:rPr>
  </w:style>
  <w:style w:type="character" w:customStyle="1" w:styleId="ab">
    <w:name w:val="页脚 字符"/>
    <w:link w:val="aa"/>
    <w:uiPriority w:val="99"/>
    <w:rPr>
      <w:sz w:val="18"/>
      <w:szCs w:val="18"/>
    </w:rPr>
  </w:style>
  <w:style w:type="character" w:customStyle="1" w:styleId="10">
    <w:name w:val="标题 1 字符"/>
    <w:link w:val="1"/>
    <w:rPr>
      <w:b/>
      <w:bCs/>
      <w:kern w:val="44"/>
      <w:sz w:val="28"/>
      <w:szCs w:val="44"/>
    </w:rPr>
  </w:style>
  <w:style w:type="character" w:customStyle="1" w:styleId="20">
    <w:name w:val="标题 2 字符"/>
    <w:link w:val="2"/>
    <w:uiPriority w:val="9"/>
    <w:rPr>
      <w:rFonts w:ascii="Cambria" w:eastAsia="宋体" w:hAnsi="Cambria" w:cs="Times New Roman"/>
      <w:b/>
      <w:bCs/>
      <w:sz w:val="32"/>
      <w:szCs w:val="32"/>
    </w:rPr>
  </w:style>
  <w:style w:type="character" w:customStyle="1" w:styleId="30">
    <w:name w:val="标题 3 字符"/>
    <w:link w:val="3"/>
    <w:uiPriority w:val="9"/>
    <w:rPr>
      <w:b/>
      <w:bCs/>
      <w:sz w:val="32"/>
      <w:szCs w:val="32"/>
    </w:rPr>
  </w:style>
  <w:style w:type="paragraph" w:customStyle="1" w:styleId="TOC10">
    <w:name w:val="TOC 标题1"/>
    <w:basedOn w:val="1"/>
    <w:next w:val="a"/>
    <w:uiPriority w:val="39"/>
    <w:qFormat/>
    <w:pPr>
      <w:widowControl/>
      <w:spacing w:before="480" w:line="276" w:lineRule="auto"/>
      <w:jc w:val="left"/>
      <w:outlineLvl w:val="9"/>
    </w:pPr>
    <w:rPr>
      <w:rFonts w:ascii="Cambria" w:hAnsi="Cambria"/>
      <w:color w:val="365F91"/>
      <w:kern w:val="0"/>
      <w:szCs w:val="28"/>
    </w:rPr>
  </w:style>
  <w:style w:type="character" w:customStyle="1" w:styleId="a9">
    <w:name w:val="批注框文本 字符"/>
    <w:link w:val="a8"/>
    <w:uiPriority w:val="99"/>
    <w:semiHidden/>
    <w:rPr>
      <w:sz w:val="18"/>
      <w:szCs w:val="18"/>
    </w:rPr>
  </w:style>
  <w:style w:type="character" w:customStyle="1" w:styleId="a7">
    <w:name w:val="批注文字 字符"/>
    <w:basedOn w:val="a0"/>
    <w:link w:val="a6"/>
    <w:uiPriority w:val="99"/>
    <w:semiHidden/>
  </w:style>
  <w:style w:type="character" w:customStyle="1" w:styleId="af">
    <w:name w:val="批注主题 字符"/>
    <w:link w:val="ae"/>
    <w:uiPriority w:val="99"/>
    <w:semiHidden/>
    <w:rPr>
      <w:b/>
      <w:bCs/>
    </w:rPr>
  </w:style>
  <w:style w:type="character" w:customStyle="1" w:styleId="a5">
    <w:name w:val="文档结构图 字符"/>
    <w:link w:val="a4"/>
    <w:uiPriority w:val="99"/>
    <w:semiHidden/>
    <w:rPr>
      <w:rFonts w:ascii="宋体" w:eastAsia="宋体"/>
      <w:sz w:val="18"/>
      <w:szCs w:val="18"/>
    </w:rPr>
  </w:style>
  <w:style w:type="paragraph" w:customStyle="1" w:styleId="Char">
    <w:name w:val="Char"/>
    <w:basedOn w:val="a"/>
    <w:rPr>
      <w:rFonts w:ascii="Times New Roman" w:hAnsi="Times New Roman"/>
      <w:szCs w:val="24"/>
    </w:rPr>
  </w:style>
  <w:style w:type="paragraph" w:customStyle="1" w:styleId="11">
    <w:name w:val="修订1"/>
    <w:hidden/>
    <w:uiPriority w:val="99"/>
    <w:semiHidden/>
    <w:rPr>
      <w:rFonts w:ascii="Calibri" w:hAnsi="Calibri"/>
      <w:kern w:val="2"/>
      <w:sz w:val="21"/>
      <w:szCs w:val="22"/>
    </w:rPr>
  </w:style>
  <w:style w:type="character" w:customStyle="1" w:styleId="fontstyle01">
    <w:name w:val="fontstyle01"/>
    <w:qFormat/>
    <w:rPr>
      <w:rFonts w:ascii="宋体" w:eastAsia="宋体" w:hAnsi="宋体" w:hint="eastAsia"/>
      <w:color w:val="000000"/>
      <w:sz w:val="24"/>
      <w:szCs w:val="24"/>
    </w:rPr>
  </w:style>
  <w:style w:type="character" w:customStyle="1" w:styleId="fontstyle21">
    <w:name w:val="fontstyle21"/>
    <w:rPr>
      <w:rFonts w:ascii="Calibri" w:hAnsi="Calibri" w:cs="Calibri" w:hint="default"/>
      <w:color w:val="000000"/>
      <w:sz w:val="24"/>
      <w:szCs w:val="24"/>
    </w:rPr>
  </w:style>
  <w:style w:type="paragraph" w:styleId="af3">
    <w:name w:val="Revision"/>
    <w:hidden/>
    <w:uiPriority w:val="99"/>
    <w:semiHidden/>
    <w:rsid w:val="00DE1BFD"/>
    <w:rPr>
      <w:rFonts w:ascii="Calibri" w:hAnsi="Calibr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customXml" Target="../customXml/item8.xml"/><Relationship Id="rId13" Type="http://schemas.openxmlformats.org/officeDocument/2006/relationships/customXml" Target="../customXml/item13.xml"/><Relationship Id="rId18" Type="http://schemas.openxmlformats.org/officeDocument/2006/relationships/endnotes" Target="endnotes.xm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customXml" Target="../customXml/item7.xml"/><Relationship Id="rId12" Type="http://schemas.openxmlformats.org/officeDocument/2006/relationships/customXml" Target="../customXml/item12.xml"/><Relationship Id="rId17" Type="http://schemas.openxmlformats.org/officeDocument/2006/relationships/footnotes" Target="footnotes.xm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webSettings" Target="webSettings.xm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customXml" Target="../customXml/item11.xml"/><Relationship Id="rId24" Type="http://schemas.openxmlformats.org/officeDocument/2006/relationships/footer" Target="footer4.xml"/><Relationship Id="rId5" Type="http://schemas.openxmlformats.org/officeDocument/2006/relationships/customXml" Target="../customXml/item5.xml"/><Relationship Id="rId15" Type="http://schemas.openxmlformats.org/officeDocument/2006/relationships/settings" Target="settings.xml"/><Relationship Id="rId23" Type="http://schemas.openxmlformats.org/officeDocument/2006/relationships/header" Target="header2.xml"/><Relationship Id="rId10" Type="http://schemas.openxmlformats.org/officeDocument/2006/relationships/customXml" Target="../customXml/item10.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customXml" Target="../customXml/item9.xml"/><Relationship Id="rId14" Type="http://schemas.openxmlformats.org/officeDocument/2006/relationships/styles" Target="styles.xml"/><Relationship Id="rId22"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s:customData xmlns="http://www.wps.cn/officeDocument/2013/wpsCustomData" xmlns:s="http://www.wps.cn/officeDocument/2013/wpsCustomData">
  <customSectProps>
    <customSectPr/>
    <customSectPr/>
    <customSectPr/>
  </customSectProps>
</s:customData>
</file>

<file path=customXml/item11.xml><?xml version="1.0" encoding="utf-8"?>
<b:Sources xmlns:b="http://schemas.openxmlformats.org/officeDocument/2006/bibliography" xmlns="http://schemas.openxmlformats.org/officeDocument/2006/bibliography" SelectedStyle="\APA.XSL" StyleName="APA"/>
</file>

<file path=customXml/item12.xml><?xml version="1.0" encoding="utf-8"?>
<b:Sources xmlns:b="http://schemas.openxmlformats.org/officeDocument/2006/bibliography" xmlns="http://schemas.openxmlformats.org/officeDocument/2006/bibliography" SelectedStyle="\APA.XSL" StyleName="APA"/>
</file>

<file path=customXml/item13.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3D49131-CB46-4DD5-A32F-63946E105641}">
  <ds:schemaRefs>
    <ds:schemaRef ds:uri="http://schemas.openxmlformats.org/officeDocument/2006/bibliography"/>
  </ds:schemaRefs>
</ds:datastoreItem>
</file>

<file path=customXml/itemProps2.xml><?xml version="1.0" encoding="utf-8"?>
<ds:datastoreItem xmlns:ds="http://schemas.openxmlformats.org/officeDocument/2006/customXml" ds:itemID="{B2FCFE4B-864C-4BD6-9EA5-FB2575D40E94}">
  <ds:schemaRefs>
    <ds:schemaRef ds:uri="http://schemas.openxmlformats.org/officeDocument/2006/bibliography"/>
  </ds:schemaRefs>
</ds:datastoreItem>
</file>

<file path=customXml/itemProps3.xml><?xml version="1.0" encoding="utf-8"?>
<ds:datastoreItem xmlns:ds="http://schemas.openxmlformats.org/officeDocument/2006/customXml" ds:itemID="{1F0A8CCA-D9C1-44AF-AF44-5ACF185D0FFB}">
  <ds:schemaRefs>
    <ds:schemaRef ds:uri="http://schemas.openxmlformats.org/officeDocument/2006/bibliography"/>
  </ds:schemaRefs>
</ds:datastoreItem>
</file>

<file path=customXml/itemProps4.xml><?xml version="1.0" encoding="utf-8"?>
<ds:datastoreItem xmlns:ds="http://schemas.openxmlformats.org/officeDocument/2006/customXml" ds:itemID="{536CCFAA-54A6-454F-AAA4-2DACB1BC152B}">
  <ds:schemaRefs>
    <ds:schemaRef ds:uri="http://schemas.openxmlformats.org/officeDocument/2006/bibliography"/>
  </ds:schemaRefs>
</ds:datastoreItem>
</file>

<file path=customXml/itemProps5.xml><?xml version="1.0" encoding="utf-8"?>
<ds:datastoreItem xmlns:ds="http://schemas.openxmlformats.org/officeDocument/2006/customXml" ds:itemID="{6DC0FD0E-81AC-42D6-92F9-FABC293A7F61}">
  <ds:schemaRefs>
    <ds:schemaRef ds:uri="http://schemas.openxmlformats.org/officeDocument/2006/bibliography"/>
  </ds:schemaRefs>
</ds:datastoreItem>
</file>

<file path=customXml/itemProps6.xml><?xml version="1.0" encoding="utf-8"?>
<ds:datastoreItem xmlns:ds="http://schemas.openxmlformats.org/officeDocument/2006/customXml" ds:itemID="{248D4EC6-64DF-4A68-BEC9-F330392E9CAC}">
  <ds:schemaRefs>
    <ds:schemaRef ds:uri="http://schemas.openxmlformats.org/officeDocument/2006/bibliography"/>
  </ds:schemaRefs>
</ds:datastoreItem>
</file>

<file path=customXml/itemProps7.xml><?xml version="1.0" encoding="utf-8"?>
<ds:datastoreItem xmlns:ds="http://schemas.openxmlformats.org/officeDocument/2006/customXml" ds:itemID="{1E4C4620-1C23-4624-A3EF-C0314F1C2249}">
  <ds:schemaRefs>
    <ds:schemaRef ds:uri="http://schemas.openxmlformats.org/officeDocument/2006/bibliography"/>
  </ds:schemaRefs>
</ds:datastoreItem>
</file>

<file path=customXml/itemProps8.xml><?xml version="1.0" encoding="utf-8"?>
<ds:datastoreItem xmlns:ds="http://schemas.openxmlformats.org/officeDocument/2006/customXml" ds:itemID="{725C6C0D-E25C-4905-B3FC-E5B89991D050}">
  <ds:schemaRefs>
    <ds:schemaRef ds:uri="http://schemas.openxmlformats.org/officeDocument/2006/bibliography"/>
  </ds:schemaRefs>
</ds:datastoreItem>
</file>

<file path=customXml/itemProps9.xml><?xml version="1.0" encoding="utf-8"?>
<ds:datastoreItem xmlns:ds="http://schemas.openxmlformats.org/officeDocument/2006/customXml" ds:itemID="{961B8BA6-FA05-4DA1-8A5D-E9977F2B0DCC}">
  <ds:schemaRefs>
    <ds:schemaRef ds:uri="http://schemas.openxmlformats.org/officeDocument/2006/bibliography"/>
  </ds:schemaRefs>
</ds:datastoreItem>
</file>

<file path=customXml/itemProps10.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11.xml><?xml version="1.0" encoding="utf-8"?>
<ds:datastoreItem xmlns:ds="http://schemas.openxmlformats.org/officeDocument/2006/customXml" ds:itemID="{DA3D931F-F2D3-4F46-8EB0-C8E74C819D01}">
  <ds:schemaRefs>
    <ds:schemaRef ds:uri="http://schemas.openxmlformats.org/officeDocument/2006/bibliography"/>
  </ds:schemaRefs>
</ds:datastoreItem>
</file>

<file path=customXml/itemProps12.xml><?xml version="1.0" encoding="utf-8"?>
<ds:datastoreItem xmlns:ds="http://schemas.openxmlformats.org/officeDocument/2006/customXml" ds:itemID="{533C3489-25C7-449B-B6D5-EE1BB90C1D7A}">
  <ds:schemaRefs>
    <ds:schemaRef ds:uri="http://schemas.openxmlformats.org/officeDocument/2006/bibliography"/>
  </ds:schemaRefs>
</ds:datastoreItem>
</file>

<file path=customXml/itemProps13.xml><?xml version="1.0" encoding="utf-8"?>
<ds:datastoreItem xmlns:ds="http://schemas.openxmlformats.org/officeDocument/2006/customXml" ds:itemID="{B9AA58F1-6151-47FC-B4F5-171C96CDC6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106</TotalTime>
  <Pages>48</Pages>
  <Words>4105</Words>
  <Characters>23400</Characters>
  <Application>Microsoft Office Word</Application>
  <DocSecurity>0</DocSecurity>
  <Lines>195</Lines>
  <Paragraphs>54</Paragraphs>
  <ScaleCrop>false</ScaleCrop>
  <Company>Microsoft</Company>
  <LinksUpToDate>false</LinksUpToDate>
  <CharactersWithSpaces>27451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liuwd</cp:lastModifiedBy>
  <cp:revision>49</cp:revision>
  <cp:lastPrinted>2017-05-02T05:41:00Z</cp:lastPrinted>
  <dcterms:created xsi:type="dcterms:W3CDTF">2018-07-19T11:04:00Z</dcterms:created>
  <dcterms:modified xsi:type="dcterms:W3CDTF">2021-12-06T07:02:00Z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