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footer8.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462E1E" w14:textId="77777777" w:rsidR="00A6605D" w:rsidRDefault="00A6605D">
      <w:pPr>
        <w:spacing w:line="360" w:lineRule="auto"/>
        <w:jc w:val="center"/>
        <w:rPr>
          <w:sz w:val="48"/>
          <w:szCs w:val="48"/>
        </w:rPr>
      </w:pPr>
    </w:p>
    <w:p w14:paraId="57640645" w14:textId="77777777" w:rsidR="00A6605D" w:rsidRDefault="00A6605D">
      <w:pPr>
        <w:spacing w:line="360" w:lineRule="auto"/>
        <w:jc w:val="center"/>
        <w:rPr>
          <w:sz w:val="48"/>
          <w:szCs w:val="48"/>
        </w:rPr>
      </w:pPr>
    </w:p>
    <w:p w14:paraId="335168F2" w14:textId="77777777" w:rsidR="00A6605D" w:rsidRDefault="00A6605D">
      <w:pPr>
        <w:spacing w:line="360" w:lineRule="auto"/>
        <w:jc w:val="center"/>
        <w:rPr>
          <w:sz w:val="48"/>
          <w:szCs w:val="48"/>
        </w:rPr>
      </w:pPr>
    </w:p>
    <w:p w14:paraId="5533EA9F" w14:textId="77777777" w:rsidR="00A6605D" w:rsidRDefault="00A6605D">
      <w:pPr>
        <w:spacing w:line="360" w:lineRule="auto"/>
        <w:jc w:val="center"/>
        <w:rPr>
          <w:sz w:val="48"/>
          <w:szCs w:val="48"/>
        </w:rPr>
      </w:pPr>
    </w:p>
    <w:p w14:paraId="43BCC661" w14:textId="77777777" w:rsidR="00A6605D" w:rsidRDefault="00A6605D">
      <w:pPr>
        <w:spacing w:line="360" w:lineRule="auto"/>
        <w:jc w:val="center"/>
        <w:rPr>
          <w:sz w:val="48"/>
          <w:szCs w:val="48"/>
        </w:rPr>
      </w:pPr>
    </w:p>
    <w:p w14:paraId="3C13514D" w14:textId="77777777" w:rsidR="00A6605D" w:rsidRDefault="00413D7E">
      <w:pPr>
        <w:spacing w:line="360" w:lineRule="auto"/>
        <w:jc w:val="center"/>
        <w:rPr>
          <w:b/>
          <w:sz w:val="48"/>
          <w:szCs w:val="48"/>
        </w:rPr>
      </w:pPr>
      <w:r>
        <w:rPr>
          <w:b/>
          <w:sz w:val="48"/>
          <w:szCs w:val="48"/>
        </w:rPr>
        <w:t>富荣富兴纯债债券型证券投资基金</w:t>
      </w:r>
    </w:p>
    <w:p w14:paraId="4C22DD8D" w14:textId="77777777" w:rsidR="00A6605D" w:rsidRDefault="00413D7E">
      <w:pPr>
        <w:spacing w:line="360" w:lineRule="auto"/>
        <w:jc w:val="center"/>
        <w:rPr>
          <w:b/>
          <w:sz w:val="48"/>
          <w:szCs w:val="48"/>
        </w:rPr>
      </w:pPr>
      <w:r>
        <w:rPr>
          <w:rFonts w:hint="eastAsia"/>
          <w:b/>
          <w:sz w:val="48"/>
          <w:szCs w:val="48"/>
        </w:rPr>
        <w:t>更新的</w:t>
      </w:r>
      <w:r>
        <w:rPr>
          <w:b/>
          <w:sz w:val="48"/>
          <w:szCs w:val="48"/>
        </w:rPr>
        <w:t>招募说明书</w:t>
      </w:r>
    </w:p>
    <w:p w14:paraId="709A373F" w14:textId="4F0EA023" w:rsidR="00A6605D" w:rsidRPr="006B2775" w:rsidRDefault="00413D7E">
      <w:pPr>
        <w:spacing w:line="360" w:lineRule="auto"/>
        <w:jc w:val="center"/>
        <w:rPr>
          <w:b/>
          <w:sz w:val="48"/>
          <w:szCs w:val="48"/>
        </w:rPr>
      </w:pPr>
      <w:r w:rsidRPr="006B2775">
        <w:rPr>
          <w:rFonts w:hint="eastAsia"/>
          <w:b/>
          <w:sz w:val="48"/>
          <w:szCs w:val="48"/>
        </w:rPr>
        <w:t>（</w:t>
      </w:r>
      <w:r w:rsidR="00B56854">
        <w:rPr>
          <w:b/>
          <w:sz w:val="48"/>
          <w:szCs w:val="48"/>
        </w:rPr>
        <w:t>2022</w:t>
      </w:r>
      <w:r w:rsidR="00B56854">
        <w:rPr>
          <w:b/>
          <w:sz w:val="48"/>
          <w:szCs w:val="48"/>
        </w:rPr>
        <w:t>年第</w:t>
      </w:r>
      <w:r w:rsidR="00B56854">
        <w:rPr>
          <w:b/>
          <w:sz w:val="48"/>
          <w:szCs w:val="48"/>
        </w:rPr>
        <w:t>2</w:t>
      </w:r>
      <w:r w:rsidR="00B56854">
        <w:rPr>
          <w:b/>
          <w:sz w:val="48"/>
          <w:szCs w:val="48"/>
        </w:rPr>
        <w:t>号</w:t>
      </w:r>
      <w:r w:rsidRPr="006B2775">
        <w:rPr>
          <w:rFonts w:hint="eastAsia"/>
          <w:b/>
          <w:sz w:val="48"/>
          <w:szCs w:val="48"/>
        </w:rPr>
        <w:t>）</w:t>
      </w:r>
    </w:p>
    <w:p w14:paraId="67466199" w14:textId="77777777" w:rsidR="00A6605D" w:rsidRDefault="00A6605D">
      <w:pPr>
        <w:spacing w:line="360" w:lineRule="auto"/>
        <w:jc w:val="center"/>
        <w:rPr>
          <w:sz w:val="48"/>
          <w:szCs w:val="48"/>
        </w:rPr>
      </w:pPr>
    </w:p>
    <w:p w14:paraId="121B1236" w14:textId="77777777" w:rsidR="00A6605D" w:rsidRDefault="00A6605D">
      <w:pPr>
        <w:spacing w:line="360" w:lineRule="auto"/>
        <w:jc w:val="center"/>
        <w:rPr>
          <w:sz w:val="48"/>
          <w:szCs w:val="48"/>
        </w:rPr>
      </w:pPr>
    </w:p>
    <w:p w14:paraId="33965D1D" w14:textId="77777777" w:rsidR="00A6605D" w:rsidRDefault="00A6605D">
      <w:pPr>
        <w:spacing w:line="360" w:lineRule="auto"/>
        <w:jc w:val="center"/>
        <w:rPr>
          <w:sz w:val="48"/>
          <w:szCs w:val="48"/>
        </w:rPr>
      </w:pPr>
    </w:p>
    <w:p w14:paraId="2A7EDD8E" w14:textId="77777777" w:rsidR="00A6605D" w:rsidRDefault="00A6605D">
      <w:pPr>
        <w:spacing w:line="360" w:lineRule="auto"/>
        <w:jc w:val="center"/>
        <w:rPr>
          <w:sz w:val="48"/>
          <w:szCs w:val="48"/>
        </w:rPr>
      </w:pPr>
    </w:p>
    <w:p w14:paraId="60065704" w14:textId="77777777" w:rsidR="00A6605D" w:rsidRDefault="00413D7E">
      <w:pPr>
        <w:snapToGrid w:val="0"/>
        <w:spacing w:line="360" w:lineRule="auto"/>
        <w:jc w:val="center"/>
        <w:rPr>
          <w:rFonts w:ascii="Arial Unicode MS" w:hAnsi="Arial Unicode MS" w:cs="Arial"/>
          <w:b/>
          <w:sz w:val="30"/>
          <w:szCs w:val="30"/>
        </w:rPr>
      </w:pPr>
      <w:r>
        <w:rPr>
          <w:rFonts w:ascii="Arial Unicode MS" w:hAnsi="Arial Unicode MS" w:cs="Arial"/>
          <w:b/>
          <w:sz w:val="30"/>
          <w:szCs w:val="30"/>
        </w:rPr>
        <w:t>基金管理人：富荣基金管理有限公司</w:t>
      </w:r>
    </w:p>
    <w:p w14:paraId="6E452AC3" w14:textId="77777777" w:rsidR="00A6605D" w:rsidRDefault="00413D7E">
      <w:pPr>
        <w:snapToGrid w:val="0"/>
        <w:spacing w:line="360" w:lineRule="auto"/>
        <w:jc w:val="center"/>
        <w:rPr>
          <w:rFonts w:ascii="Arial Unicode MS" w:hAnsi="Arial Unicode MS" w:cs="Arial"/>
          <w:b/>
          <w:bCs/>
          <w:sz w:val="28"/>
          <w:szCs w:val="28"/>
        </w:rPr>
      </w:pPr>
      <w:r>
        <w:rPr>
          <w:rFonts w:ascii="Arial Unicode MS" w:hAnsi="Arial Unicode MS" w:cs="Arial"/>
          <w:b/>
          <w:sz w:val="30"/>
          <w:szCs w:val="30"/>
        </w:rPr>
        <w:t>基金托管人：</w:t>
      </w:r>
      <w:r>
        <w:rPr>
          <w:rFonts w:ascii="Arial Unicode MS" w:hAnsi="Arial Unicode MS" w:cs="Arial" w:hint="eastAsia"/>
          <w:b/>
          <w:sz w:val="30"/>
          <w:szCs w:val="30"/>
        </w:rPr>
        <w:t>中国建设银行股份有限公司</w:t>
      </w:r>
    </w:p>
    <w:p w14:paraId="6E8673C6" w14:textId="77777777" w:rsidR="00A6605D" w:rsidRDefault="00413D7E">
      <w:pPr>
        <w:spacing w:line="360" w:lineRule="auto"/>
        <w:jc w:val="center"/>
        <w:rPr>
          <w:rFonts w:ascii="宋体" w:hAnsi="宋体"/>
          <w:color w:val="000000"/>
          <w:sz w:val="30"/>
          <w:szCs w:val="30"/>
        </w:rPr>
      </w:pPr>
      <w:r>
        <w:rPr>
          <w:rFonts w:ascii="Arial Unicode MS" w:hAnsi="Arial Unicode MS" w:cs="Arial"/>
          <w:sz w:val="30"/>
          <w:szCs w:val="30"/>
        </w:rPr>
        <w:tab/>
      </w:r>
    </w:p>
    <w:p w14:paraId="3714535D" w14:textId="77777777" w:rsidR="00A6605D" w:rsidRDefault="00A6605D">
      <w:pPr>
        <w:spacing w:line="360" w:lineRule="auto"/>
        <w:jc w:val="center"/>
        <w:rPr>
          <w:b/>
          <w:sz w:val="36"/>
          <w:szCs w:val="20"/>
        </w:rPr>
      </w:pPr>
    </w:p>
    <w:p w14:paraId="21044372" w14:textId="77777777" w:rsidR="00A6605D" w:rsidRDefault="00A6605D">
      <w:pPr>
        <w:rPr>
          <w:rFonts w:ascii="Arial Unicode MS" w:hAnsi="Arial Unicode MS" w:cs="Arial"/>
          <w:sz w:val="28"/>
          <w:szCs w:val="28"/>
        </w:rPr>
        <w:sectPr w:rsidR="00A6605D">
          <w:headerReference w:type="default" r:id="rId22"/>
          <w:headerReference w:type="first" r:id="rId23"/>
          <w:footerReference w:type="first" r:id="rId24"/>
          <w:pgSz w:w="11906" w:h="16838"/>
          <w:pgMar w:top="1440" w:right="1800" w:bottom="1440" w:left="1800" w:header="851" w:footer="992" w:gutter="0"/>
          <w:cols w:space="720"/>
          <w:titlePg/>
          <w:docGrid w:linePitch="312"/>
        </w:sectPr>
      </w:pPr>
    </w:p>
    <w:p w14:paraId="3B9C3997" w14:textId="77777777" w:rsidR="00A6605D" w:rsidRDefault="00413D7E">
      <w:pPr>
        <w:autoSpaceDE w:val="0"/>
        <w:autoSpaceDN w:val="0"/>
        <w:adjustRightInd w:val="0"/>
        <w:snapToGrid w:val="0"/>
        <w:spacing w:line="360" w:lineRule="auto"/>
        <w:ind w:firstLineChars="200" w:firstLine="562"/>
        <w:jc w:val="center"/>
        <w:rPr>
          <w:rFonts w:ascii="Arial Unicode MS" w:hAnsi="Arial Unicode MS" w:cs="Arial"/>
          <w:b/>
          <w:bCs/>
          <w:sz w:val="28"/>
          <w:szCs w:val="28"/>
        </w:rPr>
      </w:pPr>
      <w:r>
        <w:rPr>
          <w:rFonts w:ascii="Arial Unicode MS" w:hAnsi="Arial Unicode MS" w:cs="Arial"/>
          <w:b/>
          <w:bCs/>
          <w:sz w:val="28"/>
          <w:szCs w:val="28"/>
        </w:rPr>
        <w:lastRenderedPageBreak/>
        <w:t>【重要提示】</w:t>
      </w:r>
    </w:p>
    <w:p w14:paraId="735A3323" w14:textId="77777777" w:rsidR="00A6605D" w:rsidRDefault="00413D7E">
      <w:pPr>
        <w:spacing w:line="360" w:lineRule="auto"/>
        <w:ind w:firstLineChars="200" w:firstLine="420"/>
      </w:pPr>
      <w:r>
        <w:rPr>
          <w:rFonts w:hint="eastAsia"/>
        </w:rPr>
        <w:t>1</w:t>
      </w:r>
      <w:r>
        <w:rPr>
          <w:rFonts w:hint="eastAsia"/>
        </w:rPr>
        <w:t>、本基金根据</w:t>
      </w:r>
      <w:r>
        <w:rPr>
          <w:rFonts w:hint="eastAsia"/>
        </w:rPr>
        <w:t>201</w:t>
      </w:r>
      <w:r>
        <w:t>6</w:t>
      </w:r>
      <w:r>
        <w:rPr>
          <w:rFonts w:hint="eastAsia"/>
        </w:rPr>
        <w:t>年</w:t>
      </w:r>
      <w:r>
        <w:rPr>
          <w:rFonts w:hint="eastAsia"/>
        </w:rPr>
        <w:t>11</w:t>
      </w:r>
      <w:r>
        <w:rPr>
          <w:rFonts w:hint="eastAsia"/>
        </w:rPr>
        <w:t>月</w:t>
      </w:r>
      <w:r>
        <w:t>7</w:t>
      </w:r>
      <w:r>
        <w:rPr>
          <w:rFonts w:hint="eastAsia"/>
        </w:rPr>
        <w:t>日中国证券监督管理委员会（以下简称“中国证监会”）《关于准予富荣富兴纯债债券型证券投资基金注册的批复》（证监许可【</w:t>
      </w:r>
      <w:r>
        <w:t>2016</w:t>
      </w:r>
      <w:r>
        <w:rPr>
          <w:rFonts w:hint="eastAsia"/>
        </w:rPr>
        <w:t>】</w:t>
      </w:r>
      <w:r>
        <w:t>2526</w:t>
      </w:r>
      <w:r>
        <w:rPr>
          <w:rFonts w:hint="eastAsia"/>
        </w:rPr>
        <w:t>号）进行募集。</w:t>
      </w:r>
      <w:r>
        <w:rPr>
          <w:rFonts w:hint="eastAsia"/>
        </w:rPr>
        <w:t>2021</w:t>
      </w:r>
      <w:r>
        <w:rPr>
          <w:rFonts w:hint="eastAsia"/>
        </w:rPr>
        <w:t>年</w:t>
      </w:r>
      <w:r>
        <w:rPr>
          <w:rFonts w:hint="eastAsia"/>
        </w:rPr>
        <w:t>2</w:t>
      </w:r>
      <w:r>
        <w:rPr>
          <w:rFonts w:hint="eastAsia"/>
        </w:rPr>
        <w:t>月</w:t>
      </w:r>
      <w:r>
        <w:rPr>
          <w:rFonts w:hint="eastAsia"/>
        </w:rPr>
        <w:t>7</w:t>
      </w:r>
      <w:r>
        <w:rPr>
          <w:rFonts w:hint="eastAsia"/>
        </w:rPr>
        <w:t>日由中国证监会指定中国建设银行股份有限公司为本基金临时基金托管人。</w:t>
      </w:r>
    </w:p>
    <w:p w14:paraId="6668CB63" w14:textId="77777777" w:rsidR="00A6605D" w:rsidRDefault="00413D7E">
      <w:pPr>
        <w:spacing w:line="360" w:lineRule="auto"/>
        <w:ind w:firstLineChars="200" w:firstLine="420"/>
      </w:pPr>
      <w:r>
        <w:rPr>
          <w:rFonts w:hint="eastAsia"/>
        </w:rPr>
        <w:t>2021</w:t>
      </w:r>
      <w:r>
        <w:rPr>
          <w:rFonts w:hint="eastAsia"/>
        </w:rPr>
        <w:t>年</w:t>
      </w:r>
      <w:r>
        <w:t>5</w:t>
      </w:r>
      <w:r>
        <w:rPr>
          <w:rFonts w:hint="eastAsia"/>
        </w:rPr>
        <w:t>月</w:t>
      </w:r>
      <w:r>
        <w:rPr>
          <w:rFonts w:hint="eastAsia"/>
        </w:rPr>
        <w:t>1</w:t>
      </w:r>
      <w:r>
        <w:t>5</w:t>
      </w:r>
      <w:r>
        <w:rPr>
          <w:rFonts w:hint="eastAsia"/>
        </w:rPr>
        <w:t>日至</w:t>
      </w:r>
      <w:r>
        <w:rPr>
          <w:rFonts w:hint="eastAsia"/>
        </w:rPr>
        <w:t>2021</w:t>
      </w:r>
      <w:r>
        <w:rPr>
          <w:rFonts w:hint="eastAsia"/>
        </w:rPr>
        <w:t>年</w:t>
      </w:r>
      <w:r>
        <w:t>6</w:t>
      </w:r>
      <w:r>
        <w:rPr>
          <w:rFonts w:hint="eastAsia"/>
        </w:rPr>
        <w:t>月</w:t>
      </w:r>
      <w:r>
        <w:rPr>
          <w:rFonts w:hint="eastAsia"/>
        </w:rPr>
        <w:t>1</w:t>
      </w:r>
      <w:r>
        <w:t>4</w:t>
      </w:r>
      <w:r>
        <w:rPr>
          <w:rFonts w:hint="eastAsia"/>
        </w:rPr>
        <w:t>日富荣富兴纯债债券型证券投资基金召开基金份额持有人大会，会议审议通过了《关于富荣富兴纯债债券型证券投资基金更换基金托管人等并修改法律文件等有关事项的议案》，主要内容为富荣富兴纯债债券型证券投资基金更换基金托管人为中国建设银行股份有限公司并相应修订基金合同，上述基金份额持有人大会决议自表决通过之日起生效。</w:t>
      </w:r>
    </w:p>
    <w:p w14:paraId="5D4F709A" w14:textId="77777777" w:rsidR="00A6605D" w:rsidRDefault="00413D7E">
      <w:pPr>
        <w:spacing w:line="360" w:lineRule="auto"/>
        <w:ind w:firstLineChars="200" w:firstLine="420"/>
      </w:pPr>
      <w:r>
        <w:rPr>
          <w:rFonts w:hint="eastAsia"/>
        </w:rPr>
        <w:t>自</w:t>
      </w:r>
      <w:r>
        <w:rPr>
          <w:rFonts w:hint="eastAsia"/>
        </w:rPr>
        <w:t>2021</w:t>
      </w:r>
      <w:r>
        <w:rPr>
          <w:rFonts w:hint="eastAsia"/>
        </w:rPr>
        <w:t>年</w:t>
      </w:r>
      <w:r>
        <w:t>6</w:t>
      </w:r>
      <w:r>
        <w:rPr>
          <w:rFonts w:hint="eastAsia"/>
        </w:rPr>
        <w:t>月</w:t>
      </w:r>
      <w:r>
        <w:t>16</w:t>
      </w:r>
      <w:r>
        <w:rPr>
          <w:rFonts w:hint="eastAsia"/>
        </w:rPr>
        <w:t>日起，原《富荣富兴纯债债券型证券投资基金基金合同》失效，更换基金托管人后的《富荣富兴纯债债券型证券投资基金基金合同》生效。</w:t>
      </w:r>
    </w:p>
    <w:p w14:paraId="4B9FA367" w14:textId="77777777" w:rsidR="00A6605D" w:rsidRDefault="00413D7E">
      <w:pPr>
        <w:spacing w:line="360" w:lineRule="auto"/>
        <w:ind w:firstLineChars="200" w:firstLine="420"/>
      </w:pPr>
      <w:r>
        <w:t>2</w:t>
      </w:r>
      <w:r>
        <w:rPr>
          <w:rFonts w:hint="eastAsia"/>
        </w:rPr>
        <w:t>、基金管理人保证招募说明书的内容真实、准确、完整。本招募说明书经中国证监会注册，但中国证监会对本基金募集的注册</w:t>
      </w:r>
      <w:r>
        <w:rPr>
          <w:rFonts w:hint="eastAsia"/>
          <w:bCs/>
        </w:rPr>
        <w:t>及后续变更的注册</w:t>
      </w:r>
      <w:r>
        <w:rPr>
          <w:rFonts w:hint="eastAsia"/>
        </w:rPr>
        <w:t>，并不表明其对本基金的投资价值和市场前景作出实质性判断或保证，也不表明投资于本基金没有风险。</w:t>
      </w:r>
    </w:p>
    <w:p w14:paraId="464C8FFE" w14:textId="77777777" w:rsidR="00A6605D" w:rsidRDefault="00413D7E">
      <w:pPr>
        <w:spacing w:line="360" w:lineRule="auto"/>
        <w:ind w:firstLineChars="200" w:firstLine="420"/>
      </w:pPr>
      <w:r>
        <w:t>3</w:t>
      </w:r>
      <w:r>
        <w:rPr>
          <w:rFonts w:hint="eastAsia"/>
        </w:rPr>
        <w:t>、投资有风险，投资者认购（或申购）基金份额时应认真阅读基金合同、本招募说明书、基金产品资料概要等信息披露文件，自主判断基金的投资价值，全面认识本基金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w:t>
      </w:r>
    </w:p>
    <w:p w14:paraId="023CDA7E" w14:textId="77777777" w:rsidR="00A6605D" w:rsidRDefault="00413D7E">
      <w:pPr>
        <w:spacing w:line="360" w:lineRule="auto"/>
        <w:ind w:firstLineChars="200" w:firstLine="420"/>
      </w:pPr>
      <w:r>
        <w:t>4</w:t>
      </w:r>
      <w:r>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7396D7BB" w14:textId="77777777" w:rsidR="00A6605D" w:rsidRDefault="00413D7E">
      <w:pPr>
        <w:spacing w:line="360" w:lineRule="auto"/>
        <w:ind w:firstLineChars="200" w:firstLine="420"/>
      </w:pPr>
      <w:r>
        <w:t>5</w:t>
      </w:r>
      <w:r>
        <w:rPr>
          <w:rFonts w:hint="eastAsia"/>
        </w:rPr>
        <w:t>、本基金为债券型基金，预期收益和预期风险高于货币市场基金，但低于混合型基金、股票型基金，属于中低预期风险</w:t>
      </w:r>
      <w:r>
        <w:t>/</w:t>
      </w:r>
      <w:r>
        <w:rPr>
          <w:rFonts w:hint="eastAsia"/>
        </w:rPr>
        <w:t>预期收益的产品。</w:t>
      </w:r>
    </w:p>
    <w:p w14:paraId="7CDF1778" w14:textId="77777777" w:rsidR="00A6605D" w:rsidRDefault="00413D7E">
      <w:pPr>
        <w:spacing w:line="360" w:lineRule="auto"/>
        <w:ind w:firstLineChars="200" w:firstLine="420"/>
      </w:pPr>
      <w:r>
        <w:t>6</w:t>
      </w:r>
      <w:r>
        <w:rPr>
          <w:rFonts w:hint="eastAsia"/>
        </w:rPr>
        <w:t>、本基金的投资范围主要为具有良好流动性的金融工具，包括国债、金融债、企业债、公司债、央行票据、中期票据、短期融资券、资产支持证券、次级债、可分离交易可转债的纯债部分、债券回购、银行存款等法律法规或中国证监会允许基金投资的其他金融工具（但须符合中国证监会的相关规定）。</w:t>
      </w:r>
    </w:p>
    <w:p w14:paraId="15945527" w14:textId="77777777" w:rsidR="00A6605D" w:rsidRDefault="00413D7E">
      <w:pPr>
        <w:spacing w:line="360" w:lineRule="auto"/>
        <w:ind w:firstLineChars="200" w:firstLine="420"/>
      </w:pPr>
      <w:r>
        <w:rPr>
          <w:rFonts w:hint="eastAsia"/>
        </w:rPr>
        <w:t>本基金不投资于股票和权证，也不投资于可转换债券（可分离交易可转债的纯债部分除外）、可交换债券。</w:t>
      </w:r>
    </w:p>
    <w:p w14:paraId="769364B3" w14:textId="77777777" w:rsidR="00A6605D" w:rsidRDefault="00413D7E">
      <w:pPr>
        <w:spacing w:line="360" w:lineRule="auto"/>
        <w:ind w:firstLineChars="200" w:firstLine="420"/>
      </w:pPr>
      <w:r>
        <w:rPr>
          <w:rFonts w:hint="eastAsia"/>
        </w:rPr>
        <w:t>如法律法规或监管机构以后允许基金投资的其他品种，基金管理人在履行适当程序后，</w:t>
      </w:r>
      <w:r>
        <w:rPr>
          <w:rFonts w:hint="eastAsia"/>
        </w:rPr>
        <w:lastRenderedPageBreak/>
        <w:t>可以将其纳入投资范围。</w:t>
      </w:r>
    </w:p>
    <w:p w14:paraId="0F8B1553" w14:textId="77777777" w:rsidR="00A6605D" w:rsidRDefault="00413D7E">
      <w:pPr>
        <w:spacing w:line="360" w:lineRule="auto"/>
        <w:ind w:firstLineChars="200" w:firstLine="420"/>
      </w:pPr>
      <w:r>
        <w:t>7</w:t>
      </w:r>
      <w:r>
        <w:rPr>
          <w:rFonts w:hint="eastAsia"/>
        </w:rPr>
        <w:t>、基金的投资组合比例为：本基金对债券的投资比例不低于基金资产的</w:t>
      </w:r>
      <w:r>
        <w:t>80</w:t>
      </w:r>
      <w:r>
        <w:rPr>
          <w:rFonts w:hint="eastAsia"/>
        </w:rPr>
        <w:t>％；本基金持有现金或者到期日在一年以内的政府债券投资比例不低于基金资产净值的</w:t>
      </w:r>
      <w:r>
        <w:t>5%</w:t>
      </w:r>
      <w:r>
        <w:rPr>
          <w:rFonts w:hint="eastAsia"/>
        </w:rPr>
        <w:t>，其中，现金不包括结算备付金、存出保证金、应收申购款。</w:t>
      </w:r>
    </w:p>
    <w:p w14:paraId="65BDD303" w14:textId="77777777" w:rsidR="00A6605D" w:rsidRDefault="00413D7E">
      <w:pPr>
        <w:spacing w:line="360" w:lineRule="auto"/>
        <w:ind w:firstLineChars="200" w:firstLine="420"/>
      </w:pPr>
      <w:r>
        <w:t>8</w:t>
      </w:r>
      <w:r>
        <w:rPr>
          <w:rFonts w:hint="eastAsia"/>
        </w:rPr>
        <w:t>、本基金初始募集面值为人民币</w:t>
      </w:r>
      <w:r>
        <w:t xml:space="preserve">1.00 </w:t>
      </w:r>
      <w:r>
        <w:rPr>
          <w:rFonts w:hint="eastAsia"/>
        </w:rPr>
        <w:t>元。在市场波动因素影响下，本基金净值可能低于初始面值，本基金投资者有可能出现亏损。</w:t>
      </w:r>
    </w:p>
    <w:p w14:paraId="3E550D54" w14:textId="77777777" w:rsidR="00A6605D" w:rsidRDefault="00413D7E">
      <w:pPr>
        <w:spacing w:line="360" w:lineRule="auto"/>
        <w:ind w:firstLineChars="200" w:firstLine="420"/>
      </w:pPr>
      <w:r>
        <w:t>9</w:t>
      </w:r>
      <w:r>
        <w:rPr>
          <w:rFonts w:hint="eastAsia"/>
        </w:rPr>
        <w:t>、基金的过往业绩并不预示其未来表现，基金管理人管理的其他基金的业绩也不构成对本基金业绩表现的保证。</w:t>
      </w:r>
    </w:p>
    <w:p w14:paraId="5FED374A" w14:textId="77777777" w:rsidR="00A6605D" w:rsidRDefault="00413D7E">
      <w:pPr>
        <w:spacing w:line="360" w:lineRule="auto"/>
        <w:ind w:firstLineChars="200" w:firstLine="420"/>
      </w:pPr>
      <w:r>
        <w:t>10</w:t>
      </w:r>
      <w:r>
        <w:rPr>
          <w:rFonts w:hint="eastAsia"/>
        </w:rPr>
        <w:t>、基金管理人依照恪尽职守、诚实信用、谨慎勤勉的原则管理和运用基金财产，但不保证基金一定盈利，也不保证最低收益。</w:t>
      </w:r>
    </w:p>
    <w:p w14:paraId="2A6F01AD" w14:textId="77777777" w:rsidR="00A6605D" w:rsidRDefault="00413D7E">
      <w:pPr>
        <w:spacing w:line="360" w:lineRule="auto"/>
        <w:ind w:firstLineChars="200" w:firstLine="420"/>
      </w:pPr>
      <w:r>
        <w:rPr>
          <w:rFonts w:hint="eastAsia"/>
        </w:rPr>
        <w:t>11</w:t>
      </w:r>
      <w:r>
        <w:rPr>
          <w:rFonts w:hint="eastAsia"/>
        </w:rPr>
        <w:t>、当本基金持有特定资产且存在或潜在大额赎回申请时，基金管理人履行相应程序后，可以启用侧袋机制，具体详见基金合同和招募说明书的有关章节。侧袋机制实施期间，基金管理人将对基金简称进行特殊标识，并不办理侧袋账户的申购赎回。请基金份额持有人仔细阅读相关内容并关注本基金启用侧袋机制时的特定风险。</w:t>
      </w:r>
    </w:p>
    <w:p w14:paraId="7FA023FC" w14:textId="4F585F48" w:rsidR="00A6605D" w:rsidRDefault="00413D7E">
      <w:pPr>
        <w:spacing w:line="360" w:lineRule="auto"/>
        <w:ind w:firstLineChars="200" w:firstLine="420"/>
      </w:pPr>
      <w:r>
        <w:rPr>
          <w:rFonts w:hint="eastAsia"/>
        </w:rPr>
        <w:t>12</w:t>
      </w:r>
      <w:r>
        <w:rPr>
          <w:rFonts w:hint="eastAsia"/>
        </w:rPr>
        <w:t>、本招募说明书所载内容截止日为</w:t>
      </w:r>
      <w:r>
        <w:rPr>
          <w:rFonts w:hint="eastAsia"/>
        </w:rPr>
        <w:t>202</w:t>
      </w:r>
      <w:r>
        <w:t>2</w:t>
      </w:r>
      <w:r>
        <w:rPr>
          <w:rFonts w:hint="eastAsia"/>
        </w:rPr>
        <w:t>年</w:t>
      </w:r>
      <w:r>
        <w:t>2</w:t>
      </w:r>
      <w:r>
        <w:rPr>
          <w:rFonts w:hint="eastAsia"/>
        </w:rPr>
        <w:t>月</w:t>
      </w:r>
      <w:r>
        <w:t>28</w:t>
      </w:r>
      <w:r>
        <w:rPr>
          <w:rFonts w:hint="eastAsia"/>
        </w:rPr>
        <w:t>日，</w:t>
      </w:r>
      <w:r w:rsidR="00975F1C">
        <w:rPr>
          <w:rFonts w:hint="eastAsia"/>
        </w:rPr>
        <w:t>基金经理变更内容截至</w:t>
      </w:r>
      <w:r w:rsidR="00975F1C">
        <w:rPr>
          <w:rFonts w:hint="eastAsia"/>
        </w:rPr>
        <w:t>2022</w:t>
      </w:r>
      <w:r w:rsidR="00975F1C">
        <w:rPr>
          <w:rFonts w:hint="eastAsia"/>
        </w:rPr>
        <w:t>年</w:t>
      </w:r>
      <w:r w:rsidR="00975F1C">
        <w:rPr>
          <w:rFonts w:hint="eastAsia"/>
        </w:rPr>
        <w:t>3</w:t>
      </w:r>
      <w:r w:rsidR="00975F1C">
        <w:rPr>
          <w:rFonts w:hint="eastAsia"/>
        </w:rPr>
        <w:t>月</w:t>
      </w:r>
      <w:r w:rsidR="00975F1C">
        <w:rPr>
          <w:rFonts w:hint="eastAsia"/>
        </w:rPr>
        <w:t>21</w:t>
      </w:r>
      <w:r w:rsidR="00975F1C">
        <w:rPr>
          <w:rFonts w:hint="eastAsia"/>
        </w:rPr>
        <w:t>日。</w:t>
      </w:r>
      <w:r>
        <w:rPr>
          <w:rFonts w:hint="eastAsia"/>
        </w:rPr>
        <w:t>有关财务数据截止日为</w:t>
      </w:r>
      <w:r>
        <w:rPr>
          <w:rFonts w:hint="eastAsia"/>
        </w:rPr>
        <w:t>202</w:t>
      </w:r>
      <w:r>
        <w:t>1</w:t>
      </w:r>
      <w:r>
        <w:rPr>
          <w:rFonts w:hint="eastAsia"/>
        </w:rPr>
        <w:t>年</w:t>
      </w:r>
      <w:r>
        <w:rPr>
          <w:rFonts w:hint="eastAsia"/>
        </w:rPr>
        <w:t xml:space="preserve"> 12</w:t>
      </w:r>
      <w:r>
        <w:rPr>
          <w:rFonts w:hint="eastAsia"/>
        </w:rPr>
        <w:t>月</w:t>
      </w:r>
      <w:r>
        <w:rPr>
          <w:rFonts w:hint="eastAsia"/>
        </w:rPr>
        <w:t>31</w:t>
      </w:r>
      <w:r>
        <w:rPr>
          <w:rFonts w:hint="eastAsia"/>
        </w:rPr>
        <w:t>日，净值表现截止日为</w:t>
      </w:r>
      <w:r>
        <w:rPr>
          <w:rFonts w:hint="eastAsia"/>
        </w:rPr>
        <w:t>202</w:t>
      </w:r>
      <w:r>
        <w:t>1</w:t>
      </w:r>
      <w:r>
        <w:rPr>
          <w:rFonts w:hint="eastAsia"/>
        </w:rPr>
        <w:t>年</w:t>
      </w:r>
      <w:r>
        <w:rPr>
          <w:rFonts w:hint="eastAsia"/>
        </w:rPr>
        <w:t xml:space="preserve">12 </w:t>
      </w:r>
      <w:r>
        <w:rPr>
          <w:rFonts w:hint="eastAsia"/>
        </w:rPr>
        <w:t>月</w:t>
      </w:r>
      <w:r>
        <w:rPr>
          <w:rFonts w:hint="eastAsia"/>
        </w:rPr>
        <w:t xml:space="preserve">31 </w:t>
      </w:r>
      <w:r>
        <w:rPr>
          <w:rFonts w:hint="eastAsia"/>
        </w:rPr>
        <w:t>日，本报告中所列财务数据未经审计。</w:t>
      </w:r>
      <w:r>
        <w:rPr>
          <w:rFonts w:hint="eastAsia"/>
        </w:rPr>
        <w:t xml:space="preserve">  </w:t>
      </w:r>
    </w:p>
    <w:p w14:paraId="3D916818" w14:textId="1B9B2B13" w:rsidR="00A6605D" w:rsidRDefault="00413D7E">
      <w:pPr>
        <w:spacing w:line="360" w:lineRule="auto"/>
        <w:ind w:firstLineChars="200" w:firstLine="420"/>
      </w:pPr>
      <w:r>
        <w:rPr>
          <w:rFonts w:hint="eastAsia"/>
        </w:rPr>
        <w:t>本基金托管人中国建设银行股份有限公司已复核了本次更新的招募说明书。</w:t>
      </w:r>
    </w:p>
    <w:p w14:paraId="0E5329C7" w14:textId="77777777" w:rsidR="00A6605D" w:rsidRDefault="00413D7E">
      <w:pPr>
        <w:autoSpaceDE w:val="0"/>
        <w:autoSpaceDN w:val="0"/>
        <w:adjustRightInd w:val="0"/>
        <w:snapToGrid w:val="0"/>
        <w:spacing w:line="360" w:lineRule="auto"/>
        <w:ind w:firstLineChars="200" w:firstLine="900"/>
        <w:jc w:val="center"/>
        <w:rPr>
          <w:rFonts w:ascii="Arial Unicode MS" w:hAnsi="Arial Unicode MS" w:cs="Arial"/>
          <w:b/>
          <w:bCs/>
          <w:spacing w:val="120"/>
          <w:sz w:val="28"/>
          <w:szCs w:val="21"/>
        </w:rPr>
      </w:pPr>
      <w:r>
        <w:rPr>
          <w:rFonts w:ascii="Arial Unicode MS" w:hAnsi="Arial Unicode MS" w:cs="Arial"/>
          <w:bCs/>
          <w:spacing w:val="120"/>
          <w:szCs w:val="21"/>
        </w:rPr>
        <w:br w:type="page"/>
      </w:r>
      <w:r>
        <w:rPr>
          <w:rFonts w:ascii="Arial Unicode MS" w:hAnsi="Arial Unicode MS" w:cs="Arial"/>
          <w:b/>
          <w:bCs/>
          <w:spacing w:val="120"/>
          <w:sz w:val="28"/>
          <w:szCs w:val="21"/>
        </w:rPr>
        <w:lastRenderedPageBreak/>
        <w:t>目录</w:t>
      </w:r>
    </w:p>
    <w:p w14:paraId="27766E98" w14:textId="77777777" w:rsidR="00A6605D" w:rsidRDefault="00413D7E">
      <w:pPr>
        <w:pStyle w:val="12"/>
        <w:rPr>
          <w:rFonts w:asciiTheme="minorHAnsi" w:eastAsiaTheme="minorEastAsia" w:hAnsiTheme="minorHAnsi" w:cstheme="minorBidi"/>
          <w:caps w:val="0"/>
          <w:noProof/>
          <w:sz w:val="21"/>
          <w:szCs w:val="22"/>
        </w:rPr>
      </w:pPr>
      <w:r>
        <w:rPr>
          <w:rFonts w:ascii="Arial Unicode MS" w:hAnsi="Arial Unicode MS" w:cs="Arial"/>
          <w:bCs/>
          <w:spacing w:val="120"/>
          <w:sz w:val="21"/>
          <w:szCs w:val="21"/>
        </w:rPr>
        <w:fldChar w:fldCharType="begin"/>
      </w:r>
      <w:r>
        <w:rPr>
          <w:rFonts w:ascii="Arial Unicode MS" w:hAnsi="Arial Unicode MS" w:cs="Arial"/>
          <w:bCs/>
          <w:spacing w:val="120"/>
          <w:sz w:val="21"/>
          <w:szCs w:val="21"/>
        </w:rPr>
        <w:instrText xml:space="preserve"> TOC \o "1-1" \h \z </w:instrText>
      </w:r>
      <w:r>
        <w:rPr>
          <w:rFonts w:ascii="Arial Unicode MS" w:hAnsi="Arial Unicode MS" w:cs="Arial"/>
          <w:bCs/>
          <w:spacing w:val="120"/>
          <w:sz w:val="21"/>
          <w:szCs w:val="21"/>
        </w:rPr>
        <w:fldChar w:fldCharType="separate"/>
      </w:r>
      <w:hyperlink w:anchor="_Toc63676436" w:history="1">
        <w:r>
          <w:rPr>
            <w:rStyle w:val="afd"/>
            <w:rFonts w:ascii="Arial Unicode MS" w:hAnsi="Arial Unicode MS" w:cs="Arial" w:hint="eastAsia"/>
            <w:b/>
            <w:bCs/>
            <w:noProof/>
          </w:rPr>
          <w:t>第一部分</w:t>
        </w:r>
        <w:r>
          <w:rPr>
            <w:rStyle w:val="afd"/>
            <w:rFonts w:ascii="Arial Unicode MS" w:hAnsi="Arial Unicode MS" w:cs="Arial"/>
            <w:b/>
            <w:bCs/>
            <w:noProof/>
          </w:rPr>
          <w:t xml:space="preserve">  </w:t>
        </w:r>
        <w:r>
          <w:rPr>
            <w:rStyle w:val="afd"/>
            <w:rFonts w:ascii="Arial Unicode MS" w:hAnsi="Arial Unicode MS" w:cs="Arial" w:hint="eastAsia"/>
            <w:b/>
            <w:bCs/>
            <w:noProof/>
          </w:rPr>
          <w:t>绪言</w:t>
        </w:r>
        <w:r>
          <w:rPr>
            <w:noProof/>
          </w:rPr>
          <w:tab/>
        </w:r>
        <w:r>
          <w:rPr>
            <w:noProof/>
          </w:rPr>
          <w:fldChar w:fldCharType="begin"/>
        </w:r>
        <w:r>
          <w:rPr>
            <w:noProof/>
          </w:rPr>
          <w:instrText xml:space="preserve"> PAGEREF _Toc63676436 \h </w:instrText>
        </w:r>
        <w:r>
          <w:rPr>
            <w:noProof/>
          </w:rPr>
        </w:r>
        <w:r>
          <w:rPr>
            <w:noProof/>
          </w:rPr>
          <w:fldChar w:fldCharType="separate"/>
        </w:r>
        <w:r w:rsidR="001267BA">
          <w:rPr>
            <w:noProof/>
          </w:rPr>
          <w:t>4</w:t>
        </w:r>
        <w:r>
          <w:rPr>
            <w:noProof/>
          </w:rPr>
          <w:fldChar w:fldCharType="end"/>
        </w:r>
      </w:hyperlink>
    </w:p>
    <w:p w14:paraId="057D72A6" w14:textId="77777777" w:rsidR="00A6605D" w:rsidRDefault="00B56854">
      <w:pPr>
        <w:pStyle w:val="12"/>
        <w:rPr>
          <w:rFonts w:asciiTheme="minorHAnsi" w:eastAsiaTheme="minorEastAsia" w:hAnsiTheme="minorHAnsi" w:cstheme="minorBidi"/>
          <w:caps w:val="0"/>
          <w:noProof/>
          <w:sz w:val="21"/>
          <w:szCs w:val="22"/>
        </w:rPr>
      </w:pPr>
      <w:hyperlink w:anchor="_Toc63676437" w:history="1">
        <w:r w:rsidR="00413D7E">
          <w:rPr>
            <w:rStyle w:val="afd"/>
            <w:rFonts w:ascii="Arial Unicode MS" w:hAnsi="Arial Unicode MS" w:cs="Arial" w:hint="eastAsia"/>
            <w:b/>
            <w:bCs/>
            <w:noProof/>
          </w:rPr>
          <w:t>第二部分</w:t>
        </w:r>
        <w:r w:rsidR="00413D7E">
          <w:rPr>
            <w:rStyle w:val="afd"/>
            <w:rFonts w:ascii="Arial Unicode MS" w:hAnsi="Arial Unicode MS" w:cs="Arial"/>
            <w:b/>
            <w:bCs/>
            <w:noProof/>
          </w:rPr>
          <w:t xml:space="preserve">  </w:t>
        </w:r>
        <w:r w:rsidR="00413D7E">
          <w:rPr>
            <w:rStyle w:val="afd"/>
            <w:rFonts w:ascii="Arial Unicode MS" w:hAnsi="Arial Unicode MS" w:cs="Arial" w:hint="eastAsia"/>
            <w:b/>
            <w:bCs/>
            <w:noProof/>
          </w:rPr>
          <w:t>释义</w:t>
        </w:r>
        <w:r w:rsidR="00413D7E">
          <w:rPr>
            <w:noProof/>
          </w:rPr>
          <w:tab/>
        </w:r>
        <w:r w:rsidR="00413D7E">
          <w:rPr>
            <w:noProof/>
          </w:rPr>
          <w:fldChar w:fldCharType="begin"/>
        </w:r>
        <w:r w:rsidR="00413D7E">
          <w:rPr>
            <w:noProof/>
          </w:rPr>
          <w:instrText xml:space="preserve"> PAGEREF _Toc63676437 \h </w:instrText>
        </w:r>
        <w:r w:rsidR="00413D7E">
          <w:rPr>
            <w:noProof/>
          </w:rPr>
        </w:r>
        <w:r w:rsidR="00413D7E">
          <w:rPr>
            <w:noProof/>
          </w:rPr>
          <w:fldChar w:fldCharType="separate"/>
        </w:r>
        <w:r w:rsidR="001267BA">
          <w:rPr>
            <w:noProof/>
          </w:rPr>
          <w:t>5</w:t>
        </w:r>
        <w:r w:rsidR="00413D7E">
          <w:rPr>
            <w:noProof/>
          </w:rPr>
          <w:fldChar w:fldCharType="end"/>
        </w:r>
      </w:hyperlink>
    </w:p>
    <w:p w14:paraId="38A3EAF9" w14:textId="77777777" w:rsidR="00A6605D" w:rsidRDefault="00B56854">
      <w:pPr>
        <w:pStyle w:val="12"/>
        <w:rPr>
          <w:rFonts w:asciiTheme="minorHAnsi" w:eastAsiaTheme="minorEastAsia" w:hAnsiTheme="minorHAnsi" w:cstheme="minorBidi"/>
          <w:caps w:val="0"/>
          <w:noProof/>
          <w:sz w:val="21"/>
          <w:szCs w:val="22"/>
        </w:rPr>
      </w:pPr>
      <w:hyperlink w:anchor="_Toc63676438" w:history="1">
        <w:r w:rsidR="00413D7E">
          <w:rPr>
            <w:rStyle w:val="afd"/>
            <w:rFonts w:ascii="Arial Unicode MS" w:hAnsi="Arial Unicode MS" w:cs="Arial" w:hint="eastAsia"/>
            <w:b/>
            <w:bCs/>
            <w:noProof/>
          </w:rPr>
          <w:t>第三部分</w:t>
        </w:r>
        <w:r w:rsidR="00413D7E">
          <w:rPr>
            <w:rStyle w:val="afd"/>
            <w:rFonts w:ascii="Arial Unicode MS" w:hAnsi="Arial Unicode MS" w:cs="Arial"/>
            <w:b/>
            <w:bCs/>
            <w:noProof/>
          </w:rPr>
          <w:t xml:space="preserve">  </w:t>
        </w:r>
        <w:r w:rsidR="00413D7E">
          <w:rPr>
            <w:rStyle w:val="afd"/>
            <w:rFonts w:ascii="Arial Unicode MS" w:hAnsi="Arial Unicode MS" w:cs="Arial" w:hint="eastAsia"/>
            <w:b/>
            <w:bCs/>
            <w:noProof/>
          </w:rPr>
          <w:t>基金管理人</w:t>
        </w:r>
        <w:r w:rsidR="00413D7E">
          <w:rPr>
            <w:noProof/>
          </w:rPr>
          <w:tab/>
        </w:r>
        <w:r w:rsidR="00413D7E">
          <w:rPr>
            <w:noProof/>
          </w:rPr>
          <w:fldChar w:fldCharType="begin"/>
        </w:r>
        <w:r w:rsidR="00413D7E">
          <w:rPr>
            <w:noProof/>
          </w:rPr>
          <w:instrText xml:space="preserve"> PAGEREF _Toc63676438 \h </w:instrText>
        </w:r>
        <w:r w:rsidR="00413D7E">
          <w:rPr>
            <w:noProof/>
          </w:rPr>
        </w:r>
        <w:r w:rsidR="00413D7E">
          <w:rPr>
            <w:noProof/>
          </w:rPr>
          <w:fldChar w:fldCharType="separate"/>
        </w:r>
        <w:r w:rsidR="001267BA">
          <w:rPr>
            <w:noProof/>
          </w:rPr>
          <w:t>9</w:t>
        </w:r>
        <w:r w:rsidR="00413D7E">
          <w:rPr>
            <w:noProof/>
          </w:rPr>
          <w:fldChar w:fldCharType="end"/>
        </w:r>
      </w:hyperlink>
    </w:p>
    <w:p w14:paraId="037A33CB" w14:textId="77777777" w:rsidR="00A6605D" w:rsidRDefault="00B56854">
      <w:pPr>
        <w:pStyle w:val="12"/>
        <w:rPr>
          <w:rFonts w:asciiTheme="minorHAnsi" w:eastAsiaTheme="minorEastAsia" w:hAnsiTheme="minorHAnsi" w:cstheme="minorBidi"/>
          <w:caps w:val="0"/>
          <w:noProof/>
          <w:sz w:val="21"/>
          <w:szCs w:val="22"/>
        </w:rPr>
      </w:pPr>
      <w:hyperlink w:anchor="_Toc63676439" w:history="1">
        <w:r w:rsidR="00413D7E">
          <w:rPr>
            <w:rStyle w:val="afd"/>
            <w:rFonts w:ascii="Arial Unicode MS" w:hAnsi="Arial Unicode MS" w:cs="Arial" w:hint="eastAsia"/>
            <w:b/>
            <w:bCs/>
            <w:noProof/>
          </w:rPr>
          <w:t>第四部分</w:t>
        </w:r>
        <w:r w:rsidR="00413D7E">
          <w:rPr>
            <w:rStyle w:val="afd"/>
            <w:rFonts w:ascii="Arial Unicode MS" w:hAnsi="Arial Unicode MS" w:cs="Arial"/>
            <w:b/>
            <w:bCs/>
            <w:noProof/>
          </w:rPr>
          <w:t xml:space="preserve">  </w:t>
        </w:r>
        <w:r w:rsidR="00413D7E">
          <w:rPr>
            <w:rStyle w:val="afd"/>
            <w:rFonts w:ascii="Arial Unicode MS" w:hAnsi="Arial Unicode MS" w:cs="Arial" w:hint="eastAsia"/>
            <w:b/>
            <w:bCs/>
            <w:noProof/>
          </w:rPr>
          <w:t>基金托管人</w:t>
        </w:r>
        <w:r w:rsidR="00413D7E">
          <w:rPr>
            <w:noProof/>
          </w:rPr>
          <w:tab/>
        </w:r>
        <w:r w:rsidR="00413D7E">
          <w:rPr>
            <w:noProof/>
          </w:rPr>
          <w:fldChar w:fldCharType="begin"/>
        </w:r>
        <w:r w:rsidR="00413D7E">
          <w:rPr>
            <w:noProof/>
          </w:rPr>
          <w:instrText xml:space="preserve"> PAGEREF _Toc63676439 \h </w:instrText>
        </w:r>
        <w:r w:rsidR="00413D7E">
          <w:rPr>
            <w:noProof/>
          </w:rPr>
        </w:r>
        <w:r w:rsidR="00413D7E">
          <w:rPr>
            <w:noProof/>
          </w:rPr>
          <w:fldChar w:fldCharType="separate"/>
        </w:r>
        <w:r w:rsidR="001267BA">
          <w:rPr>
            <w:noProof/>
          </w:rPr>
          <w:t>19</w:t>
        </w:r>
        <w:r w:rsidR="00413D7E">
          <w:rPr>
            <w:noProof/>
          </w:rPr>
          <w:fldChar w:fldCharType="end"/>
        </w:r>
      </w:hyperlink>
    </w:p>
    <w:p w14:paraId="0221A45A" w14:textId="77777777" w:rsidR="00A6605D" w:rsidRDefault="00B56854">
      <w:pPr>
        <w:pStyle w:val="12"/>
        <w:rPr>
          <w:rFonts w:asciiTheme="minorHAnsi" w:eastAsiaTheme="minorEastAsia" w:hAnsiTheme="minorHAnsi" w:cstheme="minorBidi"/>
          <w:caps w:val="0"/>
          <w:noProof/>
          <w:sz w:val="21"/>
          <w:szCs w:val="22"/>
        </w:rPr>
      </w:pPr>
      <w:hyperlink w:anchor="_Toc63676440" w:history="1">
        <w:r w:rsidR="00413D7E">
          <w:rPr>
            <w:rStyle w:val="afd"/>
            <w:rFonts w:ascii="Arial Unicode MS" w:hAnsi="Arial Unicode MS" w:cs="Arial" w:hint="eastAsia"/>
            <w:b/>
            <w:bCs/>
            <w:noProof/>
          </w:rPr>
          <w:t>第五部分</w:t>
        </w:r>
        <w:r w:rsidR="00413D7E">
          <w:rPr>
            <w:rStyle w:val="afd"/>
            <w:rFonts w:ascii="Arial Unicode MS" w:hAnsi="Arial Unicode MS" w:cs="Arial"/>
            <w:b/>
            <w:bCs/>
            <w:noProof/>
          </w:rPr>
          <w:t xml:space="preserve">  </w:t>
        </w:r>
        <w:r w:rsidR="00413D7E">
          <w:rPr>
            <w:rStyle w:val="afd"/>
            <w:rFonts w:ascii="Arial Unicode MS" w:hAnsi="Arial Unicode MS" w:cs="Arial" w:hint="eastAsia"/>
            <w:b/>
            <w:bCs/>
            <w:noProof/>
          </w:rPr>
          <w:t>相关服务机构</w:t>
        </w:r>
        <w:r w:rsidR="00413D7E">
          <w:rPr>
            <w:noProof/>
          </w:rPr>
          <w:tab/>
        </w:r>
        <w:r w:rsidR="00413D7E">
          <w:rPr>
            <w:noProof/>
          </w:rPr>
          <w:fldChar w:fldCharType="begin"/>
        </w:r>
        <w:r w:rsidR="00413D7E">
          <w:rPr>
            <w:noProof/>
          </w:rPr>
          <w:instrText xml:space="preserve"> PAGEREF _Toc63676440 \h </w:instrText>
        </w:r>
        <w:r w:rsidR="00413D7E">
          <w:rPr>
            <w:noProof/>
          </w:rPr>
        </w:r>
        <w:r w:rsidR="00413D7E">
          <w:rPr>
            <w:noProof/>
          </w:rPr>
          <w:fldChar w:fldCharType="separate"/>
        </w:r>
        <w:r w:rsidR="001267BA">
          <w:rPr>
            <w:noProof/>
          </w:rPr>
          <w:t>22</w:t>
        </w:r>
        <w:r w:rsidR="00413D7E">
          <w:rPr>
            <w:noProof/>
          </w:rPr>
          <w:fldChar w:fldCharType="end"/>
        </w:r>
      </w:hyperlink>
    </w:p>
    <w:p w14:paraId="5FAACD9C" w14:textId="77777777" w:rsidR="00A6605D" w:rsidRDefault="00B56854">
      <w:pPr>
        <w:pStyle w:val="12"/>
        <w:rPr>
          <w:rFonts w:asciiTheme="minorHAnsi" w:eastAsiaTheme="minorEastAsia" w:hAnsiTheme="minorHAnsi" w:cstheme="minorBidi"/>
          <w:caps w:val="0"/>
          <w:noProof/>
          <w:sz w:val="21"/>
          <w:szCs w:val="22"/>
        </w:rPr>
      </w:pPr>
      <w:hyperlink w:anchor="_Toc63676441" w:history="1">
        <w:r w:rsidR="00413D7E">
          <w:rPr>
            <w:rStyle w:val="afd"/>
            <w:rFonts w:ascii="Arial Unicode MS" w:hAnsi="Arial Unicode MS" w:cs="Arial" w:hint="eastAsia"/>
            <w:b/>
            <w:bCs/>
            <w:noProof/>
          </w:rPr>
          <w:t>第六部分</w:t>
        </w:r>
        <w:r w:rsidR="00413D7E">
          <w:rPr>
            <w:rStyle w:val="afd"/>
            <w:rFonts w:ascii="Arial Unicode MS" w:hAnsi="Arial Unicode MS" w:cs="Arial"/>
            <w:b/>
            <w:bCs/>
            <w:noProof/>
          </w:rPr>
          <w:t xml:space="preserve">  </w:t>
        </w:r>
        <w:r w:rsidR="00413D7E">
          <w:rPr>
            <w:rStyle w:val="afd"/>
            <w:rFonts w:ascii="Arial Unicode MS" w:hAnsi="Arial Unicode MS" w:cs="Arial" w:hint="eastAsia"/>
            <w:b/>
            <w:bCs/>
            <w:noProof/>
          </w:rPr>
          <w:t>基金份额的发售</w:t>
        </w:r>
        <w:r w:rsidR="00413D7E">
          <w:rPr>
            <w:noProof/>
          </w:rPr>
          <w:tab/>
        </w:r>
        <w:r w:rsidR="00413D7E">
          <w:rPr>
            <w:noProof/>
          </w:rPr>
          <w:fldChar w:fldCharType="begin"/>
        </w:r>
        <w:r w:rsidR="00413D7E">
          <w:rPr>
            <w:noProof/>
          </w:rPr>
          <w:instrText xml:space="preserve"> PAGEREF _Toc63676441 \h </w:instrText>
        </w:r>
        <w:r w:rsidR="00413D7E">
          <w:rPr>
            <w:noProof/>
          </w:rPr>
        </w:r>
        <w:r w:rsidR="00413D7E">
          <w:rPr>
            <w:noProof/>
          </w:rPr>
          <w:fldChar w:fldCharType="separate"/>
        </w:r>
        <w:r w:rsidR="001267BA">
          <w:rPr>
            <w:noProof/>
          </w:rPr>
          <w:t>30</w:t>
        </w:r>
        <w:r w:rsidR="00413D7E">
          <w:rPr>
            <w:noProof/>
          </w:rPr>
          <w:fldChar w:fldCharType="end"/>
        </w:r>
      </w:hyperlink>
    </w:p>
    <w:p w14:paraId="369ECD5D" w14:textId="77777777" w:rsidR="00A6605D" w:rsidRDefault="00B56854">
      <w:pPr>
        <w:pStyle w:val="12"/>
        <w:rPr>
          <w:rFonts w:asciiTheme="minorHAnsi" w:eastAsiaTheme="minorEastAsia" w:hAnsiTheme="minorHAnsi" w:cstheme="minorBidi"/>
          <w:caps w:val="0"/>
          <w:noProof/>
          <w:sz w:val="21"/>
          <w:szCs w:val="22"/>
        </w:rPr>
      </w:pPr>
      <w:hyperlink w:anchor="_Toc63676442" w:history="1">
        <w:r w:rsidR="00413D7E">
          <w:rPr>
            <w:rStyle w:val="afd"/>
            <w:rFonts w:ascii="Arial Unicode MS" w:hAnsi="Arial Unicode MS" w:cs="Arial" w:hint="eastAsia"/>
            <w:b/>
            <w:bCs/>
            <w:noProof/>
          </w:rPr>
          <w:t>第七部分</w:t>
        </w:r>
        <w:r w:rsidR="00413D7E">
          <w:rPr>
            <w:rStyle w:val="afd"/>
            <w:rFonts w:ascii="Arial Unicode MS" w:hAnsi="Arial Unicode MS" w:cs="Arial"/>
            <w:b/>
            <w:bCs/>
            <w:noProof/>
          </w:rPr>
          <w:t xml:space="preserve">  </w:t>
        </w:r>
        <w:r w:rsidR="00413D7E">
          <w:rPr>
            <w:rStyle w:val="afd"/>
            <w:rFonts w:ascii="Arial Unicode MS" w:hAnsi="Arial Unicode MS" w:cs="Arial" w:hint="eastAsia"/>
            <w:b/>
            <w:bCs/>
            <w:noProof/>
          </w:rPr>
          <w:t>基金合同的生效</w:t>
        </w:r>
        <w:r w:rsidR="00413D7E">
          <w:rPr>
            <w:noProof/>
          </w:rPr>
          <w:tab/>
        </w:r>
        <w:r w:rsidR="00413D7E">
          <w:rPr>
            <w:noProof/>
          </w:rPr>
          <w:fldChar w:fldCharType="begin"/>
        </w:r>
        <w:r w:rsidR="00413D7E">
          <w:rPr>
            <w:noProof/>
          </w:rPr>
          <w:instrText xml:space="preserve"> PAGEREF _Toc63676442 \h </w:instrText>
        </w:r>
        <w:r w:rsidR="00413D7E">
          <w:rPr>
            <w:noProof/>
          </w:rPr>
        </w:r>
        <w:r w:rsidR="00413D7E">
          <w:rPr>
            <w:noProof/>
          </w:rPr>
          <w:fldChar w:fldCharType="separate"/>
        </w:r>
        <w:r w:rsidR="001267BA">
          <w:rPr>
            <w:noProof/>
          </w:rPr>
          <w:t>31</w:t>
        </w:r>
        <w:r w:rsidR="00413D7E">
          <w:rPr>
            <w:noProof/>
          </w:rPr>
          <w:fldChar w:fldCharType="end"/>
        </w:r>
      </w:hyperlink>
    </w:p>
    <w:p w14:paraId="053944A7" w14:textId="77777777" w:rsidR="00A6605D" w:rsidRDefault="00B56854">
      <w:pPr>
        <w:pStyle w:val="12"/>
        <w:rPr>
          <w:rFonts w:asciiTheme="minorHAnsi" w:eastAsiaTheme="minorEastAsia" w:hAnsiTheme="minorHAnsi" w:cstheme="minorBidi"/>
          <w:caps w:val="0"/>
          <w:noProof/>
          <w:sz w:val="21"/>
          <w:szCs w:val="22"/>
        </w:rPr>
      </w:pPr>
      <w:hyperlink w:anchor="_Toc63676443" w:history="1">
        <w:r w:rsidR="00413D7E">
          <w:rPr>
            <w:rStyle w:val="afd"/>
            <w:rFonts w:ascii="Arial Unicode MS" w:hAnsi="Arial Unicode MS" w:cs="Arial" w:hint="eastAsia"/>
            <w:b/>
            <w:bCs/>
            <w:noProof/>
          </w:rPr>
          <w:t>第八部分</w:t>
        </w:r>
        <w:r w:rsidR="00413D7E">
          <w:rPr>
            <w:rStyle w:val="afd"/>
            <w:rFonts w:ascii="Arial Unicode MS" w:hAnsi="Arial Unicode MS" w:cs="Arial"/>
            <w:b/>
            <w:bCs/>
            <w:noProof/>
          </w:rPr>
          <w:t xml:space="preserve">  </w:t>
        </w:r>
        <w:r w:rsidR="00413D7E">
          <w:rPr>
            <w:rStyle w:val="afd"/>
            <w:rFonts w:ascii="Arial Unicode MS" w:hAnsi="Arial Unicode MS" w:cs="Arial" w:hint="eastAsia"/>
            <w:b/>
            <w:bCs/>
            <w:noProof/>
          </w:rPr>
          <w:t>基金份额的申购与赎回</w:t>
        </w:r>
        <w:r w:rsidR="00413D7E">
          <w:rPr>
            <w:noProof/>
          </w:rPr>
          <w:tab/>
        </w:r>
        <w:r w:rsidR="00413D7E">
          <w:rPr>
            <w:noProof/>
          </w:rPr>
          <w:fldChar w:fldCharType="begin"/>
        </w:r>
        <w:r w:rsidR="00413D7E">
          <w:rPr>
            <w:noProof/>
          </w:rPr>
          <w:instrText xml:space="preserve"> PAGEREF _Toc63676443 \h </w:instrText>
        </w:r>
        <w:r w:rsidR="00413D7E">
          <w:rPr>
            <w:noProof/>
          </w:rPr>
        </w:r>
        <w:r w:rsidR="00413D7E">
          <w:rPr>
            <w:noProof/>
          </w:rPr>
          <w:fldChar w:fldCharType="separate"/>
        </w:r>
        <w:r w:rsidR="001267BA">
          <w:rPr>
            <w:noProof/>
          </w:rPr>
          <w:t>32</w:t>
        </w:r>
        <w:r w:rsidR="00413D7E">
          <w:rPr>
            <w:noProof/>
          </w:rPr>
          <w:fldChar w:fldCharType="end"/>
        </w:r>
      </w:hyperlink>
    </w:p>
    <w:p w14:paraId="010B624F" w14:textId="77777777" w:rsidR="00A6605D" w:rsidRDefault="00B56854">
      <w:pPr>
        <w:pStyle w:val="12"/>
        <w:rPr>
          <w:rFonts w:asciiTheme="minorHAnsi" w:eastAsiaTheme="minorEastAsia" w:hAnsiTheme="minorHAnsi" w:cstheme="minorBidi"/>
          <w:caps w:val="0"/>
          <w:noProof/>
          <w:sz w:val="21"/>
          <w:szCs w:val="22"/>
        </w:rPr>
      </w:pPr>
      <w:hyperlink w:anchor="_Toc63676444" w:history="1">
        <w:r w:rsidR="00413D7E">
          <w:rPr>
            <w:rStyle w:val="afd"/>
            <w:rFonts w:ascii="Arial Unicode MS" w:hAnsi="Arial Unicode MS" w:cs="Arial" w:hint="eastAsia"/>
            <w:b/>
            <w:bCs/>
            <w:noProof/>
          </w:rPr>
          <w:t>第九部分</w:t>
        </w:r>
        <w:r w:rsidR="00413D7E">
          <w:rPr>
            <w:rStyle w:val="afd"/>
            <w:rFonts w:ascii="Arial Unicode MS" w:hAnsi="Arial Unicode MS" w:cs="Arial"/>
            <w:b/>
            <w:bCs/>
            <w:noProof/>
          </w:rPr>
          <w:t xml:space="preserve">  </w:t>
        </w:r>
        <w:r w:rsidR="00413D7E">
          <w:rPr>
            <w:rStyle w:val="afd"/>
            <w:rFonts w:ascii="Arial Unicode MS" w:hAnsi="Arial Unicode MS" w:cs="Arial" w:hint="eastAsia"/>
            <w:b/>
            <w:bCs/>
            <w:noProof/>
          </w:rPr>
          <w:t>基金的投资</w:t>
        </w:r>
        <w:bookmarkStart w:id="0" w:name="_GoBack"/>
        <w:bookmarkEnd w:id="0"/>
        <w:r w:rsidR="00413D7E">
          <w:rPr>
            <w:noProof/>
          </w:rPr>
          <w:tab/>
        </w:r>
        <w:r w:rsidR="00413D7E">
          <w:rPr>
            <w:noProof/>
          </w:rPr>
          <w:fldChar w:fldCharType="begin"/>
        </w:r>
        <w:r w:rsidR="00413D7E">
          <w:rPr>
            <w:noProof/>
          </w:rPr>
          <w:instrText xml:space="preserve"> PAGEREF _Toc63676444 \h </w:instrText>
        </w:r>
        <w:r w:rsidR="00413D7E">
          <w:rPr>
            <w:noProof/>
          </w:rPr>
        </w:r>
        <w:r w:rsidR="00413D7E">
          <w:rPr>
            <w:noProof/>
          </w:rPr>
          <w:fldChar w:fldCharType="separate"/>
        </w:r>
        <w:r w:rsidR="001267BA">
          <w:rPr>
            <w:noProof/>
          </w:rPr>
          <w:t>41</w:t>
        </w:r>
        <w:r w:rsidR="00413D7E">
          <w:rPr>
            <w:noProof/>
          </w:rPr>
          <w:fldChar w:fldCharType="end"/>
        </w:r>
      </w:hyperlink>
    </w:p>
    <w:p w14:paraId="2CC7278C" w14:textId="77777777" w:rsidR="00A6605D" w:rsidRDefault="00B56854">
      <w:pPr>
        <w:pStyle w:val="12"/>
        <w:rPr>
          <w:rFonts w:asciiTheme="minorHAnsi" w:eastAsiaTheme="minorEastAsia" w:hAnsiTheme="minorHAnsi" w:cstheme="minorBidi"/>
          <w:caps w:val="0"/>
          <w:noProof/>
          <w:sz w:val="21"/>
          <w:szCs w:val="22"/>
        </w:rPr>
      </w:pPr>
      <w:hyperlink w:anchor="_Toc63676445" w:history="1">
        <w:r w:rsidR="00413D7E">
          <w:rPr>
            <w:rStyle w:val="afd"/>
            <w:rFonts w:ascii="Arial Unicode MS" w:hAnsi="Arial Unicode MS" w:cs="Arial" w:hint="eastAsia"/>
            <w:b/>
            <w:bCs/>
            <w:noProof/>
          </w:rPr>
          <w:t>第十部分</w:t>
        </w:r>
        <w:r w:rsidR="00413D7E">
          <w:rPr>
            <w:rStyle w:val="afd"/>
            <w:rFonts w:ascii="Arial Unicode MS" w:hAnsi="Arial Unicode MS" w:cs="Arial"/>
            <w:b/>
            <w:bCs/>
            <w:noProof/>
          </w:rPr>
          <w:t xml:space="preserve">  </w:t>
        </w:r>
        <w:r w:rsidR="00413D7E">
          <w:rPr>
            <w:rStyle w:val="afd"/>
            <w:rFonts w:ascii="Arial Unicode MS" w:hAnsi="Arial Unicode MS" w:cs="Arial" w:hint="eastAsia"/>
            <w:b/>
            <w:bCs/>
            <w:noProof/>
          </w:rPr>
          <w:t>基金的财产</w:t>
        </w:r>
        <w:r w:rsidR="00413D7E">
          <w:rPr>
            <w:noProof/>
          </w:rPr>
          <w:tab/>
        </w:r>
        <w:r w:rsidR="00413D7E">
          <w:rPr>
            <w:noProof/>
          </w:rPr>
          <w:fldChar w:fldCharType="begin"/>
        </w:r>
        <w:r w:rsidR="00413D7E">
          <w:rPr>
            <w:noProof/>
          </w:rPr>
          <w:instrText xml:space="preserve"> PAGEREF _Toc63676445 \h </w:instrText>
        </w:r>
        <w:r w:rsidR="00413D7E">
          <w:rPr>
            <w:noProof/>
          </w:rPr>
        </w:r>
        <w:r w:rsidR="00413D7E">
          <w:rPr>
            <w:noProof/>
          </w:rPr>
          <w:fldChar w:fldCharType="separate"/>
        </w:r>
        <w:r w:rsidR="001267BA">
          <w:rPr>
            <w:noProof/>
          </w:rPr>
          <w:t>51</w:t>
        </w:r>
        <w:r w:rsidR="00413D7E">
          <w:rPr>
            <w:noProof/>
          </w:rPr>
          <w:fldChar w:fldCharType="end"/>
        </w:r>
      </w:hyperlink>
    </w:p>
    <w:p w14:paraId="6F44FE33" w14:textId="77777777" w:rsidR="00A6605D" w:rsidRDefault="00B56854">
      <w:pPr>
        <w:pStyle w:val="12"/>
        <w:rPr>
          <w:rFonts w:asciiTheme="minorHAnsi" w:eastAsiaTheme="minorEastAsia" w:hAnsiTheme="minorHAnsi" w:cstheme="minorBidi"/>
          <w:caps w:val="0"/>
          <w:noProof/>
          <w:sz w:val="21"/>
          <w:szCs w:val="22"/>
        </w:rPr>
      </w:pPr>
      <w:hyperlink w:anchor="_Toc63676446" w:history="1">
        <w:r w:rsidR="00413D7E">
          <w:rPr>
            <w:rStyle w:val="afd"/>
            <w:rFonts w:ascii="Arial Unicode MS" w:hAnsi="Arial Unicode MS" w:cs="Arial" w:hint="eastAsia"/>
            <w:b/>
            <w:bCs/>
            <w:noProof/>
          </w:rPr>
          <w:t>第十一部分</w:t>
        </w:r>
        <w:r w:rsidR="00413D7E">
          <w:rPr>
            <w:rStyle w:val="afd"/>
            <w:rFonts w:ascii="Arial Unicode MS" w:hAnsi="Arial Unicode MS" w:cs="Arial"/>
            <w:b/>
            <w:bCs/>
            <w:noProof/>
          </w:rPr>
          <w:t xml:space="preserve">  </w:t>
        </w:r>
        <w:r w:rsidR="00413D7E">
          <w:rPr>
            <w:rStyle w:val="afd"/>
            <w:rFonts w:ascii="Arial Unicode MS" w:hAnsi="Arial Unicode MS" w:cs="Arial" w:hint="eastAsia"/>
            <w:b/>
            <w:bCs/>
            <w:noProof/>
          </w:rPr>
          <w:t>基金资产的估值</w:t>
        </w:r>
        <w:r w:rsidR="00413D7E">
          <w:rPr>
            <w:noProof/>
          </w:rPr>
          <w:tab/>
        </w:r>
        <w:r w:rsidR="00413D7E">
          <w:rPr>
            <w:noProof/>
          </w:rPr>
          <w:fldChar w:fldCharType="begin"/>
        </w:r>
        <w:r w:rsidR="00413D7E">
          <w:rPr>
            <w:noProof/>
          </w:rPr>
          <w:instrText xml:space="preserve"> PAGEREF _Toc63676446 \h </w:instrText>
        </w:r>
        <w:r w:rsidR="00413D7E">
          <w:rPr>
            <w:noProof/>
          </w:rPr>
        </w:r>
        <w:r w:rsidR="00413D7E">
          <w:rPr>
            <w:noProof/>
          </w:rPr>
          <w:fldChar w:fldCharType="separate"/>
        </w:r>
        <w:r w:rsidR="001267BA">
          <w:rPr>
            <w:noProof/>
          </w:rPr>
          <w:t>52</w:t>
        </w:r>
        <w:r w:rsidR="00413D7E">
          <w:rPr>
            <w:noProof/>
          </w:rPr>
          <w:fldChar w:fldCharType="end"/>
        </w:r>
      </w:hyperlink>
    </w:p>
    <w:p w14:paraId="44D8D5CA" w14:textId="77777777" w:rsidR="00A6605D" w:rsidRDefault="00B56854">
      <w:pPr>
        <w:pStyle w:val="12"/>
        <w:rPr>
          <w:rFonts w:asciiTheme="minorHAnsi" w:eastAsiaTheme="minorEastAsia" w:hAnsiTheme="minorHAnsi" w:cstheme="minorBidi"/>
          <w:caps w:val="0"/>
          <w:noProof/>
          <w:sz w:val="21"/>
          <w:szCs w:val="22"/>
        </w:rPr>
      </w:pPr>
      <w:hyperlink w:anchor="_Toc63676447" w:history="1">
        <w:r w:rsidR="00413D7E">
          <w:rPr>
            <w:rStyle w:val="afd"/>
            <w:rFonts w:ascii="Arial Unicode MS" w:hAnsi="Arial Unicode MS" w:cs="Arial" w:hint="eastAsia"/>
            <w:b/>
            <w:bCs/>
            <w:noProof/>
          </w:rPr>
          <w:t>第十二部分</w:t>
        </w:r>
        <w:r w:rsidR="00413D7E">
          <w:rPr>
            <w:rStyle w:val="afd"/>
            <w:rFonts w:ascii="Arial Unicode MS" w:hAnsi="Arial Unicode MS" w:cs="Arial"/>
            <w:b/>
            <w:bCs/>
            <w:noProof/>
          </w:rPr>
          <w:t xml:space="preserve">  </w:t>
        </w:r>
        <w:r w:rsidR="00413D7E">
          <w:rPr>
            <w:rStyle w:val="afd"/>
            <w:rFonts w:ascii="Arial Unicode MS" w:hAnsi="Arial Unicode MS" w:cs="Arial" w:hint="eastAsia"/>
            <w:b/>
            <w:bCs/>
            <w:noProof/>
          </w:rPr>
          <w:t>基金的收益分配</w:t>
        </w:r>
        <w:r w:rsidR="00413D7E">
          <w:rPr>
            <w:noProof/>
          </w:rPr>
          <w:tab/>
        </w:r>
        <w:r w:rsidR="00413D7E">
          <w:rPr>
            <w:noProof/>
          </w:rPr>
          <w:fldChar w:fldCharType="begin"/>
        </w:r>
        <w:r w:rsidR="00413D7E">
          <w:rPr>
            <w:noProof/>
          </w:rPr>
          <w:instrText xml:space="preserve"> PAGEREF _Toc63676447 \h </w:instrText>
        </w:r>
        <w:r w:rsidR="00413D7E">
          <w:rPr>
            <w:noProof/>
          </w:rPr>
        </w:r>
        <w:r w:rsidR="00413D7E">
          <w:rPr>
            <w:noProof/>
          </w:rPr>
          <w:fldChar w:fldCharType="separate"/>
        </w:r>
        <w:r w:rsidR="001267BA">
          <w:rPr>
            <w:noProof/>
          </w:rPr>
          <w:t>57</w:t>
        </w:r>
        <w:r w:rsidR="00413D7E">
          <w:rPr>
            <w:noProof/>
          </w:rPr>
          <w:fldChar w:fldCharType="end"/>
        </w:r>
      </w:hyperlink>
    </w:p>
    <w:p w14:paraId="4D8E6DCA" w14:textId="77777777" w:rsidR="00A6605D" w:rsidRDefault="00B56854">
      <w:pPr>
        <w:pStyle w:val="12"/>
        <w:rPr>
          <w:rFonts w:asciiTheme="minorHAnsi" w:eastAsiaTheme="minorEastAsia" w:hAnsiTheme="minorHAnsi" w:cstheme="minorBidi"/>
          <w:caps w:val="0"/>
          <w:noProof/>
          <w:sz w:val="21"/>
          <w:szCs w:val="22"/>
        </w:rPr>
      </w:pPr>
      <w:hyperlink w:anchor="_Toc63676448" w:history="1">
        <w:r w:rsidR="00413D7E">
          <w:rPr>
            <w:rStyle w:val="afd"/>
            <w:rFonts w:ascii="Arial Unicode MS" w:hAnsi="Arial Unicode MS" w:cs="Arial" w:hint="eastAsia"/>
            <w:b/>
            <w:bCs/>
            <w:noProof/>
          </w:rPr>
          <w:t>第十三部分</w:t>
        </w:r>
        <w:r w:rsidR="00413D7E">
          <w:rPr>
            <w:rStyle w:val="afd"/>
            <w:rFonts w:ascii="Arial Unicode MS" w:hAnsi="Arial Unicode MS" w:cs="Arial"/>
            <w:b/>
            <w:bCs/>
            <w:noProof/>
          </w:rPr>
          <w:t xml:space="preserve">  </w:t>
        </w:r>
        <w:r w:rsidR="00413D7E">
          <w:rPr>
            <w:rStyle w:val="afd"/>
            <w:rFonts w:ascii="Arial Unicode MS" w:hAnsi="Arial Unicode MS" w:cs="Arial" w:hint="eastAsia"/>
            <w:b/>
            <w:bCs/>
            <w:noProof/>
          </w:rPr>
          <w:t>基金费用与税收</w:t>
        </w:r>
        <w:r w:rsidR="00413D7E">
          <w:rPr>
            <w:noProof/>
          </w:rPr>
          <w:tab/>
        </w:r>
        <w:r w:rsidR="00413D7E">
          <w:rPr>
            <w:noProof/>
          </w:rPr>
          <w:fldChar w:fldCharType="begin"/>
        </w:r>
        <w:r w:rsidR="00413D7E">
          <w:rPr>
            <w:noProof/>
          </w:rPr>
          <w:instrText xml:space="preserve"> PAGEREF _Toc63676448 \h </w:instrText>
        </w:r>
        <w:r w:rsidR="00413D7E">
          <w:rPr>
            <w:noProof/>
          </w:rPr>
        </w:r>
        <w:r w:rsidR="00413D7E">
          <w:rPr>
            <w:noProof/>
          </w:rPr>
          <w:fldChar w:fldCharType="separate"/>
        </w:r>
        <w:r w:rsidR="001267BA">
          <w:rPr>
            <w:noProof/>
          </w:rPr>
          <w:t>58</w:t>
        </w:r>
        <w:r w:rsidR="00413D7E">
          <w:rPr>
            <w:noProof/>
          </w:rPr>
          <w:fldChar w:fldCharType="end"/>
        </w:r>
      </w:hyperlink>
    </w:p>
    <w:p w14:paraId="6C16BC31" w14:textId="77777777" w:rsidR="00A6605D" w:rsidRDefault="00B56854">
      <w:pPr>
        <w:pStyle w:val="12"/>
        <w:rPr>
          <w:rFonts w:asciiTheme="minorHAnsi" w:eastAsiaTheme="minorEastAsia" w:hAnsiTheme="minorHAnsi" w:cstheme="minorBidi"/>
          <w:caps w:val="0"/>
          <w:noProof/>
          <w:sz w:val="21"/>
          <w:szCs w:val="22"/>
        </w:rPr>
      </w:pPr>
      <w:hyperlink w:anchor="_Toc63676449" w:history="1">
        <w:r w:rsidR="00413D7E">
          <w:rPr>
            <w:rStyle w:val="afd"/>
            <w:rFonts w:ascii="Arial Unicode MS" w:hAnsi="Arial Unicode MS" w:cs="Arial" w:hint="eastAsia"/>
            <w:b/>
            <w:bCs/>
            <w:noProof/>
          </w:rPr>
          <w:t>第十四部分</w:t>
        </w:r>
        <w:r w:rsidR="00413D7E">
          <w:rPr>
            <w:rStyle w:val="afd"/>
            <w:rFonts w:ascii="Arial Unicode MS" w:hAnsi="Arial Unicode MS" w:cs="Arial"/>
            <w:b/>
            <w:bCs/>
            <w:noProof/>
          </w:rPr>
          <w:t xml:space="preserve">  </w:t>
        </w:r>
        <w:r w:rsidR="00413D7E">
          <w:rPr>
            <w:rStyle w:val="afd"/>
            <w:rFonts w:ascii="Arial Unicode MS" w:hAnsi="Arial Unicode MS" w:cs="Arial" w:hint="eastAsia"/>
            <w:b/>
            <w:bCs/>
            <w:noProof/>
          </w:rPr>
          <w:t>基金的会计与审计</w:t>
        </w:r>
        <w:r w:rsidR="00413D7E">
          <w:rPr>
            <w:noProof/>
          </w:rPr>
          <w:tab/>
        </w:r>
        <w:r w:rsidR="00413D7E">
          <w:rPr>
            <w:noProof/>
          </w:rPr>
          <w:fldChar w:fldCharType="begin"/>
        </w:r>
        <w:r w:rsidR="00413D7E">
          <w:rPr>
            <w:noProof/>
          </w:rPr>
          <w:instrText xml:space="preserve"> PAGEREF _Toc63676449 \h </w:instrText>
        </w:r>
        <w:r w:rsidR="00413D7E">
          <w:rPr>
            <w:noProof/>
          </w:rPr>
        </w:r>
        <w:r w:rsidR="00413D7E">
          <w:rPr>
            <w:noProof/>
          </w:rPr>
          <w:fldChar w:fldCharType="separate"/>
        </w:r>
        <w:r w:rsidR="001267BA">
          <w:rPr>
            <w:noProof/>
          </w:rPr>
          <w:t>60</w:t>
        </w:r>
        <w:r w:rsidR="00413D7E">
          <w:rPr>
            <w:noProof/>
          </w:rPr>
          <w:fldChar w:fldCharType="end"/>
        </w:r>
      </w:hyperlink>
    </w:p>
    <w:p w14:paraId="3F3E8D86" w14:textId="77777777" w:rsidR="00A6605D" w:rsidRDefault="00B56854">
      <w:pPr>
        <w:pStyle w:val="12"/>
        <w:rPr>
          <w:rFonts w:asciiTheme="minorHAnsi" w:eastAsiaTheme="minorEastAsia" w:hAnsiTheme="minorHAnsi" w:cstheme="minorBidi"/>
          <w:caps w:val="0"/>
          <w:noProof/>
          <w:sz w:val="21"/>
          <w:szCs w:val="22"/>
        </w:rPr>
      </w:pPr>
      <w:hyperlink w:anchor="_Toc63676450" w:history="1">
        <w:r w:rsidR="00413D7E">
          <w:rPr>
            <w:rStyle w:val="afd"/>
            <w:rFonts w:ascii="Arial Unicode MS" w:hAnsi="Arial Unicode MS" w:hint="eastAsia"/>
            <w:b/>
            <w:noProof/>
          </w:rPr>
          <w:t>第十五部分</w:t>
        </w:r>
        <w:r w:rsidR="00413D7E">
          <w:rPr>
            <w:rStyle w:val="afd"/>
            <w:rFonts w:ascii="Arial Unicode MS" w:hAnsi="Arial Unicode MS"/>
            <w:b/>
            <w:noProof/>
          </w:rPr>
          <w:t xml:space="preserve">  </w:t>
        </w:r>
        <w:r w:rsidR="00413D7E">
          <w:rPr>
            <w:rStyle w:val="afd"/>
            <w:rFonts w:ascii="Arial Unicode MS" w:hAnsi="Arial Unicode MS" w:hint="eastAsia"/>
            <w:b/>
            <w:noProof/>
          </w:rPr>
          <w:t>基金的信息披露</w:t>
        </w:r>
        <w:r w:rsidR="00413D7E">
          <w:rPr>
            <w:noProof/>
          </w:rPr>
          <w:tab/>
        </w:r>
        <w:r w:rsidR="00413D7E">
          <w:rPr>
            <w:noProof/>
          </w:rPr>
          <w:fldChar w:fldCharType="begin"/>
        </w:r>
        <w:r w:rsidR="00413D7E">
          <w:rPr>
            <w:noProof/>
          </w:rPr>
          <w:instrText xml:space="preserve"> PAGEREF _Toc63676450 \h </w:instrText>
        </w:r>
        <w:r w:rsidR="00413D7E">
          <w:rPr>
            <w:noProof/>
          </w:rPr>
        </w:r>
        <w:r w:rsidR="00413D7E">
          <w:rPr>
            <w:noProof/>
          </w:rPr>
          <w:fldChar w:fldCharType="separate"/>
        </w:r>
        <w:r w:rsidR="001267BA">
          <w:rPr>
            <w:noProof/>
          </w:rPr>
          <w:t>61</w:t>
        </w:r>
        <w:r w:rsidR="00413D7E">
          <w:rPr>
            <w:noProof/>
          </w:rPr>
          <w:fldChar w:fldCharType="end"/>
        </w:r>
      </w:hyperlink>
    </w:p>
    <w:p w14:paraId="5DC832E8" w14:textId="77777777" w:rsidR="00A6605D" w:rsidRDefault="00B56854">
      <w:pPr>
        <w:pStyle w:val="12"/>
        <w:rPr>
          <w:rFonts w:asciiTheme="minorHAnsi" w:eastAsiaTheme="minorEastAsia" w:hAnsiTheme="minorHAnsi" w:cstheme="minorBidi"/>
          <w:caps w:val="0"/>
          <w:noProof/>
          <w:sz w:val="21"/>
          <w:szCs w:val="22"/>
        </w:rPr>
      </w:pPr>
      <w:hyperlink w:anchor="_Toc63676451" w:history="1">
        <w:r w:rsidR="00413D7E">
          <w:rPr>
            <w:rStyle w:val="afd"/>
            <w:rFonts w:ascii="Arial Unicode MS" w:hAnsi="Arial Unicode MS" w:cs="Arial" w:hint="eastAsia"/>
            <w:b/>
            <w:bCs/>
            <w:noProof/>
          </w:rPr>
          <w:t>第十六部分</w:t>
        </w:r>
        <w:r w:rsidR="00413D7E">
          <w:rPr>
            <w:rStyle w:val="afd"/>
            <w:rFonts w:ascii="Arial Unicode MS" w:hAnsi="Arial Unicode MS" w:cs="Arial"/>
            <w:b/>
            <w:bCs/>
            <w:noProof/>
          </w:rPr>
          <w:t xml:space="preserve">  </w:t>
        </w:r>
        <w:r w:rsidR="00413D7E">
          <w:rPr>
            <w:rStyle w:val="afd"/>
            <w:rFonts w:ascii="Arial Unicode MS" w:hAnsi="Arial Unicode MS" w:cs="Arial" w:hint="eastAsia"/>
            <w:b/>
            <w:bCs/>
            <w:noProof/>
          </w:rPr>
          <w:t>侧袋机制</w:t>
        </w:r>
        <w:r w:rsidR="00413D7E">
          <w:rPr>
            <w:noProof/>
          </w:rPr>
          <w:tab/>
        </w:r>
        <w:r w:rsidR="00413D7E">
          <w:rPr>
            <w:noProof/>
          </w:rPr>
          <w:fldChar w:fldCharType="begin"/>
        </w:r>
        <w:r w:rsidR="00413D7E">
          <w:rPr>
            <w:noProof/>
          </w:rPr>
          <w:instrText xml:space="preserve"> PAGEREF _Toc63676451 \h </w:instrText>
        </w:r>
        <w:r w:rsidR="00413D7E">
          <w:rPr>
            <w:noProof/>
          </w:rPr>
        </w:r>
        <w:r w:rsidR="00413D7E">
          <w:rPr>
            <w:noProof/>
          </w:rPr>
          <w:fldChar w:fldCharType="separate"/>
        </w:r>
        <w:r w:rsidR="001267BA">
          <w:rPr>
            <w:noProof/>
          </w:rPr>
          <w:t>67</w:t>
        </w:r>
        <w:r w:rsidR="00413D7E">
          <w:rPr>
            <w:noProof/>
          </w:rPr>
          <w:fldChar w:fldCharType="end"/>
        </w:r>
      </w:hyperlink>
    </w:p>
    <w:p w14:paraId="6455D754" w14:textId="77777777" w:rsidR="00A6605D" w:rsidRDefault="00B56854">
      <w:pPr>
        <w:pStyle w:val="12"/>
        <w:rPr>
          <w:rFonts w:asciiTheme="minorHAnsi" w:eastAsiaTheme="minorEastAsia" w:hAnsiTheme="minorHAnsi" w:cstheme="minorBidi"/>
          <w:caps w:val="0"/>
          <w:noProof/>
          <w:sz w:val="21"/>
          <w:szCs w:val="22"/>
        </w:rPr>
      </w:pPr>
      <w:hyperlink w:anchor="_Toc63676452" w:history="1">
        <w:r w:rsidR="00413D7E">
          <w:rPr>
            <w:rStyle w:val="afd"/>
            <w:rFonts w:ascii="Arial Unicode MS" w:hAnsi="Arial Unicode MS" w:cs="Arial" w:hint="eastAsia"/>
            <w:b/>
            <w:bCs/>
            <w:noProof/>
          </w:rPr>
          <w:t>第</w:t>
        </w:r>
        <w:r w:rsidR="00413D7E">
          <w:rPr>
            <w:rStyle w:val="afd"/>
            <w:rFonts w:ascii="Arial Unicode MS" w:hAnsi="Arial Unicode MS" w:hint="eastAsia"/>
            <w:b/>
            <w:noProof/>
          </w:rPr>
          <w:t>十七部分</w:t>
        </w:r>
        <w:r w:rsidR="00413D7E">
          <w:rPr>
            <w:rStyle w:val="afd"/>
            <w:rFonts w:ascii="Arial Unicode MS" w:hAnsi="Arial Unicode MS"/>
            <w:b/>
            <w:noProof/>
          </w:rPr>
          <w:t xml:space="preserve">  </w:t>
        </w:r>
        <w:r w:rsidR="00413D7E">
          <w:rPr>
            <w:rStyle w:val="afd"/>
            <w:rFonts w:ascii="Arial Unicode MS" w:hAnsi="Arial Unicode MS" w:hint="eastAsia"/>
            <w:b/>
            <w:noProof/>
          </w:rPr>
          <w:t>风险揭示</w:t>
        </w:r>
        <w:r w:rsidR="00413D7E">
          <w:rPr>
            <w:noProof/>
          </w:rPr>
          <w:tab/>
        </w:r>
        <w:r w:rsidR="00413D7E">
          <w:rPr>
            <w:noProof/>
          </w:rPr>
          <w:fldChar w:fldCharType="begin"/>
        </w:r>
        <w:r w:rsidR="00413D7E">
          <w:rPr>
            <w:noProof/>
          </w:rPr>
          <w:instrText xml:space="preserve"> PAGEREF _Toc63676452 \h </w:instrText>
        </w:r>
        <w:r w:rsidR="00413D7E">
          <w:rPr>
            <w:noProof/>
          </w:rPr>
        </w:r>
        <w:r w:rsidR="00413D7E">
          <w:rPr>
            <w:noProof/>
          </w:rPr>
          <w:fldChar w:fldCharType="separate"/>
        </w:r>
        <w:r w:rsidR="001267BA">
          <w:rPr>
            <w:noProof/>
          </w:rPr>
          <w:t>70</w:t>
        </w:r>
        <w:r w:rsidR="00413D7E">
          <w:rPr>
            <w:noProof/>
          </w:rPr>
          <w:fldChar w:fldCharType="end"/>
        </w:r>
      </w:hyperlink>
    </w:p>
    <w:p w14:paraId="4C32A4AE" w14:textId="77777777" w:rsidR="00A6605D" w:rsidRDefault="00B56854">
      <w:pPr>
        <w:pStyle w:val="12"/>
        <w:rPr>
          <w:rFonts w:asciiTheme="minorHAnsi" w:eastAsiaTheme="minorEastAsia" w:hAnsiTheme="minorHAnsi" w:cstheme="minorBidi"/>
          <w:caps w:val="0"/>
          <w:noProof/>
          <w:sz w:val="21"/>
          <w:szCs w:val="22"/>
        </w:rPr>
      </w:pPr>
      <w:hyperlink w:anchor="_Toc63676453" w:history="1">
        <w:r w:rsidR="00413D7E">
          <w:rPr>
            <w:rStyle w:val="afd"/>
            <w:rFonts w:ascii="Arial Unicode MS" w:hAnsi="Arial Unicode MS" w:cs="Arial" w:hint="eastAsia"/>
            <w:b/>
            <w:bCs/>
            <w:noProof/>
          </w:rPr>
          <w:t>第十八部分</w:t>
        </w:r>
        <w:r w:rsidR="00413D7E">
          <w:rPr>
            <w:rStyle w:val="afd"/>
            <w:rFonts w:ascii="Arial Unicode MS" w:hAnsi="Arial Unicode MS" w:cs="Arial"/>
            <w:b/>
            <w:bCs/>
            <w:noProof/>
          </w:rPr>
          <w:t xml:space="preserve">  </w:t>
        </w:r>
        <w:r w:rsidR="00413D7E">
          <w:rPr>
            <w:rStyle w:val="afd"/>
            <w:rFonts w:ascii="Arial Unicode MS" w:hAnsi="Arial Unicode MS" w:cs="Arial" w:hint="eastAsia"/>
            <w:b/>
            <w:bCs/>
            <w:noProof/>
          </w:rPr>
          <w:t>基金合同的变更、终止与基金财产的清算</w:t>
        </w:r>
        <w:r w:rsidR="00413D7E">
          <w:rPr>
            <w:noProof/>
          </w:rPr>
          <w:tab/>
        </w:r>
        <w:r w:rsidR="00413D7E">
          <w:rPr>
            <w:noProof/>
          </w:rPr>
          <w:fldChar w:fldCharType="begin"/>
        </w:r>
        <w:r w:rsidR="00413D7E">
          <w:rPr>
            <w:noProof/>
          </w:rPr>
          <w:instrText xml:space="preserve"> PAGEREF _Toc63676453 \h </w:instrText>
        </w:r>
        <w:r w:rsidR="00413D7E">
          <w:rPr>
            <w:noProof/>
          </w:rPr>
        </w:r>
        <w:r w:rsidR="00413D7E">
          <w:rPr>
            <w:noProof/>
          </w:rPr>
          <w:fldChar w:fldCharType="separate"/>
        </w:r>
        <w:r w:rsidR="001267BA">
          <w:rPr>
            <w:noProof/>
          </w:rPr>
          <w:t>74</w:t>
        </w:r>
        <w:r w:rsidR="00413D7E">
          <w:rPr>
            <w:noProof/>
          </w:rPr>
          <w:fldChar w:fldCharType="end"/>
        </w:r>
      </w:hyperlink>
    </w:p>
    <w:p w14:paraId="4DE48805" w14:textId="77777777" w:rsidR="00A6605D" w:rsidRDefault="00B56854">
      <w:pPr>
        <w:pStyle w:val="12"/>
        <w:rPr>
          <w:rFonts w:asciiTheme="minorHAnsi" w:eastAsiaTheme="minorEastAsia" w:hAnsiTheme="minorHAnsi" w:cstheme="minorBidi"/>
          <w:caps w:val="0"/>
          <w:noProof/>
          <w:sz w:val="21"/>
          <w:szCs w:val="22"/>
        </w:rPr>
      </w:pPr>
      <w:hyperlink w:anchor="_Toc63676454" w:history="1">
        <w:r w:rsidR="00413D7E">
          <w:rPr>
            <w:rStyle w:val="afd"/>
            <w:rFonts w:ascii="Arial Unicode MS" w:hAnsi="Arial Unicode MS" w:cs="Arial" w:hint="eastAsia"/>
            <w:b/>
            <w:bCs/>
            <w:noProof/>
          </w:rPr>
          <w:t>第十九部分</w:t>
        </w:r>
        <w:r w:rsidR="00413D7E">
          <w:rPr>
            <w:rStyle w:val="afd"/>
            <w:rFonts w:ascii="Arial Unicode MS" w:hAnsi="Arial Unicode MS" w:cs="Arial"/>
            <w:b/>
            <w:bCs/>
            <w:noProof/>
          </w:rPr>
          <w:t xml:space="preserve">  </w:t>
        </w:r>
        <w:r w:rsidR="00413D7E">
          <w:rPr>
            <w:rStyle w:val="afd"/>
            <w:rFonts w:ascii="Arial Unicode MS" w:hAnsi="Arial Unicode MS" w:cs="Arial" w:hint="eastAsia"/>
            <w:b/>
            <w:bCs/>
            <w:noProof/>
          </w:rPr>
          <w:t>基金合同的内容摘要</w:t>
        </w:r>
        <w:r w:rsidR="00413D7E">
          <w:rPr>
            <w:noProof/>
          </w:rPr>
          <w:tab/>
        </w:r>
        <w:r w:rsidR="00413D7E">
          <w:rPr>
            <w:noProof/>
          </w:rPr>
          <w:fldChar w:fldCharType="begin"/>
        </w:r>
        <w:r w:rsidR="00413D7E">
          <w:rPr>
            <w:noProof/>
          </w:rPr>
          <w:instrText xml:space="preserve"> PAGEREF _Toc63676454 \h </w:instrText>
        </w:r>
        <w:r w:rsidR="00413D7E">
          <w:rPr>
            <w:noProof/>
          </w:rPr>
        </w:r>
        <w:r w:rsidR="00413D7E">
          <w:rPr>
            <w:noProof/>
          </w:rPr>
          <w:fldChar w:fldCharType="separate"/>
        </w:r>
        <w:r w:rsidR="001267BA">
          <w:rPr>
            <w:noProof/>
          </w:rPr>
          <w:t>76</w:t>
        </w:r>
        <w:r w:rsidR="00413D7E">
          <w:rPr>
            <w:noProof/>
          </w:rPr>
          <w:fldChar w:fldCharType="end"/>
        </w:r>
      </w:hyperlink>
    </w:p>
    <w:p w14:paraId="5342F55E" w14:textId="77777777" w:rsidR="00A6605D" w:rsidRDefault="00B56854">
      <w:pPr>
        <w:pStyle w:val="12"/>
        <w:rPr>
          <w:rFonts w:asciiTheme="minorHAnsi" w:eastAsiaTheme="minorEastAsia" w:hAnsiTheme="minorHAnsi" w:cstheme="minorBidi"/>
          <w:caps w:val="0"/>
          <w:noProof/>
          <w:sz w:val="21"/>
          <w:szCs w:val="22"/>
        </w:rPr>
      </w:pPr>
      <w:hyperlink w:anchor="_Toc63676455" w:history="1">
        <w:r w:rsidR="00413D7E">
          <w:rPr>
            <w:rStyle w:val="afd"/>
            <w:rFonts w:ascii="Arial Unicode MS" w:hAnsi="Arial Unicode MS" w:cs="Arial" w:hint="eastAsia"/>
            <w:b/>
            <w:bCs/>
            <w:noProof/>
          </w:rPr>
          <w:t>第二十部分</w:t>
        </w:r>
        <w:r w:rsidR="00413D7E">
          <w:rPr>
            <w:rStyle w:val="afd"/>
            <w:rFonts w:ascii="Arial Unicode MS" w:hAnsi="Arial Unicode MS" w:cs="Arial"/>
            <w:b/>
            <w:bCs/>
            <w:noProof/>
          </w:rPr>
          <w:t xml:space="preserve">  </w:t>
        </w:r>
        <w:r w:rsidR="00413D7E">
          <w:rPr>
            <w:rStyle w:val="afd"/>
            <w:rFonts w:ascii="Arial Unicode MS" w:hAnsi="Arial Unicode MS" w:cs="Arial" w:hint="eastAsia"/>
            <w:b/>
            <w:bCs/>
            <w:noProof/>
          </w:rPr>
          <w:t>基金托管协议的内容摘要</w:t>
        </w:r>
        <w:r w:rsidR="00413D7E">
          <w:rPr>
            <w:noProof/>
          </w:rPr>
          <w:tab/>
        </w:r>
        <w:r w:rsidR="00413D7E">
          <w:rPr>
            <w:noProof/>
          </w:rPr>
          <w:fldChar w:fldCharType="begin"/>
        </w:r>
        <w:r w:rsidR="00413D7E">
          <w:rPr>
            <w:noProof/>
          </w:rPr>
          <w:instrText xml:space="preserve"> PAGEREF _Toc63676455 \h </w:instrText>
        </w:r>
        <w:r w:rsidR="00413D7E">
          <w:rPr>
            <w:noProof/>
          </w:rPr>
        </w:r>
        <w:r w:rsidR="00413D7E">
          <w:rPr>
            <w:noProof/>
          </w:rPr>
          <w:fldChar w:fldCharType="separate"/>
        </w:r>
        <w:r w:rsidR="001267BA">
          <w:rPr>
            <w:noProof/>
          </w:rPr>
          <w:t>91</w:t>
        </w:r>
        <w:r w:rsidR="00413D7E">
          <w:rPr>
            <w:noProof/>
          </w:rPr>
          <w:fldChar w:fldCharType="end"/>
        </w:r>
      </w:hyperlink>
    </w:p>
    <w:p w14:paraId="4ACBF0EA" w14:textId="77777777" w:rsidR="00A6605D" w:rsidRDefault="00B56854">
      <w:pPr>
        <w:pStyle w:val="12"/>
        <w:rPr>
          <w:rFonts w:asciiTheme="minorHAnsi" w:eastAsiaTheme="minorEastAsia" w:hAnsiTheme="minorHAnsi" w:cstheme="minorBidi"/>
          <w:caps w:val="0"/>
          <w:noProof/>
          <w:sz w:val="21"/>
          <w:szCs w:val="22"/>
        </w:rPr>
      </w:pPr>
      <w:hyperlink w:anchor="_Toc63676456" w:history="1">
        <w:r w:rsidR="00413D7E">
          <w:rPr>
            <w:rStyle w:val="afd"/>
            <w:rFonts w:ascii="Arial Unicode MS" w:hAnsi="Arial Unicode MS" w:cs="Arial" w:hint="eastAsia"/>
            <w:b/>
            <w:bCs/>
            <w:noProof/>
          </w:rPr>
          <w:t>第二十一部分</w:t>
        </w:r>
        <w:r w:rsidR="00413D7E">
          <w:rPr>
            <w:rStyle w:val="afd"/>
            <w:rFonts w:ascii="Arial Unicode MS" w:hAnsi="Arial Unicode MS" w:cs="Arial"/>
            <w:b/>
            <w:bCs/>
            <w:noProof/>
          </w:rPr>
          <w:t xml:space="preserve">  </w:t>
        </w:r>
        <w:r w:rsidR="00413D7E">
          <w:rPr>
            <w:rStyle w:val="afd"/>
            <w:rFonts w:ascii="Arial Unicode MS" w:hAnsi="Arial Unicode MS" w:cs="Arial" w:hint="eastAsia"/>
            <w:b/>
            <w:bCs/>
            <w:noProof/>
          </w:rPr>
          <w:t>对基金份额持有人的服务</w:t>
        </w:r>
        <w:r w:rsidR="00413D7E">
          <w:rPr>
            <w:noProof/>
          </w:rPr>
          <w:tab/>
        </w:r>
        <w:r w:rsidR="00413D7E">
          <w:rPr>
            <w:noProof/>
          </w:rPr>
          <w:fldChar w:fldCharType="begin"/>
        </w:r>
        <w:r w:rsidR="00413D7E">
          <w:rPr>
            <w:noProof/>
          </w:rPr>
          <w:instrText xml:space="preserve"> PAGEREF _Toc63676456 \h </w:instrText>
        </w:r>
        <w:r w:rsidR="00413D7E">
          <w:rPr>
            <w:noProof/>
          </w:rPr>
        </w:r>
        <w:r w:rsidR="00413D7E">
          <w:rPr>
            <w:noProof/>
          </w:rPr>
          <w:fldChar w:fldCharType="separate"/>
        </w:r>
        <w:r w:rsidR="001267BA">
          <w:rPr>
            <w:noProof/>
          </w:rPr>
          <w:t>104</w:t>
        </w:r>
        <w:r w:rsidR="00413D7E">
          <w:rPr>
            <w:noProof/>
          </w:rPr>
          <w:fldChar w:fldCharType="end"/>
        </w:r>
      </w:hyperlink>
    </w:p>
    <w:p w14:paraId="0CE60BB7" w14:textId="77777777" w:rsidR="00A6605D" w:rsidRDefault="00B56854">
      <w:pPr>
        <w:pStyle w:val="12"/>
        <w:rPr>
          <w:rFonts w:asciiTheme="minorHAnsi" w:eastAsiaTheme="minorEastAsia" w:hAnsiTheme="minorHAnsi" w:cstheme="minorBidi"/>
          <w:caps w:val="0"/>
          <w:noProof/>
          <w:sz w:val="21"/>
          <w:szCs w:val="22"/>
        </w:rPr>
      </w:pPr>
      <w:hyperlink w:anchor="_Toc63676457" w:history="1">
        <w:r w:rsidR="00413D7E">
          <w:rPr>
            <w:rStyle w:val="afd"/>
            <w:rFonts w:hint="eastAsia"/>
            <w:b/>
            <w:noProof/>
          </w:rPr>
          <w:t>第二十二部分</w:t>
        </w:r>
        <w:r w:rsidR="00413D7E">
          <w:rPr>
            <w:rStyle w:val="afd"/>
            <w:b/>
            <w:noProof/>
          </w:rPr>
          <w:t xml:space="preserve">  </w:t>
        </w:r>
        <w:r w:rsidR="00413D7E">
          <w:rPr>
            <w:rStyle w:val="afd"/>
            <w:rFonts w:hint="eastAsia"/>
            <w:b/>
            <w:noProof/>
          </w:rPr>
          <w:t>其他应披露事项</w:t>
        </w:r>
        <w:r w:rsidR="00413D7E">
          <w:rPr>
            <w:noProof/>
          </w:rPr>
          <w:tab/>
        </w:r>
        <w:r w:rsidR="00413D7E">
          <w:rPr>
            <w:noProof/>
          </w:rPr>
          <w:fldChar w:fldCharType="begin"/>
        </w:r>
        <w:r w:rsidR="00413D7E">
          <w:rPr>
            <w:noProof/>
          </w:rPr>
          <w:instrText xml:space="preserve"> PAGEREF _Toc63676457 \h </w:instrText>
        </w:r>
        <w:r w:rsidR="00413D7E">
          <w:rPr>
            <w:noProof/>
          </w:rPr>
        </w:r>
        <w:r w:rsidR="00413D7E">
          <w:rPr>
            <w:noProof/>
          </w:rPr>
          <w:fldChar w:fldCharType="separate"/>
        </w:r>
        <w:r w:rsidR="001267BA">
          <w:rPr>
            <w:noProof/>
          </w:rPr>
          <w:t>106</w:t>
        </w:r>
        <w:r w:rsidR="00413D7E">
          <w:rPr>
            <w:noProof/>
          </w:rPr>
          <w:fldChar w:fldCharType="end"/>
        </w:r>
      </w:hyperlink>
    </w:p>
    <w:p w14:paraId="705C22A0" w14:textId="77777777" w:rsidR="00A6605D" w:rsidRDefault="00B56854">
      <w:pPr>
        <w:pStyle w:val="12"/>
        <w:rPr>
          <w:rFonts w:asciiTheme="minorHAnsi" w:eastAsiaTheme="minorEastAsia" w:hAnsiTheme="minorHAnsi" w:cstheme="minorBidi"/>
          <w:caps w:val="0"/>
          <w:noProof/>
          <w:sz w:val="21"/>
          <w:szCs w:val="22"/>
        </w:rPr>
      </w:pPr>
      <w:hyperlink w:anchor="_Toc63676458" w:history="1">
        <w:r w:rsidR="00413D7E">
          <w:rPr>
            <w:rStyle w:val="afd"/>
            <w:rFonts w:ascii="Arial Unicode MS" w:hAnsi="Arial Unicode MS" w:cs="Arial" w:hint="eastAsia"/>
            <w:b/>
            <w:bCs/>
            <w:noProof/>
          </w:rPr>
          <w:t>第二十三部分</w:t>
        </w:r>
        <w:r w:rsidR="00413D7E">
          <w:rPr>
            <w:rStyle w:val="afd"/>
            <w:rFonts w:ascii="Arial Unicode MS" w:hAnsi="Arial Unicode MS" w:cs="Arial"/>
            <w:b/>
            <w:bCs/>
            <w:noProof/>
          </w:rPr>
          <w:t xml:space="preserve">  </w:t>
        </w:r>
        <w:r w:rsidR="00413D7E">
          <w:rPr>
            <w:rStyle w:val="afd"/>
            <w:rFonts w:ascii="Arial Unicode MS" w:hAnsi="Arial Unicode MS" w:cs="Arial" w:hint="eastAsia"/>
            <w:b/>
            <w:bCs/>
            <w:noProof/>
          </w:rPr>
          <w:t>招募说明书的存放及查阅方式</w:t>
        </w:r>
        <w:r w:rsidR="00413D7E">
          <w:rPr>
            <w:noProof/>
          </w:rPr>
          <w:tab/>
        </w:r>
        <w:r w:rsidR="00413D7E">
          <w:rPr>
            <w:noProof/>
          </w:rPr>
          <w:fldChar w:fldCharType="begin"/>
        </w:r>
        <w:r w:rsidR="00413D7E">
          <w:rPr>
            <w:noProof/>
          </w:rPr>
          <w:instrText xml:space="preserve"> PAGEREF _Toc63676458 \h </w:instrText>
        </w:r>
        <w:r w:rsidR="00413D7E">
          <w:rPr>
            <w:noProof/>
          </w:rPr>
        </w:r>
        <w:r w:rsidR="00413D7E">
          <w:rPr>
            <w:noProof/>
          </w:rPr>
          <w:fldChar w:fldCharType="separate"/>
        </w:r>
        <w:r w:rsidR="001267BA">
          <w:rPr>
            <w:noProof/>
          </w:rPr>
          <w:t>108</w:t>
        </w:r>
        <w:r w:rsidR="00413D7E">
          <w:rPr>
            <w:noProof/>
          </w:rPr>
          <w:fldChar w:fldCharType="end"/>
        </w:r>
      </w:hyperlink>
    </w:p>
    <w:p w14:paraId="19A94857" w14:textId="77777777" w:rsidR="00A6605D" w:rsidRDefault="00B56854">
      <w:pPr>
        <w:pStyle w:val="12"/>
        <w:rPr>
          <w:rFonts w:asciiTheme="minorHAnsi" w:eastAsiaTheme="minorEastAsia" w:hAnsiTheme="minorHAnsi" w:cstheme="minorBidi"/>
          <w:caps w:val="0"/>
          <w:noProof/>
          <w:sz w:val="21"/>
          <w:szCs w:val="22"/>
        </w:rPr>
      </w:pPr>
      <w:hyperlink w:anchor="_Toc63676459" w:history="1">
        <w:r w:rsidR="00413D7E">
          <w:rPr>
            <w:rStyle w:val="afd"/>
            <w:rFonts w:ascii="Arial Unicode MS" w:hAnsi="Arial Unicode MS" w:cs="Arial" w:hint="eastAsia"/>
            <w:b/>
            <w:bCs/>
            <w:noProof/>
          </w:rPr>
          <w:t>第二十四部分</w:t>
        </w:r>
        <w:r w:rsidR="00413D7E">
          <w:rPr>
            <w:rStyle w:val="afd"/>
            <w:rFonts w:ascii="Arial Unicode MS" w:hAnsi="Arial Unicode MS" w:cs="Arial"/>
            <w:b/>
            <w:bCs/>
            <w:noProof/>
          </w:rPr>
          <w:t xml:space="preserve">  </w:t>
        </w:r>
        <w:r w:rsidR="00413D7E">
          <w:rPr>
            <w:rStyle w:val="afd"/>
            <w:rFonts w:ascii="Arial Unicode MS" w:hAnsi="Arial Unicode MS" w:cs="Arial" w:hint="eastAsia"/>
            <w:b/>
            <w:bCs/>
            <w:noProof/>
          </w:rPr>
          <w:t>备查文件</w:t>
        </w:r>
        <w:r w:rsidR="00413D7E">
          <w:rPr>
            <w:noProof/>
          </w:rPr>
          <w:tab/>
        </w:r>
        <w:r w:rsidR="00413D7E">
          <w:rPr>
            <w:noProof/>
          </w:rPr>
          <w:fldChar w:fldCharType="begin"/>
        </w:r>
        <w:r w:rsidR="00413D7E">
          <w:rPr>
            <w:noProof/>
          </w:rPr>
          <w:instrText xml:space="preserve"> PAGEREF _Toc63676459 \h </w:instrText>
        </w:r>
        <w:r w:rsidR="00413D7E">
          <w:rPr>
            <w:noProof/>
          </w:rPr>
        </w:r>
        <w:r w:rsidR="00413D7E">
          <w:rPr>
            <w:noProof/>
          </w:rPr>
          <w:fldChar w:fldCharType="separate"/>
        </w:r>
        <w:r w:rsidR="001267BA">
          <w:rPr>
            <w:noProof/>
          </w:rPr>
          <w:t>109</w:t>
        </w:r>
        <w:r w:rsidR="00413D7E">
          <w:rPr>
            <w:noProof/>
          </w:rPr>
          <w:fldChar w:fldCharType="end"/>
        </w:r>
      </w:hyperlink>
    </w:p>
    <w:p w14:paraId="5FC6C8DB" w14:textId="77777777" w:rsidR="00A6605D" w:rsidRDefault="00413D7E">
      <w:pPr>
        <w:adjustRightInd w:val="0"/>
        <w:snapToGrid w:val="0"/>
        <w:spacing w:line="360" w:lineRule="auto"/>
        <w:rPr>
          <w:rFonts w:ascii="Arial Unicode MS" w:hAnsi="Arial Unicode MS" w:cs="Arial"/>
          <w:bCs/>
          <w:spacing w:val="120"/>
          <w:szCs w:val="21"/>
        </w:rPr>
        <w:sectPr w:rsidR="00A6605D">
          <w:footerReference w:type="default" r:id="rId25"/>
          <w:headerReference w:type="first" r:id="rId26"/>
          <w:footerReference w:type="first" r:id="rId27"/>
          <w:pgSz w:w="11906" w:h="16838"/>
          <w:pgMar w:top="1440" w:right="1800" w:bottom="1440" w:left="1800" w:header="851" w:footer="992" w:gutter="0"/>
          <w:pgNumType w:start="1"/>
          <w:cols w:space="720"/>
          <w:titlePg/>
          <w:docGrid w:linePitch="312"/>
        </w:sectPr>
      </w:pPr>
      <w:r>
        <w:rPr>
          <w:rFonts w:ascii="Arial Unicode MS" w:hAnsi="Arial Unicode MS" w:cs="Arial"/>
          <w:bCs/>
          <w:spacing w:val="120"/>
          <w:szCs w:val="21"/>
        </w:rPr>
        <w:fldChar w:fldCharType="end"/>
      </w:r>
    </w:p>
    <w:p w14:paraId="6814659B" w14:textId="77777777" w:rsidR="00A6605D" w:rsidRDefault="00A6605D"/>
    <w:p w14:paraId="718ACDC3" w14:textId="77777777" w:rsidR="00A6605D" w:rsidRDefault="00A6605D">
      <w:pPr>
        <w:spacing w:line="360" w:lineRule="auto"/>
        <w:ind w:firstLine="120"/>
        <w:rPr>
          <w:rFonts w:ascii="Arial Unicode MS" w:hAnsi="Arial Unicode MS"/>
        </w:rPr>
      </w:pPr>
    </w:p>
    <w:p w14:paraId="7504A59A" w14:textId="77777777" w:rsidR="00A6605D" w:rsidRDefault="00413D7E">
      <w:pPr>
        <w:tabs>
          <w:tab w:val="left" w:pos="2179"/>
        </w:tabs>
        <w:spacing w:line="360" w:lineRule="auto"/>
        <w:ind w:firstLine="105"/>
        <w:rPr>
          <w:rFonts w:ascii="Arial Unicode MS" w:hAnsi="Arial Unicode MS"/>
        </w:rPr>
      </w:pPr>
      <w:r>
        <w:rPr>
          <w:rFonts w:ascii="Arial Unicode MS" w:hAnsi="Arial Unicode MS"/>
        </w:rPr>
        <w:tab/>
      </w:r>
    </w:p>
    <w:p w14:paraId="4E51F736" w14:textId="77777777" w:rsidR="00A6605D" w:rsidRDefault="00A6605D">
      <w:pPr>
        <w:rPr>
          <w:rFonts w:ascii="Arial Unicode MS" w:hAnsi="Arial Unicode MS"/>
        </w:rPr>
      </w:pPr>
    </w:p>
    <w:p w14:paraId="2D3ADBF5" w14:textId="77777777" w:rsidR="00A6605D" w:rsidRDefault="00A6605D">
      <w:pPr>
        <w:rPr>
          <w:rFonts w:ascii="Arial Unicode MS" w:hAnsi="Arial Unicode MS"/>
        </w:rPr>
        <w:sectPr w:rsidR="00A6605D">
          <w:footerReference w:type="default" r:id="rId28"/>
          <w:footerReference w:type="first" r:id="rId29"/>
          <w:type w:val="continuous"/>
          <w:pgSz w:w="11906" w:h="16838"/>
          <w:pgMar w:top="1440" w:right="1800" w:bottom="1440" w:left="1800" w:header="851" w:footer="992" w:gutter="0"/>
          <w:cols w:space="720"/>
          <w:titlePg/>
          <w:docGrid w:linePitch="312"/>
        </w:sectPr>
      </w:pPr>
    </w:p>
    <w:p w14:paraId="46151AA3" w14:textId="77777777" w:rsidR="00A6605D" w:rsidRDefault="00413D7E">
      <w:pPr>
        <w:pStyle w:val="11"/>
        <w:snapToGrid w:val="0"/>
        <w:spacing w:before="0" w:after="0" w:line="360" w:lineRule="auto"/>
        <w:ind w:firstLineChars="50" w:firstLine="141"/>
        <w:rPr>
          <w:rFonts w:ascii="Arial Unicode MS" w:eastAsia="宋体" w:hAnsi="Arial Unicode MS" w:cs="Arial"/>
          <w:b/>
          <w:bCs/>
          <w:sz w:val="28"/>
          <w:szCs w:val="28"/>
        </w:rPr>
      </w:pPr>
      <w:bookmarkStart w:id="1" w:name="_Toc63676436"/>
      <w:bookmarkStart w:id="2" w:name="_Toc335232691"/>
      <w:r>
        <w:rPr>
          <w:rFonts w:ascii="Arial Unicode MS" w:eastAsia="宋体" w:hAnsi="Arial Unicode MS" w:cs="Arial"/>
          <w:b/>
          <w:bCs/>
          <w:sz w:val="28"/>
          <w:szCs w:val="28"/>
        </w:rPr>
        <w:lastRenderedPageBreak/>
        <w:t>第一部分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绪言</w:t>
      </w:r>
      <w:bookmarkEnd w:id="1"/>
      <w:bookmarkEnd w:id="2"/>
    </w:p>
    <w:p w14:paraId="32ABAC21" w14:textId="77777777" w:rsidR="00A6605D" w:rsidRDefault="00A6605D">
      <w:pPr>
        <w:ind w:firstLine="105"/>
      </w:pPr>
    </w:p>
    <w:p w14:paraId="7EF7461A" w14:textId="77777777" w:rsidR="00A6605D" w:rsidRDefault="00413D7E">
      <w:pPr>
        <w:spacing w:line="360" w:lineRule="auto"/>
        <w:ind w:firstLineChars="200" w:firstLine="420"/>
      </w:pPr>
      <w:r>
        <w:t>《富荣富兴纯债债券型证券投资基金招募说明书》（以下简称</w:t>
      </w:r>
      <w:r>
        <w:t>“</w:t>
      </w:r>
      <w:r>
        <w:t>招募说明书</w:t>
      </w:r>
      <w:r>
        <w:t>”</w:t>
      </w:r>
      <w:r>
        <w:t>或</w:t>
      </w:r>
      <w:r>
        <w:t>“</w:t>
      </w:r>
      <w:r>
        <w:t>本招募说明书</w:t>
      </w:r>
      <w:r>
        <w:t>”</w:t>
      </w:r>
      <w:r>
        <w:t>）依照《中华人民共和国证券投资基金法》（以下简称</w:t>
      </w:r>
      <w:r>
        <w:t>“</w:t>
      </w:r>
      <w:r>
        <w:t>《基金法》</w:t>
      </w:r>
      <w:r>
        <w:t>”</w:t>
      </w:r>
      <w:r>
        <w:t>）、《</w:t>
      </w:r>
      <w:r>
        <w:rPr>
          <w:rFonts w:hint="eastAsia"/>
        </w:rPr>
        <w:t>公开募集</w:t>
      </w:r>
      <w:r>
        <w:t>证券投资基金运作管理办法》（以下简称</w:t>
      </w:r>
      <w:r>
        <w:t>“</w:t>
      </w:r>
      <w:r>
        <w:rPr>
          <w:rFonts w:hint="eastAsia"/>
        </w:rPr>
        <w:t>《运作办法》</w:t>
      </w:r>
      <w:r>
        <w:t>”</w:t>
      </w:r>
      <w:r>
        <w:rPr>
          <w:rFonts w:hint="eastAsia"/>
        </w:rPr>
        <w:t>）、《公开募集证券投资基金销售机构监督管理办法》（以下简称</w:t>
      </w:r>
      <w:r>
        <w:t>“</w:t>
      </w:r>
      <w:r>
        <w:rPr>
          <w:rFonts w:hint="eastAsia"/>
        </w:rPr>
        <w:t>《销售办法》</w:t>
      </w:r>
      <w:r>
        <w:t>”</w:t>
      </w:r>
      <w:r>
        <w:rPr>
          <w:rFonts w:hint="eastAsia"/>
        </w:rPr>
        <w:t>）、《</w:t>
      </w:r>
      <w:r>
        <w:rPr>
          <w:rFonts w:ascii="Arial Unicode MS" w:hAnsi="Arial Unicode MS" w:cs="Arial" w:hint="eastAsia"/>
          <w:kern w:val="0"/>
          <w:szCs w:val="21"/>
        </w:rPr>
        <w:t>公开募集证券投资基金信息披露管理办法</w:t>
      </w:r>
      <w:r>
        <w:rPr>
          <w:rFonts w:hint="eastAsia"/>
        </w:rPr>
        <w:t>》（以下简称</w:t>
      </w:r>
      <w:r>
        <w:t>“</w:t>
      </w:r>
      <w:r>
        <w:rPr>
          <w:rFonts w:hint="eastAsia"/>
        </w:rPr>
        <w:t>《信息披露办法》</w:t>
      </w:r>
      <w:r>
        <w:t>”</w:t>
      </w:r>
      <w:r>
        <w:rPr>
          <w:rFonts w:hint="eastAsia"/>
        </w:rPr>
        <w:t>）、《公开募集开放式证券投资基金流动性风险管理规定》（以下简称“《管理规定》”）和其他有关法律法规以及《富荣富兴纯债债券型证券投资基金基金合同》（以下简称</w:t>
      </w:r>
      <w:r>
        <w:t>“</w:t>
      </w:r>
      <w:r>
        <w:rPr>
          <w:rFonts w:hint="eastAsia"/>
        </w:rPr>
        <w:t>基金合同</w:t>
      </w:r>
      <w:r>
        <w:t>”</w:t>
      </w:r>
      <w:r>
        <w:rPr>
          <w:rFonts w:hint="eastAsia"/>
        </w:rPr>
        <w:t>）编写。本招募说明书阐述了</w:t>
      </w:r>
      <w:r>
        <w:t>富荣富兴纯债债券型证券投资基金</w:t>
      </w:r>
      <w:r>
        <w:rPr>
          <w:rFonts w:hint="eastAsia"/>
        </w:rPr>
        <w:t>的投资目标、策略、风险、费率等与投资人投资决策有关的必要事项，投资人在作出投资决策前应仔细阅读本招募说明书。</w:t>
      </w:r>
      <w:r>
        <w:t>基金管理人承诺本招募说明书不存在任何虚假记载、误导性陈述或重大遗漏，并对其真实性、准确性、完整性承担法律责任。</w:t>
      </w:r>
    </w:p>
    <w:p w14:paraId="6F4944A9" w14:textId="77777777" w:rsidR="00A6605D" w:rsidRDefault="00413D7E">
      <w:pPr>
        <w:spacing w:line="360" w:lineRule="auto"/>
        <w:ind w:firstLineChars="200" w:firstLine="420"/>
      </w:pPr>
      <w:r>
        <w:t>富荣富兴纯债债券型证券投资基金（以下简称</w:t>
      </w:r>
      <w:r>
        <w:t>“</w:t>
      </w:r>
      <w:r>
        <w:t>基金</w:t>
      </w:r>
      <w:r>
        <w:t>”</w:t>
      </w:r>
      <w:r>
        <w:rPr>
          <w:rFonts w:hint="eastAsia"/>
        </w:rPr>
        <w:t>或</w:t>
      </w:r>
      <w:r>
        <w:t>“</w:t>
      </w:r>
      <w:r>
        <w:rPr>
          <w:rFonts w:hint="eastAsia"/>
        </w:rPr>
        <w:t>本基金</w:t>
      </w:r>
      <w:r>
        <w:t>”</w:t>
      </w:r>
      <w:r>
        <w:rPr>
          <w:rFonts w:hint="eastAsia"/>
        </w:rPr>
        <w:t>）是根据本招募说明书所载明的资料申请募集的。本基金管理人没有委托或授权任何其他人提供未在本招募说明书中载明的信息，或对本招募说明书作任何解释或者说明。</w:t>
      </w:r>
    </w:p>
    <w:p w14:paraId="68DBF2EA" w14:textId="77777777" w:rsidR="00A6605D" w:rsidRDefault="00413D7E">
      <w:pPr>
        <w:spacing w:line="360" w:lineRule="auto"/>
        <w:ind w:firstLineChars="200" w:firstLine="420"/>
      </w:pPr>
      <w:r>
        <w:t>本招募说明书根据本基金的基金合同编写，并经中国证监会</w:t>
      </w:r>
      <w:r>
        <w:rPr>
          <w:rFonts w:hint="eastAsia"/>
        </w:rPr>
        <w:t>注册</w:t>
      </w:r>
      <w:r>
        <w:t>。基金合同是约定基金合同当事人之间权利、义务的法律文件。基金投资者自依基金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5902EE06" w14:textId="77777777" w:rsidR="00A6605D" w:rsidRDefault="00A6605D">
      <w:pPr>
        <w:spacing w:line="360" w:lineRule="auto"/>
        <w:ind w:firstLineChars="200" w:firstLine="420"/>
      </w:pPr>
    </w:p>
    <w:p w14:paraId="60722F0C" w14:textId="77777777" w:rsidR="00A6605D" w:rsidRDefault="00A6605D">
      <w:pPr>
        <w:spacing w:line="360" w:lineRule="auto"/>
        <w:ind w:firstLineChars="200" w:firstLine="420"/>
      </w:pPr>
    </w:p>
    <w:p w14:paraId="1783DB85" w14:textId="77777777" w:rsidR="00A6605D" w:rsidRDefault="00A6605D">
      <w:pPr>
        <w:spacing w:line="360" w:lineRule="auto"/>
        <w:ind w:firstLineChars="200" w:firstLine="420"/>
      </w:pPr>
    </w:p>
    <w:p w14:paraId="38892FF8" w14:textId="77777777" w:rsidR="00A6605D" w:rsidRDefault="00A6605D">
      <w:pPr>
        <w:spacing w:line="360" w:lineRule="auto"/>
        <w:ind w:firstLineChars="200" w:firstLine="420"/>
      </w:pPr>
    </w:p>
    <w:p w14:paraId="02020ED8" w14:textId="77777777" w:rsidR="00A6605D" w:rsidRDefault="00A6605D">
      <w:pPr>
        <w:spacing w:line="360" w:lineRule="auto"/>
        <w:ind w:firstLineChars="200" w:firstLine="420"/>
      </w:pPr>
    </w:p>
    <w:p w14:paraId="24002E77" w14:textId="77777777" w:rsidR="00A6605D" w:rsidRDefault="00A6605D">
      <w:pPr>
        <w:spacing w:line="360" w:lineRule="auto"/>
        <w:ind w:firstLineChars="200" w:firstLine="420"/>
      </w:pPr>
    </w:p>
    <w:p w14:paraId="36035556" w14:textId="77777777" w:rsidR="00A6605D" w:rsidRDefault="00A6605D">
      <w:pPr>
        <w:spacing w:line="360" w:lineRule="auto"/>
        <w:ind w:firstLineChars="200" w:firstLine="420"/>
      </w:pPr>
    </w:p>
    <w:p w14:paraId="38EDA760" w14:textId="77777777" w:rsidR="00A6605D" w:rsidRDefault="00A6605D">
      <w:pPr>
        <w:spacing w:line="360" w:lineRule="auto"/>
        <w:ind w:firstLineChars="200" w:firstLine="420"/>
      </w:pPr>
    </w:p>
    <w:p w14:paraId="103ACD45" w14:textId="77777777" w:rsidR="00A6605D" w:rsidRDefault="00A6605D">
      <w:pPr>
        <w:spacing w:line="360" w:lineRule="auto"/>
        <w:ind w:firstLineChars="200" w:firstLine="420"/>
      </w:pPr>
    </w:p>
    <w:p w14:paraId="3AE176CE" w14:textId="77777777" w:rsidR="00A6605D" w:rsidRDefault="00A6605D">
      <w:pPr>
        <w:spacing w:line="360" w:lineRule="auto"/>
        <w:ind w:firstLineChars="200" w:firstLine="420"/>
      </w:pPr>
    </w:p>
    <w:p w14:paraId="76979326" w14:textId="77777777" w:rsidR="00A6605D" w:rsidRDefault="00A6605D">
      <w:pPr>
        <w:spacing w:line="360" w:lineRule="auto"/>
        <w:ind w:firstLineChars="200" w:firstLine="420"/>
      </w:pPr>
    </w:p>
    <w:p w14:paraId="2FF52299" w14:textId="77777777" w:rsidR="00A6605D" w:rsidRDefault="00A6605D">
      <w:pPr>
        <w:spacing w:line="360" w:lineRule="auto"/>
        <w:ind w:firstLineChars="200" w:firstLine="420"/>
      </w:pPr>
    </w:p>
    <w:p w14:paraId="6A3D22EB" w14:textId="77777777" w:rsidR="00A6605D" w:rsidRDefault="00A6605D">
      <w:pPr>
        <w:spacing w:line="360" w:lineRule="auto"/>
        <w:ind w:firstLineChars="200" w:firstLine="420"/>
      </w:pPr>
    </w:p>
    <w:p w14:paraId="46717B52" w14:textId="77777777" w:rsidR="00A6605D" w:rsidRDefault="00A6605D">
      <w:pPr>
        <w:spacing w:line="360" w:lineRule="auto"/>
        <w:ind w:firstLineChars="200" w:firstLine="420"/>
      </w:pPr>
    </w:p>
    <w:p w14:paraId="0A94CC7D" w14:textId="77777777" w:rsidR="00A6605D" w:rsidRDefault="00A6605D">
      <w:pPr>
        <w:spacing w:line="360" w:lineRule="auto"/>
        <w:ind w:firstLineChars="200" w:firstLine="420"/>
      </w:pPr>
    </w:p>
    <w:p w14:paraId="097586C5" w14:textId="77777777" w:rsidR="00A6605D" w:rsidRDefault="00A6605D">
      <w:pPr>
        <w:spacing w:line="360" w:lineRule="auto"/>
        <w:ind w:firstLineChars="200" w:firstLine="420"/>
      </w:pPr>
    </w:p>
    <w:p w14:paraId="7CBFDF3F" w14:textId="77777777" w:rsidR="00A6605D" w:rsidRDefault="00413D7E">
      <w:pPr>
        <w:pStyle w:val="11"/>
        <w:snapToGrid w:val="0"/>
        <w:spacing w:before="0" w:after="0" w:line="360" w:lineRule="auto"/>
        <w:ind w:firstLine="141"/>
        <w:rPr>
          <w:rFonts w:ascii="Arial Unicode MS" w:eastAsia="宋体" w:hAnsi="Arial Unicode MS" w:cs="Arial"/>
          <w:b/>
          <w:bCs/>
          <w:sz w:val="28"/>
          <w:szCs w:val="28"/>
        </w:rPr>
      </w:pPr>
      <w:bookmarkStart w:id="3" w:name="_Toc214873591"/>
      <w:bookmarkStart w:id="4" w:name="_Toc335232692"/>
      <w:bookmarkStart w:id="5" w:name="_Toc63676437"/>
      <w:r>
        <w:rPr>
          <w:rFonts w:ascii="Arial Unicode MS" w:eastAsia="宋体" w:hAnsi="Arial Unicode MS" w:cs="Arial"/>
          <w:b/>
          <w:bCs/>
          <w:sz w:val="28"/>
          <w:szCs w:val="28"/>
        </w:rPr>
        <w:lastRenderedPageBreak/>
        <w:t>第二部分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释义</w:t>
      </w:r>
      <w:bookmarkEnd w:id="3"/>
      <w:bookmarkEnd w:id="4"/>
      <w:bookmarkEnd w:id="5"/>
    </w:p>
    <w:p w14:paraId="67E4701E" w14:textId="77777777" w:rsidR="00A6605D" w:rsidRDefault="00A6605D"/>
    <w:p w14:paraId="41AE0F08"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在本招募说明书中，除非文</w:t>
      </w:r>
      <w:r>
        <w:rPr>
          <w:rFonts w:ascii="Arial Unicode MS" w:hAnsi="Arial Unicode MS" w:cs="Arial" w:hint="eastAsia"/>
          <w:szCs w:val="21"/>
        </w:rPr>
        <w:t>义</w:t>
      </w:r>
      <w:r>
        <w:rPr>
          <w:rFonts w:ascii="Arial Unicode MS" w:hAnsi="Arial Unicode MS" w:cs="Arial"/>
          <w:szCs w:val="21"/>
        </w:rPr>
        <w:t>另有所指，下列词语</w:t>
      </w:r>
      <w:r>
        <w:rPr>
          <w:rFonts w:ascii="Arial Unicode MS" w:hAnsi="Arial Unicode MS" w:cs="Arial" w:hint="eastAsia"/>
          <w:szCs w:val="21"/>
        </w:rPr>
        <w:t>或简称</w:t>
      </w:r>
      <w:r>
        <w:rPr>
          <w:rFonts w:ascii="Arial Unicode MS" w:hAnsi="Arial Unicode MS" w:cs="Arial"/>
          <w:szCs w:val="21"/>
        </w:rPr>
        <w:t>具有</w:t>
      </w:r>
      <w:r>
        <w:rPr>
          <w:rFonts w:ascii="Arial Unicode MS" w:hAnsi="Arial Unicode MS" w:cs="Arial" w:hint="eastAsia"/>
          <w:szCs w:val="21"/>
        </w:rPr>
        <w:t>以下</w:t>
      </w:r>
      <w:r>
        <w:rPr>
          <w:rFonts w:ascii="Arial Unicode MS" w:hAnsi="Arial Unicode MS" w:cs="Arial"/>
          <w:szCs w:val="21"/>
        </w:rPr>
        <w:t>含义：</w:t>
      </w:r>
    </w:p>
    <w:p w14:paraId="4D838178" w14:textId="77777777" w:rsidR="00A6605D" w:rsidRDefault="00413D7E">
      <w:pPr>
        <w:spacing w:line="360" w:lineRule="auto"/>
        <w:ind w:firstLineChars="150" w:firstLine="315"/>
        <w:rPr>
          <w:rFonts w:ascii="Arial Unicode MS" w:hAnsi="Arial Unicode MS" w:cs="Arial"/>
          <w:szCs w:val="21"/>
        </w:rPr>
      </w:pPr>
      <w:r>
        <w:rPr>
          <w:rFonts w:ascii="Arial Unicode MS" w:hAnsi="Arial Unicode MS" w:cs="Arial"/>
          <w:szCs w:val="21"/>
        </w:rPr>
        <w:t>1</w:t>
      </w:r>
      <w:r>
        <w:rPr>
          <w:rFonts w:ascii="Arial Unicode MS" w:hAnsi="Arial Unicode MS" w:cs="Arial" w:hint="eastAsia"/>
          <w:szCs w:val="21"/>
        </w:rPr>
        <w:t>、</w:t>
      </w:r>
      <w:r>
        <w:rPr>
          <w:rFonts w:ascii="Arial Unicode MS" w:hAnsi="Arial Unicode MS" w:cs="Arial"/>
          <w:szCs w:val="21"/>
        </w:rPr>
        <w:t>基金或本基金：</w:t>
      </w:r>
      <w:r>
        <w:rPr>
          <w:rFonts w:ascii="Arial Unicode MS" w:hAnsi="Arial Unicode MS" w:cs="Arial" w:hint="eastAsia"/>
          <w:szCs w:val="21"/>
        </w:rPr>
        <w:t>指富荣富兴纯债债券型证券投资基金</w:t>
      </w:r>
    </w:p>
    <w:p w14:paraId="490AB115"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2</w:t>
      </w:r>
      <w:r>
        <w:rPr>
          <w:rFonts w:ascii="Arial Unicode MS" w:hAnsi="Arial Unicode MS" w:cs="Arial" w:hint="eastAsia"/>
          <w:szCs w:val="21"/>
        </w:rPr>
        <w:t>、</w:t>
      </w:r>
      <w:r>
        <w:rPr>
          <w:rFonts w:ascii="Arial Unicode MS" w:hAnsi="Arial Unicode MS" w:cs="Arial"/>
          <w:szCs w:val="21"/>
        </w:rPr>
        <w:t>基金管理人：指</w:t>
      </w:r>
      <w:r>
        <w:rPr>
          <w:rFonts w:ascii="Arial Unicode MS" w:hAnsi="Arial Unicode MS" w:cs="Arial" w:hint="eastAsia"/>
          <w:szCs w:val="21"/>
        </w:rPr>
        <w:t>富荣基金管理有限公司</w:t>
      </w:r>
      <w:r>
        <w:rPr>
          <w:rFonts w:ascii="Arial Unicode MS" w:hAnsi="Arial Unicode MS" w:cs="Arial"/>
          <w:szCs w:val="21"/>
        </w:rPr>
        <w:t xml:space="preserve">      </w:t>
      </w:r>
    </w:p>
    <w:p w14:paraId="3A386053"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3</w:t>
      </w:r>
      <w:r>
        <w:rPr>
          <w:rFonts w:ascii="Arial Unicode MS" w:hAnsi="Arial Unicode MS" w:cs="Arial" w:hint="eastAsia"/>
          <w:szCs w:val="21"/>
        </w:rPr>
        <w:t>、</w:t>
      </w:r>
      <w:r>
        <w:rPr>
          <w:rFonts w:ascii="Arial Unicode MS" w:hAnsi="Arial Unicode MS" w:cs="Arial"/>
          <w:szCs w:val="21"/>
        </w:rPr>
        <w:t>基金托管人：</w:t>
      </w:r>
      <w:r>
        <w:rPr>
          <w:rFonts w:ascii="Arial Unicode MS" w:hAnsi="Arial Unicode MS" w:cs="Arial" w:hint="eastAsia"/>
          <w:szCs w:val="21"/>
        </w:rPr>
        <w:t>指中国建设银行股份有限公司。以下简称基金托管人或托管人</w:t>
      </w:r>
      <w:r>
        <w:rPr>
          <w:rFonts w:ascii="Arial Unicode MS" w:hAnsi="Arial Unicode MS" w:cs="Arial"/>
          <w:szCs w:val="21"/>
        </w:rPr>
        <w:t xml:space="preserve">    </w:t>
      </w:r>
    </w:p>
    <w:p w14:paraId="1FD426FF"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szCs w:val="21"/>
        </w:rPr>
        <w:t>基金合同：指《</w:t>
      </w:r>
      <w:r>
        <w:rPr>
          <w:rFonts w:ascii="Arial Unicode MS" w:hAnsi="Arial Unicode MS" w:cs="Arial" w:hint="eastAsia"/>
          <w:szCs w:val="21"/>
        </w:rPr>
        <w:t>富荣富兴纯债债券型证券投资基金</w:t>
      </w:r>
      <w:r>
        <w:rPr>
          <w:rFonts w:ascii="Arial Unicode MS" w:hAnsi="Arial Unicode MS" w:cs="Arial"/>
          <w:szCs w:val="21"/>
        </w:rPr>
        <w:t>基金合同》及对基金合同的任何有效修订和补充</w:t>
      </w:r>
    </w:p>
    <w:p w14:paraId="28E8CC1F"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szCs w:val="21"/>
        </w:rPr>
        <w:t>托管协议：指基金管理人与基金托管人就本基金签订之《</w:t>
      </w:r>
      <w:r>
        <w:rPr>
          <w:rFonts w:ascii="Arial Unicode MS" w:hAnsi="Arial Unicode MS" w:cs="Arial" w:hint="eastAsia"/>
          <w:szCs w:val="21"/>
        </w:rPr>
        <w:t>富荣富兴纯债债券型证券投资基金</w:t>
      </w:r>
      <w:r>
        <w:rPr>
          <w:rFonts w:ascii="Arial Unicode MS" w:hAnsi="Arial Unicode MS" w:cs="Arial"/>
          <w:szCs w:val="21"/>
        </w:rPr>
        <w:t>托管协议》及对该托管协议的任何有效修订和补充</w:t>
      </w:r>
    </w:p>
    <w:p w14:paraId="05EB7FAE"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6</w:t>
      </w:r>
      <w:r>
        <w:rPr>
          <w:rFonts w:ascii="Arial Unicode MS" w:hAnsi="Arial Unicode MS" w:cs="Arial" w:hint="eastAsia"/>
          <w:szCs w:val="21"/>
        </w:rPr>
        <w:t>、</w:t>
      </w:r>
      <w:r>
        <w:rPr>
          <w:rFonts w:ascii="Arial Unicode MS" w:hAnsi="Arial Unicode MS" w:cs="Arial"/>
          <w:szCs w:val="21"/>
        </w:rPr>
        <w:t>招募说明书</w:t>
      </w:r>
      <w:r>
        <w:rPr>
          <w:rFonts w:ascii="Arial Unicode MS" w:hAnsi="Arial Unicode MS" w:cs="Arial" w:hint="eastAsia"/>
          <w:szCs w:val="21"/>
        </w:rPr>
        <w:t>或本招募说明书</w:t>
      </w:r>
      <w:r>
        <w:rPr>
          <w:rFonts w:ascii="Arial Unicode MS" w:hAnsi="Arial Unicode MS" w:cs="Arial"/>
          <w:szCs w:val="21"/>
        </w:rPr>
        <w:t>：指《</w:t>
      </w:r>
      <w:r>
        <w:rPr>
          <w:rFonts w:ascii="Arial Unicode MS" w:hAnsi="Arial Unicode MS" w:cs="Arial" w:hint="eastAsia"/>
          <w:szCs w:val="21"/>
        </w:rPr>
        <w:t>富荣富兴纯债债券型证券投资基金</w:t>
      </w:r>
      <w:r>
        <w:rPr>
          <w:rFonts w:ascii="Arial Unicode MS" w:hAnsi="Arial Unicode MS" w:cs="Arial"/>
          <w:szCs w:val="21"/>
        </w:rPr>
        <w:t>招募说明书》及其更新</w:t>
      </w:r>
    </w:p>
    <w:p w14:paraId="368DF574"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、基金产品资料概要：指《富荣富兴纯债债券型证券投资基金基金产品资料概要》及其更新</w:t>
      </w:r>
    </w:p>
    <w:p w14:paraId="7F0E224D"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8</w:t>
      </w:r>
      <w:r>
        <w:rPr>
          <w:rFonts w:ascii="Arial Unicode MS" w:hAnsi="Arial Unicode MS" w:cs="Arial" w:hint="eastAsia"/>
          <w:szCs w:val="21"/>
        </w:rPr>
        <w:t>、</w:t>
      </w:r>
      <w:r>
        <w:rPr>
          <w:rFonts w:ascii="Arial Unicode MS" w:hAnsi="Arial Unicode MS" w:cs="Arial"/>
          <w:szCs w:val="21"/>
        </w:rPr>
        <w:t>基金份额发售公告：指《</w:t>
      </w:r>
      <w:r>
        <w:rPr>
          <w:rFonts w:ascii="Arial Unicode MS" w:hAnsi="Arial Unicode MS" w:cs="Arial" w:hint="eastAsia"/>
          <w:szCs w:val="21"/>
        </w:rPr>
        <w:t>富荣富兴纯债债券型证券投资基金</w:t>
      </w:r>
      <w:r>
        <w:rPr>
          <w:rFonts w:ascii="Arial Unicode MS" w:hAnsi="Arial Unicode MS" w:cs="Arial"/>
          <w:szCs w:val="21"/>
        </w:rPr>
        <w:t>基金份额发售公告》</w:t>
      </w:r>
    </w:p>
    <w:p w14:paraId="5C46E8E5"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9</w:t>
      </w:r>
      <w:r>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27617C06"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10</w:t>
      </w:r>
      <w:r>
        <w:rPr>
          <w:rFonts w:ascii="Arial Unicode MS" w:hAnsi="Arial Unicode MS" w:cs="Arial" w:hint="eastAsia"/>
          <w:szCs w:val="21"/>
        </w:rPr>
        <w:t>、《基金法》：指</w:t>
      </w:r>
      <w:r>
        <w:rPr>
          <w:rFonts w:ascii="Arial Unicode MS" w:hAnsi="Arial Unicode MS" w:cs="Arial" w:hint="eastAsia"/>
          <w:szCs w:val="21"/>
        </w:rPr>
        <w:t>2003</w:t>
      </w:r>
      <w:r>
        <w:rPr>
          <w:rFonts w:ascii="Arial Unicode MS" w:hAnsi="Arial Unicode MS" w:cs="Arial" w:hint="eastAsia"/>
          <w:szCs w:val="21"/>
        </w:rPr>
        <w:t>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日经第十届全国人民代表大会常务委员会第五次会议通过，经</w:t>
      </w:r>
      <w:r>
        <w:rPr>
          <w:rFonts w:ascii="Arial Unicode MS" w:hAnsi="Arial Unicode MS" w:cs="Arial" w:hint="eastAsia"/>
          <w:szCs w:val="21"/>
        </w:rPr>
        <w:t>2012</w:t>
      </w:r>
      <w:r>
        <w:rPr>
          <w:rFonts w:ascii="Arial Unicode MS" w:hAnsi="Arial Unicode MS" w:cs="Arial" w:hint="eastAsia"/>
          <w:szCs w:val="21"/>
        </w:rPr>
        <w:t>年</w:t>
      </w:r>
      <w:r>
        <w:rPr>
          <w:rFonts w:ascii="Arial Unicode MS" w:hAnsi="Arial Unicode MS" w:cs="Arial" w:hint="eastAsia"/>
          <w:szCs w:val="21"/>
        </w:rPr>
        <w:t>12</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日第十一届全国人民代表大会常务委员会第三十次会议修订，自</w:t>
      </w:r>
      <w:r>
        <w:rPr>
          <w:rFonts w:ascii="Arial Unicode MS" w:hAnsi="Arial Unicode MS" w:cs="Arial" w:hint="eastAsia"/>
          <w:szCs w:val="21"/>
        </w:rPr>
        <w:t>2013</w:t>
      </w:r>
      <w:r>
        <w:rPr>
          <w:rFonts w:ascii="Arial Unicode MS" w:hAnsi="Arial Unicode MS" w:cs="Arial" w:hint="eastAsia"/>
          <w:szCs w:val="21"/>
        </w:rPr>
        <w:t>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日起实施并经</w:t>
      </w:r>
      <w:r>
        <w:rPr>
          <w:rFonts w:ascii="Arial Unicode MS" w:hAnsi="Arial Unicode MS" w:cs="Arial" w:hint="eastAsia"/>
          <w:szCs w:val="21"/>
        </w:rPr>
        <w:t>2015</w:t>
      </w:r>
      <w:r>
        <w:rPr>
          <w:rFonts w:ascii="Arial Unicode MS" w:hAnsi="Arial Unicode MS" w:cs="Arial" w:hint="eastAsia"/>
          <w:szCs w:val="21"/>
        </w:rPr>
        <w:t>年</w:t>
      </w:r>
      <w:r>
        <w:rPr>
          <w:rFonts w:ascii="Arial Unicode MS" w:hAnsi="Arial Unicode MS" w:cs="Arial" w:hint="eastAsia"/>
          <w:szCs w:val="21"/>
        </w:rPr>
        <w:t>4</w:t>
      </w:r>
      <w:r>
        <w:rPr>
          <w:rFonts w:ascii="Arial Unicode MS" w:hAnsi="Arial Unicode MS" w:cs="Arial" w:hint="eastAsia"/>
          <w:szCs w:val="21"/>
        </w:rPr>
        <w:t>月</w:t>
      </w:r>
      <w:r>
        <w:rPr>
          <w:rFonts w:ascii="Arial Unicode MS" w:hAnsi="Arial Unicode MS" w:cs="Arial" w:hint="eastAsia"/>
          <w:szCs w:val="21"/>
        </w:rPr>
        <w:t>24</w:t>
      </w:r>
      <w:r>
        <w:rPr>
          <w:rFonts w:ascii="Arial Unicode MS" w:hAnsi="Arial Unicode MS" w:cs="Arial" w:hint="eastAsia"/>
          <w:szCs w:val="21"/>
        </w:rPr>
        <w:t>日第十二届全国人民代表大会常务委员会第十四次会议《全国人民代表大会常务委员会关于修改〈中华人民共和国港口法</w:t>
      </w:r>
      <w:r>
        <w:rPr>
          <w:rFonts w:ascii="Arial Unicode MS" w:hAnsi="Arial Unicode MS" w:cs="Arial" w:hint="eastAsia"/>
          <w:szCs w:val="21"/>
        </w:rPr>
        <w:t>&gt;</w:t>
      </w:r>
      <w:r>
        <w:rPr>
          <w:rFonts w:ascii="Arial Unicode MS" w:hAnsi="Arial Unicode MS" w:cs="Arial" w:hint="eastAsia"/>
          <w:szCs w:val="21"/>
        </w:rPr>
        <w:t>等七部法律的决定》修改的《中华人民共和国证券投资基金法》及颁布机关对其不时做出的修订</w:t>
      </w:r>
    </w:p>
    <w:p w14:paraId="61DFBC0F"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1</w:t>
      </w:r>
      <w:r>
        <w:rPr>
          <w:rFonts w:ascii="Arial Unicode MS" w:hAnsi="Arial Unicode MS" w:cs="Arial" w:hint="eastAsia"/>
          <w:szCs w:val="21"/>
        </w:rPr>
        <w:t>、《销售办法》：指中国证监会</w:t>
      </w:r>
      <w:r>
        <w:rPr>
          <w:rFonts w:ascii="Arial Unicode MS" w:hAnsi="Arial Unicode MS" w:cs="Arial" w:hint="eastAsia"/>
          <w:szCs w:val="21"/>
        </w:rPr>
        <w:t>2020</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日颁布、同年</w:t>
      </w:r>
      <w:r>
        <w:rPr>
          <w:rFonts w:ascii="Arial Unicode MS" w:hAnsi="Arial Unicode MS" w:cs="Arial"/>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日实施的《公开募集证券投资基金销售机构监督管理办法》及颁布机关对其不时做出的修订</w:t>
      </w:r>
    </w:p>
    <w:p w14:paraId="5F3E6908"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hint="eastAsia"/>
          <w:szCs w:val="21"/>
        </w:rPr>
        <w:t>、《信息披露办法》：指中国证监会</w:t>
      </w:r>
      <w:r>
        <w:rPr>
          <w:rFonts w:ascii="Arial Unicode MS" w:hAnsi="Arial Unicode MS" w:cs="Arial"/>
          <w:szCs w:val="21"/>
        </w:rPr>
        <w:t>2019</w:t>
      </w:r>
      <w:r>
        <w:rPr>
          <w:rFonts w:ascii="Arial Unicode MS" w:hAnsi="Arial Unicode MS" w:cs="Arial" w:hint="eastAsia"/>
          <w:szCs w:val="21"/>
        </w:rPr>
        <w:t>年</w:t>
      </w:r>
      <w:r>
        <w:rPr>
          <w:rFonts w:ascii="Arial Unicode MS" w:hAnsi="Arial Unicode MS" w:cs="Arial"/>
          <w:szCs w:val="21"/>
        </w:rPr>
        <w:t>7</w:t>
      </w:r>
      <w:r>
        <w:rPr>
          <w:rFonts w:ascii="Arial Unicode MS" w:hAnsi="Arial Unicode MS" w:cs="Arial" w:hint="eastAsia"/>
          <w:szCs w:val="21"/>
        </w:rPr>
        <w:t>月</w:t>
      </w:r>
      <w:r>
        <w:rPr>
          <w:rFonts w:ascii="Arial Unicode MS" w:hAnsi="Arial Unicode MS" w:cs="Arial"/>
          <w:szCs w:val="21"/>
        </w:rPr>
        <w:t>26</w:t>
      </w:r>
      <w:r>
        <w:rPr>
          <w:rFonts w:ascii="Arial Unicode MS" w:hAnsi="Arial Unicode MS" w:cs="Arial" w:hint="eastAsia"/>
          <w:szCs w:val="21"/>
        </w:rPr>
        <w:t>日颁布、同年</w:t>
      </w:r>
      <w:r>
        <w:rPr>
          <w:rFonts w:ascii="Arial Unicode MS" w:hAnsi="Arial Unicode MS" w:cs="Arial"/>
          <w:szCs w:val="21"/>
        </w:rPr>
        <w:t>9</w:t>
      </w:r>
      <w:r>
        <w:rPr>
          <w:rFonts w:ascii="Arial Unicode MS" w:hAnsi="Arial Unicode MS" w:cs="Arial" w:hint="eastAsia"/>
          <w:szCs w:val="21"/>
        </w:rPr>
        <w:t>月</w:t>
      </w:r>
      <w:r>
        <w:rPr>
          <w:rFonts w:ascii="Arial Unicode MS" w:hAnsi="Arial Unicode MS" w:cs="Arial"/>
          <w:szCs w:val="21"/>
        </w:rPr>
        <w:t>1</w:t>
      </w:r>
      <w:r>
        <w:rPr>
          <w:rFonts w:ascii="Arial Unicode MS" w:hAnsi="Arial Unicode MS" w:cs="Arial" w:hint="eastAsia"/>
          <w:szCs w:val="21"/>
        </w:rPr>
        <w:t>日实施，并经</w:t>
      </w:r>
      <w:r>
        <w:rPr>
          <w:rFonts w:ascii="Arial Unicode MS" w:hAnsi="Arial Unicode MS" w:cs="Arial" w:hint="eastAsia"/>
          <w:szCs w:val="21"/>
        </w:rPr>
        <w:t>2020</w:t>
      </w:r>
      <w:r>
        <w:rPr>
          <w:rFonts w:ascii="Arial Unicode MS" w:hAnsi="Arial Unicode MS" w:cs="Arial" w:hint="eastAsia"/>
          <w:szCs w:val="21"/>
        </w:rPr>
        <w:t>年</w:t>
      </w:r>
      <w:r>
        <w:rPr>
          <w:rFonts w:ascii="Arial Unicode MS" w:hAnsi="Arial Unicode MS" w:cs="Arial" w:hint="eastAsia"/>
          <w:szCs w:val="21"/>
        </w:rPr>
        <w:t>3</w:t>
      </w:r>
      <w:r>
        <w:rPr>
          <w:rFonts w:ascii="Arial Unicode MS" w:hAnsi="Arial Unicode MS" w:cs="Arial" w:hint="eastAsia"/>
          <w:szCs w:val="21"/>
        </w:rPr>
        <w:t>月</w:t>
      </w:r>
      <w:r>
        <w:rPr>
          <w:rFonts w:ascii="Arial Unicode MS" w:hAnsi="Arial Unicode MS" w:cs="Arial" w:hint="eastAsia"/>
          <w:szCs w:val="21"/>
        </w:rPr>
        <w:t>20</w:t>
      </w:r>
      <w:r>
        <w:rPr>
          <w:rFonts w:ascii="Arial Unicode MS" w:hAnsi="Arial Unicode MS" w:cs="Arial" w:hint="eastAsia"/>
          <w:szCs w:val="21"/>
        </w:rPr>
        <w:t>日中国证监会《关于修改部分证券期货规章的决定》修正的《公开募集证券投资基金信息披露管理办法》及颁布机关对其不时做出的修订</w:t>
      </w:r>
    </w:p>
    <w:p w14:paraId="78505316"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、《运作办法》：指中国证监会</w:t>
      </w:r>
      <w:r>
        <w:rPr>
          <w:rFonts w:ascii="Arial Unicode MS" w:hAnsi="Arial Unicode MS" w:cs="Arial" w:hint="eastAsia"/>
          <w:szCs w:val="21"/>
        </w:rPr>
        <w:t>2014</w:t>
      </w:r>
      <w:r>
        <w:rPr>
          <w:rFonts w:ascii="Arial Unicode MS" w:hAnsi="Arial Unicode MS" w:cs="Arial" w:hint="eastAsia"/>
          <w:szCs w:val="21"/>
        </w:rPr>
        <w:t>年</w:t>
      </w:r>
      <w:r>
        <w:rPr>
          <w:rFonts w:ascii="Arial Unicode MS" w:hAnsi="Arial Unicode MS" w:cs="Arial" w:hint="eastAsia"/>
          <w:szCs w:val="21"/>
        </w:rPr>
        <w:t>7</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日颁布、同年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8</w:t>
      </w:r>
      <w:r>
        <w:rPr>
          <w:rFonts w:ascii="Arial Unicode MS" w:hAnsi="Arial Unicode MS" w:cs="Arial" w:hint="eastAsia"/>
          <w:szCs w:val="21"/>
        </w:rPr>
        <w:t>日实施的《公开募</w:t>
      </w:r>
      <w:r>
        <w:rPr>
          <w:rFonts w:ascii="Arial Unicode MS" w:hAnsi="Arial Unicode MS" w:cs="Arial" w:hint="eastAsia"/>
          <w:szCs w:val="21"/>
        </w:rPr>
        <w:lastRenderedPageBreak/>
        <w:t>集证券投资基金运作管理办法》及颁布机关对其不时做出的修订</w:t>
      </w:r>
    </w:p>
    <w:p w14:paraId="3C906482"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4</w:t>
      </w:r>
      <w:r>
        <w:rPr>
          <w:rFonts w:ascii="Arial Unicode MS" w:hAnsi="Arial Unicode MS" w:cs="Arial" w:hint="eastAsia"/>
          <w:szCs w:val="21"/>
        </w:rPr>
        <w:t>、《流动性风险规定》：指中国证监会</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31</w:t>
      </w:r>
      <w:r>
        <w:rPr>
          <w:rFonts w:ascii="Arial Unicode MS" w:hAnsi="Arial Unicode MS" w:cs="Arial" w:hint="eastAsia"/>
          <w:szCs w:val="21"/>
        </w:rPr>
        <w:t>日颁布、同年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日起实施的《公开募集开放式证券投资基金流动性风险管理规定》及颁布机关对其不时做出的修订</w:t>
      </w:r>
    </w:p>
    <w:p w14:paraId="0A6CB043"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5</w:t>
      </w:r>
      <w:r>
        <w:rPr>
          <w:rFonts w:ascii="Arial Unicode MS" w:hAnsi="Arial Unicode MS" w:cs="Arial" w:hint="eastAsia"/>
          <w:szCs w:val="21"/>
        </w:rPr>
        <w:t>、中国证监会：指中国证券监督管理委员会</w:t>
      </w:r>
    </w:p>
    <w:p w14:paraId="06B2B670"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6</w:t>
      </w:r>
      <w:r>
        <w:rPr>
          <w:rFonts w:ascii="Arial Unicode MS" w:hAnsi="Arial Unicode MS" w:cs="Arial" w:hint="eastAsia"/>
          <w:szCs w:val="21"/>
        </w:rPr>
        <w:t>、银行业监督管理机构：指中国人民银行和</w:t>
      </w:r>
      <w:r>
        <w:rPr>
          <w:rFonts w:ascii="Arial Unicode MS" w:hAnsi="Arial Unicode MS" w:cs="Arial"/>
          <w:szCs w:val="21"/>
        </w:rPr>
        <w:t>/</w:t>
      </w:r>
      <w:r>
        <w:rPr>
          <w:rFonts w:ascii="Arial Unicode MS" w:hAnsi="Arial Unicode MS" w:cs="Arial" w:hint="eastAsia"/>
          <w:szCs w:val="21"/>
        </w:rPr>
        <w:t>或中国银行保险监督管理委员会</w:t>
      </w:r>
    </w:p>
    <w:p w14:paraId="110D8DBA"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7</w:t>
      </w:r>
      <w:r>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5002E466"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8</w:t>
      </w:r>
      <w:r>
        <w:rPr>
          <w:rFonts w:ascii="Arial Unicode MS" w:hAnsi="Arial Unicode MS" w:cs="Arial" w:hint="eastAsia"/>
          <w:szCs w:val="21"/>
        </w:rPr>
        <w:t>、个人投资者：指依据有关法律法规规定可投资于证券投资基金的自然人</w:t>
      </w:r>
    </w:p>
    <w:p w14:paraId="1A00F001"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9</w:t>
      </w:r>
      <w:r>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31040CC3"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20</w:t>
      </w:r>
      <w:r>
        <w:rPr>
          <w:rFonts w:ascii="Arial Unicode MS" w:hAnsi="Arial Unicode MS" w:cs="Arial" w:hint="eastAsia"/>
          <w:szCs w:val="21"/>
        </w:rPr>
        <w:t>、合格境外机构投资者：指符合《合格境外机构投资者和人民币合格境外机构投资者境内证券期货投资管理办法》及相关法律法规规定可以投资于在中国境内依法募集的证券投资基金的中国境外的机构投资者</w:t>
      </w:r>
    </w:p>
    <w:p w14:paraId="036A69BD"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1</w:t>
      </w:r>
      <w:r>
        <w:rPr>
          <w:rFonts w:ascii="Arial Unicode MS" w:hAnsi="Arial Unicode MS" w:cs="Arial" w:hint="eastAsia"/>
          <w:szCs w:val="21"/>
        </w:rPr>
        <w:t>、人民币合格境外机构投资者：指符合《合格境外机构投资者和人民币合格境外机构投资者境内证券期货投资管理办法》（包括其不时修订）及相关法律法规规定可以运用来自境外的人民币资金进行境内证券投资的境外机构投资者</w:t>
      </w:r>
    </w:p>
    <w:p w14:paraId="2467236C"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2</w:t>
      </w:r>
      <w:r>
        <w:rPr>
          <w:rFonts w:ascii="Arial Unicode MS" w:hAnsi="Arial Unicode MS" w:cs="Arial" w:hint="eastAsia"/>
          <w:szCs w:val="21"/>
        </w:rPr>
        <w:t>、投资人：指个人投资者、机构投资者、合格境外机构投资者、人民币合格境外机构投资者以及法律法规或中国证监会允许购买证券投资基金的其他投资人的合称</w:t>
      </w:r>
    </w:p>
    <w:p w14:paraId="23C69CB6"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3</w:t>
      </w:r>
      <w:r>
        <w:rPr>
          <w:rFonts w:ascii="Arial Unicode MS" w:hAnsi="Arial Unicode MS" w:cs="Arial" w:hint="eastAsia"/>
          <w:szCs w:val="21"/>
        </w:rPr>
        <w:t>、基金份额持有人：指依基金合同和招募说明书合法取得基金份额的投资人</w:t>
      </w:r>
    </w:p>
    <w:p w14:paraId="1576A79E"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4</w:t>
      </w:r>
      <w:r>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04092667"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5</w:t>
      </w:r>
      <w:r>
        <w:rPr>
          <w:rFonts w:ascii="Arial Unicode MS" w:hAnsi="Arial Unicode MS" w:cs="Arial" w:hint="eastAsia"/>
          <w:szCs w:val="21"/>
        </w:rPr>
        <w:t>、销售机构：指直销机构和代销机构</w:t>
      </w:r>
    </w:p>
    <w:p w14:paraId="6E12F443"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6</w:t>
      </w:r>
      <w:r>
        <w:rPr>
          <w:rFonts w:ascii="Arial Unicode MS" w:hAnsi="Arial Unicode MS" w:cs="Arial" w:hint="eastAsia"/>
          <w:szCs w:val="21"/>
        </w:rPr>
        <w:t>、直销机构：指富荣基金管理有限公司</w:t>
      </w:r>
    </w:p>
    <w:p w14:paraId="6831AD0B"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7</w:t>
      </w:r>
      <w:r>
        <w:rPr>
          <w:rFonts w:ascii="Arial Unicode MS" w:hAnsi="Arial Unicode MS" w:cs="Arial" w:hint="eastAsia"/>
          <w:szCs w:val="21"/>
        </w:rPr>
        <w:t>、代销机构：指符合《销售办法》和中国证监会规定的其他条件，取得基金销售业务资格并与基金管理人签订了基金销售服务协议，办理基金销售业务的机构</w:t>
      </w:r>
    </w:p>
    <w:p w14:paraId="54C85ED4"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8</w:t>
      </w:r>
      <w:r>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25EAD112"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9</w:t>
      </w:r>
      <w:r>
        <w:rPr>
          <w:rFonts w:ascii="Arial Unicode MS" w:hAnsi="Arial Unicode MS" w:cs="Arial" w:hint="eastAsia"/>
          <w:szCs w:val="21"/>
        </w:rPr>
        <w:t>、登记机构：指办理登记业务的机构。基金的登记机构为富荣基金管理有限公司或接</w:t>
      </w:r>
      <w:r>
        <w:rPr>
          <w:rFonts w:ascii="Arial Unicode MS" w:hAnsi="Arial Unicode MS" w:cs="Arial" w:hint="eastAsia"/>
          <w:szCs w:val="21"/>
        </w:rPr>
        <w:lastRenderedPageBreak/>
        <w:t>受富荣基金管理有限公司委托代为办理登记业务的机构</w:t>
      </w:r>
    </w:p>
    <w:p w14:paraId="3C636227"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30</w:t>
      </w:r>
      <w:r>
        <w:rPr>
          <w:rFonts w:ascii="Arial Unicode MS" w:hAnsi="Arial Unicode MS" w:cs="Arial" w:hint="eastAsia"/>
          <w:szCs w:val="21"/>
        </w:rPr>
        <w:t>、基金账户：指登记机构为投资人开立的、记录其持有的、基金管理人所管理的基金份额余额及其变动情况的账户</w:t>
      </w:r>
    </w:p>
    <w:p w14:paraId="4BB93800"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1</w:t>
      </w:r>
      <w:r>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1BA63CEE"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2</w:t>
      </w:r>
      <w:r>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537C43A3"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3</w:t>
      </w:r>
      <w:r>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613BA180"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4</w:t>
      </w:r>
      <w:r>
        <w:rPr>
          <w:rFonts w:ascii="Arial Unicode MS" w:hAnsi="Arial Unicode MS" w:cs="Arial" w:hint="eastAsia"/>
          <w:szCs w:val="21"/>
        </w:rPr>
        <w:t>、基金募集期：指自基金份额发售之日起至发售结束之日止的期间，最长不得超过</w:t>
      </w:r>
      <w:r>
        <w:rPr>
          <w:rFonts w:ascii="Arial Unicode MS" w:hAnsi="Arial Unicode MS" w:cs="Arial" w:hint="eastAsia"/>
          <w:szCs w:val="21"/>
        </w:rPr>
        <w:t>3</w:t>
      </w:r>
      <w:r>
        <w:rPr>
          <w:rFonts w:ascii="Arial Unicode MS" w:hAnsi="Arial Unicode MS" w:cs="Arial" w:hint="eastAsia"/>
          <w:szCs w:val="21"/>
        </w:rPr>
        <w:t>个月</w:t>
      </w:r>
    </w:p>
    <w:p w14:paraId="47AF8ACF"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5</w:t>
      </w:r>
      <w:r>
        <w:rPr>
          <w:rFonts w:ascii="Arial Unicode MS" w:hAnsi="Arial Unicode MS" w:cs="Arial" w:hint="eastAsia"/>
          <w:szCs w:val="21"/>
        </w:rPr>
        <w:t>、存续期：指基金合同生效至终止之间的不定期期限</w:t>
      </w:r>
    </w:p>
    <w:p w14:paraId="346D02D6"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6</w:t>
      </w:r>
      <w:r>
        <w:rPr>
          <w:rFonts w:ascii="Arial Unicode MS" w:hAnsi="Arial Unicode MS" w:cs="Arial" w:hint="eastAsia"/>
          <w:szCs w:val="21"/>
        </w:rPr>
        <w:t>、工作日：指上海证券交易所、深圳证券交易所的正常交易日</w:t>
      </w:r>
    </w:p>
    <w:p w14:paraId="5512AB33"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7</w:t>
      </w:r>
      <w:r>
        <w:rPr>
          <w:rFonts w:ascii="Arial Unicode MS" w:hAnsi="Arial Unicode MS" w:cs="Arial" w:hint="eastAsia"/>
          <w:szCs w:val="21"/>
        </w:rPr>
        <w:t>、</w:t>
      </w:r>
      <w:r>
        <w:rPr>
          <w:rFonts w:ascii="Arial Unicode MS" w:hAnsi="Arial Unicode MS" w:cs="Arial" w:hint="eastAsia"/>
          <w:szCs w:val="21"/>
        </w:rPr>
        <w:t>T</w:t>
      </w:r>
      <w:r>
        <w:rPr>
          <w:rFonts w:ascii="Arial Unicode MS" w:hAnsi="Arial Unicode MS" w:cs="Arial" w:hint="eastAsia"/>
          <w:szCs w:val="21"/>
        </w:rPr>
        <w:t>日：指销售机构在规定时间受理投资人申购、赎回或其他业务申请的工作日</w:t>
      </w:r>
    </w:p>
    <w:p w14:paraId="483EAD1A"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8</w:t>
      </w:r>
      <w:r>
        <w:rPr>
          <w:rFonts w:ascii="Arial Unicode MS" w:hAnsi="Arial Unicode MS" w:cs="Arial" w:hint="eastAsia"/>
          <w:szCs w:val="21"/>
        </w:rPr>
        <w:t>、</w:t>
      </w:r>
      <w:r>
        <w:rPr>
          <w:rFonts w:ascii="Arial Unicode MS" w:hAnsi="Arial Unicode MS" w:cs="Arial" w:hint="eastAsia"/>
          <w:szCs w:val="21"/>
        </w:rPr>
        <w:t>T+n</w:t>
      </w:r>
      <w:r>
        <w:rPr>
          <w:rFonts w:ascii="Arial Unicode MS" w:hAnsi="Arial Unicode MS" w:cs="Arial" w:hint="eastAsia"/>
          <w:szCs w:val="21"/>
        </w:rPr>
        <w:t>日：指自</w:t>
      </w:r>
      <w:r>
        <w:rPr>
          <w:rFonts w:ascii="Arial Unicode MS" w:hAnsi="Arial Unicode MS" w:cs="Arial" w:hint="eastAsia"/>
          <w:szCs w:val="21"/>
        </w:rPr>
        <w:t>T</w:t>
      </w:r>
      <w:r>
        <w:rPr>
          <w:rFonts w:ascii="Arial Unicode MS" w:hAnsi="Arial Unicode MS" w:cs="Arial" w:hint="eastAsia"/>
          <w:szCs w:val="21"/>
        </w:rPr>
        <w:t>日起第</w:t>
      </w:r>
      <w:r>
        <w:rPr>
          <w:rFonts w:ascii="Arial Unicode MS" w:hAnsi="Arial Unicode MS" w:cs="Arial" w:hint="eastAsia"/>
          <w:szCs w:val="21"/>
        </w:rPr>
        <w:t>n</w:t>
      </w:r>
      <w:r>
        <w:rPr>
          <w:rFonts w:ascii="Arial Unicode MS" w:hAnsi="Arial Unicode MS" w:cs="Arial" w:hint="eastAsia"/>
          <w:szCs w:val="21"/>
        </w:rPr>
        <w:t>个工作日</w:t>
      </w:r>
      <w:r>
        <w:rPr>
          <w:rFonts w:ascii="Arial Unicode MS" w:hAnsi="Arial Unicode MS" w:cs="Arial" w:hint="eastAsia"/>
          <w:szCs w:val="21"/>
        </w:rPr>
        <w:t>(</w:t>
      </w:r>
      <w:r>
        <w:rPr>
          <w:rFonts w:ascii="Arial Unicode MS" w:hAnsi="Arial Unicode MS" w:cs="Arial" w:hint="eastAsia"/>
          <w:szCs w:val="21"/>
        </w:rPr>
        <w:t>不包含</w:t>
      </w:r>
      <w:r>
        <w:rPr>
          <w:rFonts w:ascii="Arial Unicode MS" w:hAnsi="Arial Unicode MS" w:cs="Arial" w:hint="eastAsia"/>
          <w:szCs w:val="21"/>
        </w:rPr>
        <w:t>T</w:t>
      </w:r>
      <w:r>
        <w:rPr>
          <w:rFonts w:ascii="Arial Unicode MS" w:hAnsi="Arial Unicode MS" w:cs="Arial" w:hint="eastAsia"/>
          <w:szCs w:val="21"/>
        </w:rPr>
        <w:t>日</w:t>
      </w:r>
      <w:r>
        <w:rPr>
          <w:rFonts w:ascii="Arial Unicode MS" w:hAnsi="Arial Unicode MS" w:cs="Arial" w:hint="eastAsia"/>
          <w:szCs w:val="21"/>
        </w:rPr>
        <w:t>)</w:t>
      </w:r>
    </w:p>
    <w:p w14:paraId="278395AA"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9</w:t>
      </w:r>
      <w:r>
        <w:rPr>
          <w:rFonts w:ascii="Arial Unicode MS" w:hAnsi="Arial Unicode MS" w:cs="Arial" w:hint="eastAsia"/>
          <w:szCs w:val="21"/>
        </w:rPr>
        <w:t>、开放日：指为投资人办理基金份额申购、赎回或其他业务的工作日</w:t>
      </w:r>
    </w:p>
    <w:p w14:paraId="7E115EB7"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40</w:t>
      </w:r>
      <w:r>
        <w:rPr>
          <w:rFonts w:ascii="Arial Unicode MS" w:hAnsi="Arial Unicode MS" w:cs="Arial" w:hint="eastAsia"/>
          <w:szCs w:val="21"/>
        </w:rPr>
        <w:t>、开放时间：指开放日基金接受申购、赎回或其他业务的时间段</w:t>
      </w:r>
    </w:p>
    <w:p w14:paraId="7B6B8904"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1</w:t>
      </w:r>
      <w:r>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67744614"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2</w:t>
      </w:r>
      <w:r>
        <w:rPr>
          <w:rFonts w:ascii="Arial Unicode MS" w:hAnsi="Arial Unicode MS" w:cs="Arial" w:hint="eastAsia"/>
          <w:szCs w:val="21"/>
        </w:rPr>
        <w:t>、认购：指在基金募集期内，投资人根据基金合同和招募说明书的规定申请购买基金份额的行为</w:t>
      </w:r>
    </w:p>
    <w:p w14:paraId="72B14F32"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3</w:t>
      </w:r>
      <w:r>
        <w:rPr>
          <w:rFonts w:ascii="Arial Unicode MS" w:hAnsi="Arial Unicode MS" w:cs="Arial" w:hint="eastAsia"/>
          <w:szCs w:val="21"/>
        </w:rPr>
        <w:t>、申购：指基金合同生效后，投资人根据基金合同和招募说明书的规定申请购买基金份额的行为</w:t>
      </w:r>
    </w:p>
    <w:p w14:paraId="17381A84"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4</w:t>
      </w:r>
      <w:r>
        <w:rPr>
          <w:rFonts w:ascii="Arial Unicode MS" w:hAnsi="Arial Unicode MS" w:cs="Arial" w:hint="eastAsia"/>
          <w:szCs w:val="21"/>
        </w:rPr>
        <w:t>、赎回：指基金合同生效后，基金份额持有人按基金合同和招募说明书规定的条件要求将基金份额兑换为现金的行为</w:t>
      </w:r>
    </w:p>
    <w:p w14:paraId="5E5DFC6A"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5</w:t>
      </w:r>
      <w:r>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、基金转换：指基金份额持有人按照基金合同和基金管理人届时有效公告规定的条件，申请将其持有基金管理人管理的、某一基金的基金份额转换为基金管理人管理的其他基金基金份额的行为</w:t>
      </w:r>
    </w:p>
    <w:p w14:paraId="56A94CC4"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lastRenderedPageBreak/>
        <w:t>4</w:t>
      </w:r>
      <w:r>
        <w:rPr>
          <w:rFonts w:ascii="Arial Unicode MS" w:hAnsi="Arial Unicode MS" w:cs="Arial"/>
          <w:szCs w:val="21"/>
        </w:rPr>
        <w:t>6</w:t>
      </w:r>
      <w:r>
        <w:rPr>
          <w:rFonts w:ascii="Arial Unicode MS" w:hAnsi="Arial Unicode MS" w:cs="Arial" w:hint="eastAsia"/>
          <w:szCs w:val="21"/>
        </w:rPr>
        <w:t>、转托管：指基金份额持有人在本基金的不同销售机构之间实施的变更所持基金份额销售机构的操作</w:t>
      </w:r>
    </w:p>
    <w:p w14:paraId="37F2E860"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7</w:t>
      </w:r>
      <w:r>
        <w:rPr>
          <w:rFonts w:ascii="Arial Unicode MS" w:hAnsi="Arial Unicode MS" w:cs="Arial" w:hint="eastAsia"/>
          <w:szCs w:val="21"/>
        </w:rPr>
        <w:t>、定期定额投资计划：指投资人通过有关销售机构提出申请，约定每期申购日、申购金额及扣款方式，由销售机构于每期约定申购日在投资人指定银行账户内自动完成扣款及受理基金申购申请的一种投资方式</w:t>
      </w:r>
    </w:p>
    <w:p w14:paraId="7CC9774C"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8</w:t>
      </w:r>
      <w:r>
        <w:rPr>
          <w:rFonts w:ascii="Arial Unicode MS" w:hAnsi="Arial Unicode MS" w:cs="Arial" w:hint="eastAsia"/>
          <w:szCs w:val="21"/>
        </w:rPr>
        <w:t>、巨额赎回：指本基金单个开放日，基金净赎回申请</w:t>
      </w:r>
      <w:r>
        <w:rPr>
          <w:rFonts w:ascii="Arial Unicode MS" w:hAnsi="Arial Unicode MS" w:cs="Arial" w:hint="eastAsia"/>
          <w:szCs w:val="21"/>
        </w:rPr>
        <w:t>(</w:t>
      </w:r>
      <w:r>
        <w:rPr>
          <w:rFonts w:ascii="Arial Unicode MS" w:hAnsi="Arial Unicode MS" w:cs="Arial" w:hint="eastAsia"/>
          <w:szCs w:val="21"/>
        </w:rPr>
        <w:t>赎回申请份额总数加上基金转换中转出申请份额总数后扣除申购申请份额总数及基金转换中转入申请份额总数后的余额</w:t>
      </w:r>
      <w:r>
        <w:rPr>
          <w:rFonts w:ascii="Arial Unicode MS" w:hAnsi="Arial Unicode MS" w:cs="Arial" w:hint="eastAsia"/>
          <w:szCs w:val="21"/>
        </w:rPr>
        <w:t>)</w:t>
      </w:r>
      <w:r>
        <w:rPr>
          <w:rFonts w:ascii="Arial Unicode MS" w:hAnsi="Arial Unicode MS" w:cs="Arial" w:hint="eastAsia"/>
          <w:szCs w:val="21"/>
        </w:rPr>
        <w:t>超过上一开放日基金总份额的</w:t>
      </w:r>
      <w:r>
        <w:rPr>
          <w:rFonts w:ascii="Arial Unicode MS" w:hAnsi="Arial Unicode MS" w:cs="Arial" w:hint="eastAsia"/>
          <w:szCs w:val="21"/>
        </w:rPr>
        <w:t>10%</w:t>
      </w:r>
    </w:p>
    <w:p w14:paraId="57F2A94D"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9</w:t>
      </w:r>
      <w:r>
        <w:rPr>
          <w:rFonts w:ascii="Arial Unicode MS" w:hAnsi="Arial Unicode MS" w:cs="Arial" w:hint="eastAsia"/>
          <w:szCs w:val="21"/>
        </w:rPr>
        <w:t>、元：指人民币元</w:t>
      </w:r>
    </w:p>
    <w:p w14:paraId="1355D135"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50</w:t>
      </w:r>
      <w:r>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5E4796C0"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1</w:t>
      </w:r>
      <w:r>
        <w:rPr>
          <w:rFonts w:ascii="Arial Unicode MS" w:hAnsi="Arial Unicode MS" w:cs="Arial" w:hint="eastAsia"/>
          <w:szCs w:val="21"/>
        </w:rPr>
        <w:t>、基金资产总值：指基金拥有的各类有价证券、银行存款本息、基金应收申购款及其他资产的价值总和</w:t>
      </w:r>
    </w:p>
    <w:p w14:paraId="7B6F1BF0"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2</w:t>
      </w:r>
      <w:r>
        <w:rPr>
          <w:rFonts w:ascii="Arial Unicode MS" w:hAnsi="Arial Unicode MS" w:cs="Arial" w:hint="eastAsia"/>
          <w:szCs w:val="21"/>
        </w:rPr>
        <w:t>、基金资产净值：指基金资产总值减去基金负债后的价值</w:t>
      </w:r>
    </w:p>
    <w:p w14:paraId="708FBE5F"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3</w:t>
      </w:r>
      <w:r>
        <w:rPr>
          <w:rFonts w:ascii="Arial Unicode MS" w:hAnsi="Arial Unicode MS" w:cs="Arial" w:hint="eastAsia"/>
          <w:szCs w:val="21"/>
        </w:rPr>
        <w:t>、基金份额净值：指计算日基金资产净值除以计算日基金份额总数</w:t>
      </w:r>
    </w:p>
    <w:p w14:paraId="558729D6"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4</w:t>
      </w:r>
      <w:r>
        <w:rPr>
          <w:rFonts w:ascii="Arial Unicode MS" w:hAnsi="Arial Unicode MS" w:cs="Arial" w:hint="eastAsia"/>
          <w:szCs w:val="21"/>
        </w:rPr>
        <w:t>、基金资产估值：指计算评估基金资产和负债的价值，以确定基金资产净值和基金份额净值的过程</w:t>
      </w:r>
    </w:p>
    <w:p w14:paraId="3D5CE32A"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5</w:t>
      </w:r>
      <w:r>
        <w:rPr>
          <w:rFonts w:ascii="Arial Unicode MS" w:hAnsi="Arial Unicode MS" w:cs="Arial" w:hint="eastAsia"/>
          <w:szCs w:val="21"/>
        </w:rPr>
        <w:t>、流动性受限资产：指由于法律法规、监管、合同或操作障碍等原因无法以合理价格予以变现的资产，包括但不限于到期日在</w:t>
      </w:r>
      <w:r>
        <w:rPr>
          <w:rFonts w:ascii="Arial Unicode MS" w:hAnsi="Arial Unicode MS" w:cs="Arial" w:hint="eastAsia"/>
          <w:szCs w:val="21"/>
        </w:rPr>
        <w:t>10</w:t>
      </w:r>
      <w:r>
        <w:rPr>
          <w:rFonts w:ascii="Arial Unicode MS" w:hAnsi="Arial Unicode MS" w:cs="Arial" w:hint="eastAsia"/>
          <w:szCs w:val="21"/>
        </w:rPr>
        <w:t>个交易日以上的逆回购与银行定期存款（含协议约定有条件提前支取的银行存款）、资产支持证券、因发行人债务违约无法进行转让或交易的债券等</w:t>
      </w:r>
    </w:p>
    <w:p w14:paraId="2F8395BB"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6</w:t>
      </w:r>
      <w:r>
        <w:rPr>
          <w:rFonts w:ascii="Arial Unicode MS" w:hAnsi="Arial Unicode MS" w:cs="Arial" w:hint="eastAsia"/>
          <w:szCs w:val="21"/>
        </w:rPr>
        <w:t>、规定媒介：指符合中国证监会规定条件的用以进行信息披露的全国性报刊及《信息披露办法》规定的互联网网站（包括基金管理人网站、基金托管人网站、中国证监会基金电子信息披露网站）等媒介</w:t>
      </w:r>
    </w:p>
    <w:p w14:paraId="6613E7BF"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57</w:t>
      </w:r>
      <w:r>
        <w:rPr>
          <w:rFonts w:ascii="Arial Unicode MS" w:hAnsi="Arial Unicode MS" w:cs="Arial" w:hint="eastAsia"/>
          <w:szCs w:val="21"/>
        </w:rPr>
        <w:t>、侧袋机制：指将基金投资组合中的特定资产从原有账户分离至专门账户进行处置清算，目的在于有效隔离并化解风险，确保投资者得到公平对待，属于流动性风险管理工具。侧袋机制实施期间，原有账户称为主袋账户，专门账户称为侧袋账户</w:t>
      </w:r>
    </w:p>
    <w:p w14:paraId="24AE68CC"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58</w:t>
      </w:r>
      <w:r>
        <w:rPr>
          <w:rFonts w:ascii="Arial Unicode MS" w:hAnsi="Arial Unicode MS" w:cs="Arial" w:hint="eastAsia"/>
          <w:szCs w:val="21"/>
        </w:rPr>
        <w:t>、特定资产：包括：（一）无可参考的活跃市场价格且采用估值技术仍导致公允价值存在重大不确定性的资产；（二）按摊余成本计量且计提资产减值准备仍导致资产价值存在</w:t>
      </w:r>
      <w:r>
        <w:rPr>
          <w:rFonts w:ascii="Arial Unicode MS" w:hAnsi="Arial Unicode MS" w:cs="Arial" w:hint="eastAsia"/>
          <w:szCs w:val="21"/>
        </w:rPr>
        <w:lastRenderedPageBreak/>
        <w:t>重大不确定性的资产；（三）其他资产价值存在重大不确定性的资产</w:t>
      </w:r>
    </w:p>
    <w:p w14:paraId="51F72EDA"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59</w:t>
      </w:r>
      <w:r>
        <w:rPr>
          <w:rFonts w:ascii="Arial Unicode MS" w:hAnsi="Arial Unicode MS" w:cs="Arial" w:hint="eastAsia"/>
          <w:szCs w:val="21"/>
        </w:rPr>
        <w:t>、摆动定价机制：指当开放式基金遭遇大额申购赎回时，通过调整基金份额净值的方式，将基金调整投资组合的市场冲击成本分配给实际申购、赎回的投资者，从而减少对存量基金份额持有人利益的不利影响，确保投资人的合法权益不受损害并得到公平对待</w:t>
      </w:r>
    </w:p>
    <w:p w14:paraId="12CD4BBF"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60</w:t>
      </w:r>
      <w:r>
        <w:rPr>
          <w:rFonts w:ascii="Arial Unicode MS" w:hAnsi="Arial Unicode MS" w:cs="Arial" w:hint="eastAsia"/>
          <w:szCs w:val="21"/>
        </w:rPr>
        <w:t>、不可抗力：指基金合同当事人不能预见、不能避免且不能克服的客观事件</w:t>
      </w:r>
    </w:p>
    <w:p w14:paraId="68DF9D19" w14:textId="77777777" w:rsidR="00A6605D" w:rsidRDefault="00413D7E">
      <w:pPr>
        <w:pStyle w:val="11"/>
        <w:snapToGrid w:val="0"/>
        <w:spacing w:before="0" w:after="0" w:line="360" w:lineRule="auto"/>
        <w:ind w:firstLine="422"/>
        <w:rPr>
          <w:rFonts w:ascii="Arial Unicode MS" w:eastAsia="宋体" w:hAnsi="Arial Unicode MS" w:cs="Arial"/>
          <w:b/>
          <w:bCs/>
          <w:sz w:val="28"/>
          <w:szCs w:val="28"/>
        </w:rPr>
      </w:pPr>
      <w:bookmarkStart w:id="6" w:name="_Toc63676438"/>
      <w:bookmarkStart w:id="7" w:name="_Toc214873592"/>
      <w:bookmarkStart w:id="8" w:name="_Toc21073393"/>
      <w:bookmarkStart w:id="9" w:name="_Toc147463120"/>
      <w:bookmarkStart w:id="10" w:name="_Toc12357173"/>
      <w:r>
        <w:rPr>
          <w:rFonts w:ascii="Arial Unicode MS" w:eastAsia="宋体" w:hAnsi="Arial Unicode MS" w:cs="Arial"/>
          <w:b/>
          <w:bCs/>
          <w:sz w:val="28"/>
          <w:szCs w:val="28"/>
        </w:rPr>
        <w:t>第三部分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基金管理人</w:t>
      </w:r>
      <w:bookmarkEnd w:id="6"/>
      <w:bookmarkEnd w:id="7"/>
      <w:bookmarkEnd w:id="8"/>
      <w:bookmarkEnd w:id="9"/>
      <w:bookmarkEnd w:id="10"/>
    </w:p>
    <w:p w14:paraId="105DBB56" w14:textId="77777777" w:rsidR="00A6605D" w:rsidRDefault="00A6605D"/>
    <w:p w14:paraId="76E8809F" w14:textId="77777777" w:rsidR="00A6605D" w:rsidRDefault="00413D7E">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一、基金管理人概况</w:t>
      </w:r>
    </w:p>
    <w:p w14:paraId="509B3E4F"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14:paraId="6EB241ED"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p>
    <w:p w14:paraId="47980A26"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p>
    <w:p w14:paraId="2ECA20C2"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法定代表人：杨小舟</w:t>
      </w:r>
    </w:p>
    <w:p w14:paraId="1B577ADC"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成立时间：</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14:paraId="06110F3C"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14:paraId="578224F2"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存续期间：永续经营</w:t>
      </w:r>
    </w:p>
    <w:p w14:paraId="36D041F0"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联系人：蔡晓忠</w:t>
      </w:r>
    </w:p>
    <w:p w14:paraId="6E7E6ED9"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联系电话：</w:t>
      </w:r>
      <w:r>
        <w:rPr>
          <w:rFonts w:ascii="Arial Unicode MS" w:hAnsi="Arial Unicode MS" w:cs="Arial"/>
          <w:kern w:val="0"/>
          <w:szCs w:val="21"/>
        </w:rPr>
        <w:t>0755-84356633</w:t>
      </w:r>
    </w:p>
    <w:p w14:paraId="036F72CC" w14:textId="77777777" w:rsidR="00A6605D" w:rsidRDefault="00413D7E">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股权结构：</w:t>
      </w:r>
      <w:r>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6605D" w14:paraId="57609E5C" w14:textId="77777777">
        <w:trPr>
          <w:jc w:val="center"/>
        </w:trPr>
        <w:tc>
          <w:tcPr>
            <w:tcW w:w="4250" w:type="dxa"/>
            <w:vAlign w:val="center"/>
          </w:tcPr>
          <w:p w14:paraId="6593A83D" w14:textId="77777777" w:rsidR="00A6605D" w:rsidRDefault="00413D7E">
            <w:pPr>
              <w:spacing w:line="360" w:lineRule="auto"/>
              <w:jc w:val="center"/>
              <w:rPr>
                <w:rFonts w:ascii="Arial Unicode MS" w:hAnsi="Arial Unicode MS" w:cs="Arial"/>
                <w:kern w:val="0"/>
                <w:szCs w:val="21"/>
              </w:rPr>
            </w:pPr>
            <w:r>
              <w:rPr>
                <w:rFonts w:ascii="Arial Unicode MS" w:hAnsi="Arial Unicode MS" w:cs="Arial" w:hint="eastAsia"/>
                <w:kern w:val="0"/>
                <w:szCs w:val="21"/>
              </w:rPr>
              <w:t>股东名称</w:t>
            </w:r>
          </w:p>
        </w:tc>
        <w:tc>
          <w:tcPr>
            <w:tcW w:w="1275" w:type="dxa"/>
            <w:vAlign w:val="center"/>
          </w:tcPr>
          <w:p w14:paraId="6CAA2BD6" w14:textId="77777777" w:rsidR="00A6605D" w:rsidRDefault="00413D7E">
            <w:pPr>
              <w:spacing w:line="360" w:lineRule="auto"/>
              <w:jc w:val="center"/>
              <w:rPr>
                <w:rFonts w:ascii="Arial Unicode MS" w:hAnsi="Arial Unicode MS" w:cs="Arial"/>
                <w:kern w:val="0"/>
                <w:szCs w:val="21"/>
              </w:rPr>
            </w:pPr>
            <w:r>
              <w:rPr>
                <w:rFonts w:ascii="Arial Unicode MS" w:hAnsi="Arial Unicode MS" w:cs="Arial" w:hint="eastAsia"/>
                <w:kern w:val="0"/>
                <w:szCs w:val="21"/>
              </w:rPr>
              <w:t>出资比例</w:t>
            </w:r>
          </w:p>
        </w:tc>
      </w:tr>
      <w:tr w:rsidR="00A6605D" w14:paraId="011C77EF" w14:textId="77777777">
        <w:trPr>
          <w:jc w:val="center"/>
        </w:trPr>
        <w:tc>
          <w:tcPr>
            <w:tcW w:w="4250" w:type="dxa"/>
            <w:vAlign w:val="center"/>
          </w:tcPr>
          <w:p w14:paraId="30A825BC" w14:textId="77777777" w:rsidR="00A6605D" w:rsidRDefault="00413D7E">
            <w:pPr>
              <w:spacing w:line="360" w:lineRule="auto"/>
              <w:jc w:val="center"/>
              <w:rPr>
                <w:rFonts w:ascii="Arial Unicode MS" w:hAnsi="Arial Unicode MS" w:cs="Arial"/>
                <w:kern w:val="0"/>
                <w:szCs w:val="21"/>
              </w:rPr>
            </w:pPr>
            <w:r>
              <w:rPr>
                <w:rFonts w:ascii="Arial Unicode MS" w:hAnsi="Arial Unicode MS" w:cs="Arial" w:hint="eastAsia"/>
                <w:kern w:val="0"/>
                <w:szCs w:val="21"/>
              </w:rPr>
              <w:t>广州科技金融创新投资控股有限公司</w:t>
            </w:r>
          </w:p>
        </w:tc>
        <w:tc>
          <w:tcPr>
            <w:tcW w:w="1275" w:type="dxa"/>
            <w:vAlign w:val="center"/>
          </w:tcPr>
          <w:p w14:paraId="3DBC6FDE" w14:textId="77777777" w:rsidR="00A6605D" w:rsidRDefault="00413D7E">
            <w:pPr>
              <w:spacing w:line="360" w:lineRule="auto"/>
              <w:jc w:val="center"/>
              <w:rPr>
                <w:rFonts w:ascii="Arial Unicode MS" w:hAnsi="Arial Unicode MS" w:cs="Arial"/>
                <w:kern w:val="0"/>
                <w:szCs w:val="21"/>
              </w:rPr>
            </w:pPr>
            <w:r>
              <w:rPr>
                <w:rFonts w:ascii="Arial Unicode MS" w:hAnsi="Arial Unicode MS" w:cs="Arial" w:hint="eastAsia"/>
                <w:kern w:val="0"/>
                <w:szCs w:val="21"/>
              </w:rPr>
              <w:t>50%</w:t>
            </w:r>
          </w:p>
        </w:tc>
      </w:tr>
      <w:tr w:rsidR="00A6605D" w14:paraId="160F17F2" w14:textId="77777777">
        <w:trPr>
          <w:jc w:val="center"/>
        </w:trPr>
        <w:tc>
          <w:tcPr>
            <w:tcW w:w="4250" w:type="dxa"/>
            <w:vAlign w:val="center"/>
          </w:tcPr>
          <w:p w14:paraId="3C31CEF6" w14:textId="77777777" w:rsidR="00A6605D" w:rsidRDefault="00413D7E">
            <w:pPr>
              <w:spacing w:line="360" w:lineRule="auto"/>
              <w:jc w:val="center"/>
              <w:rPr>
                <w:rFonts w:ascii="Arial Unicode MS" w:hAnsi="Arial Unicode MS" w:cs="Arial"/>
                <w:kern w:val="0"/>
                <w:szCs w:val="21"/>
              </w:rPr>
            </w:pPr>
            <w:r>
              <w:rPr>
                <w:rFonts w:ascii="Arial Unicode MS" w:hAnsi="Arial Unicode MS" w:cs="Arial" w:hint="eastAsia"/>
                <w:kern w:val="0"/>
                <w:szCs w:val="21"/>
              </w:rPr>
              <w:t>深圳嘉年实业股份有限公司</w:t>
            </w:r>
          </w:p>
        </w:tc>
        <w:tc>
          <w:tcPr>
            <w:tcW w:w="1275" w:type="dxa"/>
            <w:vAlign w:val="center"/>
          </w:tcPr>
          <w:p w14:paraId="5DDD839D" w14:textId="77777777" w:rsidR="00A6605D" w:rsidRDefault="00413D7E">
            <w:pPr>
              <w:spacing w:line="360" w:lineRule="auto"/>
              <w:jc w:val="center"/>
              <w:rPr>
                <w:rFonts w:ascii="Arial Unicode MS" w:hAnsi="Arial Unicode MS" w:cs="Arial"/>
                <w:kern w:val="0"/>
                <w:szCs w:val="21"/>
              </w:rPr>
            </w:pPr>
            <w:r>
              <w:rPr>
                <w:rFonts w:ascii="Arial Unicode MS" w:hAnsi="Arial Unicode MS" w:cs="Arial" w:hint="eastAsia"/>
                <w:kern w:val="0"/>
                <w:szCs w:val="21"/>
              </w:rPr>
              <w:t>45.1%</w:t>
            </w:r>
          </w:p>
        </w:tc>
      </w:tr>
      <w:tr w:rsidR="00A6605D" w14:paraId="475529C2" w14:textId="77777777">
        <w:trPr>
          <w:jc w:val="center"/>
        </w:trPr>
        <w:tc>
          <w:tcPr>
            <w:tcW w:w="4250" w:type="dxa"/>
            <w:vAlign w:val="center"/>
          </w:tcPr>
          <w:p w14:paraId="5C1666B2" w14:textId="77777777" w:rsidR="00A6605D" w:rsidRDefault="00413D7E">
            <w:pPr>
              <w:spacing w:line="360" w:lineRule="auto"/>
              <w:jc w:val="center"/>
              <w:rPr>
                <w:rFonts w:ascii="Arial Unicode MS" w:hAnsi="Arial Unicode MS" w:cs="Arial"/>
                <w:kern w:val="0"/>
                <w:szCs w:val="21"/>
              </w:rPr>
            </w:pPr>
            <w:r>
              <w:rPr>
                <w:rFonts w:ascii="Arial Unicode MS" w:hAnsi="Arial Unicode MS" w:cs="Arial" w:hint="eastAsia"/>
                <w:kern w:val="0"/>
                <w:szCs w:val="21"/>
              </w:rPr>
              <w:t>湖南典勤投资开发有限公司</w:t>
            </w:r>
          </w:p>
        </w:tc>
        <w:tc>
          <w:tcPr>
            <w:tcW w:w="1275" w:type="dxa"/>
            <w:vAlign w:val="center"/>
          </w:tcPr>
          <w:p w14:paraId="626E94F3" w14:textId="77777777" w:rsidR="00A6605D" w:rsidRDefault="00413D7E">
            <w:pPr>
              <w:spacing w:line="360" w:lineRule="auto"/>
              <w:jc w:val="center"/>
              <w:rPr>
                <w:rFonts w:ascii="Arial Unicode MS" w:hAnsi="Arial Unicode MS" w:cs="Arial"/>
                <w:kern w:val="0"/>
                <w:szCs w:val="21"/>
              </w:rPr>
            </w:pPr>
            <w:r>
              <w:rPr>
                <w:rFonts w:ascii="Arial Unicode MS" w:hAnsi="Arial Unicode MS" w:cs="Arial" w:hint="eastAsia"/>
                <w:kern w:val="0"/>
                <w:szCs w:val="21"/>
              </w:rPr>
              <w:t>4.9%</w:t>
            </w:r>
          </w:p>
        </w:tc>
      </w:tr>
    </w:tbl>
    <w:p w14:paraId="292FDE81" w14:textId="77777777" w:rsidR="00A6605D" w:rsidRDefault="00A6605D">
      <w:pPr>
        <w:adjustRightInd w:val="0"/>
        <w:snapToGrid w:val="0"/>
        <w:spacing w:line="360" w:lineRule="auto"/>
        <w:ind w:firstLineChars="200" w:firstLine="420"/>
        <w:rPr>
          <w:rFonts w:ascii="Arial Unicode MS" w:hAnsi="Arial Unicode MS" w:cs="Arial"/>
          <w:kern w:val="0"/>
          <w:szCs w:val="21"/>
        </w:rPr>
      </w:pPr>
    </w:p>
    <w:p w14:paraId="2C77CB56" w14:textId="77777777" w:rsidR="00A6605D" w:rsidRDefault="00413D7E">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hint="eastAsia"/>
          <w:b/>
          <w:kern w:val="0"/>
          <w:szCs w:val="21"/>
        </w:rPr>
        <w:t>二</w:t>
      </w:r>
      <w:r>
        <w:rPr>
          <w:rFonts w:ascii="Arial Unicode MS" w:hAnsi="Arial Unicode MS" w:cs="Arial"/>
          <w:b/>
          <w:kern w:val="0"/>
          <w:szCs w:val="21"/>
        </w:rPr>
        <w:t>、</w:t>
      </w:r>
      <w:r>
        <w:rPr>
          <w:rFonts w:ascii="Arial Unicode MS" w:hAnsi="Arial Unicode MS" w:cs="Arial" w:hint="eastAsia"/>
          <w:b/>
          <w:kern w:val="0"/>
          <w:szCs w:val="21"/>
        </w:rPr>
        <w:t>主要成员情况</w:t>
      </w:r>
    </w:p>
    <w:p w14:paraId="0AC07F3B"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、董事会成员</w:t>
      </w:r>
    </w:p>
    <w:p w14:paraId="15DDBDDF"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76C9D9C4"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高峰先生，董事，总经理兼任首席信息官，曾任中国对外经济贸易信托有限公司计划财</w:t>
      </w:r>
      <w:r>
        <w:rPr>
          <w:rFonts w:ascii="Arial Unicode MS" w:hAnsi="Arial Unicode MS" w:cs="Arial" w:hint="eastAsia"/>
          <w:kern w:val="0"/>
          <w:szCs w:val="21"/>
        </w:rPr>
        <w:lastRenderedPageBreak/>
        <w:t>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38B4388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74E9647D"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38C0FA42"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5E4D90B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李晓英女士，独立董事，大学本科学士。现任广东一粤律师事务所专职律师。曾任广东同益律师事务所专职律师。主要从事法律顾问、商事诉讼、仲裁等。</w:t>
      </w:r>
    </w:p>
    <w:p w14:paraId="60B5950B"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3123BBA9"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、监事</w:t>
      </w:r>
    </w:p>
    <w:p w14:paraId="42E3151E"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基金管理人不设监事会，设监事两名，其中一名为职工监事。</w:t>
      </w:r>
    </w:p>
    <w:p w14:paraId="1CADE7C2"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郑廉明先生，监事，硕士。原广发银行副行长（已退休），现任富荣基金管理有限公司监事。</w:t>
      </w:r>
    </w:p>
    <w:p w14:paraId="56A0B85F"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魏丽红女士，职工监事，大专。现任富荣基金管理有限公司职工监事。</w:t>
      </w:r>
    </w:p>
    <w:p w14:paraId="6ECDE582"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、高级管理人员</w:t>
      </w:r>
    </w:p>
    <w:p w14:paraId="6BEA93A0"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w:t>
      </w:r>
      <w:r>
        <w:rPr>
          <w:rFonts w:ascii="Arial Unicode MS" w:hAnsi="Arial Unicode MS" w:cs="Arial" w:hint="eastAsia"/>
          <w:kern w:val="0"/>
          <w:szCs w:val="21"/>
        </w:rPr>
        <w:lastRenderedPageBreak/>
        <w:t>行深圳分行行长兼党委书记。</w:t>
      </w:r>
    </w:p>
    <w:p w14:paraId="212E5471"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高峰先生，总经理、首席信息官，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096A3B83"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4B79B681"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、本基金基金经理</w:t>
      </w:r>
    </w:p>
    <w:p w14:paraId="24162D03"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唐奥先生，英国利兹大学经济金融硕士，曾任华泰证券股份有限公司研究所周期研究员、华泰证券</w:t>
      </w:r>
      <w:r>
        <w:rPr>
          <w:rFonts w:ascii="Arial Unicode MS" w:hAnsi="Arial Unicode MS" w:cs="Arial" w:hint="eastAsia"/>
          <w:kern w:val="0"/>
          <w:szCs w:val="21"/>
        </w:rPr>
        <w:t>(</w:t>
      </w:r>
      <w:r>
        <w:rPr>
          <w:rFonts w:ascii="Arial Unicode MS" w:hAnsi="Arial Unicode MS" w:cs="Arial" w:hint="eastAsia"/>
          <w:kern w:val="0"/>
          <w:szCs w:val="21"/>
        </w:rPr>
        <w:t>上海</w:t>
      </w:r>
      <w:r>
        <w:rPr>
          <w:rFonts w:ascii="Arial Unicode MS" w:hAnsi="Arial Unicode MS" w:cs="Arial" w:hint="eastAsia"/>
          <w:kern w:val="0"/>
          <w:szCs w:val="21"/>
        </w:rPr>
        <w:t>)</w:t>
      </w:r>
      <w:r>
        <w:rPr>
          <w:rFonts w:ascii="Arial Unicode MS" w:hAnsi="Arial Unicode MS" w:cs="Arial" w:hint="eastAsia"/>
          <w:kern w:val="0"/>
          <w:szCs w:val="21"/>
        </w:rPr>
        <w:t>资产管理有限公司信用研究员、中信建投证券股份有限公司信用研究员。现任富荣基金管理有限公司基金经理。</w:t>
      </w:r>
    </w:p>
    <w:p w14:paraId="01C9A33C"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、投资决策委员会成员的姓名、职务</w:t>
      </w:r>
    </w:p>
    <w:p w14:paraId="2F87F1CA"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高峰先生，投资决策委员会主任委员、总经理。</w:t>
      </w:r>
    </w:p>
    <w:p w14:paraId="5D2E38F3"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邓宇翔先生，投资决策委员会委员、权益投资部总监、基金经理。</w:t>
      </w:r>
    </w:p>
    <w:p w14:paraId="514BB704"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郎骋成先生，投资决策委员会委员、研究部总监、基金经理。</w:t>
      </w:r>
    </w:p>
    <w:p w14:paraId="60B8EE24"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邱紫华先生，投资决策委员会委员、投资决策委员会秘书、基金经理。</w:t>
      </w:r>
    </w:p>
    <w:p w14:paraId="3194C52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宋体" w:hAnsi="宋体" w:cs="Arial"/>
          <w:kern w:val="0"/>
          <w:szCs w:val="21"/>
        </w:rPr>
      </w:pPr>
      <w:r>
        <w:rPr>
          <w:rFonts w:ascii="宋体" w:hAnsi="宋体" w:cs="Arial" w:hint="eastAsia"/>
          <w:kern w:val="0"/>
          <w:szCs w:val="21"/>
        </w:rPr>
        <w:t>黄祥斌先生，投资决策委员会委员、投资一部总经理、基金经理。</w:t>
      </w:r>
    </w:p>
    <w:p w14:paraId="335D30FB"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宋体" w:hAnsi="宋体" w:cs="Arial" w:hint="eastAsia"/>
          <w:kern w:val="0"/>
          <w:szCs w:val="21"/>
        </w:rPr>
        <w:t>唐奥先生，投资决策委员会委员、基金经理。</w:t>
      </w:r>
    </w:p>
    <w:p w14:paraId="192CDAAA"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王丹女士，投资决策委员会委员、基金经理。</w:t>
      </w:r>
    </w:p>
    <w:p w14:paraId="68CD5830"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kern w:val="0"/>
          <w:szCs w:val="21"/>
        </w:rPr>
        <w:t>6</w:t>
      </w:r>
      <w:r>
        <w:rPr>
          <w:rFonts w:ascii="Arial Unicode MS" w:hAnsi="Arial Unicode MS" w:cs="Arial" w:hint="eastAsia"/>
          <w:kern w:val="0"/>
          <w:szCs w:val="21"/>
        </w:rPr>
        <w:t>、上述人员之间不存在近亲属关系。</w:t>
      </w:r>
    </w:p>
    <w:p w14:paraId="28BD1EA1"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1" w:name="_Toc524923215"/>
      <w:r>
        <w:rPr>
          <w:rFonts w:ascii="Arial Unicode MS" w:hAnsi="Arial Unicode MS" w:cs="Arial" w:hint="eastAsia"/>
          <w:b/>
          <w:bCs/>
          <w:szCs w:val="21"/>
        </w:rPr>
        <w:t>三、</w:t>
      </w:r>
      <w:r>
        <w:rPr>
          <w:rFonts w:ascii="Arial Unicode MS" w:hAnsi="Arial Unicode MS" w:cs="Arial"/>
          <w:b/>
          <w:bCs/>
          <w:szCs w:val="21"/>
        </w:rPr>
        <w:t>基金管理人的职责</w:t>
      </w:r>
    </w:p>
    <w:p w14:paraId="7A4CBD4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、依法募集资金，办理或者委托经中国证监会认定的其他机构代为办理基金份额的申购、赎回和登记事宜；</w:t>
      </w:r>
    </w:p>
    <w:p w14:paraId="6D0584B6"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、办理基金备案手续；</w:t>
      </w:r>
    </w:p>
    <w:p w14:paraId="07C11E26"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、自《基金合同》生效之日起，以诚实信用、谨慎勤勉的原则管理和运用基金财产；</w:t>
      </w:r>
    </w:p>
    <w:p w14:paraId="16AE5E2A"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、配备足够的具有专业资格的人员进行基金投资分析、决策，以专业化的经营方式管理和运作基金财产；</w:t>
      </w:r>
    </w:p>
    <w:p w14:paraId="3A5F3A3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、建立健全内部风险控制、监察与稽核、财务管理及人事管理等制度，保证所管理的</w:t>
      </w:r>
      <w:r>
        <w:rPr>
          <w:rFonts w:ascii="Arial Unicode MS" w:hAnsi="Arial Unicode MS" w:cs="Arial" w:hint="eastAsia"/>
          <w:bCs/>
          <w:szCs w:val="21"/>
        </w:rPr>
        <w:lastRenderedPageBreak/>
        <w:t>基金财产和基金管理人的财产相互独立，对所管理的不同基金分别管理，分别记账，进行证券投资；</w:t>
      </w:r>
    </w:p>
    <w:p w14:paraId="724A0CD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1DDBE71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、依法接受基金托管人的监督；</w:t>
      </w:r>
    </w:p>
    <w:p w14:paraId="183DBD7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、采取适当合理的措施使计算基金份额认购、申购、赎回和注销价格的方法符合《基金合同》等法律文件的规定，按有关规定计算并公告基金净值信息，确定基金份额申购、赎回的价格；</w:t>
      </w:r>
    </w:p>
    <w:p w14:paraId="139A6316"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、进行基金会计核算并编制基金财务会计报告；</w:t>
      </w:r>
    </w:p>
    <w:p w14:paraId="24D8093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10</w:t>
      </w:r>
      <w:r>
        <w:rPr>
          <w:rFonts w:ascii="Arial Unicode MS" w:hAnsi="Arial Unicode MS" w:cs="Arial" w:hint="eastAsia"/>
          <w:bCs/>
          <w:szCs w:val="21"/>
        </w:rPr>
        <w:t>、编制季度报告、中期报告和年度报告；</w:t>
      </w:r>
    </w:p>
    <w:p w14:paraId="0EE5CAF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11</w:t>
      </w:r>
      <w:r>
        <w:rPr>
          <w:rFonts w:ascii="Arial Unicode MS" w:hAnsi="Arial Unicode MS" w:cs="Arial" w:hint="eastAsia"/>
          <w:bCs/>
          <w:szCs w:val="21"/>
        </w:rPr>
        <w:t>、严格按照《基金法》、《基金合同》及其他有关规定，履行信息披露及报告义务；</w:t>
      </w:r>
    </w:p>
    <w:p w14:paraId="20A711C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12</w:t>
      </w:r>
      <w:r>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44611EA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13</w:t>
      </w:r>
      <w:r>
        <w:rPr>
          <w:rFonts w:ascii="Arial Unicode MS" w:hAnsi="Arial Unicode MS" w:cs="Arial" w:hint="eastAsia"/>
          <w:bCs/>
          <w:szCs w:val="21"/>
        </w:rPr>
        <w:t>、按《基金合同》的约定确定基金收益分配方案，及时向基金份额持有人分配基金收益；</w:t>
      </w:r>
    </w:p>
    <w:p w14:paraId="5CE120EA"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14</w:t>
      </w:r>
      <w:r>
        <w:rPr>
          <w:rFonts w:ascii="Arial Unicode MS" w:hAnsi="Arial Unicode MS" w:cs="Arial" w:hint="eastAsia"/>
          <w:bCs/>
          <w:szCs w:val="21"/>
        </w:rPr>
        <w:t>、按规定受理申购与赎回申请，及时、足额支付赎回款项；</w:t>
      </w:r>
    </w:p>
    <w:p w14:paraId="43B898B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15</w:t>
      </w:r>
      <w:r>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1BC7409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16</w:t>
      </w:r>
      <w:r>
        <w:rPr>
          <w:rFonts w:ascii="Arial Unicode MS" w:hAnsi="Arial Unicode MS" w:cs="Arial" w:hint="eastAsia"/>
          <w:bCs/>
          <w:szCs w:val="21"/>
        </w:rPr>
        <w:t>、按规定保存基金财产管理业务活动的会计账册、报表、记录和其他相关资料</w:t>
      </w:r>
      <w:r>
        <w:rPr>
          <w:rFonts w:ascii="Arial Unicode MS" w:hAnsi="Arial Unicode MS" w:cs="Arial" w:hint="eastAsia"/>
          <w:bCs/>
          <w:szCs w:val="21"/>
        </w:rPr>
        <w:t>15</w:t>
      </w:r>
      <w:r>
        <w:rPr>
          <w:rFonts w:ascii="Arial Unicode MS" w:hAnsi="Arial Unicode MS" w:cs="Arial" w:hint="eastAsia"/>
          <w:bCs/>
          <w:szCs w:val="21"/>
        </w:rPr>
        <w:t>年以上；</w:t>
      </w:r>
    </w:p>
    <w:p w14:paraId="46054C06"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17</w:t>
      </w:r>
      <w:r>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4426F5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18</w:t>
      </w:r>
      <w:r>
        <w:rPr>
          <w:rFonts w:ascii="Arial Unicode MS" w:hAnsi="Arial Unicode MS" w:cs="Arial" w:hint="eastAsia"/>
          <w:bCs/>
          <w:szCs w:val="21"/>
        </w:rPr>
        <w:t>、组织并参加基金财产清算小组，参与基金财产的保管、清理、估价、变现和分配；</w:t>
      </w:r>
    </w:p>
    <w:p w14:paraId="13B69C2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19</w:t>
      </w:r>
      <w:r>
        <w:rPr>
          <w:rFonts w:ascii="Arial Unicode MS" w:hAnsi="Arial Unicode MS" w:cs="Arial" w:hint="eastAsia"/>
          <w:bCs/>
          <w:szCs w:val="21"/>
        </w:rPr>
        <w:t>、面临解散、依法被撤销或者被依法宣告破产时，及时报告中国证监会并通知基金托管人；</w:t>
      </w:r>
    </w:p>
    <w:p w14:paraId="5F90359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20</w:t>
      </w:r>
      <w:r>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3A64C40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21</w:t>
      </w:r>
      <w:r>
        <w:rPr>
          <w:rFonts w:ascii="Arial Unicode MS" w:hAnsi="Arial Unicode MS" w:cs="Arial" w:hint="eastAsia"/>
          <w:bCs/>
          <w:szCs w:val="21"/>
        </w:rPr>
        <w:t>、监督基金托管人按法律法规和《基金合同》规定履行自己的义务，基金托管人违</w:t>
      </w:r>
      <w:r>
        <w:rPr>
          <w:rFonts w:ascii="Arial Unicode MS" w:hAnsi="Arial Unicode MS" w:cs="Arial" w:hint="eastAsia"/>
          <w:bCs/>
          <w:szCs w:val="21"/>
        </w:rPr>
        <w:lastRenderedPageBreak/>
        <w:t>反《基金合同》造成基金财产损失时，基金管理人应为基金份额持有人利益向基金托管人追偿；</w:t>
      </w:r>
    </w:p>
    <w:p w14:paraId="46C07EF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22</w:t>
      </w:r>
      <w:r>
        <w:rPr>
          <w:rFonts w:ascii="Arial Unicode MS" w:hAnsi="Arial Unicode MS" w:cs="Arial" w:hint="eastAsia"/>
          <w:bCs/>
          <w:szCs w:val="21"/>
        </w:rPr>
        <w:t>、当基金管理人将其义务委托第三方处理时，应当对第三方处理有关基金事务的行为承担责任；</w:t>
      </w:r>
    </w:p>
    <w:p w14:paraId="61D43F7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23</w:t>
      </w:r>
      <w:r>
        <w:rPr>
          <w:rFonts w:ascii="Arial Unicode MS" w:hAnsi="Arial Unicode MS" w:cs="Arial" w:hint="eastAsia"/>
          <w:bCs/>
          <w:szCs w:val="21"/>
        </w:rPr>
        <w:t>、以基金管理人名义，代表基金份额持有人利益行使诉讼权利或实施其他法律行为；</w:t>
      </w:r>
    </w:p>
    <w:p w14:paraId="2694BC96"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24</w:t>
      </w:r>
      <w:r>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cs="Arial" w:hint="eastAsia"/>
          <w:bCs/>
          <w:szCs w:val="21"/>
        </w:rPr>
        <w:t>30</w:t>
      </w:r>
      <w:r>
        <w:rPr>
          <w:rFonts w:ascii="Arial Unicode MS" w:hAnsi="Arial Unicode MS" w:cs="Arial" w:hint="eastAsia"/>
          <w:bCs/>
          <w:szCs w:val="21"/>
        </w:rPr>
        <w:t>日内退还基金认购人；</w:t>
      </w:r>
    </w:p>
    <w:p w14:paraId="33138AFA"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25</w:t>
      </w:r>
      <w:r>
        <w:rPr>
          <w:rFonts w:ascii="Arial Unicode MS" w:hAnsi="Arial Unicode MS" w:cs="Arial" w:hint="eastAsia"/>
          <w:bCs/>
          <w:szCs w:val="21"/>
        </w:rPr>
        <w:t>、执行生效的基金份额持有人大会的决议；</w:t>
      </w:r>
    </w:p>
    <w:p w14:paraId="0FC7736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26</w:t>
      </w:r>
      <w:r>
        <w:rPr>
          <w:rFonts w:ascii="Arial Unicode MS" w:hAnsi="Arial Unicode MS" w:cs="Arial" w:hint="eastAsia"/>
          <w:bCs/>
          <w:szCs w:val="21"/>
        </w:rPr>
        <w:t>、建立并保存基金份额持有人名册；</w:t>
      </w:r>
    </w:p>
    <w:p w14:paraId="71A34DC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27</w:t>
      </w:r>
      <w:r>
        <w:rPr>
          <w:rFonts w:ascii="Arial Unicode MS" w:hAnsi="Arial Unicode MS" w:cs="Arial" w:hint="eastAsia"/>
          <w:bCs/>
          <w:szCs w:val="21"/>
        </w:rPr>
        <w:t>、法律法规及中国证监会规定的和《基金合同》约定的其他义务。</w:t>
      </w:r>
    </w:p>
    <w:p w14:paraId="20EB7B79"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四、</w:t>
      </w:r>
      <w:r>
        <w:rPr>
          <w:rFonts w:ascii="Arial Unicode MS" w:hAnsi="Arial Unicode MS" w:cs="Arial"/>
          <w:b/>
          <w:bCs/>
          <w:szCs w:val="21"/>
        </w:rPr>
        <w:t>基金管理人的承诺</w:t>
      </w:r>
    </w:p>
    <w:p w14:paraId="04ECA30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Pr>
          <w:rFonts w:ascii="Arial Unicode MS" w:hAnsi="Arial Unicode MS" w:cs="Arial" w:hint="eastAsia"/>
          <w:szCs w:val="21"/>
        </w:rPr>
        <w:t xml:space="preserve"> </w:t>
      </w:r>
    </w:p>
    <w:p w14:paraId="0536333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、基金管理人承诺不从事违反《基金法》的行为，并承诺建立健全内部风险控制制度，采取有效措施，防止下列行为的发生：</w:t>
      </w:r>
    </w:p>
    <w:p w14:paraId="0B583E6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）将基金管理人固有财产或者他人财产混同于基金财产从事证券投资；</w:t>
      </w:r>
    </w:p>
    <w:p w14:paraId="535F5C7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）不公平地对待管理的不同基金财产；</w:t>
      </w:r>
    </w:p>
    <w:p w14:paraId="0C6C54D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）利用基金财产或者职务之便为基金份额持有人以外的第三人牟取利益；</w:t>
      </w:r>
    </w:p>
    <w:p w14:paraId="3300B59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）向基金份额持有人违规承诺收益或者承担损失；</w:t>
      </w:r>
    </w:p>
    <w:p w14:paraId="3D43661B" w14:textId="77777777" w:rsidR="00A6605D" w:rsidRDefault="00413D7E">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）侵占、挪用基金财产；</w:t>
      </w:r>
      <w:r>
        <w:rPr>
          <w:rFonts w:ascii="Arial Unicode MS" w:hAnsi="Arial Unicode MS" w:cs="Arial"/>
          <w:szCs w:val="21"/>
        </w:rPr>
        <w:tab/>
      </w:r>
    </w:p>
    <w:p w14:paraId="5DB0E42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）泄露因职务便利获取的未公开信息、利用该信息从事或者明示、暗示他人从事相关的交易活动；</w:t>
      </w:r>
    </w:p>
    <w:p w14:paraId="662CF3B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）玩忽职守，不按照规定履行职责；</w:t>
      </w:r>
    </w:p>
    <w:p w14:paraId="658FC8D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）法律、行政法规和中国证监会规定禁止的其他行为。</w:t>
      </w:r>
      <w:r>
        <w:rPr>
          <w:rFonts w:ascii="Arial Unicode MS" w:hAnsi="Arial Unicode MS" w:cs="Arial" w:hint="eastAsia"/>
          <w:szCs w:val="21"/>
        </w:rPr>
        <w:t xml:space="preserve"> </w:t>
      </w:r>
    </w:p>
    <w:p w14:paraId="5818D3D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、基金管理人承诺严格遵守基金合同，并承诺建立健全内部控制制度，采取有效措施，防止违反基金合同行为的发生；</w:t>
      </w:r>
      <w:r>
        <w:rPr>
          <w:rFonts w:ascii="Arial Unicode MS" w:hAnsi="Arial Unicode MS" w:cs="Arial" w:hint="eastAsia"/>
          <w:szCs w:val="21"/>
        </w:rPr>
        <w:t xml:space="preserve"> </w:t>
      </w:r>
    </w:p>
    <w:p w14:paraId="4B84DDD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、基金管理人承诺加强人员管理，强化职业操守，督促和约束员工遵守国家有关法律</w:t>
      </w:r>
      <w:r>
        <w:rPr>
          <w:rFonts w:ascii="Arial Unicode MS" w:hAnsi="Arial Unicode MS" w:cs="Arial" w:hint="eastAsia"/>
          <w:szCs w:val="21"/>
        </w:rPr>
        <w:lastRenderedPageBreak/>
        <w:t>法规及行业规范，诚实信用、勤勉尽责；</w:t>
      </w:r>
    </w:p>
    <w:p w14:paraId="433F540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、基金管理人承诺不从事其他法规规定禁止从事的行为。</w:t>
      </w:r>
      <w:r>
        <w:rPr>
          <w:rFonts w:ascii="Arial Unicode MS" w:hAnsi="Arial Unicode MS" w:cs="Arial" w:hint="eastAsia"/>
          <w:szCs w:val="21"/>
        </w:rPr>
        <w:t xml:space="preserve"> </w:t>
      </w:r>
    </w:p>
    <w:p w14:paraId="6F88537B"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Pr>
          <w:rFonts w:ascii="Arial Unicode MS" w:hAnsi="Arial Unicode MS" w:cs="Arial" w:hint="eastAsia"/>
          <w:b/>
          <w:szCs w:val="21"/>
        </w:rPr>
        <w:t>五、基金经理承诺</w:t>
      </w:r>
    </w:p>
    <w:p w14:paraId="5BF790F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、依照有关法律法规和基金合同的规定，本着谨慎的原则为基金份额持有人谋取最大利益；</w:t>
      </w:r>
    </w:p>
    <w:p w14:paraId="43803FB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、不利用职务之便为自己、受雇人或任何第三者牟取利益；</w:t>
      </w:r>
      <w:r>
        <w:rPr>
          <w:rFonts w:ascii="Arial Unicode MS" w:hAnsi="Arial Unicode MS" w:cs="Arial" w:hint="eastAsia"/>
          <w:szCs w:val="21"/>
        </w:rPr>
        <w:t xml:space="preserve"> </w:t>
      </w:r>
    </w:p>
    <w:p w14:paraId="2A1A663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51CF3D8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、不以任何形式为其他组织或个人进行证券交易。</w:t>
      </w:r>
    </w:p>
    <w:p w14:paraId="1678CBE0"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六、</w:t>
      </w:r>
      <w:r>
        <w:rPr>
          <w:rFonts w:ascii="Arial Unicode MS" w:hAnsi="Arial Unicode MS" w:cs="Arial"/>
          <w:b/>
          <w:bCs/>
          <w:szCs w:val="21"/>
        </w:rPr>
        <w:t>基金管理人的内部控制制度</w:t>
      </w:r>
    </w:p>
    <w:p w14:paraId="333203B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、风险控制目标</w:t>
      </w:r>
    </w:p>
    <w:p w14:paraId="20C4D42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）在有效控制风险的前提下，实现基金份额持有人利益最大化；</w:t>
      </w:r>
    </w:p>
    <w:p w14:paraId="3A0AB14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）确保国家有关法律法规、行业规章和公司各项规章制度的贯彻执行；</w:t>
      </w:r>
    </w:p>
    <w:p w14:paraId="473EFE7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）建立符合现代企业制度要求的法人治理结构，形成科学合理的决策机制、执行机制和监督机制；</w:t>
      </w:r>
    </w:p>
    <w:p w14:paraId="56B47AE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64DD180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）建立行之有效的风险控制系统，保障业务稳健运行，减轻或规避各种风险对公司发展战略和经营目标的干扰。</w:t>
      </w:r>
    </w:p>
    <w:p w14:paraId="10EF083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、建立风险控制制度应遵循的原则</w:t>
      </w:r>
    </w:p>
    <w:p w14:paraId="3D1B6A7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）全面性原则：风险控制制度应覆盖公司的各项业务、各个部门和各级人员，并渗透到决策、执行、监督、反馈等各个经营环节；</w:t>
      </w:r>
    </w:p>
    <w:p w14:paraId="5FCF54E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2FFA0D2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26D81B3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w:t>
      </w:r>
      <w:r>
        <w:rPr>
          <w:rFonts w:ascii="Arial Unicode MS" w:hAnsi="Arial Unicode MS" w:cs="Arial" w:hint="eastAsia"/>
          <w:szCs w:val="21"/>
        </w:rPr>
        <w:lastRenderedPageBreak/>
        <w:t>司任何员工不得拥有超越制度或违反规章的权力；</w:t>
      </w:r>
    </w:p>
    <w:p w14:paraId="4B99CD3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6662EA4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、风险控制体系</w:t>
      </w:r>
    </w:p>
    <w:p w14:paraId="7BC2BF8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）风险控制制度体系</w:t>
      </w:r>
    </w:p>
    <w:p w14:paraId="793B2D3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6E4231E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）风险控制组织体系</w:t>
      </w:r>
    </w:p>
    <w:p w14:paraId="7C8066A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风险控制组织体系包括两个层次：</w:t>
      </w:r>
    </w:p>
    <w:p w14:paraId="64EF978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56959F3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509D42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251CA77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第二层次：公司经营管理层包括风险管理委员会、监察稽核部及各职能部门对经营风险的预防和控制。</w:t>
      </w:r>
    </w:p>
    <w:p w14:paraId="5751957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6FE0AFA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19BF924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③公司各职能部门的主要职责是对自身工作中潜在风险的自我检查和控制，各业务部门</w:t>
      </w:r>
      <w:r>
        <w:rPr>
          <w:rFonts w:ascii="Arial Unicode MS" w:hAnsi="Arial Unicode MS" w:cs="Arial" w:hint="eastAsia"/>
          <w:szCs w:val="21"/>
        </w:rPr>
        <w:lastRenderedPageBreak/>
        <w:t>作为公司风险控制的具体实施单位，应在公司各项基本管理制度的基础上，根据具体情况制订本部门的业务管理规定、操作流程及内部控制规定并严格执行。</w:t>
      </w:r>
    </w:p>
    <w:p w14:paraId="655C7EE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、关于授权、研究、投资、交易等方面的控制点</w:t>
      </w:r>
    </w:p>
    <w:p w14:paraId="287CF8C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）授权制度</w:t>
      </w:r>
    </w:p>
    <w:p w14:paraId="5D5FA44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92D4EE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）研究业务</w:t>
      </w:r>
    </w:p>
    <w:p w14:paraId="1A3875A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305F53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）基金投资业务</w:t>
      </w:r>
    </w:p>
    <w:p w14:paraId="169DE4C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425E61F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）交易业务</w:t>
      </w:r>
    </w:p>
    <w:p w14:paraId="39E0152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49807E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）基金会计核算</w:t>
      </w:r>
    </w:p>
    <w:p w14:paraId="377506F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1F99BD0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）信息披露</w:t>
      </w:r>
    </w:p>
    <w:p w14:paraId="67F47F7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lastRenderedPageBreak/>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29CAE99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）监察稽核</w:t>
      </w:r>
    </w:p>
    <w:p w14:paraId="6870659A"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AF6A8A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23B1C59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、风险管理和内部控制的措施</w:t>
      </w:r>
    </w:p>
    <w:p w14:paraId="75F7374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280FB84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7E1DDC8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5AA110B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700BEE6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14C6247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w:t>
      </w:r>
      <w:r>
        <w:rPr>
          <w:rFonts w:ascii="Arial Unicode MS" w:hAnsi="Arial Unicode MS" w:cs="Arial" w:hint="eastAsia"/>
          <w:szCs w:val="21"/>
        </w:rPr>
        <w:lastRenderedPageBreak/>
        <w:t>制和规避，尽可能地减少损失。</w:t>
      </w:r>
    </w:p>
    <w:p w14:paraId="10728A1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）提供足够的培训：制定了完整的培训计划，为所有员工提供足够和适当的培训，使员工明确其职责所在，控制风险。</w:t>
      </w:r>
    </w:p>
    <w:p w14:paraId="152803B9" w14:textId="77777777" w:rsidR="00A6605D" w:rsidRDefault="00413D7E">
      <w:pPr>
        <w:widowControl/>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、基金管理人承诺上述关于内部控制的披露真实、准确，并承诺将根据市场环境的变化及公司的发展不断完善合规控制。</w:t>
      </w:r>
      <w:bookmarkStart w:id="12" w:name="_Toc238027832"/>
      <w:bookmarkStart w:id="13" w:name="_Toc238013745"/>
      <w:bookmarkStart w:id="14" w:name="_Toc214873593"/>
      <w:bookmarkEnd w:id="12"/>
      <w:bookmarkEnd w:id="13"/>
    </w:p>
    <w:p w14:paraId="3B239D9C" w14:textId="77777777" w:rsidR="00A6605D" w:rsidRDefault="00A6605D">
      <w:pPr>
        <w:widowControl/>
        <w:adjustRightInd w:val="0"/>
        <w:snapToGrid w:val="0"/>
        <w:spacing w:line="360" w:lineRule="auto"/>
        <w:rPr>
          <w:rFonts w:ascii="Arial Unicode MS" w:hAnsi="Arial Unicode MS" w:cs="Arial"/>
          <w:b/>
          <w:bCs/>
          <w:szCs w:val="21"/>
        </w:rPr>
      </w:pPr>
    </w:p>
    <w:p w14:paraId="6062357F" w14:textId="77777777" w:rsidR="00A6605D" w:rsidRDefault="00413D7E">
      <w:pPr>
        <w:widowControl/>
        <w:jc w:val="left"/>
        <w:rPr>
          <w:rFonts w:ascii="Arial Unicode MS" w:hAnsi="Arial Unicode MS" w:cs="Arial"/>
          <w:b/>
          <w:bCs/>
          <w:szCs w:val="21"/>
        </w:rPr>
      </w:pPr>
      <w:r>
        <w:rPr>
          <w:rFonts w:ascii="Arial Unicode MS" w:hAnsi="Arial Unicode MS" w:cs="Arial"/>
          <w:b/>
          <w:bCs/>
          <w:szCs w:val="21"/>
        </w:rPr>
        <w:br w:type="page"/>
      </w:r>
    </w:p>
    <w:p w14:paraId="32AB4272" w14:textId="77777777" w:rsidR="00A6605D" w:rsidRDefault="00413D7E">
      <w:pPr>
        <w:pStyle w:val="11"/>
        <w:snapToGrid w:val="0"/>
        <w:spacing w:before="0" w:after="0" w:line="360" w:lineRule="auto"/>
        <w:rPr>
          <w:rFonts w:ascii="Arial Unicode MS" w:eastAsia="宋体" w:hAnsi="Arial Unicode MS" w:cs="Arial"/>
          <w:b/>
          <w:bCs/>
          <w:sz w:val="28"/>
          <w:szCs w:val="28"/>
        </w:rPr>
      </w:pPr>
      <w:bookmarkStart w:id="15" w:name="_Toc63676439"/>
      <w:r>
        <w:rPr>
          <w:rFonts w:ascii="Arial Unicode MS" w:eastAsia="宋体" w:hAnsi="Arial Unicode MS" w:cs="Arial"/>
          <w:b/>
          <w:bCs/>
          <w:sz w:val="28"/>
          <w:szCs w:val="28"/>
        </w:rPr>
        <w:lastRenderedPageBreak/>
        <w:t>第四部分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基金托管人</w:t>
      </w:r>
      <w:bookmarkEnd w:id="11"/>
      <w:bookmarkEnd w:id="14"/>
      <w:bookmarkEnd w:id="15"/>
    </w:p>
    <w:p w14:paraId="5D114F3D" w14:textId="77777777" w:rsidR="00A6605D" w:rsidRDefault="00A6605D"/>
    <w:p w14:paraId="7C19CFB7" w14:textId="77777777" w:rsidR="00A6605D" w:rsidRPr="006B2775" w:rsidRDefault="00413D7E">
      <w:pPr>
        <w:spacing w:line="360" w:lineRule="auto"/>
        <w:ind w:firstLineChars="200" w:firstLine="422"/>
        <w:rPr>
          <w:rFonts w:asciiTheme="minorEastAsia" w:eastAsiaTheme="minorEastAsia" w:hAnsiTheme="minorEastAsia"/>
          <w:b/>
          <w:bCs/>
          <w:szCs w:val="21"/>
        </w:rPr>
      </w:pPr>
      <w:r w:rsidRPr="006B2775">
        <w:rPr>
          <w:rFonts w:asciiTheme="minorEastAsia" w:eastAsiaTheme="minorEastAsia" w:hAnsiTheme="minorEastAsia" w:hint="eastAsia"/>
          <w:b/>
          <w:bCs/>
          <w:szCs w:val="21"/>
        </w:rPr>
        <w:t>一、基金托管人情况</w:t>
      </w:r>
    </w:p>
    <w:p w14:paraId="0542A9A7"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（一）基本情况</w:t>
      </w:r>
    </w:p>
    <w:p w14:paraId="69731D0B"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名称：中国建设银行股份有限公司</w:t>
      </w:r>
      <w:r w:rsidRPr="006B2775">
        <w:rPr>
          <w:rFonts w:asciiTheme="minorEastAsia" w:eastAsiaTheme="minorEastAsia" w:hAnsiTheme="minorEastAsia"/>
          <w:szCs w:val="21"/>
        </w:rPr>
        <w:t>(简称：中国建设银行)</w:t>
      </w:r>
    </w:p>
    <w:p w14:paraId="002E23BD"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住所：北京市西城区金融大街</w:t>
      </w:r>
      <w:r w:rsidRPr="006B2775">
        <w:rPr>
          <w:rFonts w:asciiTheme="minorEastAsia" w:eastAsiaTheme="minorEastAsia" w:hAnsiTheme="minorEastAsia"/>
          <w:szCs w:val="21"/>
        </w:rPr>
        <w:t>25号</w:t>
      </w:r>
    </w:p>
    <w:p w14:paraId="051DBCFD"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办公地址：北京市西城区闹市口大街</w:t>
      </w:r>
      <w:r w:rsidRPr="006B2775">
        <w:rPr>
          <w:rFonts w:asciiTheme="minorEastAsia" w:eastAsiaTheme="minorEastAsia" w:hAnsiTheme="minorEastAsia"/>
          <w:szCs w:val="21"/>
        </w:rPr>
        <w:t>1号院1号楼</w:t>
      </w:r>
    </w:p>
    <w:p w14:paraId="60E7F9A5"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法定代表人：田国立</w:t>
      </w:r>
    </w:p>
    <w:p w14:paraId="3E611EF2"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成立时间：</w:t>
      </w:r>
      <w:r w:rsidRPr="006B2775">
        <w:rPr>
          <w:rFonts w:asciiTheme="minorEastAsia" w:eastAsiaTheme="minorEastAsia" w:hAnsiTheme="minorEastAsia"/>
          <w:szCs w:val="21"/>
        </w:rPr>
        <w:t>2004年09月17日</w:t>
      </w:r>
    </w:p>
    <w:p w14:paraId="2EED021B"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组织形式：股份有限公司</w:t>
      </w:r>
    </w:p>
    <w:p w14:paraId="557697A1"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注册资本：贰仟伍佰亿壹仟零玖拾柒万柒仟肆佰捌拾陆元整</w:t>
      </w:r>
    </w:p>
    <w:p w14:paraId="41A3E2D1"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存续期间：持续经营</w:t>
      </w:r>
    </w:p>
    <w:p w14:paraId="474131E9"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基金托管资格批文及文号：中国证监会证监基字</w:t>
      </w:r>
      <w:r w:rsidRPr="006B2775">
        <w:rPr>
          <w:rFonts w:asciiTheme="minorEastAsia" w:eastAsiaTheme="minorEastAsia" w:hAnsiTheme="minorEastAsia"/>
          <w:szCs w:val="21"/>
        </w:rPr>
        <w:t>[1998]12号</w:t>
      </w:r>
    </w:p>
    <w:p w14:paraId="2B248426"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联系人：李申</w:t>
      </w:r>
    </w:p>
    <w:p w14:paraId="32EE6ABD"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联系电话：</w:t>
      </w:r>
      <w:r w:rsidRPr="006B2775">
        <w:rPr>
          <w:rFonts w:asciiTheme="minorEastAsia" w:eastAsiaTheme="minorEastAsia" w:hAnsiTheme="minorEastAsia"/>
          <w:szCs w:val="21"/>
        </w:rPr>
        <w:t>(021) 6063 7102</w:t>
      </w:r>
    </w:p>
    <w:p w14:paraId="7F81B2B1"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（二）主要人员情况</w:t>
      </w:r>
    </w:p>
    <w:p w14:paraId="2DB12EEE"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中国建设银行总行设资产托管业务部，下设综合处、基金市场处、证券保险资产市场处、理财信托股权市场处、全球托管处、养老金托管处、新兴业务处、运营管理处、跨境托管运营处、社保及大客户服务处、托管应用系统支持处、合规监督处等</w:t>
      </w:r>
      <w:r w:rsidRPr="006B2775">
        <w:rPr>
          <w:rFonts w:asciiTheme="minorEastAsia" w:eastAsiaTheme="minorEastAsia" w:hAnsiTheme="minorEastAsia"/>
          <w:szCs w:val="21"/>
        </w:rPr>
        <w:t>12个职能处室，在安徽合肥设有托管运营中心，在上海设有托管运营中心上海分中心，共有员工300余人。</w:t>
      </w:r>
    </w:p>
    <w:p w14:paraId="01623968"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（三）基金托管业务经营情况</w:t>
      </w:r>
    </w:p>
    <w:p w14:paraId="3040EF33"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作为国内首批开办证券投资基金托管业务的商业银行，中国建设银行一直秉持“以客户为中心”的经营理念，不断加强风险管理和内部控制，严格履行托管人的各项职责，切实维护资产持有人的合法权益，为资产委托人提供高质量的托管服务。经过多年稳步发展，中国建设银行托管资产规模不断扩大，托管业务品种不断增加，已形成包括证券投资基金、社保基金、保险资金、基本养老个人账户、</w:t>
      </w:r>
      <w:r w:rsidRPr="006B2775">
        <w:rPr>
          <w:rFonts w:asciiTheme="minorEastAsia" w:eastAsiaTheme="minorEastAsia" w:hAnsiTheme="minorEastAsia"/>
          <w:szCs w:val="21"/>
        </w:rPr>
        <w:t>(R)QFII、(R)QDII</w:t>
      </w:r>
      <w:r w:rsidRPr="006B2775">
        <w:rPr>
          <w:rFonts w:asciiTheme="minorEastAsia" w:eastAsiaTheme="minorEastAsia" w:hAnsiTheme="minorEastAsia" w:hint="eastAsia"/>
          <w:szCs w:val="21"/>
        </w:rPr>
        <w:t>、企业年金、职业年金、存托业务等产品在内的托管业务体系，是目前国内托管业务品种最齐全的商业银行之一。截至</w:t>
      </w:r>
      <w:r w:rsidRPr="006B2775">
        <w:rPr>
          <w:rFonts w:asciiTheme="minorEastAsia" w:eastAsiaTheme="minorEastAsia" w:hAnsiTheme="minorEastAsia"/>
          <w:szCs w:val="21"/>
        </w:rPr>
        <w:t>2021年三季度末，中国建设银行已托管1120只证券投资基金。中国建设银行专业高效的托管服务能力和业务水平，赢得了业内的高度认同。截至目前，中国建设银行先后多次</w:t>
      </w:r>
      <w:r w:rsidRPr="006B2775">
        <w:rPr>
          <w:rFonts w:asciiTheme="minorEastAsia" w:eastAsiaTheme="minorEastAsia" w:hAnsiTheme="minorEastAsia" w:hint="eastAsia"/>
          <w:szCs w:val="21"/>
        </w:rPr>
        <w:t>被《全球托管人》、</w:t>
      </w:r>
      <w:r w:rsidRPr="006B2775">
        <w:rPr>
          <w:rFonts w:asciiTheme="minorEastAsia" w:eastAsiaTheme="minorEastAsia" w:hAnsiTheme="minorEastAsia"/>
          <w:szCs w:val="21"/>
        </w:rPr>
        <w:t xml:space="preserve"> </w:t>
      </w:r>
      <w:r w:rsidRPr="006B2775">
        <w:rPr>
          <w:rFonts w:asciiTheme="minorEastAsia" w:eastAsiaTheme="minorEastAsia" w:hAnsiTheme="minorEastAsia" w:hint="eastAsia"/>
          <w:szCs w:val="21"/>
        </w:rPr>
        <w:t>《财资》、</w:t>
      </w:r>
      <w:r w:rsidRPr="006B2775">
        <w:rPr>
          <w:rFonts w:asciiTheme="minorEastAsia" w:eastAsiaTheme="minorEastAsia" w:hAnsiTheme="minorEastAsia"/>
          <w:szCs w:val="21"/>
        </w:rPr>
        <w:t>《环球金融》</w:t>
      </w:r>
      <w:r w:rsidRPr="006B2775">
        <w:rPr>
          <w:rFonts w:asciiTheme="minorEastAsia" w:eastAsiaTheme="minorEastAsia" w:hAnsiTheme="minorEastAsia" w:hint="eastAsia"/>
          <w:szCs w:val="21"/>
        </w:rPr>
        <w:t>杂志及《中国基金报》评选为“最佳托管银行”、连续多年荣获中央国债登记结算有限责任公司（中债）“优秀资产托管机构”、银行间市场清算所股份有限公司（上清所）“优秀托管银行”奖项、并在</w:t>
      </w:r>
      <w:r w:rsidRPr="006B2775">
        <w:rPr>
          <w:rFonts w:asciiTheme="minorEastAsia" w:eastAsiaTheme="minorEastAsia" w:hAnsiTheme="minorEastAsia"/>
          <w:szCs w:val="21"/>
        </w:rPr>
        <w:t>2017</w:t>
      </w:r>
      <w:r w:rsidRPr="006B2775">
        <w:rPr>
          <w:rFonts w:asciiTheme="minorEastAsia" w:eastAsiaTheme="minorEastAsia" w:hAnsiTheme="minorEastAsia" w:hint="eastAsia"/>
          <w:szCs w:val="21"/>
        </w:rPr>
        <w:t>、</w:t>
      </w:r>
      <w:r w:rsidRPr="006B2775">
        <w:rPr>
          <w:rFonts w:asciiTheme="minorEastAsia" w:eastAsiaTheme="minorEastAsia" w:hAnsiTheme="minorEastAsia"/>
          <w:szCs w:val="21"/>
        </w:rPr>
        <w:t>2019、2020、2021年分别荣获《亚洲银行家》颁发的“最佳托管系统实施奖”、“中国年度托管业务科技实施奖”、“中国年度托管银行（大型银行）”以及“</w:t>
      </w:r>
      <w:r w:rsidRPr="006B2775">
        <w:rPr>
          <w:rFonts w:asciiTheme="minorEastAsia" w:eastAsiaTheme="minorEastAsia" w:hAnsiTheme="minorEastAsia" w:hint="eastAsia"/>
          <w:szCs w:val="21"/>
        </w:rPr>
        <w:t>中国</w:t>
      </w:r>
      <w:r w:rsidRPr="006B2775">
        <w:rPr>
          <w:rFonts w:asciiTheme="minorEastAsia" w:eastAsiaTheme="minorEastAsia" w:hAnsiTheme="minorEastAsia"/>
          <w:szCs w:val="21"/>
        </w:rPr>
        <w:t>最佳数字化资产托管银行”</w:t>
      </w:r>
      <w:r w:rsidRPr="006B2775">
        <w:rPr>
          <w:rFonts w:asciiTheme="minorEastAsia" w:eastAsiaTheme="minorEastAsia" w:hAnsiTheme="minorEastAsia" w:hint="eastAsia"/>
          <w:szCs w:val="21"/>
        </w:rPr>
        <w:t>奖项。</w:t>
      </w:r>
    </w:p>
    <w:p w14:paraId="462535A5" w14:textId="77777777" w:rsidR="00A6605D" w:rsidRPr="006B2775" w:rsidRDefault="00413D7E">
      <w:pPr>
        <w:spacing w:line="360" w:lineRule="auto"/>
        <w:ind w:firstLineChars="200" w:firstLine="422"/>
        <w:rPr>
          <w:rFonts w:asciiTheme="minorEastAsia" w:eastAsiaTheme="minorEastAsia" w:hAnsiTheme="minorEastAsia"/>
          <w:b/>
          <w:bCs/>
          <w:szCs w:val="21"/>
        </w:rPr>
      </w:pPr>
      <w:r w:rsidRPr="006B2775">
        <w:rPr>
          <w:rFonts w:asciiTheme="minorEastAsia" w:eastAsiaTheme="minorEastAsia" w:hAnsiTheme="minorEastAsia" w:hint="eastAsia"/>
          <w:b/>
          <w:bCs/>
          <w:szCs w:val="21"/>
        </w:rPr>
        <w:lastRenderedPageBreak/>
        <w:t>二、基金托管人的内部控制制度</w:t>
      </w:r>
    </w:p>
    <w:p w14:paraId="1C87D02D"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（一）内部控制目标</w:t>
      </w:r>
    </w:p>
    <w:p w14:paraId="214A063F"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中国建设银行托管业务确保贯彻落实国家有关法律法规及监管规定，勤勉尽责，恪尽职守，保证托管资产的安全、完整，保障所托管基金的稳健运行，维护基金份额持有人利益；规范业务操作，严格按规程进行业务处理和操作，有效管控托管业务风险；确保所披露信息的完整、及时，保证客户信息不泄漏。</w:t>
      </w:r>
    </w:p>
    <w:p w14:paraId="2FDE65B2"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（二）内部控制组织结构</w:t>
      </w:r>
    </w:p>
    <w:p w14:paraId="01F02A18"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中国建设银行设有风险管理与内控管理委员会，负责全行风险管理与内部控制的研究、议事和协调工作。内部控制管理部门是牵头内部控制管理的职能部门，牵头内部控制体系的统筹规划、组织落实和检查评价。资产托管业务部设置专门负责内部控制工作的处室，配备了专职内控合规人员负责托管业务的内控合规工作。</w:t>
      </w:r>
    </w:p>
    <w:p w14:paraId="758B98AE"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（三）内部控制原则</w:t>
      </w:r>
    </w:p>
    <w:p w14:paraId="076D53BD"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中国建设银行托管业务内部控制遵循全面性、重要性、制衡性、适应性和独立性原则。</w:t>
      </w:r>
    </w:p>
    <w:p w14:paraId="08321BE8"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t>1.全面性原则。内部控制贯穿和渗透于托管业务各项流程和各个环节，覆盖所有的机构、岗位，约束所有托管业务人员。</w:t>
      </w:r>
    </w:p>
    <w:p w14:paraId="05654723"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t>2.重要性原则。内部控制在全面控制的基础上，关注重要的托管业务事项和高风险托管业务领域。</w:t>
      </w:r>
    </w:p>
    <w:p w14:paraId="1966B181"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t>3.制衡性原则。内部控制坚持风险为本、审慎经营的理念，设立托管机构和开办托管业务均坚持内控优先，在组织机构、权责分配、业务流程等方面形成相互制约、相互监督的机制。</w:t>
      </w:r>
    </w:p>
    <w:p w14:paraId="13B466A7"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t>4.适应性原则。内部控制与托管业务管理模式、业务规模、产品复杂程度、风险状况等相匹配，并根据情况变化及时调整。</w:t>
      </w:r>
    </w:p>
    <w:p w14:paraId="0AD2BE68"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t>5.独立性原则。保证客户资产与建设银行自有资产、托管的其他资产相互独立，对不同客户的资产分别设置账户、独立核算、分账管理。</w:t>
      </w:r>
    </w:p>
    <w:p w14:paraId="51DF55ED"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（三）内部控制措施</w:t>
      </w:r>
    </w:p>
    <w:p w14:paraId="7FF03D23"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t>1.托管资产保管控制。严格按照法律法规和合同约定履行托管人安全保管可控制账户内托管资产的职责，所托管资产与托管人自有资产、托管的其他资产严格分开，保证托管资产的安全、独立和完整。</w:t>
      </w:r>
    </w:p>
    <w:p w14:paraId="3E6651F7"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t>2.授权控制。托管业务纳入全行统一的授权管理体系，严格在授权范围内执行，严禁超范围经营。明确业务处理岗位权限，各级人员在授权范围内行使职权和承担责任。明确不相容岗位，实施相应的分离措施，形成各司其职、各负其责、相互制约的工作机制。</w:t>
      </w:r>
    </w:p>
    <w:p w14:paraId="76633A15"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t>3.规章制度控制。制定系统化、规范化的托管业务管理制度，并定期重检与修订，持续维持托管业务规章制度的适应性和有效性，严格保障托管业务规范运营。</w:t>
      </w:r>
    </w:p>
    <w:p w14:paraId="57B83129"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t>4.流程控制。严格指令接收、清算、核算、监督的流程化管理，控制关键风险点。</w:t>
      </w:r>
    </w:p>
    <w:p w14:paraId="5042E3B6"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lastRenderedPageBreak/>
        <w:t>5.信息系统控制。持续加强内控手段的新技术运用，提高内控自动化水平和有效性。</w:t>
      </w:r>
    </w:p>
    <w:p w14:paraId="31269396"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t>6.业务连续性控制。建立托管业务应急响应及恢复机制，实现对运营中断事件的快速响应和及时处置。组织开展应急演练，保障托管业务持续运营。</w:t>
      </w:r>
    </w:p>
    <w:p w14:paraId="2FF8AC7F"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t>7.运营环境控制。托管业务工作环境符合监管和控制要求，运营环境独立，录音、录像及门禁持续有效。系统实现独立与隔离，建立安全的数据传输通道和数据备份机制，保障数据传输和存储安全。</w:t>
      </w:r>
    </w:p>
    <w:p w14:paraId="71FE5728"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szCs w:val="21"/>
        </w:rPr>
        <w:t>8.员工行为管理控制。明确员工行为守则，规范员工日常行为，加强职业道德和员工操守教育，培育忠于所托、勤勉尽责的合</w:t>
      </w:r>
      <w:r w:rsidRPr="006B2775">
        <w:rPr>
          <w:rFonts w:asciiTheme="minorEastAsia" w:eastAsiaTheme="minorEastAsia" w:hAnsiTheme="minorEastAsia" w:hint="eastAsia"/>
          <w:szCs w:val="21"/>
        </w:rPr>
        <w:t>规文化。</w:t>
      </w:r>
      <w:r w:rsidRPr="006B2775">
        <w:rPr>
          <w:rFonts w:asciiTheme="minorEastAsia" w:eastAsiaTheme="minorEastAsia" w:hAnsiTheme="minorEastAsia"/>
          <w:szCs w:val="21"/>
        </w:rPr>
        <w:t xml:space="preserve"> </w:t>
      </w:r>
    </w:p>
    <w:p w14:paraId="45627D43"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自</w:t>
      </w:r>
      <w:r w:rsidRPr="006B2775">
        <w:rPr>
          <w:rFonts w:asciiTheme="minorEastAsia" w:eastAsiaTheme="minorEastAsia" w:hAnsiTheme="minorEastAsia"/>
          <w:szCs w:val="21"/>
        </w:rPr>
        <w:t>2007年起，资产托管业务部连续聘请外部会计师事务所对托管业务进行内部控制审计，均获无保留意见，并已经成为常规化的内控工作手段。</w:t>
      </w:r>
    </w:p>
    <w:p w14:paraId="6E6C442F" w14:textId="77777777" w:rsidR="00A6605D" w:rsidRPr="006B2775" w:rsidRDefault="00413D7E">
      <w:pPr>
        <w:spacing w:line="360" w:lineRule="auto"/>
        <w:ind w:firstLineChars="200" w:firstLine="422"/>
        <w:rPr>
          <w:rFonts w:asciiTheme="minorEastAsia" w:eastAsiaTheme="minorEastAsia" w:hAnsiTheme="minorEastAsia"/>
          <w:b/>
          <w:bCs/>
          <w:szCs w:val="21"/>
        </w:rPr>
      </w:pPr>
      <w:r w:rsidRPr="006B2775">
        <w:rPr>
          <w:rFonts w:asciiTheme="minorEastAsia" w:eastAsiaTheme="minorEastAsia" w:hAnsiTheme="minorEastAsia" w:hint="eastAsia"/>
          <w:b/>
          <w:bCs/>
          <w:szCs w:val="21"/>
        </w:rPr>
        <w:t>三、基金托管人对基金管理人运作基金进行监督的方法和程序</w:t>
      </w:r>
    </w:p>
    <w:p w14:paraId="4A80BEE7"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（一）监督方法</w:t>
      </w:r>
    </w:p>
    <w:p w14:paraId="48287943"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依照《中华人民共和国证券投资基金法》、《公开募集证券投资基金运作管理办法》、《证券投资基金托管业务管理办法》及其配套法规和基金合同、托管协议的约定，监督所托管基金的投资运作，对基金管理人运作基金的投资比例、投资范围、投资组合等情况进行监督。在日常为基金投资运作所提供的基金清算和核算服务环节中，对基金管理人发送的投资指令、基金管理人对各基金费用的提取与开支情况进行检查监督。</w:t>
      </w:r>
    </w:p>
    <w:p w14:paraId="53C0D4E8"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（二）监督流程</w:t>
      </w:r>
    </w:p>
    <w:p w14:paraId="27B4B2C2"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基金托管人发现基金管理人的投资指令违反法律法规及基金托管协议的规定，应当拒绝执行，及时提示基金管理人，并依照法律法规的规定及时向中国证监会报告。基金托管人发现基金管理人依据交易程序已经生效的指令违反法律法规、基金托管协议规定的，应当及时提示基金管理人在规定期限内改正，并依照法律法规的规定及时向中国证监会报告。</w:t>
      </w:r>
    </w:p>
    <w:p w14:paraId="5A3A7439"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每个工作日对基金投资运作比例等情况进行监督，如发现异常情况，向基金管理人进行风险提示，与基金管理人进行情况核实，督促其改正，并依照法律法规的规定及时向中国证监会报告。</w:t>
      </w:r>
    </w:p>
    <w:p w14:paraId="0F898DF2" w14:textId="77777777" w:rsidR="00A6605D" w:rsidRDefault="00413D7E">
      <w:pPr>
        <w:spacing w:line="360" w:lineRule="auto"/>
        <w:ind w:firstLineChars="200" w:firstLine="420"/>
        <w:rPr>
          <w:rFonts w:ascii="楷体" w:eastAsia="楷体" w:hAnsi="楷体"/>
          <w:sz w:val="24"/>
        </w:rPr>
      </w:pPr>
      <w:r w:rsidRPr="006B2775">
        <w:rPr>
          <w:rFonts w:asciiTheme="minorEastAsia" w:eastAsiaTheme="minorEastAsia" w:hAnsiTheme="minorEastAsia" w:hint="eastAsia"/>
          <w:szCs w:val="21"/>
        </w:rPr>
        <w:t>基金管理人有义务配合和协助基金托管人的监督和核查，对基金托管人发出的提示，应在规定时间内答复并改正；对基金托管人的合理疑义，应及时解释或举证；对基金托管人按照法律法规和托管协议的要求需向中国证监会报告的事项，应积极配合提供相关数据资料和制度等。</w:t>
      </w:r>
      <w:r>
        <w:rPr>
          <w:rFonts w:ascii="楷体" w:eastAsia="楷体" w:hAnsi="楷体"/>
          <w:sz w:val="24"/>
        </w:rPr>
        <w:br w:type="page"/>
      </w:r>
    </w:p>
    <w:p w14:paraId="47E57416" w14:textId="77777777" w:rsidR="00A6605D" w:rsidRDefault="00A6605D">
      <w:pPr>
        <w:spacing w:line="360" w:lineRule="auto"/>
        <w:ind w:firstLineChars="200" w:firstLine="420"/>
        <w:rPr>
          <w:rFonts w:ascii="Arial Unicode MS" w:hAnsi="Arial Unicode MS"/>
          <w:bCs/>
        </w:rPr>
      </w:pPr>
    </w:p>
    <w:p w14:paraId="48A34389" w14:textId="77777777" w:rsidR="00A6605D" w:rsidRDefault="00413D7E">
      <w:pPr>
        <w:pStyle w:val="11"/>
        <w:snapToGrid w:val="0"/>
        <w:spacing w:before="0" w:after="0" w:line="360" w:lineRule="auto"/>
        <w:ind w:firstLine="422"/>
      </w:pPr>
      <w:bookmarkStart w:id="16" w:name="_Toc214873594"/>
      <w:bookmarkStart w:id="17" w:name="_Toc63676440"/>
      <w:bookmarkStart w:id="18" w:name="_Toc317088142"/>
      <w:bookmarkStart w:id="19" w:name="_Toc317088539"/>
      <w:bookmarkStart w:id="20" w:name="_Toc320887644"/>
      <w:bookmarkStart w:id="21" w:name="_Toc335232693"/>
      <w:r>
        <w:rPr>
          <w:rFonts w:ascii="Arial Unicode MS" w:eastAsia="宋体" w:hAnsi="Arial Unicode MS" w:cs="Arial"/>
          <w:b/>
          <w:bCs/>
          <w:sz w:val="28"/>
          <w:szCs w:val="28"/>
        </w:rPr>
        <w:t>第五部分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相关服务机构</w:t>
      </w:r>
      <w:bookmarkEnd w:id="16"/>
      <w:bookmarkEnd w:id="17"/>
      <w:bookmarkEnd w:id="18"/>
      <w:bookmarkEnd w:id="19"/>
      <w:bookmarkEnd w:id="20"/>
      <w:bookmarkEnd w:id="21"/>
    </w:p>
    <w:p w14:paraId="3A62CCEA"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b/>
          <w:szCs w:val="21"/>
        </w:rPr>
        <w:t>一、基金份额</w:t>
      </w:r>
      <w:r>
        <w:rPr>
          <w:rFonts w:ascii="Arial Unicode MS" w:hAnsi="Arial Unicode MS" w:cs="Arial" w:hint="eastAsia"/>
          <w:b/>
          <w:szCs w:val="21"/>
        </w:rPr>
        <w:t>发售</w:t>
      </w:r>
      <w:r>
        <w:rPr>
          <w:rFonts w:ascii="Arial Unicode MS" w:hAnsi="Arial Unicode MS" w:cs="Arial"/>
          <w:b/>
          <w:szCs w:val="21"/>
        </w:rPr>
        <w:t>机构</w:t>
      </w:r>
    </w:p>
    <w:p w14:paraId="7B5C074B" w14:textId="77777777" w:rsidR="00A6605D" w:rsidRDefault="00413D7E">
      <w:pPr>
        <w:snapToGrid w:val="0"/>
        <w:spacing w:line="360" w:lineRule="auto"/>
        <w:ind w:firstLineChars="200" w:firstLine="420"/>
        <w:rPr>
          <w:rFonts w:ascii="Arial Unicode MS" w:hAnsi="Arial Unicode MS" w:cs="Arial"/>
          <w:color w:val="000000"/>
        </w:rPr>
      </w:pPr>
      <w:r>
        <w:rPr>
          <w:rFonts w:ascii="Arial Unicode MS" w:hAnsi="Arial Unicode MS" w:cs="Arial"/>
          <w:color w:val="000000"/>
        </w:rPr>
        <w:t>1</w:t>
      </w:r>
      <w:r>
        <w:rPr>
          <w:rFonts w:ascii="Arial Unicode MS" w:hAnsi="Arial Unicode MS" w:cs="Arial" w:hint="eastAsia"/>
          <w:color w:val="000000"/>
        </w:rPr>
        <w:t>、</w:t>
      </w:r>
      <w:r>
        <w:rPr>
          <w:rFonts w:ascii="Arial Unicode MS" w:hAnsi="Arial Unicode MS" w:cs="Arial"/>
          <w:color w:val="000000"/>
        </w:rPr>
        <w:t>直销机构</w:t>
      </w:r>
      <w:r>
        <w:rPr>
          <w:rFonts w:ascii="Arial Unicode MS" w:hAnsi="Arial Unicode MS" w:cs="Arial" w:hint="eastAsia"/>
          <w:color w:val="000000"/>
        </w:rPr>
        <w:t>：富荣基金管理有限公司直销中心</w:t>
      </w:r>
    </w:p>
    <w:p w14:paraId="1490C3BB" w14:textId="77777777" w:rsidR="00A6605D" w:rsidRDefault="00413D7E">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注册地址：广州市南沙区海滨路</w:t>
      </w:r>
      <w:r>
        <w:rPr>
          <w:rFonts w:ascii="Arial Unicode MS" w:hAnsi="Arial Unicode MS" w:cs="Arial" w:hint="eastAsia"/>
          <w:color w:val="000000"/>
        </w:rPr>
        <w:t>171</w:t>
      </w:r>
      <w:r>
        <w:rPr>
          <w:rFonts w:ascii="Arial Unicode MS" w:hAnsi="Arial Unicode MS" w:cs="Arial" w:hint="eastAsia"/>
          <w:color w:val="000000"/>
        </w:rPr>
        <w:t>号南沙金融大厦</w:t>
      </w:r>
      <w:r>
        <w:rPr>
          <w:rFonts w:ascii="Arial Unicode MS" w:hAnsi="Arial Unicode MS" w:cs="Arial" w:hint="eastAsia"/>
          <w:color w:val="000000"/>
        </w:rPr>
        <w:t>11</w:t>
      </w:r>
      <w:r>
        <w:rPr>
          <w:rFonts w:ascii="Arial Unicode MS" w:hAnsi="Arial Unicode MS" w:cs="Arial" w:hint="eastAsia"/>
          <w:color w:val="000000"/>
        </w:rPr>
        <w:t>楼</w:t>
      </w:r>
      <w:r>
        <w:rPr>
          <w:rFonts w:ascii="Arial Unicode MS" w:hAnsi="Arial Unicode MS" w:cs="Arial" w:hint="eastAsia"/>
          <w:color w:val="000000"/>
        </w:rPr>
        <w:t>1101</w:t>
      </w:r>
      <w:r>
        <w:rPr>
          <w:rFonts w:ascii="Arial Unicode MS" w:hAnsi="Arial Unicode MS" w:cs="Arial" w:hint="eastAsia"/>
          <w:color w:val="000000"/>
        </w:rPr>
        <w:t>之一</w:t>
      </w:r>
      <w:r>
        <w:rPr>
          <w:rFonts w:ascii="Arial Unicode MS" w:hAnsi="Arial Unicode MS" w:cs="Arial" w:hint="eastAsia"/>
          <w:color w:val="000000"/>
        </w:rPr>
        <w:t>J20</w:t>
      </w:r>
      <w:r>
        <w:rPr>
          <w:rFonts w:ascii="Arial Unicode MS" w:hAnsi="Arial Unicode MS" w:cs="Arial" w:hint="eastAsia"/>
          <w:color w:val="000000"/>
        </w:rPr>
        <w:t>室</w:t>
      </w:r>
      <w:r>
        <w:rPr>
          <w:rFonts w:ascii="Arial Unicode MS" w:hAnsi="Arial Unicode MS" w:cs="Arial" w:hint="eastAsia"/>
          <w:color w:val="000000"/>
        </w:rPr>
        <w:t xml:space="preserve"> </w:t>
      </w:r>
    </w:p>
    <w:p w14:paraId="10B19D9A" w14:textId="77777777" w:rsidR="00A6605D" w:rsidRDefault="00413D7E">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p>
    <w:p w14:paraId="08F7C70F" w14:textId="77777777" w:rsidR="00A6605D" w:rsidRDefault="00413D7E">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法定代表人：杨小舟</w:t>
      </w:r>
    </w:p>
    <w:p w14:paraId="249C4113" w14:textId="77777777" w:rsidR="00A6605D" w:rsidRDefault="00413D7E">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电话：</w:t>
      </w:r>
      <w:r>
        <w:rPr>
          <w:rFonts w:ascii="Arial Unicode MS" w:hAnsi="Arial Unicode MS" w:cs="Arial" w:hint="eastAsia"/>
          <w:color w:val="000000"/>
        </w:rPr>
        <w:t>0755-843566</w:t>
      </w:r>
      <w:r>
        <w:rPr>
          <w:rFonts w:ascii="Arial Unicode MS" w:hAnsi="Arial Unicode MS" w:cs="Arial"/>
          <w:color w:val="000000"/>
        </w:rPr>
        <w:t>29</w:t>
      </w:r>
    </w:p>
    <w:p w14:paraId="19793957" w14:textId="77777777" w:rsidR="00A6605D" w:rsidRDefault="00413D7E">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传真：</w:t>
      </w:r>
      <w:r>
        <w:rPr>
          <w:rFonts w:ascii="Arial Unicode MS" w:hAnsi="Arial Unicode MS" w:cs="Arial" w:hint="eastAsia"/>
          <w:color w:val="000000"/>
        </w:rPr>
        <w:t>0755-83230902</w:t>
      </w:r>
    </w:p>
    <w:p w14:paraId="5A99845D" w14:textId="77777777" w:rsidR="00A6605D" w:rsidRDefault="00413D7E">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客服电话：</w:t>
      </w:r>
      <w:r>
        <w:rPr>
          <w:rFonts w:ascii="Arial Unicode MS" w:hAnsi="Arial Unicode MS" w:cs="Arial" w:hint="eastAsia"/>
          <w:color w:val="000000"/>
        </w:rPr>
        <w:t>4006855600</w:t>
      </w:r>
    </w:p>
    <w:p w14:paraId="4E77C1BF" w14:textId="77777777" w:rsidR="00A6605D" w:rsidRDefault="00413D7E">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63508DAF" w14:textId="77777777" w:rsidR="00A6605D" w:rsidRDefault="00413D7E">
      <w:pPr>
        <w:adjustRightInd w:val="0"/>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2</w:t>
      </w:r>
      <w:r>
        <w:rPr>
          <w:rFonts w:ascii="Arial Unicode MS" w:hAnsi="Arial Unicode MS" w:cs="Arial" w:hint="eastAsia"/>
          <w:color w:val="000000"/>
          <w:kern w:val="0"/>
          <w:szCs w:val="21"/>
        </w:rPr>
        <w:t>、其他销售机构：</w:t>
      </w:r>
      <w:r>
        <w:rPr>
          <w:rFonts w:ascii="Arial Unicode MS" w:hAnsi="Arial Unicode MS" w:cs="Arial" w:hint="eastAsia"/>
          <w:color w:val="000000"/>
          <w:kern w:val="0"/>
          <w:szCs w:val="21"/>
        </w:rPr>
        <w:t xml:space="preserve"> </w:t>
      </w:r>
    </w:p>
    <w:tbl>
      <w:tblPr>
        <w:tblStyle w:val="af6"/>
        <w:tblW w:w="8364" w:type="dxa"/>
        <w:tblInd w:w="108" w:type="dxa"/>
        <w:tblLayout w:type="fixed"/>
        <w:tblLook w:val="04A0" w:firstRow="1" w:lastRow="0" w:firstColumn="1" w:lastColumn="0" w:noHBand="0" w:noVBand="1"/>
      </w:tblPr>
      <w:tblGrid>
        <w:gridCol w:w="567"/>
        <w:gridCol w:w="2692"/>
        <w:gridCol w:w="5105"/>
      </w:tblGrid>
      <w:tr w:rsidR="00A6605D" w14:paraId="1531951C" w14:textId="77777777" w:rsidTr="006B2775">
        <w:tc>
          <w:tcPr>
            <w:tcW w:w="567" w:type="dxa"/>
          </w:tcPr>
          <w:p w14:paraId="6AEE2AE0" w14:textId="77777777" w:rsidR="00A6605D" w:rsidRDefault="00413D7E">
            <w:pPr>
              <w:jc w:val="center"/>
              <w:rPr>
                <w:rFonts w:ascii="Arial Unicode MS" w:hAnsi="Arial Unicode MS"/>
                <w:bCs/>
              </w:rPr>
            </w:pPr>
            <w:r>
              <w:rPr>
                <w:rFonts w:asciiTheme="minorEastAsia" w:hAnsiTheme="minorEastAsia" w:cs="Arial" w:hint="eastAsia"/>
                <w:szCs w:val="20"/>
              </w:rPr>
              <w:t>序号</w:t>
            </w:r>
          </w:p>
        </w:tc>
        <w:tc>
          <w:tcPr>
            <w:tcW w:w="2692" w:type="dxa"/>
          </w:tcPr>
          <w:p w14:paraId="4DEFC39E" w14:textId="77777777" w:rsidR="00A6605D" w:rsidRDefault="00413D7E">
            <w:pPr>
              <w:jc w:val="center"/>
              <w:rPr>
                <w:rFonts w:ascii="Arial Unicode MS" w:hAnsi="Arial Unicode MS"/>
                <w:bCs/>
              </w:rPr>
            </w:pPr>
            <w:r>
              <w:rPr>
                <w:rFonts w:asciiTheme="minorEastAsia" w:hAnsiTheme="minorEastAsia" w:cs="Arial" w:hint="eastAsia"/>
                <w:szCs w:val="20"/>
              </w:rPr>
              <w:t>代销机构名称</w:t>
            </w:r>
          </w:p>
        </w:tc>
        <w:tc>
          <w:tcPr>
            <w:tcW w:w="5105" w:type="dxa"/>
          </w:tcPr>
          <w:p w14:paraId="02306223" w14:textId="77777777" w:rsidR="00A6605D" w:rsidRDefault="00413D7E">
            <w:pPr>
              <w:jc w:val="center"/>
              <w:rPr>
                <w:rFonts w:ascii="Arial Unicode MS" w:hAnsi="Arial Unicode MS"/>
                <w:bCs/>
              </w:rPr>
            </w:pPr>
            <w:r>
              <w:rPr>
                <w:rFonts w:asciiTheme="minorEastAsia" w:hAnsiTheme="minorEastAsia" w:cs="Arial" w:hint="eastAsia"/>
                <w:szCs w:val="20"/>
              </w:rPr>
              <w:t>代销机构信息</w:t>
            </w:r>
          </w:p>
        </w:tc>
      </w:tr>
      <w:tr w:rsidR="00A6605D" w14:paraId="0A8E21B2" w14:textId="77777777" w:rsidTr="006B2775">
        <w:tc>
          <w:tcPr>
            <w:tcW w:w="567" w:type="dxa"/>
          </w:tcPr>
          <w:p w14:paraId="2A321616" w14:textId="77777777" w:rsidR="00A6605D" w:rsidRDefault="00413D7E">
            <w:pPr>
              <w:jc w:val="center"/>
              <w:rPr>
                <w:rFonts w:ascii="Arial Unicode MS" w:hAnsi="Arial Unicode MS"/>
                <w:bCs/>
              </w:rPr>
            </w:pPr>
            <w:r>
              <w:rPr>
                <w:rFonts w:ascii="宋体" w:hAnsi="宋体" w:cs="Arial" w:hint="eastAsia"/>
                <w:szCs w:val="20"/>
              </w:rPr>
              <w:t>1</w:t>
            </w:r>
          </w:p>
        </w:tc>
        <w:tc>
          <w:tcPr>
            <w:tcW w:w="2692" w:type="dxa"/>
          </w:tcPr>
          <w:p w14:paraId="5E861C56" w14:textId="77777777" w:rsidR="00A6605D" w:rsidRDefault="00413D7E">
            <w:pPr>
              <w:spacing w:line="400" w:lineRule="exact"/>
              <w:jc w:val="center"/>
              <w:rPr>
                <w:rFonts w:ascii="Arial Unicode MS" w:hAnsi="Arial Unicode MS"/>
                <w:bCs/>
              </w:rPr>
            </w:pPr>
            <w:r>
              <w:rPr>
                <w:rFonts w:asciiTheme="minorEastAsia" w:hAnsiTheme="minorEastAsia" w:cs="Arial" w:hint="eastAsia"/>
                <w:szCs w:val="20"/>
              </w:rPr>
              <w:t>平安证券股份有限公司</w:t>
            </w:r>
          </w:p>
        </w:tc>
        <w:tc>
          <w:tcPr>
            <w:tcW w:w="5105" w:type="dxa"/>
          </w:tcPr>
          <w:p w14:paraId="59FA00FB"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 xml:space="preserve">注册（办公）地址：深圳市福田中心区金田路4036号荣超大厦16-20层 </w:t>
            </w:r>
          </w:p>
          <w:p w14:paraId="6704930B"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14:paraId="358A027C" w14:textId="77777777" w:rsidR="00A6605D" w:rsidRDefault="00413D7E">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stock.pingan.com</w:t>
            </w:r>
          </w:p>
        </w:tc>
      </w:tr>
      <w:tr w:rsidR="00A6605D" w14:paraId="2F146796" w14:textId="77777777" w:rsidTr="006B2775">
        <w:tc>
          <w:tcPr>
            <w:tcW w:w="567" w:type="dxa"/>
          </w:tcPr>
          <w:p w14:paraId="09AF6A8E" w14:textId="77777777" w:rsidR="00A6605D" w:rsidRDefault="00413D7E">
            <w:pPr>
              <w:jc w:val="center"/>
              <w:rPr>
                <w:rFonts w:ascii="宋体" w:hAnsi="宋体" w:cs="Arial"/>
                <w:szCs w:val="20"/>
              </w:rPr>
            </w:pPr>
            <w:r>
              <w:rPr>
                <w:rFonts w:ascii="宋体" w:hAnsi="宋体" w:cs="Arial" w:hint="eastAsia"/>
                <w:szCs w:val="20"/>
              </w:rPr>
              <w:t>2</w:t>
            </w:r>
          </w:p>
        </w:tc>
        <w:tc>
          <w:tcPr>
            <w:tcW w:w="2692" w:type="dxa"/>
          </w:tcPr>
          <w:p w14:paraId="2997889A" w14:textId="77777777" w:rsidR="00A6605D" w:rsidRDefault="00413D7E">
            <w:pPr>
              <w:jc w:val="center"/>
              <w:rPr>
                <w:rFonts w:asciiTheme="minorEastAsia" w:hAnsiTheme="minorEastAsia" w:cs="Arial"/>
                <w:szCs w:val="20"/>
              </w:rPr>
            </w:pPr>
            <w:r>
              <w:rPr>
                <w:rFonts w:asciiTheme="minorEastAsia" w:hAnsiTheme="minorEastAsia" w:cs="Arial" w:hint="eastAsia"/>
                <w:szCs w:val="20"/>
              </w:rPr>
              <w:t>安信证券股份有限公司</w:t>
            </w:r>
          </w:p>
        </w:tc>
        <w:tc>
          <w:tcPr>
            <w:tcW w:w="5105" w:type="dxa"/>
          </w:tcPr>
          <w:p w14:paraId="35604C92"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深圳市福田区金田路4018号安联大厦35层、28层A02单元</w:t>
            </w:r>
          </w:p>
          <w:p w14:paraId="4A664199"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客户服务电话：95517</w:t>
            </w:r>
          </w:p>
          <w:p w14:paraId="4FEF6C23"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网址：http://www.essence.com.cn/</w:t>
            </w:r>
          </w:p>
        </w:tc>
      </w:tr>
      <w:tr w:rsidR="00A6605D" w14:paraId="7DDF5157" w14:textId="77777777" w:rsidTr="006B2775">
        <w:tc>
          <w:tcPr>
            <w:tcW w:w="567" w:type="dxa"/>
          </w:tcPr>
          <w:p w14:paraId="3CD6BC69" w14:textId="77777777" w:rsidR="00A6605D" w:rsidRDefault="00413D7E">
            <w:pPr>
              <w:jc w:val="center"/>
              <w:rPr>
                <w:rFonts w:ascii="Arial Unicode MS" w:hAnsi="Arial Unicode MS"/>
                <w:bCs/>
              </w:rPr>
            </w:pPr>
            <w:r>
              <w:rPr>
                <w:rFonts w:ascii="宋体" w:hAnsi="宋体" w:cs="Arial"/>
                <w:szCs w:val="20"/>
              </w:rPr>
              <w:t>3</w:t>
            </w:r>
          </w:p>
        </w:tc>
        <w:tc>
          <w:tcPr>
            <w:tcW w:w="2692" w:type="dxa"/>
          </w:tcPr>
          <w:p w14:paraId="1506D699" w14:textId="77777777" w:rsidR="00A6605D" w:rsidRDefault="00413D7E">
            <w:pPr>
              <w:jc w:val="center"/>
              <w:rPr>
                <w:rFonts w:ascii="Arial Unicode MS" w:hAnsi="Arial Unicode MS"/>
                <w:bCs/>
              </w:rPr>
            </w:pPr>
            <w:r>
              <w:rPr>
                <w:rFonts w:asciiTheme="minorEastAsia" w:hAnsiTheme="minorEastAsia" w:cs="Arial" w:hint="eastAsia"/>
                <w:szCs w:val="20"/>
              </w:rPr>
              <w:t>世纪证券有限责任公司</w:t>
            </w:r>
          </w:p>
        </w:tc>
        <w:tc>
          <w:tcPr>
            <w:tcW w:w="5105" w:type="dxa"/>
          </w:tcPr>
          <w:p w14:paraId="426365E0"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注册（办公）地址：深圳市福田区深南大道招商银行大厦</w:t>
            </w:r>
            <w:r>
              <w:rPr>
                <w:rFonts w:ascii="宋体" w:hAnsi="宋体" w:cs="Calibri"/>
                <w:color w:val="000000"/>
                <w:szCs w:val="21"/>
              </w:rPr>
              <w:t>40-42</w:t>
            </w:r>
            <w:r>
              <w:rPr>
                <w:rFonts w:ascii="宋体" w:hAnsi="宋体" w:cs="Calibri" w:hint="eastAsia"/>
                <w:color w:val="000000"/>
                <w:szCs w:val="21"/>
              </w:rPr>
              <w:t>层</w:t>
            </w:r>
          </w:p>
          <w:p w14:paraId="7A482859"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4008323000</w:t>
            </w:r>
          </w:p>
          <w:p w14:paraId="3D40E6B4" w14:textId="77777777" w:rsidR="00A6605D" w:rsidRDefault="00413D7E">
            <w:pPr>
              <w:widowControl/>
              <w:spacing w:line="360" w:lineRule="auto"/>
              <w:jc w:val="left"/>
              <w:rPr>
                <w:rFonts w:ascii="Arial Unicode MS" w:hAnsi="Arial Unicode MS"/>
                <w:bCs/>
              </w:rPr>
            </w:pPr>
            <w:r>
              <w:rPr>
                <w:rFonts w:ascii="宋体" w:hAnsi="宋体" w:cs="Calibri" w:hint="eastAsia"/>
                <w:color w:val="000000"/>
                <w:szCs w:val="21"/>
              </w:rPr>
              <w:t>网站：</w:t>
            </w:r>
            <w:r>
              <w:rPr>
                <w:rFonts w:ascii="宋体" w:hAnsi="宋体" w:cs="Calibri"/>
                <w:color w:val="000000"/>
                <w:szCs w:val="21"/>
              </w:rPr>
              <w:t xml:space="preserve"> </w:t>
            </w:r>
            <w:hyperlink r:id="rId30" w:history="1">
              <w:r>
                <w:rPr>
                  <w:rFonts w:ascii="宋体" w:hAnsi="宋体" w:cs="Calibri"/>
                  <w:color w:val="000000"/>
                  <w:szCs w:val="21"/>
                </w:rPr>
                <w:t>http://www.csco.com.cn</w:t>
              </w:r>
            </w:hyperlink>
          </w:p>
        </w:tc>
      </w:tr>
      <w:tr w:rsidR="00A6605D" w14:paraId="0EF29F0B" w14:textId="77777777" w:rsidTr="006B2775">
        <w:tc>
          <w:tcPr>
            <w:tcW w:w="567" w:type="dxa"/>
          </w:tcPr>
          <w:p w14:paraId="7B408185" w14:textId="77777777" w:rsidR="00A6605D" w:rsidRDefault="00413D7E">
            <w:pPr>
              <w:jc w:val="center"/>
              <w:rPr>
                <w:rFonts w:ascii="Arial Unicode MS" w:hAnsi="Arial Unicode MS"/>
                <w:bCs/>
              </w:rPr>
            </w:pPr>
            <w:r>
              <w:rPr>
                <w:rFonts w:ascii="宋体" w:hAnsi="宋体" w:cs="Arial" w:hint="eastAsia"/>
              </w:rPr>
              <w:t>4</w:t>
            </w:r>
          </w:p>
        </w:tc>
        <w:tc>
          <w:tcPr>
            <w:tcW w:w="2692" w:type="dxa"/>
          </w:tcPr>
          <w:p w14:paraId="74B5C286" w14:textId="77777777" w:rsidR="00A6605D" w:rsidRDefault="00413D7E">
            <w:pPr>
              <w:jc w:val="center"/>
              <w:rPr>
                <w:rFonts w:ascii="Arial Unicode MS" w:hAnsi="Arial Unicode MS"/>
                <w:bCs/>
              </w:rPr>
            </w:pPr>
            <w:r>
              <w:rPr>
                <w:rFonts w:ascii="宋体" w:hAnsi="宋体" w:cs="Calibri" w:hint="eastAsia"/>
                <w:color w:val="000000"/>
                <w:szCs w:val="21"/>
              </w:rPr>
              <w:t>华鑫证券有限责任公司</w:t>
            </w:r>
          </w:p>
        </w:tc>
        <w:tc>
          <w:tcPr>
            <w:tcW w:w="5105" w:type="dxa"/>
          </w:tcPr>
          <w:p w14:paraId="7BF48E94"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(办公)地址：深圳市福田区金田路4018号安联大厦28层A01、B01（b）单元</w:t>
            </w:r>
          </w:p>
          <w:p w14:paraId="700EC65D"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14:paraId="01DCCEB5" w14:textId="77777777" w:rsidR="00A6605D" w:rsidRDefault="00413D7E">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www.cfsc.com.cn</w:t>
            </w:r>
          </w:p>
        </w:tc>
      </w:tr>
      <w:tr w:rsidR="00A6605D" w14:paraId="4A88B05B" w14:textId="77777777" w:rsidTr="006B2775">
        <w:tc>
          <w:tcPr>
            <w:tcW w:w="567" w:type="dxa"/>
          </w:tcPr>
          <w:p w14:paraId="0CCC1FB3" w14:textId="77777777" w:rsidR="00A6605D" w:rsidRDefault="00413D7E">
            <w:pPr>
              <w:jc w:val="center"/>
              <w:rPr>
                <w:rFonts w:ascii="Arial Unicode MS" w:hAnsi="Arial Unicode MS"/>
                <w:bCs/>
              </w:rPr>
            </w:pPr>
            <w:r>
              <w:rPr>
                <w:rFonts w:ascii="宋体" w:hAnsi="宋体" w:cs="Arial" w:hint="eastAsia"/>
              </w:rPr>
              <w:t>5</w:t>
            </w:r>
          </w:p>
        </w:tc>
        <w:tc>
          <w:tcPr>
            <w:tcW w:w="2692" w:type="dxa"/>
          </w:tcPr>
          <w:p w14:paraId="0DE8D113" w14:textId="77777777" w:rsidR="00A6605D" w:rsidRDefault="00413D7E">
            <w:pPr>
              <w:jc w:val="center"/>
              <w:rPr>
                <w:rFonts w:ascii="Arial Unicode MS" w:hAnsi="Arial Unicode MS"/>
                <w:bCs/>
              </w:rPr>
            </w:pPr>
            <w:r>
              <w:rPr>
                <w:rFonts w:ascii="宋体" w:hAnsi="宋体" w:cs="Calibri" w:hint="eastAsia"/>
                <w:color w:val="000000"/>
                <w:szCs w:val="21"/>
              </w:rPr>
              <w:t>长城证券股份有限公司</w:t>
            </w:r>
          </w:p>
        </w:tc>
        <w:tc>
          <w:tcPr>
            <w:tcW w:w="5105" w:type="dxa"/>
          </w:tcPr>
          <w:p w14:paraId="37A97E79" w14:textId="77777777" w:rsidR="00A6605D" w:rsidRDefault="00413D7E">
            <w:pPr>
              <w:snapToGrid w:val="0"/>
              <w:spacing w:line="360" w:lineRule="auto"/>
              <w:rPr>
                <w:rFonts w:ascii="宋体" w:hAnsi="宋体" w:cs="Calibri"/>
                <w:color w:val="000000"/>
                <w:szCs w:val="21"/>
              </w:rPr>
            </w:pPr>
            <w:r>
              <w:rPr>
                <w:rFonts w:ascii="宋体" w:hAnsi="宋体" w:cs="Calibri"/>
                <w:color w:val="000000"/>
                <w:szCs w:val="21"/>
              </w:rPr>
              <w:t>注册（办公）地址：深圳市福田区深南大道6008号特</w:t>
            </w:r>
            <w:r>
              <w:rPr>
                <w:rFonts w:ascii="宋体" w:hAnsi="宋体" w:cs="Calibri"/>
                <w:color w:val="000000"/>
                <w:szCs w:val="21"/>
              </w:rPr>
              <w:lastRenderedPageBreak/>
              <w:t>区报业大厦14、16、17层</w:t>
            </w:r>
          </w:p>
          <w:p w14:paraId="7C65C71D" w14:textId="77777777" w:rsidR="00A6605D" w:rsidRDefault="00413D7E">
            <w:pPr>
              <w:snapToGrid w:val="0"/>
              <w:spacing w:line="360" w:lineRule="auto"/>
              <w:rPr>
                <w:rFonts w:ascii="宋体" w:hAnsi="宋体" w:cs="Calibri"/>
                <w:color w:val="000000"/>
                <w:szCs w:val="21"/>
              </w:rPr>
            </w:pPr>
            <w:r>
              <w:rPr>
                <w:rFonts w:ascii="宋体" w:hAnsi="宋体" w:cs="Calibri"/>
                <w:color w:val="000000"/>
                <w:szCs w:val="21"/>
              </w:rPr>
              <w:t>客户服务热线：0755-33680000、400 6666 888</w:t>
            </w:r>
          </w:p>
          <w:p w14:paraId="67949799" w14:textId="77777777" w:rsidR="00A6605D" w:rsidRDefault="00413D7E">
            <w:pPr>
              <w:widowControl/>
              <w:spacing w:line="360" w:lineRule="auto"/>
              <w:jc w:val="left"/>
              <w:rPr>
                <w:rFonts w:ascii="Arial Unicode MS" w:hAnsi="Arial Unicode MS"/>
                <w:bCs/>
              </w:rPr>
            </w:pPr>
            <w:r>
              <w:rPr>
                <w:rFonts w:ascii="宋体" w:hAnsi="宋体" w:cs="Calibri"/>
                <w:color w:val="000000"/>
                <w:szCs w:val="21"/>
              </w:rPr>
              <w:t>网址：www.cgws.com</w:t>
            </w:r>
          </w:p>
        </w:tc>
      </w:tr>
      <w:tr w:rsidR="00A6605D" w14:paraId="599E91B9" w14:textId="77777777" w:rsidTr="006B2775">
        <w:tc>
          <w:tcPr>
            <w:tcW w:w="567" w:type="dxa"/>
          </w:tcPr>
          <w:p w14:paraId="78E282D9" w14:textId="77777777" w:rsidR="00A6605D" w:rsidRDefault="00413D7E">
            <w:pPr>
              <w:jc w:val="center"/>
              <w:rPr>
                <w:rFonts w:ascii="Arial Unicode MS" w:hAnsi="Arial Unicode MS"/>
                <w:bCs/>
              </w:rPr>
            </w:pPr>
            <w:r>
              <w:rPr>
                <w:rFonts w:ascii="宋体" w:hAnsi="宋体" w:cs="Arial" w:hint="eastAsia"/>
              </w:rPr>
              <w:lastRenderedPageBreak/>
              <w:t>6</w:t>
            </w:r>
          </w:p>
        </w:tc>
        <w:tc>
          <w:tcPr>
            <w:tcW w:w="2692" w:type="dxa"/>
          </w:tcPr>
          <w:p w14:paraId="24C2BF56" w14:textId="77777777" w:rsidR="00A6605D" w:rsidRDefault="00413D7E">
            <w:pPr>
              <w:jc w:val="center"/>
              <w:rPr>
                <w:rFonts w:ascii="Arial Unicode MS" w:hAnsi="Arial Unicode MS"/>
                <w:bCs/>
              </w:rPr>
            </w:pPr>
            <w:r>
              <w:rPr>
                <w:rFonts w:asciiTheme="minorEastAsia" w:hAnsiTheme="minorEastAsia" w:cs="Arial" w:hint="eastAsia"/>
              </w:rPr>
              <w:t>五矿证券有限公司</w:t>
            </w:r>
          </w:p>
        </w:tc>
        <w:tc>
          <w:tcPr>
            <w:tcW w:w="5105" w:type="dxa"/>
          </w:tcPr>
          <w:p w14:paraId="5E330D7F"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Pr>
                <w:rFonts w:ascii="宋体" w:hAnsi="宋体" w:cs="Calibri" w:hint="eastAsia"/>
                <w:color w:val="000000"/>
                <w:szCs w:val="21"/>
              </w:rPr>
              <w:t>深圳市福田区金田路</w:t>
            </w:r>
            <w:r>
              <w:rPr>
                <w:rFonts w:ascii="宋体" w:hAnsi="宋体" w:cs="Calibri"/>
                <w:color w:val="000000"/>
                <w:szCs w:val="21"/>
              </w:rPr>
              <w:t>4028号荣超经贸中心47层01单元</w:t>
            </w:r>
          </w:p>
          <w:p w14:paraId="6799B75F"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0F1CA97B" w14:textId="77777777" w:rsidR="00A6605D" w:rsidRDefault="00413D7E">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www.wkzq.com.cn</w:t>
            </w:r>
          </w:p>
        </w:tc>
      </w:tr>
      <w:tr w:rsidR="00A6605D" w14:paraId="68DA6107" w14:textId="77777777" w:rsidTr="006B2775">
        <w:tc>
          <w:tcPr>
            <w:tcW w:w="567" w:type="dxa"/>
          </w:tcPr>
          <w:p w14:paraId="33494F55" w14:textId="77777777" w:rsidR="00A6605D" w:rsidRDefault="00413D7E">
            <w:pPr>
              <w:jc w:val="center"/>
              <w:rPr>
                <w:rFonts w:ascii="Arial Unicode MS" w:hAnsi="Arial Unicode MS"/>
                <w:bCs/>
              </w:rPr>
            </w:pPr>
            <w:r>
              <w:rPr>
                <w:rFonts w:ascii="宋体" w:hAnsi="宋体" w:cs="Arial" w:hint="eastAsia"/>
              </w:rPr>
              <w:t>7</w:t>
            </w:r>
          </w:p>
        </w:tc>
        <w:tc>
          <w:tcPr>
            <w:tcW w:w="2692" w:type="dxa"/>
          </w:tcPr>
          <w:p w14:paraId="1E7543A7" w14:textId="77777777" w:rsidR="00A6605D" w:rsidRDefault="00413D7E">
            <w:pPr>
              <w:jc w:val="center"/>
              <w:rPr>
                <w:rFonts w:ascii="Arial Unicode MS" w:hAnsi="Arial Unicode MS"/>
                <w:bCs/>
              </w:rPr>
            </w:pPr>
            <w:r>
              <w:rPr>
                <w:rFonts w:ascii="宋体" w:hAnsi="宋体" w:cs="Calibri" w:hint="eastAsia"/>
                <w:color w:val="000000"/>
                <w:szCs w:val="21"/>
              </w:rPr>
              <w:t>东方财富证券股份有限公司</w:t>
            </w:r>
          </w:p>
        </w:tc>
        <w:tc>
          <w:tcPr>
            <w:tcW w:w="5105" w:type="dxa"/>
          </w:tcPr>
          <w:p w14:paraId="13B113FE"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 xml:space="preserve">注册(办公)地址：西藏自治区拉萨市柳梧新区国际总部城10栋楼 </w:t>
            </w:r>
          </w:p>
          <w:p w14:paraId="0B58C534"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客户服务电话：95357</w:t>
            </w:r>
          </w:p>
          <w:p w14:paraId="67920BC5" w14:textId="77777777" w:rsidR="00A6605D" w:rsidRDefault="00413D7E">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A6605D" w14:paraId="03FF6FB4" w14:textId="77777777" w:rsidTr="006B2775">
        <w:tc>
          <w:tcPr>
            <w:tcW w:w="567" w:type="dxa"/>
          </w:tcPr>
          <w:p w14:paraId="1CC928EE" w14:textId="77777777" w:rsidR="00A6605D" w:rsidRDefault="00413D7E">
            <w:pPr>
              <w:jc w:val="center"/>
              <w:rPr>
                <w:rFonts w:ascii="Arial Unicode MS" w:hAnsi="Arial Unicode MS"/>
                <w:bCs/>
              </w:rPr>
            </w:pPr>
            <w:r>
              <w:rPr>
                <w:rFonts w:ascii="宋体" w:hAnsi="宋体" w:cs="Arial" w:hint="eastAsia"/>
              </w:rPr>
              <w:t>8</w:t>
            </w:r>
          </w:p>
        </w:tc>
        <w:tc>
          <w:tcPr>
            <w:tcW w:w="2692" w:type="dxa"/>
          </w:tcPr>
          <w:p w14:paraId="6C33EEB3" w14:textId="77777777" w:rsidR="00A6605D" w:rsidRDefault="00413D7E">
            <w:pPr>
              <w:jc w:val="center"/>
              <w:rPr>
                <w:rFonts w:ascii="Arial Unicode MS" w:hAnsi="Arial Unicode MS"/>
                <w:bCs/>
              </w:rPr>
            </w:pPr>
            <w:r>
              <w:rPr>
                <w:rFonts w:asciiTheme="minorEastAsia" w:hAnsiTheme="minorEastAsia" w:cs="Arial" w:hint="eastAsia"/>
              </w:rPr>
              <w:t>光大证券股份有限公司</w:t>
            </w:r>
          </w:p>
        </w:tc>
        <w:tc>
          <w:tcPr>
            <w:tcW w:w="5105" w:type="dxa"/>
          </w:tcPr>
          <w:p w14:paraId="1F594ABB"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注册(办公)地址 : 上海市静安区新闸路1508号</w:t>
            </w:r>
          </w:p>
          <w:p w14:paraId="3F94AB98"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客户服务电话：95525</w:t>
            </w:r>
          </w:p>
          <w:p w14:paraId="4587C0E2"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网址：www.ebscn.com</w:t>
            </w:r>
          </w:p>
        </w:tc>
      </w:tr>
      <w:tr w:rsidR="00A6605D" w14:paraId="1DD04DFF" w14:textId="77777777" w:rsidTr="006B2775">
        <w:tc>
          <w:tcPr>
            <w:tcW w:w="567" w:type="dxa"/>
          </w:tcPr>
          <w:p w14:paraId="796CF872" w14:textId="77777777" w:rsidR="00A6605D" w:rsidRDefault="00413D7E">
            <w:pPr>
              <w:jc w:val="center"/>
              <w:rPr>
                <w:rFonts w:ascii="Arial Unicode MS" w:hAnsi="Arial Unicode MS"/>
                <w:bCs/>
              </w:rPr>
            </w:pPr>
            <w:r>
              <w:rPr>
                <w:rFonts w:ascii="宋体" w:hAnsi="宋体" w:cs="Arial" w:hint="eastAsia"/>
              </w:rPr>
              <w:t>9</w:t>
            </w:r>
          </w:p>
        </w:tc>
        <w:tc>
          <w:tcPr>
            <w:tcW w:w="2692" w:type="dxa"/>
          </w:tcPr>
          <w:p w14:paraId="6484261F" w14:textId="77777777" w:rsidR="00A6605D" w:rsidRDefault="00413D7E">
            <w:pPr>
              <w:jc w:val="center"/>
              <w:rPr>
                <w:rFonts w:ascii="Arial Unicode MS" w:hAnsi="Arial Unicode MS"/>
                <w:bCs/>
              </w:rPr>
            </w:pPr>
            <w:r>
              <w:rPr>
                <w:rFonts w:ascii="宋体" w:hAnsi="宋体" w:cs="Calibri" w:hint="eastAsia"/>
                <w:color w:val="000000"/>
                <w:szCs w:val="21"/>
              </w:rPr>
              <w:t>上海基煜基金销售有限公司</w:t>
            </w:r>
          </w:p>
        </w:tc>
        <w:tc>
          <w:tcPr>
            <w:tcW w:w="5105" w:type="dxa"/>
          </w:tcPr>
          <w:p w14:paraId="3CB76514"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办公地址：上海市杨浦区昆明路518号A1002室</w:t>
            </w:r>
          </w:p>
          <w:p w14:paraId="62AD86BB"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客户服务电话：4008205369</w:t>
            </w:r>
          </w:p>
          <w:p w14:paraId="3616A54D"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网址：www.jiyufund.com.cn</w:t>
            </w:r>
          </w:p>
        </w:tc>
      </w:tr>
      <w:tr w:rsidR="00A6605D" w14:paraId="69C40293" w14:textId="77777777" w:rsidTr="006B2775">
        <w:tc>
          <w:tcPr>
            <w:tcW w:w="567" w:type="dxa"/>
          </w:tcPr>
          <w:p w14:paraId="5B4CED00" w14:textId="77777777" w:rsidR="00A6605D" w:rsidRDefault="00413D7E">
            <w:pPr>
              <w:jc w:val="center"/>
              <w:rPr>
                <w:rFonts w:ascii="Arial Unicode MS" w:hAnsi="Arial Unicode MS"/>
                <w:bCs/>
              </w:rPr>
            </w:pPr>
            <w:r>
              <w:rPr>
                <w:rFonts w:ascii="宋体" w:hAnsi="宋体" w:cs="Arial" w:hint="eastAsia"/>
              </w:rPr>
              <w:t>10</w:t>
            </w:r>
          </w:p>
        </w:tc>
        <w:tc>
          <w:tcPr>
            <w:tcW w:w="2692" w:type="dxa"/>
          </w:tcPr>
          <w:p w14:paraId="312D1023" w14:textId="77777777" w:rsidR="00A6605D" w:rsidRDefault="00413D7E">
            <w:pPr>
              <w:jc w:val="center"/>
              <w:rPr>
                <w:rFonts w:ascii="Arial Unicode MS" w:hAnsi="Arial Unicode MS"/>
                <w:bCs/>
              </w:rPr>
            </w:pPr>
            <w:r>
              <w:rPr>
                <w:rFonts w:asciiTheme="minorEastAsia" w:hAnsiTheme="minorEastAsia" w:cs="Arial" w:hint="eastAsia"/>
              </w:rPr>
              <w:t>奕丰金融销售有限公司</w:t>
            </w:r>
          </w:p>
        </w:tc>
        <w:tc>
          <w:tcPr>
            <w:tcW w:w="5105" w:type="dxa"/>
          </w:tcPr>
          <w:p w14:paraId="28D0E136"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深圳市前海深港合作区前湾一路</w:t>
            </w:r>
            <w:r>
              <w:rPr>
                <w:rFonts w:ascii="宋体" w:hAnsi="宋体" w:cs="Calibri"/>
                <w:color w:val="000000"/>
                <w:szCs w:val="21"/>
              </w:rPr>
              <w:t>1</w:t>
            </w:r>
            <w:r>
              <w:rPr>
                <w:rFonts w:ascii="宋体" w:hAnsi="宋体" w:cs="Calibri" w:hint="eastAsia"/>
                <w:color w:val="000000"/>
                <w:szCs w:val="21"/>
              </w:rPr>
              <w:t>号</w:t>
            </w:r>
            <w:r>
              <w:rPr>
                <w:rFonts w:ascii="宋体" w:hAnsi="宋体" w:cs="Calibri"/>
                <w:color w:val="000000"/>
                <w:szCs w:val="21"/>
              </w:rPr>
              <w:t>A</w:t>
            </w:r>
            <w:r>
              <w:rPr>
                <w:rFonts w:ascii="宋体" w:hAnsi="宋体" w:cs="Calibri" w:hint="eastAsia"/>
                <w:color w:val="000000"/>
                <w:szCs w:val="21"/>
              </w:rPr>
              <w:t>栋</w:t>
            </w:r>
            <w:r>
              <w:rPr>
                <w:rFonts w:ascii="宋体" w:hAnsi="宋体" w:cs="Calibri"/>
                <w:color w:val="000000"/>
                <w:szCs w:val="21"/>
              </w:rPr>
              <w:t>201</w:t>
            </w:r>
            <w:r>
              <w:rPr>
                <w:rFonts w:ascii="宋体" w:hAnsi="宋体" w:cs="Calibri" w:hint="eastAsia"/>
                <w:color w:val="000000"/>
                <w:szCs w:val="21"/>
              </w:rPr>
              <w:t>室（入驻深圳市前海商务秘书有限公司）</w:t>
            </w:r>
          </w:p>
          <w:p w14:paraId="705CADEE"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2E897115"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www.ifastps.com.cn</w:t>
            </w:r>
          </w:p>
        </w:tc>
      </w:tr>
      <w:tr w:rsidR="00A6605D" w14:paraId="6DBEABB9" w14:textId="77777777" w:rsidTr="006B2775">
        <w:tc>
          <w:tcPr>
            <w:tcW w:w="567" w:type="dxa"/>
          </w:tcPr>
          <w:p w14:paraId="1FA3BA57" w14:textId="77777777" w:rsidR="00A6605D" w:rsidRDefault="00413D7E">
            <w:pPr>
              <w:jc w:val="center"/>
              <w:rPr>
                <w:rFonts w:ascii="Arial Unicode MS" w:hAnsi="Arial Unicode MS"/>
                <w:bCs/>
              </w:rPr>
            </w:pPr>
            <w:r>
              <w:rPr>
                <w:rFonts w:ascii="宋体" w:hAnsi="宋体" w:cs="Arial" w:hint="eastAsia"/>
              </w:rPr>
              <w:t>11</w:t>
            </w:r>
          </w:p>
        </w:tc>
        <w:tc>
          <w:tcPr>
            <w:tcW w:w="2692" w:type="dxa"/>
          </w:tcPr>
          <w:p w14:paraId="67305586" w14:textId="77777777" w:rsidR="00A6605D" w:rsidRDefault="00413D7E">
            <w:pPr>
              <w:jc w:val="center"/>
              <w:rPr>
                <w:rFonts w:ascii="Arial Unicode MS" w:hAnsi="Arial Unicode MS"/>
                <w:bCs/>
              </w:rPr>
            </w:pPr>
            <w:r>
              <w:rPr>
                <w:rFonts w:ascii="宋体" w:hAnsi="宋体" w:cs="Calibri" w:hint="eastAsia"/>
                <w:color w:val="000000"/>
                <w:szCs w:val="21"/>
              </w:rPr>
              <w:t>上海好买基金销售有限公司</w:t>
            </w:r>
          </w:p>
        </w:tc>
        <w:tc>
          <w:tcPr>
            <w:tcW w:w="5105" w:type="dxa"/>
          </w:tcPr>
          <w:p w14:paraId="444DDF2E"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办公地址：上海市浦东新区浦东南路1118号鄂尔多斯大厦9楼</w:t>
            </w:r>
          </w:p>
          <w:p w14:paraId="7A77B7F5"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客服电话：400-700-9665</w:t>
            </w:r>
          </w:p>
          <w:p w14:paraId="5DD92072" w14:textId="77777777" w:rsidR="00A6605D" w:rsidRDefault="00413D7E">
            <w:pPr>
              <w:widowControl/>
              <w:spacing w:line="360" w:lineRule="auto"/>
              <w:jc w:val="left"/>
              <w:rPr>
                <w:rFonts w:ascii="Arial Unicode MS" w:hAnsi="Arial Unicode MS"/>
                <w:bCs/>
              </w:rPr>
            </w:pPr>
            <w:r>
              <w:rPr>
                <w:rFonts w:ascii="宋体" w:hAnsi="宋体" w:cs="Calibri" w:hint="eastAsia"/>
                <w:color w:val="000000"/>
                <w:szCs w:val="21"/>
              </w:rPr>
              <w:t>公司网址：www.ehowbuy.com</w:t>
            </w:r>
          </w:p>
        </w:tc>
      </w:tr>
      <w:tr w:rsidR="00A6605D" w14:paraId="30A7BF07" w14:textId="77777777" w:rsidTr="006B2775">
        <w:tc>
          <w:tcPr>
            <w:tcW w:w="567" w:type="dxa"/>
          </w:tcPr>
          <w:p w14:paraId="46CED124" w14:textId="77777777" w:rsidR="00A6605D" w:rsidRDefault="00413D7E">
            <w:pPr>
              <w:jc w:val="center"/>
              <w:rPr>
                <w:rFonts w:ascii="Arial Unicode MS" w:hAnsi="Arial Unicode MS"/>
                <w:bCs/>
              </w:rPr>
            </w:pPr>
            <w:r>
              <w:rPr>
                <w:rFonts w:ascii="宋体" w:hAnsi="宋体" w:cs="Arial" w:hint="eastAsia"/>
              </w:rPr>
              <w:t>12</w:t>
            </w:r>
          </w:p>
        </w:tc>
        <w:tc>
          <w:tcPr>
            <w:tcW w:w="2692" w:type="dxa"/>
          </w:tcPr>
          <w:p w14:paraId="073A3284" w14:textId="77777777" w:rsidR="00A6605D" w:rsidRDefault="00413D7E">
            <w:pPr>
              <w:jc w:val="center"/>
              <w:rPr>
                <w:rFonts w:ascii="Arial Unicode MS" w:hAnsi="Arial Unicode MS"/>
                <w:bCs/>
              </w:rPr>
            </w:pPr>
            <w:r>
              <w:rPr>
                <w:rFonts w:ascii="宋体" w:hAnsi="宋体" w:cs="Calibri" w:hint="eastAsia"/>
                <w:color w:val="000000"/>
                <w:szCs w:val="21"/>
              </w:rPr>
              <w:t>京东肯特瑞财富投资管理有限公司</w:t>
            </w:r>
          </w:p>
        </w:tc>
        <w:tc>
          <w:tcPr>
            <w:tcW w:w="5105" w:type="dxa"/>
          </w:tcPr>
          <w:p w14:paraId="5EB09CA9"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注册(办公)地址：北京市海淀区显龙山路19号1幢4层1座401</w:t>
            </w:r>
          </w:p>
          <w:p w14:paraId="3876EDC4"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客户服务电话：95118</w:t>
            </w:r>
          </w:p>
          <w:p w14:paraId="458C4109" w14:textId="77777777" w:rsidR="00A6605D" w:rsidRDefault="00413D7E">
            <w:pPr>
              <w:widowControl/>
              <w:spacing w:line="360" w:lineRule="auto"/>
              <w:jc w:val="left"/>
              <w:rPr>
                <w:rFonts w:ascii="Arial Unicode MS" w:hAnsi="Arial Unicode MS"/>
                <w:bCs/>
              </w:rPr>
            </w:pPr>
            <w:r>
              <w:rPr>
                <w:rFonts w:ascii="宋体" w:hAnsi="宋体" w:cs="Calibri" w:hint="eastAsia"/>
                <w:color w:val="000000"/>
                <w:szCs w:val="21"/>
              </w:rPr>
              <w:t>网址：http://kenterui.jd.com/</w:t>
            </w:r>
          </w:p>
        </w:tc>
      </w:tr>
      <w:tr w:rsidR="00A6605D" w14:paraId="155DF7C4" w14:textId="77777777" w:rsidTr="006B2775">
        <w:tc>
          <w:tcPr>
            <w:tcW w:w="567" w:type="dxa"/>
          </w:tcPr>
          <w:p w14:paraId="2E583155" w14:textId="77777777" w:rsidR="00A6605D" w:rsidRDefault="00413D7E">
            <w:pPr>
              <w:jc w:val="center"/>
              <w:rPr>
                <w:rFonts w:ascii="Arial Unicode MS" w:hAnsi="Arial Unicode MS"/>
                <w:bCs/>
              </w:rPr>
            </w:pPr>
            <w:r>
              <w:rPr>
                <w:rFonts w:ascii="宋体" w:hAnsi="宋体" w:cs="Arial" w:hint="eastAsia"/>
              </w:rPr>
              <w:t>13</w:t>
            </w:r>
          </w:p>
        </w:tc>
        <w:tc>
          <w:tcPr>
            <w:tcW w:w="2692" w:type="dxa"/>
          </w:tcPr>
          <w:p w14:paraId="08694FCA" w14:textId="77777777" w:rsidR="00A6605D" w:rsidRDefault="00413D7E">
            <w:pPr>
              <w:jc w:val="center"/>
              <w:rPr>
                <w:rFonts w:ascii="Arial Unicode MS" w:hAnsi="Arial Unicode MS"/>
                <w:bCs/>
              </w:rPr>
            </w:pPr>
            <w:r>
              <w:rPr>
                <w:rFonts w:ascii="宋体" w:hAnsi="宋体" w:cs="Calibri" w:hint="eastAsia"/>
                <w:color w:val="000000"/>
                <w:szCs w:val="21"/>
              </w:rPr>
              <w:t>北京虹点基金销售有限公司</w:t>
            </w:r>
          </w:p>
        </w:tc>
        <w:tc>
          <w:tcPr>
            <w:tcW w:w="5105" w:type="dxa"/>
          </w:tcPr>
          <w:p w14:paraId="4B26BDEA"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注册地址：北京市朝阳区工人体育场北路甲2号裙房2层222单元</w:t>
            </w:r>
          </w:p>
          <w:p w14:paraId="2850A96E"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400-618-0707</w:t>
            </w:r>
          </w:p>
          <w:p w14:paraId="39809842" w14:textId="77777777" w:rsidR="00A6605D" w:rsidRDefault="00413D7E">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http://www.hongdianfund.com/</w:t>
            </w:r>
          </w:p>
        </w:tc>
      </w:tr>
      <w:tr w:rsidR="00A6605D" w14:paraId="5B6A5DAC" w14:textId="77777777" w:rsidTr="006B2775">
        <w:tc>
          <w:tcPr>
            <w:tcW w:w="567" w:type="dxa"/>
          </w:tcPr>
          <w:p w14:paraId="50F6E13C" w14:textId="77777777" w:rsidR="00A6605D" w:rsidRDefault="00413D7E">
            <w:pPr>
              <w:jc w:val="center"/>
              <w:rPr>
                <w:rFonts w:ascii="Arial Unicode MS" w:hAnsi="Arial Unicode MS"/>
                <w:bCs/>
              </w:rPr>
            </w:pPr>
            <w:r>
              <w:rPr>
                <w:rFonts w:ascii="宋体" w:hAnsi="宋体" w:cs="Arial" w:hint="eastAsia"/>
              </w:rPr>
              <w:lastRenderedPageBreak/>
              <w:t>14</w:t>
            </w:r>
          </w:p>
        </w:tc>
        <w:tc>
          <w:tcPr>
            <w:tcW w:w="2692" w:type="dxa"/>
          </w:tcPr>
          <w:p w14:paraId="2A2B9C21" w14:textId="77777777" w:rsidR="00A6605D" w:rsidRDefault="00413D7E">
            <w:pPr>
              <w:jc w:val="center"/>
              <w:rPr>
                <w:rFonts w:ascii="Arial Unicode MS" w:hAnsi="Arial Unicode MS"/>
                <w:bCs/>
              </w:rPr>
            </w:pPr>
            <w:r>
              <w:rPr>
                <w:rFonts w:ascii="宋体" w:hAnsi="宋体" w:cs="Calibri" w:hint="eastAsia"/>
                <w:color w:val="000000"/>
                <w:szCs w:val="21"/>
              </w:rPr>
              <w:t>蚂蚁（杭州）基金销售有限公司</w:t>
            </w:r>
          </w:p>
        </w:tc>
        <w:tc>
          <w:tcPr>
            <w:tcW w:w="5105" w:type="dxa"/>
          </w:tcPr>
          <w:p w14:paraId="661175F4"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办公地址：浙江省杭州市西湖区万塘路</w:t>
            </w:r>
            <w:r>
              <w:rPr>
                <w:rFonts w:ascii="宋体" w:hAnsi="宋体" w:cs="Calibri"/>
                <w:color w:val="000000"/>
                <w:szCs w:val="21"/>
              </w:rPr>
              <w:t>18</w:t>
            </w:r>
            <w:r>
              <w:rPr>
                <w:rFonts w:ascii="宋体" w:hAnsi="宋体" w:cs="Calibri" w:hint="eastAsia"/>
                <w:color w:val="000000"/>
                <w:szCs w:val="21"/>
              </w:rPr>
              <w:t>号黄龙时代广场</w:t>
            </w:r>
            <w:r>
              <w:rPr>
                <w:rFonts w:ascii="宋体" w:hAnsi="宋体" w:cs="Calibri"/>
                <w:color w:val="000000"/>
                <w:szCs w:val="21"/>
              </w:rPr>
              <w:t>B</w:t>
            </w:r>
            <w:r>
              <w:rPr>
                <w:rFonts w:ascii="宋体" w:hAnsi="宋体" w:cs="Calibri" w:hint="eastAsia"/>
                <w:color w:val="000000"/>
                <w:szCs w:val="21"/>
              </w:rPr>
              <w:t>座</w:t>
            </w:r>
            <w:r>
              <w:rPr>
                <w:rFonts w:ascii="宋体" w:hAnsi="宋体" w:cs="Calibri"/>
                <w:color w:val="000000"/>
                <w:szCs w:val="21"/>
              </w:rPr>
              <w:t>6F </w:t>
            </w:r>
          </w:p>
          <w:p w14:paraId="46E6F4EC"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客户服务电话：400-076-6123</w:t>
            </w:r>
          </w:p>
          <w:p w14:paraId="254ECF10" w14:textId="77777777" w:rsidR="00A6605D" w:rsidRDefault="00413D7E">
            <w:pPr>
              <w:widowControl/>
              <w:spacing w:line="360" w:lineRule="auto"/>
              <w:ind w:firstLineChars="300" w:firstLine="630"/>
              <w:jc w:val="left"/>
              <w:rPr>
                <w:rFonts w:ascii="Arial Unicode MS" w:hAnsi="Arial Unicode MS"/>
                <w:bCs/>
              </w:rPr>
            </w:pPr>
            <w:r>
              <w:rPr>
                <w:rFonts w:ascii="宋体" w:hAnsi="宋体" w:cs="Calibri" w:hint="eastAsia"/>
                <w:color w:val="000000"/>
                <w:szCs w:val="21"/>
              </w:rPr>
              <w:t>网址：</w:t>
            </w:r>
            <w:hyperlink r:id="rId31" w:history="1">
              <w:r>
                <w:rPr>
                  <w:rFonts w:ascii="宋体" w:hAnsi="宋体" w:cs="Calibri" w:hint="eastAsia"/>
                  <w:color w:val="000000"/>
                  <w:szCs w:val="21"/>
                </w:rPr>
                <w:t>www.fund123.cn</w:t>
              </w:r>
            </w:hyperlink>
          </w:p>
        </w:tc>
      </w:tr>
      <w:tr w:rsidR="00A6605D" w14:paraId="1C70CACF" w14:textId="77777777" w:rsidTr="006B2775">
        <w:tc>
          <w:tcPr>
            <w:tcW w:w="567" w:type="dxa"/>
          </w:tcPr>
          <w:p w14:paraId="1A98668E" w14:textId="77777777" w:rsidR="00A6605D" w:rsidRDefault="00413D7E">
            <w:pPr>
              <w:jc w:val="center"/>
              <w:rPr>
                <w:rFonts w:ascii="Arial Unicode MS" w:hAnsi="Arial Unicode MS"/>
                <w:bCs/>
              </w:rPr>
            </w:pPr>
            <w:r>
              <w:rPr>
                <w:rFonts w:ascii="宋体" w:hAnsi="宋体" w:cs="Arial" w:hint="eastAsia"/>
              </w:rPr>
              <w:t>15</w:t>
            </w:r>
          </w:p>
        </w:tc>
        <w:tc>
          <w:tcPr>
            <w:tcW w:w="2692" w:type="dxa"/>
          </w:tcPr>
          <w:p w14:paraId="63A30B9B" w14:textId="77777777" w:rsidR="00A6605D" w:rsidRDefault="00413D7E">
            <w:pPr>
              <w:jc w:val="center"/>
              <w:rPr>
                <w:rFonts w:ascii="Arial Unicode MS" w:hAnsi="Arial Unicode MS"/>
                <w:bCs/>
              </w:rPr>
            </w:pPr>
            <w:r>
              <w:rPr>
                <w:rFonts w:ascii="宋体" w:hAnsi="宋体" w:cs="Calibri" w:hint="eastAsia"/>
                <w:color w:val="000000"/>
                <w:szCs w:val="21"/>
              </w:rPr>
              <w:t>浙江同花顺基金销售有限公司</w:t>
            </w:r>
          </w:p>
        </w:tc>
        <w:tc>
          <w:tcPr>
            <w:tcW w:w="5105" w:type="dxa"/>
          </w:tcPr>
          <w:p w14:paraId="01013817"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 xml:space="preserve">注册(办公)地址：浙江省杭州市余杭区同顺街18号同花顺大楼 </w:t>
            </w:r>
          </w:p>
          <w:p w14:paraId="26D18AB9"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客户服务电话：400-877-3772</w:t>
            </w:r>
          </w:p>
          <w:p w14:paraId="4FC38FCF" w14:textId="77777777" w:rsidR="00A6605D" w:rsidRDefault="00413D7E">
            <w:pPr>
              <w:widowControl/>
              <w:spacing w:line="360" w:lineRule="auto"/>
              <w:jc w:val="left"/>
              <w:rPr>
                <w:rFonts w:ascii="Arial Unicode MS" w:hAnsi="Arial Unicode MS"/>
                <w:bCs/>
              </w:rPr>
            </w:pPr>
            <w:r>
              <w:rPr>
                <w:rFonts w:ascii="宋体" w:hAnsi="宋体" w:cs="Calibri" w:hint="eastAsia"/>
                <w:color w:val="000000"/>
                <w:szCs w:val="21"/>
              </w:rPr>
              <w:t>网址：</w:t>
            </w:r>
            <w:hyperlink r:id="rId32" w:history="1">
              <w:r>
                <w:rPr>
                  <w:rFonts w:cs="Calibri" w:hint="eastAsia"/>
                  <w:color w:val="000000"/>
                  <w:szCs w:val="21"/>
                </w:rPr>
                <w:t>www.5ifund.com</w:t>
              </w:r>
            </w:hyperlink>
          </w:p>
        </w:tc>
      </w:tr>
      <w:tr w:rsidR="00A6605D" w14:paraId="73925DC4" w14:textId="77777777" w:rsidTr="006B2775">
        <w:tc>
          <w:tcPr>
            <w:tcW w:w="567" w:type="dxa"/>
          </w:tcPr>
          <w:p w14:paraId="2E2137D3" w14:textId="77777777" w:rsidR="00A6605D" w:rsidRDefault="00413D7E">
            <w:pPr>
              <w:jc w:val="center"/>
              <w:rPr>
                <w:rFonts w:ascii="Arial Unicode MS" w:hAnsi="Arial Unicode MS"/>
                <w:bCs/>
              </w:rPr>
            </w:pPr>
            <w:r>
              <w:rPr>
                <w:rFonts w:ascii="宋体" w:hAnsi="宋体" w:cs="Arial" w:hint="eastAsia"/>
              </w:rPr>
              <w:t>16</w:t>
            </w:r>
          </w:p>
        </w:tc>
        <w:tc>
          <w:tcPr>
            <w:tcW w:w="2692" w:type="dxa"/>
          </w:tcPr>
          <w:p w14:paraId="4B675E36" w14:textId="77777777" w:rsidR="00A6605D" w:rsidRDefault="00413D7E">
            <w:pPr>
              <w:jc w:val="center"/>
              <w:rPr>
                <w:rFonts w:ascii="Arial Unicode MS" w:hAnsi="Arial Unicode MS"/>
                <w:bCs/>
              </w:rPr>
            </w:pPr>
            <w:r>
              <w:rPr>
                <w:rFonts w:ascii="宋体" w:hAnsi="宋体" w:cs="Calibri" w:hint="eastAsia"/>
                <w:color w:val="000000"/>
                <w:szCs w:val="21"/>
              </w:rPr>
              <w:t>上海陆金所基金销售有限公司</w:t>
            </w:r>
          </w:p>
        </w:tc>
        <w:tc>
          <w:tcPr>
            <w:tcW w:w="5105" w:type="dxa"/>
          </w:tcPr>
          <w:p w14:paraId="57961F2C"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办公地址：中国（上海）自由贸易试验区陆家嘴环路1333号14楼09单元</w:t>
            </w:r>
          </w:p>
          <w:p w14:paraId="3536C7DB"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客服电话：4008219031</w:t>
            </w:r>
          </w:p>
          <w:p w14:paraId="119DF37B" w14:textId="77777777" w:rsidR="00A6605D" w:rsidRDefault="00413D7E">
            <w:pPr>
              <w:widowControl/>
              <w:spacing w:line="360" w:lineRule="auto"/>
              <w:jc w:val="left"/>
              <w:rPr>
                <w:rFonts w:ascii="Arial Unicode MS" w:hAnsi="Arial Unicode MS"/>
                <w:bCs/>
              </w:rPr>
            </w:pPr>
            <w:r>
              <w:rPr>
                <w:rFonts w:ascii="宋体" w:hAnsi="宋体" w:cs="Calibri" w:hint="eastAsia"/>
                <w:color w:val="000000"/>
                <w:szCs w:val="21"/>
              </w:rPr>
              <w:t>公司网址：</w:t>
            </w:r>
            <w:r>
              <w:rPr>
                <w:rFonts w:ascii="宋体" w:hAnsi="宋体" w:cs="Calibri"/>
                <w:color w:val="000000"/>
                <w:szCs w:val="21"/>
              </w:rPr>
              <w:t>www.lufunds.com</w:t>
            </w:r>
          </w:p>
        </w:tc>
      </w:tr>
      <w:tr w:rsidR="00A6605D" w14:paraId="0E5A084B" w14:textId="77777777" w:rsidTr="006B2775">
        <w:tc>
          <w:tcPr>
            <w:tcW w:w="567" w:type="dxa"/>
          </w:tcPr>
          <w:p w14:paraId="51242F39" w14:textId="77777777" w:rsidR="00A6605D" w:rsidRDefault="00413D7E">
            <w:pPr>
              <w:jc w:val="center"/>
              <w:rPr>
                <w:rFonts w:ascii="宋体" w:hAnsi="宋体" w:cs="宋体"/>
                <w:szCs w:val="21"/>
              </w:rPr>
            </w:pPr>
            <w:r>
              <w:rPr>
                <w:rFonts w:ascii="宋体" w:hAnsi="宋体" w:cs="Arial" w:hint="eastAsia"/>
              </w:rPr>
              <w:t>17</w:t>
            </w:r>
          </w:p>
        </w:tc>
        <w:tc>
          <w:tcPr>
            <w:tcW w:w="2692" w:type="dxa"/>
          </w:tcPr>
          <w:p w14:paraId="743483D5" w14:textId="77777777" w:rsidR="00A6605D" w:rsidRDefault="00413D7E">
            <w:pPr>
              <w:jc w:val="center"/>
              <w:rPr>
                <w:rFonts w:ascii="宋体" w:hAnsi="宋体" w:cs="宋体"/>
                <w:szCs w:val="21"/>
                <w:lang w:val="zh-CN"/>
              </w:rPr>
            </w:pPr>
            <w:r>
              <w:rPr>
                <w:rFonts w:ascii="宋体" w:hAnsi="宋体" w:cs="Calibri" w:hint="eastAsia"/>
                <w:color w:val="000000"/>
                <w:szCs w:val="21"/>
              </w:rPr>
              <w:t>上海联泰资产管理有限公司</w:t>
            </w:r>
          </w:p>
        </w:tc>
        <w:tc>
          <w:tcPr>
            <w:tcW w:w="5105" w:type="dxa"/>
          </w:tcPr>
          <w:p w14:paraId="1DB27253"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办公地址：中国（上海）自由贸易试验区富特北路277号3层310室</w:t>
            </w:r>
          </w:p>
          <w:p w14:paraId="61D89C03"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客服电话：4000466788</w:t>
            </w:r>
          </w:p>
          <w:p w14:paraId="4DE61254" w14:textId="77777777" w:rsidR="00A6605D" w:rsidRDefault="00413D7E">
            <w:pPr>
              <w:widowControl/>
              <w:spacing w:line="360" w:lineRule="auto"/>
              <w:jc w:val="left"/>
              <w:rPr>
                <w:rFonts w:ascii="宋体" w:hAnsi="宋体" w:cs="宋体"/>
                <w:szCs w:val="21"/>
                <w:lang w:val="zh-CN"/>
              </w:rPr>
            </w:pPr>
            <w:r>
              <w:rPr>
                <w:rFonts w:ascii="宋体" w:hAnsi="宋体" w:cs="Calibri" w:hint="eastAsia"/>
                <w:color w:val="000000"/>
                <w:szCs w:val="21"/>
              </w:rPr>
              <w:t>公司网址：</w:t>
            </w:r>
            <w:r>
              <w:rPr>
                <w:rFonts w:ascii="宋体" w:hAnsi="宋体" w:cs="Calibri"/>
                <w:color w:val="000000"/>
                <w:szCs w:val="21"/>
              </w:rPr>
              <w:t xml:space="preserve"> www.66zichan.com</w:t>
            </w:r>
          </w:p>
        </w:tc>
      </w:tr>
      <w:tr w:rsidR="00A6605D" w14:paraId="3063E7BC" w14:textId="77777777" w:rsidTr="006B2775">
        <w:tc>
          <w:tcPr>
            <w:tcW w:w="567" w:type="dxa"/>
          </w:tcPr>
          <w:p w14:paraId="2EFCEEAD" w14:textId="77777777" w:rsidR="00A6605D" w:rsidRDefault="00413D7E">
            <w:pPr>
              <w:jc w:val="center"/>
              <w:rPr>
                <w:rFonts w:ascii="宋体" w:hAnsi="宋体" w:cs="宋体"/>
                <w:szCs w:val="21"/>
              </w:rPr>
            </w:pPr>
            <w:r>
              <w:rPr>
                <w:rFonts w:ascii="宋体" w:hAnsi="宋体" w:cs="Arial" w:hint="eastAsia"/>
              </w:rPr>
              <w:t>18</w:t>
            </w:r>
          </w:p>
        </w:tc>
        <w:tc>
          <w:tcPr>
            <w:tcW w:w="2692" w:type="dxa"/>
          </w:tcPr>
          <w:p w14:paraId="385D3CFD" w14:textId="77777777" w:rsidR="00A6605D" w:rsidRDefault="00413D7E">
            <w:pPr>
              <w:jc w:val="center"/>
              <w:rPr>
                <w:rFonts w:ascii="宋体" w:hAnsi="宋体" w:cs="宋体"/>
                <w:szCs w:val="21"/>
                <w:lang w:val="zh-CN"/>
              </w:rPr>
            </w:pPr>
            <w:r>
              <w:rPr>
                <w:rFonts w:ascii="宋体" w:hAnsi="宋体" w:cs="Calibri" w:hint="eastAsia"/>
                <w:color w:val="000000"/>
                <w:szCs w:val="21"/>
              </w:rPr>
              <w:t>上海天天基金销售有限公司</w:t>
            </w:r>
          </w:p>
        </w:tc>
        <w:tc>
          <w:tcPr>
            <w:tcW w:w="5105" w:type="dxa"/>
          </w:tcPr>
          <w:p w14:paraId="6BF97D17"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办公地址：上海市徐汇区宛平南路</w:t>
            </w:r>
            <w:r>
              <w:rPr>
                <w:rFonts w:ascii="宋体" w:hAnsi="宋体" w:cs="Calibri"/>
                <w:color w:val="000000"/>
                <w:szCs w:val="21"/>
              </w:rPr>
              <w:t>88</w:t>
            </w:r>
            <w:r>
              <w:rPr>
                <w:rFonts w:ascii="宋体" w:hAnsi="宋体" w:cs="Calibri" w:hint="eastAsia"/>
                <w:color w:val="000000"/>
                <w:szCs w:val="21"/>
              </w:rPr>
              <w:t>号金座（北楼）</w:t>
            </w:r>
            <w:r>
              <w:rPr>
                <w:rFonts w:ascii="宋体" w:hAnsi="宋体" w:cs="Calibri"/>
                <w:color w:val="000000"/>
                <w:szCs w:val="21"/>
              </w:rPr>
              <w:t>25</w:t>
            </w:r>
            <w:r>
              <w:rPr>
                <w:rFonts w:ascii="宋体" w:hAnsi="宋体" w:cs="Calibri" w:hint="eastAsia"/>
                <w:color w:val="000000"/>
                <w:szCs w:val="21"/>
              </w:rPr>
              <w:t>层</w:t>
            </w:r>
          </w:p>
          <w:p w14:paraId="5D40CA9F"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客服电话：400-1818-188</w:t>
            </w:r>
          </w:p>
          <w:p w14:paraId="19AA2BED"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网址：http://www.1234567.com.cn</w:t>
            </w:r>
          </w:p>
        </w:tc>
      </w:tr>
      <w:tr w:rsidR="00A6605D" w14:paraId="3BD94FF9" w14:textId="77777777" w:rsidTr="006B2775">
        <w:tc>
          <w:tcPr>
            <w:tcW w:w="567" w:type="dxa"/>
          </w:tcPr>
          <w:p w14:paraId="03BDD976" w14:textId="77777777" w:rsidR="00A6605D" w:rsidRDefault="00413D7E">
            <w:pPr>
              <w:jc w:val="center"/>
              <w:rPr>
                <w:rFonts w:ascii="宋体" w:hAnsi="宋体" w:cs="宋体"/>
                <w:szCs w:val="21"/>
              </w:rPr>
            </w:pPr>
            <w:r>
              <w:rPr>
                <w:rFonts w:ascii="宋体" w:hAnsi="宋体" w:cs="Arial" w:hint="eastAsia"/>
              </w:rPr>
              <w:t>19</w:t>
            </w:r>
          </w:p>
        </w:tc>
        <w:tc>
          <w:tcPr>
            <w:tcW w:w="2692" w:type="dxa"/>
          </w:tcPr>
          <w:p w14:paraId="254C4641" w14:textId="77777777" w:rsidR="00A6605D" w:rsidRDefault="00413D7E">
            <w:pPr>
              <w:jc w:val="center"/>
              <w:rPr>
                <w:rFonts w:ascii="宋体" w:hAnsi="宋体" w:cs="宋体"/>
                <w:szCs w:val="21"/>
                <w:lang w:val="zh-CN"/>
              </w:rPr>
            </w:pPr>
            <w:r>
              <w:rPr>
                <w:rFonts w:ascii="宋体" w:hAnsi="宋体" w:cs="Calibri" w:hint="eastAsia"/>
                <w:color w:val="000000"/>
                <w:szCs w:val="21"/>
              </w:rPr>
              <w:t>珠海盈米财富管理有限公司</w:t>
            </w:r>
          </w:p>
        </w:tc>
        <w:tc>
          <w:tcPr>
            <w:tcW w:w="5105" w:type="dxa"/>
          </w:tcPr>
          <w:p w14:paraId="7A3002E7"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办公地址：广州市海珠区琶洲大道东1号保利国际广场南塔12楼B1201-1203</w:t>
            </w:r>
          </w:p>
          <w:p w14:paraId="1EEC4936"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客户服务电话：020-89629066</w:t>
            </w:r>
          </w:p>
          <w:p w14:paraId="69C168AB"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hyperlink r:id="rId33" w:history="1">
              <w:r>
                <w:rPr>
                  <w:rFonts w:ascii="宋体" w:hAnsi="宋体" w:cs="Calibri"/>
                  <w:color w:val="000000"/>
                  <w:szCs w:val="21"/>
                </w:rPr>
                <w:t>www.yingmi.cn</w:t>
              </w:r>
            </w:hyperlink>
          </w:p>
        </w:tc>
      </w:tr>
      <w:tr w:rsidR="00A6605D" w14:paraId="3E98B627" w14:textId="77777777" w:rsidTr="006B2775">
        <w:tc>
          <w:tcPr>
            <w:tcW w:w="567" w:type="dxa"/>
          </w:tcPr>
          <w:p w14:paraId="1ADDD3DC" w14:textId="77777777" w:rsidR="00A6605D" w:rsidRDefault="00413D7E">
            <w:pPr>
              <w:jc w:val="center"/>
              <w:rPr>
                <w:rFonts w:ascii="宋体" w:hAnsi="宋体" w:cs="宋体"/>
                <w:szCs w:val="21"/>
              </w:rPr>
            </w:pPr>
            <w:r>
              <w:rPr>
                <w:rFonts w:ascii="宋体" w:hAnsi="宋体" w:cs="Arial" w:hint="eastAsia"/>
              </w:rPr>
              <w:t>20</w:t>
            </w:r>
          </w:p>
        </w:tc>
        <w:tc>
          <w:tcPr>
            <w:tcW w:w="2692" w:type="dxa"/>
          </w:tcPr>
          <w:p w14:paraId="4B154E93" w14:textId="77777777" w:rsidR="00A6605D" w:rsidRDefault="00413D7E">
            <w:pPr>
              <w:jc w:val="center"/>
              <w:rPr>
                <w:rFonts w:ascii="宋体" w:hAnsi="宋体" w:cs="宋体"/>
                <w:szCs w:val="21"/>
                <w:lang w:val="zh-CN"/>
              </w:rPr>
            </w:pPr>
            <w:r>
              <w:rPr>
                <w:rFonts w:ascii="宋体" w:hAnsi="宋体" w:cs="Calibri" w:hint="eastAsia"/>
                <w:color w:val="000000"/>
                <w:szCs w:val="21"/>
              </w:rPr>
              <w:t>上海长量基金销售投资顾问有限公司</w:t>
            </w:r>
          </w:p>
        </w:tc>
        <w:tc>
          <w:tcPr>
            <w:tcW w:w="5105" w:type="dxa"/>
          </w:tcPr>
          <w:p w14:paraId="0B744B53"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办公地址：上海市浦东新区东方路1267号11层</w:t>
            </w:r>
          </w:p>
          <w:p w14:paraId="077A748A"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客服电话：400-820-2899</w:t>
            </w:r>
          </w:p>
          <w:p w14:paraId="7FD58D3F" w14:textId="77777777" w:rsidR="00A6605D" w:rsidRDefault="00413D7E">
            <w:pPr>
              <w:widowControl/>
              <w:spacing w:line="360" w:lineRule="auto"/>
              <w:jc w:val="left"/>
              <w:rPr>
                <w:rFonts w:ascii="宋体" w:hAnsi="宋体" w:cs="宋体"/>
                <w:szCs w:val="21"/>
                <w:lang w:val="zh-CN"/>
              </w:rPr>
            </w:pPr>
            <w:r>
              <w:rPr>
                <w:rFonts w:ascii="宋体" w:hAnsi="宋体" w:cs="Calibri" w:hint="eastAsia"/>
                <w:color w:val="000000"/>
                <w:szCs w:val="21"/>
              </w:rPr>
              <w:t>公司网站：</w:t>
            </w:r>
            <w:r>
              <w:rPr>
                <w:rFonts w:ascii="宋体" w:hAnsi="宋体" w:cs="Calibri"/>
                <w:color w:val="000000"/>
                <w:szCs w:val="21"/>
              </w:rPr>
              <w:t xml:space="preserve"> www.erichfund.com</w:t>
            </w:r>
          </w:p>
        </w:tc>
      </w:tr>
      <w:tr w:rsidR="00A6605D" w14:paraId="58FCAA6A" w14:textId="77777777" w:rsidTr="006B2775">
        <w:tc>
          <w:tcPr>
            <w:tcW w:w="567" w:type="dxa"/>
          </w:tcPr>
          <w:p w14:paraId="0390D136" w14:textId="77777777" w:rsidR="00A6605D" w:rsidRDefault="00413D7E">
            <w:pPr>
              <w:jc w:val="center"/>
              <w:rPr>
                <w:rFonts w:ascii="宋体" w:hAnsi="宋体" w:cs="宋体"/>
                <w:szCs w:val="21"/>
              </w:rPr>
            </w:pPr>
            <w:r>
              <w:rPr>
                <w:rFonts w:ascii="宋体" w:hAnsi="宋体" w:cs="Arial" w:hint="eastAsia"/>
              </w:rPr>
              <w:t>21</w:t>
            </w:r>
          </w:p>
        </w:tc>
        <w:tc>
          <w:tcPr>
            <w:tcW w:w="2692" w:type="dxa"/>
          </w:tcPr>
          <w:p w14:paraId="65B6AC54" w14:textId="7DBCA411" w:rsidR="00A6605D" w:rsidRDefault="00413D7E">
            <w:pPr>
              <w:jc w:val="center"/>
              <w:rPr>
                <w:rFonts w:ascii="宋体" w:hAnsi="宋体" w:cs="宋体"/>
                <w:szCs w:val="21"/>
                <w:lang w:val="zh-CN"/>
              </w:rPr>
            </w:pPr>
            <w:r>
              <w:rPr>
                <w:rFonts w:ascii="宋体" w:hAnsi="宋体" w:cs="Calibri" w:hint="eastAsia"/>
                <w:color w:val="000000"/>
                <w:szCs w:val="21"/>
              </w:rPr>
              <w:t>北京中植基金销售有限公司</w:t>
            </w:r>
          </w:p>
        </w:tc>
        <w:tc>
          <w:tcPr>
            <w:tcW w:w="5105" w:type="dxa"/>
          </w:tcPr>
          <w:p w14:paraId="2BFDF6B2"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注册（办公）地址：北京市北京经济技术开发区宏达北路10号五层5122室</w:t>
            </w:r>
          </w:p>
          <w:p w14:paraId="48EDDEE2"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400-8980-618</w:t>
            </w:r>
          </w:p>
          <w:p w14:paraId="084EFAEA" w14:textId="4269EF1D"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w:t>
            </w:r>
            <w:r>
              <w:rPr>
                <w:rFonts w:ascii="宋体" w:hAnsi="宋体" w:cs="Calibri" w:hint="eastAsia"/>
                <w:color w:val="000000"/>
                <w:szCs w:val="21"/>
              </w:rPr>
              <w:t>cht</w:t>
            </w:r>
            <w:r>
              <w:rPr>
                <w:rFonts w:ascii="宋体" w:hAnsi="宋体" w:cs="Calibri"/>
                <w:color w:val="000000"/>
                <w:szCs w:val="21"/>
              </w:rPr>
              <w:t>fund.com</w:t>
            </w:r>
          </w:p>
        </w:tc>
      </w:tr>
      <w:tr w:rsidR="00A6605D" w14:paraId="6A50DDAE" w14:textId="77777777" w:rsidTr="006B2775">
        <w:tc>
          <w:tcPr>
            <w:tcW w:w="567" w:type="dxa"/>
          </w:tcPr>
          <w:p w14:paraId="70228251" w14:textId="77777777" w:rsidR="00A6605D" w:rsidRDefault="00413D7E">
            <w:pPr>
              <w:jc w:val="center"/>
              <w:rPr>
                <w:rFonts w:ascii="宋体" w:hAnsi="宋体" w:cs="宋体"/>
                <w:szCs w:val="21"/>
              </w:rPr>
            </w:pPr>
            <w:r>
              <w:rPr>
                <w:rFonts w:ascii="宋体" w:hAnsi="宋体" w:cs="Arial" w:hint="eastAsia"/>
              </w:rPr>
              <w:t>22</w:t>
            </w:r>
          </w:p>
        </w:tc>
        <w:tc>
          <w:tcPr>
            <w:tcW w:w="2692" w:type="dxa"/>
          </w:tcPr>
          <w:p w14:paraId="76EE4726" w14:textId="77777777" w:rsidR="00A6605D" w:rsidRDefault="00413D7E">
            <w:pPr>
              <w:jc w:val="center"/>
              <w:rPr>
                <w:rFonts w:ascii="宋体" w:hAnsi="宋体" w:cs="宋体"/>
                <w:szCs w:val="21"/>
                <w:lang w:val="zh-CN"/>
              </w:rPr>
            </w:pPr>
            <w:r>
              <w:rPr>
                <w:rFonts w:ascii="宋体" w:hAnsi="宋体" w:cs="Calibri" w:hint="eastAsia"/>
                <w:color w:val="000000"/>
                <w:szCs w:val="21"/>
              </w:rPr>
              <w:t>北京汇成基金销售有限公司</w:t>
            </w:r>
          </w:p>
        </w:tc>
        <w:tc>
          <w:tcPr>
            <w:tcW w:w="5105" w:type="dxa"/>
          </w:tcPr>
          <w:p w14:paraId="2E2C6209"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注册(办公)地址： 北京市西城区西直门外大街1号院2号楼</w:t>
            </w:r>
          </w:p>
          <w:p w14:paraId="77B9B607"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lastRenderedPageBreak/>
              <w:t>客户服务电话：</w:t>
            </w:r>
            <w:r>
              <w:rPr>
                <w:rFonts w:ascii="宋体" w:hAnsi="宋体" w:cs="Calibri"/>
                <w:color w:val="000000"/>
                <w:szCs w:val="21"/>
              </w:rPr>
              <w:t>400-619-9059</w:t>
            </w:r>
          </w:p>
          <w:p w14:paraId="2A8924AD"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www.hcjijin.com</w:t>
            </w:r>
          </w:p>
        </w:tc>
      </w:tr>
      <w:tr w:rsidR="00A6605D" w14:paraId="5815699C" w14:textId="77777777" w:rsidTr="006B2775">
        <w:tc>
          <w:tcPr>
            <w:tcW w:w="567" w:type="dxa"/>
          </w:tcPr>
          <w:p w14:paraId="3B555E70" w14:textId="77777777" w:rsidR="00A6605D" w:rsidRDefault="00413D7E">
            <w:pPr>
              <w:jc w:val="center"/>
              <w:rPr>
                <w:rFonts w:ascii="宋体" w:hAnsi="宋体" w:cs="宋体"/>
                <w:szCs w:val="21"/>
              </w:rPr>
            </w:pPr>
            <w:r>
              <w:rPr>
                <w:rFonts w:ascii="宋体" w:hAnsi="宋体" w:cs="Arial" w:hint="eastAsia"/>
              </w:rPr>
              <w:lastRenderedPageBreak/>
              <w:t>23</w:t>
            </w:r>
          </w:p>
        </w:tc>
        <w:tc>
          <w:tcPr>
            <w:tcW w:w="2692" w:type="dxa"/>
          </w:tcPr>
          <w:p w14:paraId="5514BCB0" w14:textId="77777777" w:rsidR="00A6605D" w:rsidRDefault="00413D7E">
            <w:pPr>
              <w:jc w:val="center"/>
              <w:rPr>
                <w:rFonts w:ascii="宋体" w:hAnsi="宋体" w:cs="宋体"/>
                <w:szCs w:val="21"/>
                <w:lang w:val="zh-CN"/>
              </w:rPr>
            </w:pPr>
            <w:r>
              <w:rPr>
                <w:rFonts w:ascii="宋体" w:hAnsi="宋体" w:cs="Calibri" w:hint="eastAsia"/>
                <w:color w:val="000000"/>
                <w:szCs w:val="21"/>
              </w:rPr>
              <w:t>深圳市新兰德证券投资咨询有限公司</w:t>
            </w:r>
          </w:p>
        </w:tc>
        <w:tc>
          <w:tcPr>
            <w:tcW w:w="5105" w:type="dxa"/>
          </w:tcPr>
          <w:p w14:paraId="17978927"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办公地址：北京市西城区宣武门外大街</w:t>
            </w:r>
            <w:r>
              <w:rPr>
                <w:rFonts w:ascii="宋体" w:hAnsi="宋体" w:cs="Calibri"/>
                <w:color w:val="000000"/>
                <w:szCs w:val="21"/>
              </w:rPr>
              <w:t>10</w:t>
            </w:r>
            <w:r>
              <w:rPr>
                <w:rFonts w:ascii="宋体" w:hAnsi="宋体" w:cs="Calibri" w:hint="eastAsia"/>
                <w:color w:val="000000"/>
                <w:szCs w:val="21"/>
              </w:rPr>
              <w:t>号庄胜广场中央办公楼东翼</w:t>
            </w:r>
            <w:r>
              <w:rPr>
                <w:rFonts w:ascii="宋体" w:hAnsi="宋体" w:cs="Calibri"/>
                <w:color w:val="000000"/>
                <w:szCs w:val="21"/>
              </w:rPr>
              <w:t>7</w:t>
            </w:r>
            <w:r>
              <w:rPr>
                <w:rFonts w:ascii="宋体" w:hAnsi="宋体" w:cs="Calibri" w:hint="eastAsia"/>
                <w:color w:val="000000"/>
                <w:szCs w:val="21"/>
              </w:rPr>
              <w:t>层</w:t>
            </w:r>
          </w:p>
          <w:p w14:paraId="2B754F26"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400-166-1188</w:t>
            </w:r>
          </w:p>
          <w:p w14:paraId="4E6A1E33"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http://8.jrj.com.cn/</w:t>
            </w:r>
          </w:p>
        </w:tc>
      </w:tr>
      <w:tr w:rsidR="00A6605D" w14:paraId="5BF8C03C" w14:textId="77777777" w:rsidTr="006B2775">
        <w:tc>
          <w:tcPr>
            <w:tcW w:w="567" w:type="dxa"/>
          </w:tcPr>
          <w:p w14:paraId="488172C4" w14:textId="77777777" w:rsidR="00A6605D" w:rsidRDefault="00413D7E">
            <w:pPr>
              <w:jc w:val="center"/>
              <w:rPr>
                <w:rFonts w:ascii="宋体" w:hAnsi="宋体" w:cs="宋体"/>
                <w:szCs w:val="21"/>
              </w:rPr>
            </w:pPr>
            <w:r>
              <w:rPr>
                <w:rFonts w:ascii="宋体" w:hAnsi="宋体" w:cs="Arial" w:hint="eastAsia"/>
              </w:rPr>
              <w:t>24</w:t>
            </w:r>
          </w:p>
        </w:tc>
        <w:tc>
          <w:tcPr>
            <w:tcW w:w="2692" w:type="dxa"/>
          </w:tcPr>
          <w:p w14:paraId="291CB507" w14:textId="77777777" w:rsidR="00A6605D" w:rsidRDefault="00413D7E">
            <w:pPr>
              <w:jc w:val="center"/>
              <w:rPr>
                <w:rFonts w:ascii="宋体" w:hAnsi="宋体" w:cs="宋体"/>
                <w:szCs w:val="21"/>
                <w:lang w:val="zh-CN"/>
              </w:rPr>
            </w:pPr>
            <w:r>
              <w:rPr>
                <w:rFonts w:ascii="宋体" w:hAnsi="宋体" w:cs="Calibri" w:hint="eastAsia"/>
                <w:color w:val="000000"/>
                <w:szCs w:val="21"/>
              </w:rPr>
              <w:t>北京钱景基金销售有限公司</w:t>
            </w:r>
          </w:p>
        </w:tc>
        <w:tc>
          <w:tcPr>
            <w:tcW w:w="5105" w:type="dxa"/>
          </w:tcPr>
          <w:p w14:paraId="4D598FA1" w14:textId="77777777" w:rsidR="00A6605D" w:rsidRDefault="00413D7E">
            <w:pPr>
              <w:tabs>
                <w:tab w:val="left" w:pos="540"/>
              </w:tabs>
              <w:adjustRightInd w:val="0"/>
              <w:snapToGrid w:val="0"/>
              <w:spacing w:line="360" w:lineRule="auto"/>
              <w:rPr>
                <w:rFonts w:ascii="宋体" w:hAnsi="宋体" w:cs="Calibri"/>
                <w:color w:val="000000"/>
                <w:szCs w:val="21"/>
              </w:rPr>
            </w:pPr>
            <w:r>
              <w:rPr>
                <w:rFonts w:ascii="宋体" w:hAnsi="宋体" w:cs="Calibri" w:hint="eastAsia"/>
                <w:color w:val="000000"/>
                <w:szCs w:val="21"/>
              </w:rPr>
              <w:t>注册（办公）地址：北京市海淀区丹棱街6号1幢9层1008-1012</w:t>
            </w:r>
          </w:p>
          <w:p w14:paraId="7FE7F544" w14:textId="77777777" w:rsidR="00A6605D" w:rsidRDefault="00413D7E">
            <w:pPr>
              <w:tabs>
                <w:tab w:val="left" w:pos="540"/>
              </w:tabs>
              <w:adjustRightInd w:val="0"/>
              <w:snapToGrid w:val="0"/>
              <w:spacing w:line="360" w:lineRule="auto"/>
              <w:rPr>
                <w:rFonts w:ascii="宋体" w:hAnsi="宋体" w:cs="Calibri"/>
                <w:color w:val="000000"/>
                <w:szCs w:val="21"/>
              </w:rPr>
            </w:pPr>
            <w:r>
              <w:rPr>
                <w:rFonts w:ascii="宋体" w:hAnsi="宋体" w:cs="Calibri" w:hint="eastAsia"/>
                <w:color w:val="000000"/>
                <w:szCs w:val="21"/>
              </w:rPr>
              <w:t>客户服务电话：400-893-6885</w:t>
            </w:r>
          </w:p>
          <w:p w14:paraId="00B9337C"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t xml:space="preserve"> </w:t>
            </w:r>
            <w:r>
              <w:rPr>
                <w:rFonts w:hint="eastAsia"/>
              </w:rPr>
              <w:t>www.qianjing.com</w:t>
            </w:r>
            <w:r>
              <w:t xml:space="preserve"> </w:t>
            </w:r>
            <w:hyperlink w:history="1"/>
          </w:p>
        </w:tc>
      </w:tr>
      <w:tr w:rsidR="00A6605D" w14:paraId="508A64AF" w14:textId="77777777" w:rsidTr="006B2775">
        <w:tc>
          <w:tcPr>
            <w:tcW w:w="567" w:type="dxa"/>
          </w:tcPr>
          <w:p w14:paraId="70F3B3BC" w14:textId="77777777" w:rsidR="00A6605D" w:rsidRDefault="00413D7E">
            <w:pPr>
              <w:jc w:val="center"/>
              <w:rPr>
                <w:rFonts w:ascii="宋体" w:hAnsi="宋体" w:cs="宋体"/>
                <w:szCs w:val="21"/>
              </w:rPr>
            </w:pPr>
            <w:r>
              <w:rPr>
                <w:rFonts w:ascii="宋体" w:hAnsi="宋体" w:cs="Arial" w:hint="eastAsia"/>
              </w:rPr>
              <w:t>25</w:t>
            </w:r>
          </w:p>
        </w:tc>
        <w:tc>
          <w:tcPr>
            <w:tcW w:w="2692" w:type="dxa"/>
          </w:tcPr>
          <w:p w14:paraId="504314DA" w14:textId="77777777" w:rsidR="00A6605D" w:rsidRDefault="00413D7E">
            <w:pPr>
              <w:jc w:val="center"/>
              <w:rPr>
                <w:rFonts w:ascii="宋体" w:hAnsi="宋体" w:cs="宋体"/>
                <w:szCs w:val="21"/>
                <w:lang w:val="zh-CN"/>
              </w:rPr>
            </w:pPr>
            <w:r>
              <w:rPr>
                <w:rFonts w:ascii="宋体" w:hAnsi="宋体" w:cs="Calibri" w:hint="eastAsia"/>
                <w:color w:val="000000"/>
                <w:szCs w:val="21"/>
              </w:rPr>
              <w:t>济安财富（北京）基金销售有限公司</w:t>
            </w:r>
          </w:p>
        </w:tc>
        <w:tc>
          <w:tcPr>
            <w:tcW w:w="5105" w:type="dxa"/>
          </w:tcPr>
          <w:p w14:paraId="3883DC37"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办公地址：北京市朝阳区东三环中路7号北京财富中心A座46层</w:t>
            </w:r>
            <w:r>
              <w:rPr>
                <w:rFonts w:ascii="宋体" w:hAnsi="宋体" w:cs="Calibri"/>
                <w:color w:val="000000"/>
                <w:szCs w:val="21"/>
              </w:rPr>
              <w:t xml:space="preserve"> </w:t>
            </w:r>
          </w:p>
          <w:p w14:paraId="35A40ED6"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71D9EDF3"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hyperlink r:id="rId34" w:history="1">
              <w:r>
                <w:rPr>
                  <w:rFonts w:ascii="宋体" w:hAnsi="宋体" w:cs="Calibri"/>
                  <w:color w:val="000000"/>
                  <w:szCs w:val="21"/>
                </w:rPr>
                <w:t>www.jianfortune.com</w:t>
              </w:r>
            </w:hyperlink>
          </w:p>
        </w:tc>
      </w:tr>
      <w:tr w:rsidR="00A6605D" w14:paraId="4CC44FC6" w14:textId="77777777" w:rsidTr="006B2775">
        <w:tc>
          <w:tcPr>
            <w:tcW w:w="567" w:type="dxa"/>
          </w:tcPr>
          <w:p w14:paraId="68456C82" w14:textId="77777777" w:rsidR="00A6605D" w:rsidRDefault="00413D7E">
            <w:pPr>
              <w:jc w:val="center"/>
              <w:rPr>
                <w:rFonts w:ascii="宋体" w:hAnsi="宋体" w:cs="宋体"/>
                <w:szCs w:val="21"/>
              </w:rPr>
            </w:pPr>
            <w:r>
              <w:rPr>
                <w:rFonts w:ascii="宋体" w:hAnsi="宋体" w:cs="Arial" w:hint="eastAsia"/>
              </w:rPr>
              <w:t>26</w:t>
            </w:r>
          </w:p>
        </w:tc>
        <w:tc>
          <w:tcPr>
            <w:tcW w:w="2692" w:type="dxa"/>
          </w:tcPr>
          <w:p w14:paraId="4A609663" w14:textId="77777777" w:rsidR="00A6605D" w:rsidRDefault="00413D7E">
            <w:pPr>
              <w:jc w:val="center"/>
              <w:rPr>
                <w:rFonts w:ascii="宋体" w:hAnsi="宋体" w:cs="宋体"/>
                <w:szCs w:val="21"/>
                <w:lang w:val="zh-CN"/>
              </w:rPr>
            </w:pPr>
            <w:r>
              <w:rPr>
                <w:rFonts w:ascii="宋体" w:hAnsi="宋体" w:cs="Calibri" w:hint="eastAsia"/>
                <w:color w:val="000000"/>
                <w:szCs w:val="21"/>
              </w:rPr>
              <w:t>方德保险代理有限公司</w:t>
            </w:r>
          </w:p>
        </w:tc>
        <w:tc>
          <w:tcPr>
            <w:tcW w:w="5105" w:type="dxa"/>
          </w:tcPr>
          <w:p w14:paraId="767621AA"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w:t>
            </w:r>
            <w:r>
              <w:rPr>
                <w:rFonts w:ascii="宋体" w:hAnsi="宋体" w:cs="Calibri" w:hint="eastAsia"/>
                <w:bCs/>
                <w:color w:val="000000"/>
                <w:szCs w:val="21"/>
              </w:rPr>
              <w:t>北京市东城区东直门外大街46号12层02室</w:t>
            </w:r>
          </w:p>
          <w:p w14:paraId="2CF65E76"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010-64068617</w:t>
            </w:r>
          </w:p>
          <w:p w14:paraId="02929755"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http://www.fundsure.cn/</w:t>
            </w:r>
          </w:p>
        </w:tc>
      </w:tr>
      <w:tr w:rsidR="00A6605D" w14:paraId="7FB6B74E" w14:textId="77777777" w:rsidTr="006B2775">
        <w:tc>
          <w:tcPr>
            <w:tcW w:w="567" w:type="dxa"/>
          </w:tcPr>
          <w:p w14:paraId="22354C1B" w14:textId="77777777" w:rsidR="00A6605D" w:rsidRDefault="00413D7E">
            <w:pPr>
              <w:jc w:val="center"/>
              <w:rPr>
                <w:rFonts w:ascii="宋体" w:hAnsi="宋体" w:cs="宋体"/>
                <w:szCs w:val="21"/>
              </w:rPr>
            </w:pPr>
            <w:r>
              <w:rPr>
                <w:rFonts w:ascii="宋体" w:hAnsi="宋体" w:cs="Arial" w:hint="eastAsia"/>
              </w:rPr>
              <w:t>27</w:t>
            </w:r>
          </w:p>
        </w:tc>
        <w:tc>
          <w:tcPr>
            <w:tcW w:w="2692" w:type="dxa"/>
          </w:tcPr>
          <w:p w14:paraId="71B564DF" w14:textId="77777777" w:rsidR="00A6605D" w:rsidRDefault="00413D7E">
            <w:pPr>
              <w:jc w:val="center"/>
              <w:rPr>
                <w:rFonts w:ascii="宋体" w:hAnsi="宋体" w:cs="宋体"/>
                <w:szCs w:val="21"/>
                <w:lang w:val="zh-CN"/>
              </w:rPr>
            </w:pPr>
            <w:r>
              <w:rPr>
                <w:rFonts w:ascii="宋体" w:hAnsi="宋体" w:cs="Calibri" w:hint="eastAsia"/>
                <w:color w:val="000000"/>
                <w:szCs w:val="21"/>
              </w:rPr>
              <w:t>民商基金销售(上海)有限公司</w:t>
            </w:r>
          </w:p>
        </w:tc>
        <w:tc>
          <w:tcPr>
            <w:tcW w:w="5105" w:type="dxa"/>
          </w:tcPr>
          <w:p w14:paraId="56EBC0A3"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注册(办公)地址：上海黄浦区北京东路666号H区（东座）6楼A31室</w:t>
            </w:r>
          </w:p>
          <w:p w14:paraId="2D4A1059"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客户服务电话：021-50206003</w:t>
            </w:r>
          </w:p>
          <w:p w14:paraId="0D61E5BA"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网址：http://www.msftec.com</w:t>
            </w:r>
          </w:p>
        </w:tc>
      </w:tr>
      <w:tr w:rsidR="00A6605D" w14:paraId="526A5329" w14:textId="77777777" w:rsidTr="006B2775">
        <w:tc>
          <w:tcPr>
            <w:tcW w:w="567" w:type="dxa"/>
          </w:tcPr>
          <w:p w14:paraId="1FA32805" w14:textId="77777777" w:rsidR="00A6605D" w:rsidRDefault="00413D7E">
            <w:pPr>
              <w:jc w:val="center"/>
              <w:rPr>
                <w:rFonts w:ascii="宋体" w:hAnsi="宋体" w:cs="宋体"/>
                <w:szCs w:val="21"/>
              </w:rPr>
            </w:pPr>
            <w:r>
              <w:rPr>
                <w:rFonts w:ascii="宋体" w:hAnsi="宋体" w:hint="eastAsia"/>
                <w:color w:val="000000"/>
              </w:rPr>
              <w:t>28</w:t>
            </w:r>
          </w:p>
        </w:tc>
        <w:tc>
          <w:tcPr>
            <w:tcW w:w="2692" w:type="dxa"/>
          </w:tcPr>
          <w:p w14:paraId="514304E2" w14:textId="77777777" w:rsidR="00A6605D" w:rsidRDefault="00413D7E">
            <w:pPr>
              <w:jc w:val="center"/>
              <w:rPr>
                <w:rFonts w:ascii="宋体" w:hAnsi="宋体" w:cs="宋体"/>
                <w:szCs w:val="21"/>
                <w:lang w:val="zh-CN"/>
              </w:rPr>
            </w:pPr>
            <w:r>
              <w:rPr>
                <w:rFonts w:ascii="宋体" w:hAnsi="宋体" w:cs="Calibri" w:hint="eastAsia"/>
                <w:color w:val="000000"/>
                <w:szCs w:val="21"/>
              </w:rPr>
              <w:t>大连网金基金销售有限公司</w:t>
            </w:r>
          </w:p>
        </w:tc>
        <w:tc>
          <w:tcPr>
            <w:tcW w:w="5105" w:type="dxa"/>
          </w:tcPr>
          <w:p w14:paraId="131F2D5E"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地址：大连市沙河口区体坛路</w:t>
            </w:r>
            <w:r>
              <w:rPr>
                <w:rFonts w:ascii="宋体" w:hAnsi="宋体" w:cs="Calibri"/>
                <w:color w:val="000000"/>
                <w:szCs w:val="21"/>
              </w:rPr>
              <w:t>22</w:t>
            </w:r>
            <w:r>
              <w:rPr>
                <w:rFonts w:ascii="宋体" w:hAnsi="宋体" w:cs="Calibri" w:hint="eastAsia"/>
                <w:color w:val="000000"/>
                <w:szCs w:val="21"/>
              </w:rPr>
              <w:t>号诺德大厦</w:t>
            </w:r>
            <w:r>
              <w:rPr>
                <w:rFonts w:ascii="宋体" w:hAnsi="宋体" w:cs="Calibri"/>
                <w:color w:val="000000"/>
                <w:szCs w:val="21"/>
              </w:rPr>
              <w:t>2</w:t>
            </w:r>
            <w:r>
              <w:rPr>
                <w:rFonts w:ascii="宋体" w:hAnsi="宋体" w:cs="Calibri" w:hint="eastAsia"/>
                <w:color w:val="000000"/>
                <w:szCs w:val="21"/>
              </w:rPr>
              <w:t>层</w:t>
            </w:r>
          </w:p>
          <w:p w14:paraId="2E1C2BC4"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4000-899-100</w:t>
            </w:r>
          </w:p>
          <w:p w14:paraId="09C7D606" w14:textId="77777777" w:rsidR="00A6605D" w:rsidRDefault="00413D7E">
            <w:pPr>
              <w:widowControl/>
              <w:spacing w:line="360" w:lineRule="auto"/>
              <w:jc w:val="left"/>
              <w:rPr>
                <w:rFonts w:ascii="宋体" w:hAnsi="宋体" w:cs="宋体"/>
                <w:szCs w:val="21"/>
                <w:lang w:val="zh-CN"/>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A6605D" w14:paraId="1209AECE" w14:textId="77777777" w:rsidTr="006B2775">
        <w:tc>
          <w:tcPr>
            <w:tcW w:w="567" w:type="dxa"/>
          </w:tcPr>
          <w:p w14:paraId="54052176" w14:textId="77777777" w:rsidR="00A6605D" w:rsidRDefault="00413D7E">
            <w:pPr>
              <w:jc w:val="center"/>
              <w:rPr>
                <w:rFonts w:ascii="宋体" w:hAnsi="宋体" w:cs="宋体"/>
                <w:szCs w:val="21"/>
              </w:rPr>
            </w:pPr>
            <w:r>
              <w:rPr>
                <w:rFonts w:ascii="宋体" w:hAnsi="宋体" w:hint="eastAsia"/>
                <w:color w:val="000000"/>
              </w:rPr>
              <w:t>29</w:t>
            </w:r>
          </w:p>
        </w:tc>
        <w:tc>
          <w:tcPr>
            <w:tcW w:w="2692" w:type="dxa"/>
          </w:tcPr>
          <w:p w14:paraId="63E19657" w14:textId="77777777" w:rsidR="00A6605D" w:rsidRDefault="00413D7E">
            <w:pPr>
              <w:jc w:val="center"/>
              <w:rPr>
                <w:rFonts w:ascii="宋体" w:hAnsi="宋体" w:cs="宋体"/>
                <w:szCs w:val="21"/>
                <w:lang w:val="zh-CN"/>
              </w:rPr>
            </w:pPr>
            <w:r>
              <w:rPr>
                <w:rFonts w:ascii="宋体" w:hAnsi="宋体" w:cs="Calibri" w:hint="eastAsia"/>
                <w:color w:val="000000"/>
                <w:szCs w:val="21"/>
              </w:rPr>
              <w:t>深圳众禄基金销售股份有限公司</w:t>
            </w:r>
          </w:p>
        </w:tc>
        <w:tc>
          <w:tcPr>
            <w:tcW w:w="5105" w:type="dxa"/>
          </w:tcPr>
          <w:p w14:paraId="605165B7"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注册（办公）地址：深圳市罗湖区梨园路物资控股置地大厦8楼</w:t>
            </w:r>
          </w:p>
          <w:p w14:paraId="2DB7FCB7"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0666CD27"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网址：众禄基金网</w:t>
            </w:r>
            <w:r>
              <w:rPr>
                <w:rFonts w:ascii="宋体" w:hAnsi="宋体" w:cs="Calibri"/>
                <w:color w:val="000000"/>
                <w:szCs w:val="21"/>
              </w:rPr>
              <w:t xml:space="preserve"> </w:t>
            </w:r>
            <w:hyperlink r:id="rId35" w:history="1">
              <w:r>
                <w:rPr>
                  <w:rFonts w:ascii="宋体" w:hAnsi="宋体" w:cs="Calibri"/>
                  <w:color w:val="000000"/>
                  <w:szCs w:val="21"/>
                </w:rPr>
                <w:t>www.zlfund.cn</w:t>
              </w:r>
            </w:hyperlink>
          </w:p>
          <w:p w14:paraId="30D90E63" w14:textId="77777777" w:rsidR="00A6605D" w:rsidRDefault="00413D7E">
            <w:pPr>
              <w:widowControl/>
              <w:spacing w:line="360" w:lineRule="auto"/>
              <w:jc w:val="left"/>
              <w:rPr>
                <w:rFonts w:ascii="宋体" w:hAnsi="宋体" w:cs="宋体"/>
                <w:szCs w:val="21"/>
                <w:lang w:val="zh-CN"/>
              </w:rPr>
            </w:pPr>
            <w:r>
              <w:rPr>
                <w:rFonts w:ascii="宋体" w:hAnsi="宋体" w:cs="Calibri" w:hint="eastAsia"/>
                <w:color w:val="000000"/>
                <w:szCs w:val="21"/>
              </w:rPr>
              <w:t>基金买卖网</w:t>
            </w:r>
            <w:r>
              <w:rPr>
                <w:rFonts w:ascii="宋体" w:hAnsi="宋体" w:cs="Calibri"/>
                <w:color w:val="000000"/>
                <w:szCs w:val="21"/>
              </w:rPr>
              <w:t xml:space="preserve"> </w:t>
            </w:r>
            <w:hyperlink r:id="rId36" w:history="1">
              <w:r>
                <w:rPr>
                  <w:rFonts w:ascii="宋体" w:hAnsi="宋体" w:cs="Calibri"/>
                  <w:color w:val="000000"/>
                  <w:szCs w:val="21"/>
                </w:rPr>
                <w:t>www.jjmmw.com</w:t>
              </w:r>
            </w:hyperlink>
          </w:p>
        </w:tc>
      </w:tr>
      <w:tr w:rsidR="00A6605D" w14:paraId="31A249F2" w14:textId="77777777" w:rsidTr="006B2775">
        <w:tc>
          <w:tcPr>
            <w:tcW w:w="567" w:type="dxa"/>
          </w:tcPr>
          <w:p w14:paraId="1883C937" w14:textId="77777777" w:rsidR="00A6605D" w:rsidRDefault="00413D7E">
            <w:pPr>
              <w:jc w:val="center"/>
              <w:rPr>
                <w:rFonts w:ascii="宋体" w:hAnsi="宋体" w:cs="宋体"/>
                <w:szCs w:val="21"/>
              </w:rPr>
            </w:pPr>
            <w:r>
              <w:rPr>
                <w:rFonts w:ascii="宋体" w:hAnsi="宋体" w:cs="宋体" w:hint="eastAsia"/>
              </w:rPr>
              <w:t>30</w:t>
            </w:r>
          </w:p>
        </w:tc>
        <w:tc>
          <w:tcPr>
            <w:tcW w:w="2692" w:type="dxa"/>
          </w:tcPr>
          <w:p w14:paraId="12CAF52F" w14:textId="77777777" w:rsidR="00A6605D" w:rsidRDefault="00413D7E">
            <w:pPr>
              <w:jc w:val="center"/>
              <w:rPr>
                <w:rFonts w:ascii="宋体" w:hAnsi="宋体" w:cs="宋体"/>
                <w:szCs w:val="21"/>
                <w:lang w:val="zh-CN"/>
              </w:rPr>
            </w:pPr>
            <w:r>
              <w:rPr>
                <w:rFonts w:ascii="宋体" w:hAnsi="宋体" w:cs="Calibri" w:hint="eastAsia"/>
                <w:color w:val="000000"/>
                <w:szCs w:val="21"/>
              </w:rPr>
              <w:t>北京蛋卷基金销售有限公司</w:t>
            </w:r>
          </w:p>
        </w:tc>
        <w:tc>
          <w:tcPr>
            <w:tcW w:w="5105" w:type="dxa"/>
          </w:tcPr>
          <w:p w14:paraId="0F2CDA61"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注册（办公）地址：北京市朝阳区阜通东大街</w:t>
            </w:r>
            <w:r>
              <w:rPr>
                <w:rFonts w:ascii="宋体" w:hAnsi="宋体" w:cs="Calibri"/>
                <w:color w:val="000000"/>
                <w:szCs w:val="21"/>
              </w:rPr>
              <w:t>1</w:t>
            </w:r>
            <w:r>
              <w:rPr>
                <w:rFonts w:ascii="宋体" w:hAnsi="宋体" w:cs="Calibri" w:hint="eastAsia"/>
                <w:color w:val="000000"/>
                <w:szCs w:val="21"/>
              </w:rPr>
              <w:t>号院</w:t>
            </w:r>
            <w:r>
              <w:rPr>
                <w:rFonts w:ascii="宋体" w:hAnsi="宋体" w:cs="Calibri"/>
                <w:color w:val="000000"/>
                <w:szCs w:val="21"/>
              </w:rPr>
              <w:t>6</w:t>
            </w:r>
            <w:r>
              <w:rPr>
                <w:rFonts w:ascii="宋体" w:hAnsi="宋体" w:cs="Calibri" w:hint="eastAsia"/>
                <w:color w:val="000000"/>
                <w:szCs w:val="21"/>
              </w:rPr>
              <w:t>号楼</w:t>
            </w:r>
            <w:r>
              <w:rPr>
                <w:rFonts w:ascii="宋体" w:hAnsi="宋体" w:cs="Calibri"/>
                <w:color w:val="000000"/>
                <w:szCs w:val="21"/>
              </w:rPr>
              <w:t>2</w:t>
            </w:r>
            <w:r>
              <w:rPr>
                <w:rFonts w:ascii="宋体" w:hAnsi="宋体" w:cs="Calibri" w:hint="eastAsia"/>
                <w:color w:val="000000"/>
                <w:szCs w:val="21"/>
              </w:rPr>
              <w:t>单元</w:t>
            </w:r>
            <w:r>
              <w:rPr>
                <w:rFonts w:ascii="宋体" w:hAnsi="宋体" w:cs="Calibri"/>
                <w:color w:val="000000"/>
                <w:szCs w:val="21"/>
              </w:rPr>
              <w:t>21</w:t>
            </w:r>
            <w:r>
              <w:rPr>
                <w:rFonts w:ascii="宋体" w:hAnsi="宋体" w:cs="Calibri" w:hint="eastAsia"/>
                <w:color w:val="000000"/>
                <w:szCs w:val="21"/>
              </w:rPr>
              <w:t>层</w:t>
            </w:r>
            <w:r>
              <w:rPr>
                <w:rFonts w:ascii="宋体" w:hAnsi="宋体" w:cs="Calibri"/>
                <w:color w:val="000000"/>
                <w:szCs w:val="21"/>
              </w:rPr>
              <w:t>222507</w:t>
            </w:r>
          </w:p>
          <w:p w14:paraId="46C26799"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lastRenderedPageBreak/>
              <w:t>客户服务电话：</w:t>
            </w:r>
            <w:r>
              <w:rPr>
                <w:rFonts w:ascii="宋体" w:hAnsi="宋体" w:cs="Calibri"/>
                <w:color w:val="000000"/>
                <w:szCs w:val="21"/>
              </w:rPr>
              <w:t>400</w:t>
            </w:r>
            <w:r>
              <w:rPr>
                <w:rFonts w:ascii="宋体" w:hAnsi="宋体" w:cs="Calibri" w:hint="eastAsia"/>
                <w:color w:val="000000"/>
                <w:szCs w:val="21"/>
              </w:rPr>
              <w:t xml:space="preserve"> </w:t>
            </w:r>
            <w:r>
              <w:rPr>
                <w:rFonts w:ascii="宋体" w:hAnsi="宋体" w:cs="Calibri"/>
                <w:color w:val="000000"/>
                <w:szCs w:val="21"/>
              </w:rPr>
              <w:t>0618</w:t>
            </w:r>
            <w:r>
              <w:rPr>
                <w:rFonts w:ascii="宋体" w:hAnsi="宋体" w:cs="Calibri" w:hint="eastAsia"/>
                <w:color w:val="000000"/>
                <w:szCs w:val="21"/>
              </w:rPr>
              <w:t xml:space="preserve"> </w:t>
            </w:r>
            <w:r>
              <w:rPr>
                <w:rFonts w:ascii="宋体" w:hAnsi="宋体" w:cs="Calibri"/>
                <w:color w:val="000000"/>
                <w:szCs w:val="21"/>
              </w:rPr>
              <w:t>518</w:t>
            </w:r>
          </w:p>
          <w:p w14:paraId="2B0D2071"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hyperlink r:id="rId37" w:history="1">
              <w:r>
                <w:rPr>
                  <w:rFonts w:ascii="宋体" w:hAnsi="宋体" w:cs="Calibri"/>
                  <w:color w:val="000000"/>
                  <w:szCs w:val="21"/>
                </w:rPr>
                <w:t>http://danjuanapp.com/</w:t>
              </w:r>
            </w:hyperlink>
          </w:p>
        </w:tc>
      </w:tr>
      <w:tr w:rsidR="00A6605D" w14:paraId="31883D9E" w14:textId="77777777" w:rsidTr="006B2775">
        <w:tc>
          <w:tcPr>
            <w:tcW w:w="567" w:type="dxa"/>
          </w:tcPr>
          <w:p w14:paraId="39FB99EA" w14:textId="77777777" w:rsidR="00A6605D" w:rsidRDefault="00413D7E">
            <w:pPr>
              <w:jc w:val="center"/>
              <w:rPr>
                <w:rFonts w:ascii="宋体" w:hAnsi="宋体" w:cs="宋体"/>
                <w:szCs w:val="21"/>
              </w:rPr>
            </w:pPr>
            <w:r>
              <w:rPr>
                <w:rFonts w:ascii="宋体" w:hAnsi="宋体" w:cs="宋体" w:hint="eastAsia"/>
              </w:rPr>
              <w:lastRenderedPageBreak/>
              <w:t>31</w:t>
            </w:r>
          </w:p>
        </w:tc>
        <w:tc>
          <w:tcPr>
            <w:tcW w:w="2692" w:type="dxa"/>
          </w:tcPr>
          <w:p w14:paraId="044C670D" w14:textId="7506F350" w:rsidR="00A6605D" w:rsidRDefault="00413D7E">
            <w:pPr>
              <w:jc w:val="center"/>
              <w:rPr>
                <w:rFonts w:ascii="宋体" w:hAnsi="宋体" w:cs="宋体"/>
                <w:szCs w:val="21"/>
                <w:lang w:val="zh-CN"/>
              </w:rPr>
            </w:pPr>
            <w:r>
              <w:rPr>
                <w:rFonts w:ascii="宋体" w:hAnsi="宋体" w:cs="Calibri" w:hint="eastAsia"/>
                <w:bCs/>
                <w:color w:val="000000"/>
                <w:szCs w:val="21"/>
              </w:rPr>
              <w:t>中国人寿股份有限公司</w:t>
            </w:r>
          </w:p>
        </w:tc>
        <w:tc>
          <w:tcPr>
            <w:tcW w:w="5105" w:type="dxa"/>
          </w:tcPr>
          <w:p w14:paraId="021A0451"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北京市西城区金融大街16号</w:t>
            </w:r>
          </w:p>
          <w:p w14:paraId="3B243972"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客户服务电话：9551</w:t>
            </w:r>
            <w:r>
              <w:rPr>
                <w:rFonts w:ascii="宋体" w:hAnsi="宋体" w:cs="Calibri"/>
                <w:color w:val="000000"/>
                <w:szCs w:val="21"/>
              </w:rPr>
              <w:t>9</w:t>
            </w:r>
          </w:p>
          <w:p w14:paraId="6BC9A33D" w14:textId="2DA984E6"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www.e-chinalife.com</w:t>
            </w:r>
          </w:p>
        </w:tc>
      </w:tr>
      <w:tr w:rsidR="00A6605D" w14:paraId="114F0CE6" w14:textId="77777777" w:rsidTr="006B2775">
        <w:tc>
          <w:tcPr>
            <w:tcW w:w="567" w:type="dxa"/>
          </w:tcPr>
          <w:p w14:paraId="52B0A3F3" w14:textId="77777777" w:rsidR="00A6605D" w:rsidRDefault="00413D7E">
            <w:pPr>
              <w:jc w:val="center"/>
              <w:rPr>
                <w:rFonts w:ascii="宋体" w:hAnsi="宋体" w:cs="宋体"/>
                <w:szCs w:val="21"/>
              </w:rPr>
            </w:pPr>
            <w:r>
              <w:rPr>
                <w:rFonts w:ascii="宋体" w:hAnsi="宋体" w:hint="eastAsia"/>
                <w:color w:val="000000"/>
              </w:rPr>
              <w:t>32</w:t>
            </w:r>
          </w:p>
        </w:tc>
        <w:tc>
          <w:tcPr>
            <w:tcW w:w="2692" w:type="dxa"/>
          </w:tcPr>
          <w:p w14:paraId="5D8E7B0A" w14:textId="77777777" w:rsidR="00A6605D" w:rsidRDefault="00413D7E">
            <w:pPr>
              <w:jc w:val="center"/>
              <w:rPr>
                <w:rFonts w:ascii="宋体" w:hAnsi="宋体" w:cs="宋体"/>
                <w:szCs w:val="21"/>
                <w:lang w:val="zh-CN"/>
              </w:rPr>
            </w:pPr>
            <w:r>
              <w:rPr>
                <w:rFonts w:ascii="宋体" w:hAnsi="宋体" w:cs="Calibri" w:hint="eastAsia"/>
                <w:color w:val="000000"/>
                <w:szCs w:val="21"/>
              </w:rPr>
              <w:t>深圳前海财厚基金销售有限公司</w:t>
            </w:r>
          </w:p>
        </w:tc>
        <w:tc>
          <w:tcPr>
            <w:tcW w:w="5105" w:type="dxa"/>
          </w:tcPr>
          <w:p w14:paraId="3E131FB3"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办公地址：广东省深圳市南山区高新南十道 深圳湾科技生态园三区</w:t>
            </w:r>
            <w:r>
              <w:rPr>
                <w:rFonts w:ascii="宋体" w:hAnsi="宋体" w:cs="Calibri"/>
                <w:color w:val="000000"/>
                <w:szCs w:val="21"/>
              </w:rPr>
              <w:t>11栋A座3608室</w:t>
            </w:r>
          </w:p>
          <w:p w14:paraId="7EB3F389" w14:textId="77777777" w:rsidR="00A6605D" w:rsidRDefault="00413D7E">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400-128-6800</w:t>
            </w:r>
          </w:p>
          <w:p w14:paraId="5892C2FB" w14:textId="77777777" w:rsidR="00A6605D" w:rsidRDefault="00413D7E">
            <w:pPr>
              <w:widowControl/>
              <w:spacing w:line="360" w:lineRule="auto"/>
              <w:jc w:val="left"/>
              <w:rPr>
                <w:rFonts w:ascii="宋体" w:hAnsi="宋体" w:cs="宋体"/>
                <w:szCs w:val="21"/>
                <w:lang w:val="zh-CN"/>
              </w:rPr>
            </w:pPr>
            <w:r>
              <w:rPr>
                <w:rFonts w:ascii="宋体" w:hAnsi="宋体" w:cs="Calibri" w:hint="eastAsia"/>
                <w:color w:val="000000"/>
                <w:szCs w:val="21"/>
              </w:rPr>
              <w:t>网址：</w:t>
            </w:r>
            <w:r>
              <w:rPr>
                <w:rFonts w:ascii="宋体" w:hAnsi="宋体" w:cs="Calibri"/>
                <w:color w:val="000000"/>
                <w:szCs w:val="21"/>
              </w:rPr>
              <w:t>caiho.cn</w:t>
            </w:r>
          </w:p>
        </w:tc>
      </w:tr>
      <w:tr w:rsidR="00A6605D" w14:paraId="5AA2AB4A" w14:textId="77777777" w:rsidTr="006B2775">
        <w:tc>
          <w:tcPr>
            <w:tcW w:w="567" w:type="dxa"/>
          </w:tcPr>
          <w:p w14:paraId="20AE94BF" w14:textId="77777777" w:rsidR="00A6605D" w:rsidRDefault="00413D7E">
            <w:pPr>
              <w:jc w:val="center"/>
              <w:rPr>
                <w:rFonts w:ascii="宋体" w:hAnsi="宋体" w:cs="宋体"/>
                <w:szCs w:val="21"/>
              </w:rPr>
            </w:pPr>
            <w:r>
              <w:rPr>
                <w:rFonts w:ascii="宋体" w:hAnsi="宋体" w:hint="eastAsia"/>
                <w:color w:val="000000"/>
              </w:rPr>
              <w:t>33</w:t>
            </w:r>
          </w:p>
        </w:tc>
        <w:tc>
          <w:tcPr>
            <w:tcW w:w="2692" w:type="dxa"/>
          </w:tcPr>
          <w:p w14:paraId="648D17E9" w14:textId="77777777" w:rsidR="00A6605D" w:rsidRDefault="00413D7E">
            <w:pPr>
              <w:jc w:val="center"/>
              <w:rPr>
                <w:rFonts w:ascii="宋体" w:hAnsi="宋体" w:cs="宋体"/>
                <w:szCs w:val="21"/>
                <w:lang w:val="zh-CN"/>
              </w:rPr>
            </w:pPr>
            <w:r>
              <w:rPr>
                <w:rFonts w:ascii="宋体" w:hAnsi="宋体" w:cs="Calibri" w:hint="eastAsia"/>
                <w:color w:val="000000"/>
                <w:szCs w:val="21"/>
              </w:rPr>
              <w:t>上海</w:t>
            </w:r>
            <w:r>
              <w:rPr>
                <w:rFonts w:ascii="宋体" w:hAnsi="宋体" w:cs="Calibri"/>
                <w:color w:val="000000"/>
                <w:szCs w:val="21"/>
              </w:rPr>
              <w:t>挖财基金销售有限公司</w:t>
            </w:r>
          </w:p>
        </w:tc>
        <w:tc>
          <w:tcPr>
            <w:tcW w:w="5105" w:type="dxa"/>
          </w:tcPr>
          <w:p w14:paraId="13DB2C26"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(办公)地址：中国（上海）自由贸易试验区扬高南路799号5楼01、02、03室</w:t>
            </w:r>
          </w:p>
          <w:p w14:paraId="5A3973DD"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400-711-8718</w:t>
            </w:r>
          </w:p>
          <w:p w14:paraId="691EB8C1"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 </w:t>
            </w:r>
            <w:hyperlink r:id="rId38" w:history="1">
              <w:r>
                <w:rPr>
                  <w:rFonts w:ascii="宋体" w:hAnsi="宋体" w:cs="Calibri"/>
                  <w:color w:val="000000"/>
                  <w:szCs w:val="21"/>
                </w:rPr>
                <w:t>www.wacaijijin.com</w:t>
              </w:r>
            </w:hyperlink>
          </w:p>
        </w:tc>
      </w:tr>
      <w:tr w:rsidR="00A6605D" w14:paraId="3A3C5091" w14:textId="77777777" w:rsidTr="006B2775">
        <w:tc>
          <w:tcPr>
            <w:tcW w:w="567" w:type="dxa"/>
          </w:tcPr>
          <w:p w14:paraId="2D92144B" w14:textId="77777777" w:rsidR="00A6605D" w:rsidRDefault="00413D7E">
            <w:pPr>
              <w:jc w:val="center"/>
              <w:rPr>
                <w:rFonts w:ascii="宋体" w:hAnsi="宋体" w:cs="宋体"/>
                <w:szCs w:val="21"/>
              </w:rPr>
            </w:pPr>
            <w:r>
              <w:rPr>
                <w:rFonts w:ascii="宋体" w:hAnsi="宋体" w:hint="eastAsia"/>
                <w:color w:val="000000"/>
              </w:rPr>
              <w:t>34</w:t>
            </w:r>
          </w:p>
        </w:tc>
        <w:tc>
          <w:tcPr>
            <w:tcW w:w="2692" w:type="dxa"/>
          </w:tcPr>
          <w:p w14:paraId="582155FD" w14:textId="77777777" w:rsidR="00A6605D" w:rsidRDefault="00413D7E">
            <w:pPr>
              <w:jc w:val="center"/>
              <w:rPr>
                <w:rFonts w:ascii="宋体" w:hAnsi="宋体" w:cs="宋体"/>
                <w:szCs w:val="21"/>
                <w:lang w:val="zh-CN"/>
              </w:rPr>
            </w:pPr>
            <w:r>
              <w:rPr>
                <w:rFonts w:ascii="宋体" w:hAnsi="宋体" w:cs="Calibri" w:hint="eastAsia"/>
                <w:color w:val="000000"/>
                <w:szCs w:val="21"/>
              </w:rPr>
              <w:t>诺亚正行基金销售有限公司</w:t>
            </w:r>
          </w:p>
        </w:tc>
        <w:tc>
          <w:tcPr>
            <w:tcW w:w="5105" w:type="dxa"/>
          </w:tcPr>
          <w:p w14:paraId="11ECB576"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(办公)地址：上海市杨浦区长阳路1687号2号楼</w:t>
            </w:r>
          </w:p>
          <w:p w14:paraId="40FA2E95"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58D9E53E"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www.noah-fund.com</w:t>
            </w:r>
          </w:p>
        </w:tc>
      </w:tr>
      <w:tr w:rsidR="00A6605D" w14:paraId="1133EFE9" w14:textId="77777777" w:rsidTr="006B2775">
        <w:tc>
          <w:tcPr>
            <w:tcW w:w="567" w:type="dxa"/>
          </w:tcPr>
          <w:p w14:paraId="36EBAABC" w14:textId="77777777" w:rsidR="00A6605D" w:rsidRDefault="00413D7E">
            <w:pPr>
              <w:jc w:val="center"/>
              <w:rPr>
                <w:rFonts w:ascii="宋体" w:hAnsi="宋体" w:cs="宋体"/>
                <w:szCs w:val="21"/>
              </w:rPr>
            </w:pPr>
            <w:r>
              <w:rPr>
                <w:rFonts w:ascii="宋体" w:hAnsi="宋体" w:hint="eastAsia"/>
                <w:color w:val="000000"/>
              </w:rPr>
              <w:t>35</w:t>
            </w:r>
          </w:p>
        </w:tc>
        <w:tc>
          <w:tcPr>
            <w:tcW w:w="2692" w:type="dxa"/>
          </w:tcPr>
          <w:p w14:paraId="0A01C2E5" w14:textId="77777777" w:rsidR="00A6605D" w:rsidRDefault="00413D7E">
            <w:pPr>
              <w:jc w:val="center"/>
              <w:rPr>
                <w:rFonts w:ascii="宋体" w:hAnsi="宋体" w:cs="宋体"/>
                <w:szCs w:val="21"/>
                <w:lang w:val="zh-CN"/>
              </w:rPr>
            </w:pPr>
            <w:r>
              <w:rPr>
                <w:rFonts w:ascii="宋体" w:hAnsi="宋体" w:cs="Calibri" w:hint="eastAsia"/>
                <w:color w:val="000000"/>
                <w:szCs w:val="21"/>
              </w:rPr>
              <w:t>上海凯石财富基金销售有限公司</w:t>
            </w:r>
          </w:p>
        </w:tc>
        <w:tc>
          <w:tcPr>
            <w:tcW w:w="5105" w:type="dxa"/>
          </w:tcPr>
          <w:p w14:paraId="009E8172"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(办公)地址：上海市黄浦区西藏南路765号602-115室</w:t>
            </w:r>
          </w:p>
          <w:p w14:paraId="5BD89302"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400-643-3389</w:t>
            </w:r>
          </w:p>
          <w:p w14:paraId="1E8C8E18"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www.vstonewealth.com</w:t>
            </w:r>
          </w:p>
        </w:tc>
      </w:tr>
      <w:tr w:rsidR="00A6605D" w14:paraId="22507AE0" w14:textId="77777777" w:rsidTr="006B2775">
        <w:tc>
          <w:tcPr>
            <w:tcW w:w="567" w:type="dxa"/>
          </w:tcPr>
          <w:p w14:paraId="1087722C" w14:textId="77777777" w:rsidR="00A6605D" w:rsidRDefault="00413D7E">
            <w:pPr>
              <w:jc w:val="center"/>
              <w:rPr>
                <w:rFonts w:ascii="宋体" w:hAnsi="宋体" w:cs="宋体"/>
                <w:szCs w:val="21"/>
              </w:rPr>
            </w:pPr>
            <w:r>
              <w:rPr>
                <w:rFonts w:ascii="宋体" w:hAnsi="宋体" w:hint="eastAsia"/>
                <w:color w:val="000000"/>
              </w:rPr>
              <w:t>36</w:t>
            </w:r>
          </w:p>
        </w:tc>
        <w:tc>
          <w:tcPr>
            <w:tcW w:w="2692" w:type="dxa"/>
          </w:tcPr>
          <w:p w14:paraId="3733C220" w14:textId="5B5C2732" w:rsidR="00A6605D" w:rsidRDefault="00413D7E">
            <w:pPr>
              <w:jc w:val="center"/>
              <w:rPr>
                <w:rFonts w:ascii="宋体" w:hAnsi="宋体" w:cs="宋体"/>
                <w:szCs w:val="21"/>
                <w:lang w:val="zh-CN"/>
              </w:rPr>
            </w:pPr>
            <w:r>
              <w:rPr>
                <w:rFonts w:ascii="宋体" w:hAnsi="宋体" w:cs="Calibri" w:hint="eastAsia"/>
                <w:bCs/>
                <w:color w:val="000000"/>
                <w:szCs w:val="21"/>
              </w:rPr>
              <w:t>泰信财富基金销售有限公司</w:t>
            </w:r>
          </w:p>
        </w:tc>
        <w:tc>
          <w:tcPr>
            <w:tcW w:w="5105" w:type="dxa"/>
          </w:tcPr>
          <w:p w14:paraId="57AB0BAF"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Pr>
                <w:rFonts w:ascii="宋体" w:hAnsi="宋体" w:cs="Calibri" w:hint="eastAsia"/>
                <w:color w:val="000000"/>
                <w:szCs w:val="21"/>
              </w:rPr>
              <w:t>北京市朝阳区建国路乙118号10层1206</w:t>
            </w:r>
          </w:p>
          <w:p w14:paraId="57EC0C0B"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400-004-8821</w:t>
            </w:r>
          </w:p>
          <w:p w14:paraId="0933C670" w14:textId="696C2EA1" w:rsidR="00A6605D" w:rsidRPr="006B2775"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www.taixincf.com</w:t>
            </w:r>
          </w:p>
        </w:tc>
      </w:tr>
      <w:tr w:rsidR="00A6605D" w14:paraId="32D4E8CB" w14:textId="77777777" w:rsidTr="006B2775">
        <w:tc>
          <w:tcPr>
            <w:tcW w:w="567" w:type="dxa"/>
          </w:tcPr>
          <w:p w14:paraId="0486A218" w14:textId="77777777" w:rsidR="00A6605D" w:rsidRDefault="00413D7E">
            <w:pPr>
              <w:jc w:val="center"/>
              <w:rPr>
                <w:rFonts w:ascii="宋体" w:hAnsi="宋体" w:cs="宋体"/>
                <w:szCs w:val="21"/>
              </w:rPr>
            </w:pPr>
            <w:r>
              <w:rPr>
                <w:rFonts w:ascii="宋体" w:hAnsi="宋体" w:hint="eastAsia"/>
                <w:color w:val="000000"/>
              </w:rPr>
              <w:t>37</w:t>
            </w:r>
          </w:p>
        </w:tc>
        <w:tc>
          <w:tcPr>
            <w:tcW w:w="2692" w:type="dxa"/>
          </w:tcPr>
          <w:p w14:paraId="3C052778" w14:textId="77777777" w:rsidR="00A6605D" w:rsidRDefault="00413D7E">
            <w:pPr>
              <w:jc w:val="center"/>
              <w:rPr>
                <w:rFonts w:ascii="宋体" w:hAnsi="宋体" w:cs="宋体"/>
                <w:szCs w:val="21"/>
                <w:lang w:val="zh-CN"/>
              </w:rPr>
            </w:pPr>
            <w:r>
              <w:rPr>
                <w:rFonts w:ascii="宋体" w:hAnsi="宋体" w:cs="Calibri" w:hint="eastAsia"/>
                <w:color w:val="000000"/>
                <w:szCs w:val="21"/>
              </w:rPr>
              <w:t>上海利得基金销售有限公司</w:t>
            </w:r>
          </w:p>
        </w:tc>
        <w:tc>
          <w:tcPr>
            <w:tcW w:w="5105" w:type="dxa"/>
          </w:tcPr>
          <w:p w14:paraId="2CC7FBA4"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注册地址：上海市宝山区蕴川路5475号1033室</w:t>
            </w:r>
          </w:p>
          <w:p w14:paraId="0F0D7C47"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95733</w:t>
            </w:r>
          </w:p>
          <w:p w14:paraId="13655E07"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www.leadfund.com.cn</w:t>
            </w:r>
          </w:p>
        </w:tc>
      </w:tr>
      <w:tr w:rsidR="00A6605D" w14:paraId="641A5486" w14:textId="77777777" w:rsidTr="006B2775">
        <w:tc>
          <w:tcPr>
            <w:tcW w:w="567" w:type="dxa"/>
          </w:tcPr>
          <w:p w14:paraId="2CF37AB4" w14:textId="77777777" w:rsidR="00A6605D" w:rsidRDefault="00413D7E">
            <w:pPr>
              <w:jc w:val="center"/>
              <w:rPr>
                <w:rFonts w:ascii="宋体" w:hAnsi="宋体" w:cs="宋体"/>
                <w:szCs w:val="21"/>
              </w:rPr>
            </w:pPr>
            <w:r>
              <w:rPr>
                <w:rFonts w:ascii="宋体" w:hAnsi="宋体" w:hint="eastAsia"/>
                <w:color w:val="000000"/>
              </w:rPr>
              <w:t>38</w:t>
            </w:r>
          </w:p>
        </w:tc>
        <w:tc>
          <w:tcPr>
            <w:tcW w:w="2692" w:type="dxa"/>
          </w:tcPr>
          <w:p w14:paraId="13B725C2" w14:textId="77777777" w:rsidR="00A6605D" w:rsidRDefault="00413D7E">
            <w:pPr>
              <w:jc w:val="center"/>
              <w:rPr>
                <w:rFonts w:ascii="宋体" w:hAnsi="宋体" w:cs="宋体"/>
                <w:szCs w:val="21"/>
                <w:lang w:val="zh-CN"/>
              </w:rPr>
            </w:pPr>
            <w:r>
              <w:rPr>
                <w:rFonts w:ascii="宋体" w:hAnsi="宋体" w:cs="Calibri" w:hint="eastAsia"/>
                <w:color w:val="000000"/>
                <w:szCs w:val="21"/>
              </w:rPr>
              <w:t>南京苏宁基金销售有限公司</w:t>
            </w:r>
          </w:p>
        </w:tc>
        <w:tc>
          <w:tcPr>
            <w:tcW w:w="5105" w:type="dxa"/>
          </w:tcPr>
          <w:p w14:paraId="74303933"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注册(办公)地址 :南京市玄武区苏宁大道1-6号</w:t>
            </w:r>
          </w:p>
          <w:p w14:paraId="790F3C6E"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客户服务电话：025-66996699</w:t>
            </w:r>
          </w:p>
          <w:p w14:paraId="588E3F2C"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t>www.snjijin</w:t>
            </w:r>
            <w:r>
              <w:rPr>
                <w:rFonts w:ascii="宋体" w:hAnsi="宋体" w:cs="Calibri" w:hint="eastAsia"/>
                <w:color w:val="000000"/>
                <w:szCs w:val="21"/>
              </w:rPr>
              <w:t>.com</w:t>
            </w:r>
          </w:p>
        </w:tc>
      </w:tr>
      <w:tr w:rsidR="00A6605D" w14:paraId="209CC03C" w14:textId="77777777" w:rsidTr="006B2775">
        <w:tc>
          <w:tcPr>
            <w:tcW w:w="567" w:type="dxa"/>
          </w:tcPr>
          <w:p w14:paraId="612974D7" w14:textId="77777777" w:rsidR="00A6605D" w:rsidRDefault="00413D7E">
            <w:pPr>
              <w:jc w:val="center"/>
              <w:rPr>
                <w:rFonts w:ascii="宋体" w:hAnsi="宋体" w:cs="宋体"/>
                <w:szCs w:val="21"/>
              </w:rPr>
            </w:pPr>
            <w:r>
              <w:rPr>
                <w:rFonts w:ascii="宋体" w:hAnsi="宋体" w:hint="eastAsia"/>
                <w:color w:val="000000"/>
              </w:rPr>
              <w:t>39</w:t>
            </w:r>
          </w:p>
        </w:tc>
        <w:tc>
          <w:tcPr>
            <w:tcW w:w="2692" w:type="dxa"/>
          </w:tcPr>
          <w:p w14:paraId="0E7445FC" w14:textId="77777777" w:rsidR="00A6605D" w:rsidRDefault="00413D7E">
            <w:pPr>
              <w:jc w:val="center"/>
              <w:rPr>
                <w:rFonts w:ascii="宋体" w:hAnsi="宋体" w:cs="宋体"/>
                <w:szCs w:val="21"/>
                <w:lang w:val="zh-CN"/>
              </w:rPr>
            </w:pPr>
            <w:r>
              <w:rPr>
                <w:rFonts w:ascii="宋体" w:hAnsi="宋体" w:cs="Calibri" w:hint="eastAsia"/>
                <w:color w:val="000000"/>
                <w:szCs w:val="21"/>
              </w:rPr>
              <w:t>中证金牛（北京）投资咨询有限公司</w:t>
            </w:r>
          </w:p>
        </w:tc>
        <w:tc>
          <w:tcPr>
            <w:tcW w:w="5105" w:type="dxa"/>
          </w:tcPr>
          <w:p w14:paraId="1DAD7AEA"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注册地址:北京市丰台区东管头</w:t>
            </w:r>
            <w:r>
              <w:rPr>
                <w:rFonts w:ascii="宋体" w:hAnsi="宋体" w:cs="Calibri"/>
                <w:color w:val="000000"/>
                <w:szCs w:val="21"/>
              </w:rPr>
              <w:t>1号2号楼2-45室</w:t>
            </w:r>
          </w:p>
          <w:p w14:paraId="2351167C"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客户服务电话：4008-909-998</w:t>
            </w:r>
          </w:p>
          <w:p w14:paraId="78D864B7"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网址：www.jnlc.com</w:t>
            </w:r>
          </w:p>
        </w:tc>
      </w:tr>
      <w:tr w:rsidR="00A6605D" w14:paraId="2C84CB52" w14:textId="77777777" w:rsidTr="006B2775">
        <w:tc>
          <w:tcPr>
            <w:tcW w:w="567" w:type="dxa"/>
          </w:tcPr>
          <w:p w14:paraId="38878C19" w14:textId="77777777" w:rsidR="00A6605D" w:rsidRDefault="00413D7E">
            <w:pPr>
              <w:jc w:val="center"/>
              <w:rPr>
                <w:rFonts w:ascii="宋体" w:hAnsi="宋体" w:cs="宋体"/>
                <w:szCs w:val="21"/>
              </w:rPr>
            </w:pPr>
            <w:r>
              <w:rPr>
                <w:rFonts w:ascii="宋体" w:hAnsi="宋体" w:hint="eastAsia"/>
                <w:color w:val="000000"/>
              </w:rPr>
              <w:lastRenderedPageBreak/>
              <w:t>40</w:t>
            </w:r>
          </w:p>
        </w:tc>
        <w:tc>
          <w:tcPr>
            <w:tcW w:w="2692" w:type="dxa"/>
          </w:tcPr>
          <w:p w14:paraId="43166DCE" w14:textId="77777777" w:rsidR="00A6605D" w:rsidRDefault="00413D7E">
            <w:pPr>
              <w:jc w:val="center"/>
              <w:rPr>
                <w:rFonts w:ascii="宋体" w:hAnsi="宋体" w:cs="宋体"/>
                <w:szCs w:val="21"/>
                <w:lang w:val="zh-CN"/>
              </w:rPr>
            </w:pPr>
            <w:r>
              <w:rPr>
                <w:rFonts w:ascii="宋体" w:hAnsi="宋体" w:cs="Calibri" w:hint="eastAsia"/>
                <w:color w:val="000000"/>
                <w:szCs w:val="21"/>
              </w:rPr>
              <w:t>江苏汇林保大基金销售有限公司</w:t>
            </w:r>
          </w:p>
        </w:tc>
        <w:tc>
          <w:tcPr>
            <w:tcW w:w="5105" w:type="dxa"/>
          </w:tcPr>
          <w:p w14:paraId="4E7F3FB1"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南京市高淳区经济开发区古檀大道47号</w:t>
            </w:r>
          </w:p>
          <w:p w14:paraId="02BB4A90"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662820F2"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网址：www.huilinbd.com</w:t>
            </w:r>
          </w:p>
        </w:tc>
      </w:tr>
      <w:tr w:rsidR="00A6605D" w14:paraId="1BD5C888" w14:textId="77777777" w:rsidTr="006B2775">
        <w:tc>
          <w:tcPr>
            <w:tcW w:w="567" w:type="dxa"/>
          </w:tcPr>
          <w:p w14:paraId="7D78C660" w14:textId="77777777" w:rsidR="00A6605D" w:rsidRDefault="00413D7E">
            <w:pPr>
              <w:jc w:val="center"/>
              <w:rPr>
                <w:rFonts w:ascii="宋体" w:hAnsi="宋体" w:cs="宋体"/>
                <w:szCs w:val="21"/>
              </w:rPr>
            </w:pPr>
            <w:r>
              <w:rPr>
                <w:rFonts w:ascii="宋体" w:hAnsi="宋体" w:hint="eastAsia"/>
                <w:color w:val="000000"/>
              </w:rPr>
              <w:t>41</w:t>
            </w:r>
          </w:p>
        </w:tc>
        <w:tc>
          <w:tcPr>
            <w:tcW w:w="2692" w:type="dxa"/>
          </w:tcPr>
          <w:p w14:paraId="1D5F5CEB" w14:textId="77777777" w:rsidR="00A6605D" w:rsidRDefault="00413D7E">
            <w:pPr>
              <w:jc w:val="center"/>
              <w:rPr>
                <w:rFonts w:ascii="宋体" w:hAnsi="宋体" w:cs="宋体"/>
                <w:szCs w:val="21"/>
                <w:lang w:val="zh-CN"/>
              </w:rPr>
            </w:pPr>
            <w:r>
              <w:rPr>
                <w:rFonts w:ascii="宋体" w:hAnsi="宋体" w:cs="Calibri" w:hint="eastAsia"/>
                <w:color w:val="000000"/>
                <w:szCs w:val="21"/>
              </w:rPr>
              <w:t>玄元保险代理有限公司</w:t>
            </w:r>
          </w:p>
        </w:tc>
        <w:tc>
          <w:tcPr>
            <w:tcW w:w="5105" w:type="dxa"/>
          </w:tcPr>
          <w:p w14:paraId="6E7C6994"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35EB342C"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客户服务电话：0</w:t>
            </w:r>
            <w:r>
              <w:rPr>
                <w:rFonts w:ascii="宋体" w:hAnsi="宋体" w:cs="Calibri"/>
                <w:color w:val="000000"/>
                <w:szCs w:val="21"/>
              </w:rPr>
              <w:t>21-50701003</w:t>
            </w:r>
          </w:p>
          <w:p w14:paraId="1B3D5AEC"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www.licaimofang.cn</w:t>
            </w:r>
          </w:p>
        </w:tc>
      </w:tr>
      <w:tr w:rsidR="00A6605D" w14:paraId="281E437D" w14:textId="77777777" w:rsidTr="006B2775">
        <w:tc>
          <w:tcPr>
            <w:tcW w:w="567" w:type="dxa"/>
          </w:tcPr>
          <w:p w14:paraId="737AD71B" w14:textId="77777777" w:rsidR="00A6605D" w:rsidRDefault="00413D7E">
            <w:pPr>
              <w:jc w:val="center"/>
              <w:rPr>
                <w:rFonts w:ascii="宋体" w:hAnsi="宋体" w:cs="宋体"/>
                <w:szCs w:val="21"/>
              </w:rPr>
            </w:pPr>
            <w:r>
              <w:rPr>
                <w:rFonts w:ascii="宋体" w:hAnsi="宋体" w:hint="eastAsia"/>
                <w:color w:val="000000"/>
              </w:rPr>
              <w:t>42</w:t>
            </w:r>
          </w:p>
        </w:tc>
        <w:tc>
          <w:tcPr>
            <w:tcW w:w="2692" w:type="dxa"/>
          </w:tcPr>
          <w:p w14:paraId="4A9B0E82" w14:textId="77777777" w:rsidR="00A6605D" w:rsidRDefault="00413D7E">
            <w:pPr>
              <w:jc w:val="center"/>
              <w:rPr>
                <w:rFonts w:ascii="宋体" w:hAnsi="宋体" w:cs="宋体"/>
                <w:szCs w:val="21"/>
                <w:lang w:val="zh-CN"/>
              </w:rPr>
            </w:pPr>
            <w:r>
              <w:rPr>
                <w:rFonts w:ascii="宋体" w:hAnsi="宋体" w:cs="Calibri" w:hint="eastAsia"/>
                <w:color w:val="000000"/>
                <w:szCs w:val="21"/>
              </w:rPr>
              <w:t>宜信普泽（北京）基金销售有限公司</w:t>
            </w:r>
          </w:p>
        </w:tc>
        <w:tc>
          <w:tcPr>
            <w:tcW w:w="5105" w:type="dxa"/>
          </w:tcPr>
          <w:p w14:paraId="39887A0D"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北京市</w:t>
            </w:r>
            <w:r>
              <w:rPr>
                <w:rFonts w:ascii="宋体" w:hAnsi="宋体" w:cs="Calibri"/>
                <w:color w:val="000000"/>
                <w:szCs w:val="21"/>
              </w:rPr>
              <w:t>朝阳区建国路</w:t>
            </w:r>
            <w:r>
              <w:rPr>
                <w:rFonts w:ascii="宋体" w:hAnsi="宋体" w:cs="Calibri" w:hint="eastAsia"/>
                <w:color w:val="000000"/>
                <w:szCs w:val="21"/>
              </w:rPr>
              <w:t>88号9号</w:t>
            </w:r>
            <w:r>
              <w:rPr>
                <w:rFonts w:ascii="宋体" w:hAnsi="宋体" w:cs="Calibri"/>
                <w:color w:val="000000"/>
                <w:szCs w:val="21"/>
              </w:rPr>
              <w:t>楼</w:t>
            </w:r>
            <w:r>
              <w:rPr>
                <w:rFonts w:ascii="宋体" w:hAnsi="宋体" w:cs="Calibri" w:hint="eastAsia"/>
                <w:color w:val="000000"/>
                <w:szCs w:val="21"/>
              </w:rPr>
              <w:t>15层1809</w:t>
            </w:r>
          </w:p>
          <w:p w14:paraId="43BF22FC"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16ADE45B"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A6605D" w14:paraId="66C8BCD1" w14:textId="77777777" w:rsidTr="006B2775">
        <w:tc>
          <w:tcPr>
            <w:tcW w:w="567" w:type="dxa"/>
          </w:tcPr>
          <w:p w14:paraId="2C0FD061" w14:textId="77777777" w:rsidR="00A6605D" w:rsidRDefault="00413D7E">
            <w:pPr>
              <w:jc w:val="center"/>
              <w:rPr>
                <w:rFonts w:ascii="宋体" w:hAnsi="宋体" w:cs="宋体"/>
                <w:szCs w:val="21"/>
              </w:rPr>
            </w:pPr>
            <w:r>
              <w:rPr>
                <w:rFonts w:ascii="宋体" w:hAnsi="宋体" w:hint="eastAsia"/>
                <w:color w:val="000000"/>
              </w:rPr>
              <w:t>43</w:t>
            </w:r>
          </w:p>
        </w:tc>
        <w:tc>
          <w:tcPr>
            <w:tcW w:w="2692" w:type="dxa"/>
          </w:tcPr>
          <w:p w14:paraId="75B9D507" w14:textId="77777777" w:rsidR="00A6605D" w:rsidRDefault="00413D7E">
            <w:pPr>
              <w:jc w:val="center"/>
              <w:rPr>
                <w:rFonts w:ascii="宋体" w:hAnsi="宋体" w:cs="宋体"/>
                <w:szCs w:val="21"/>
                <w:lang w:val="zh-CN"/>
              </w:rPr>
            </w:pPr>
            <w:r>
              <w:rPr>
                <w:rFonts w:ascii="宋体" w:hAnsi="宋体" w:cs="Calibri" w:hint="eastAsia"/>
                <w:color w:val="000000"/>
                <w:szCs w:val="21"/>
              </w:rPr>
              <w:t>喜鹊财富基金销售有限公司</w:t>
            </w:r>
          </w:p>
        </w:tc>
        <w:tc>
          <w:tcPr>
            <w:tcW w:w="5105" w:type="dxa"/>
          </w:tcPr>
          <w:p w14:paraId="752E6BCB"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西藏拉萨市柳梧新区柳梧大厦1513室</w:t>
            </w:r>
          </w:p>
          <w:p w14:paraId="10EA4D80"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客户服务电话：400-699-7719</w:t>
            </w:r>
          </w:p>
          <w:p w14:paraId="07ABD9A1" w14:textId="77777777" w:rsidR="00A6605D" w:rsidRDefault="00413D7E">
            <w:pPr>
              <w:widowControl/>
              <w:spacing w:line="360" w:lineRule="auto"/>
              <w:jc w:val="left"/>
              <w:rPr>
                <w:rFonts w:ascii="宋体" w:hAnsi="宋体" w:cs="宋体"/>
                <w:szCs w:val="21"/>
              </w:rPr>
            </w:pPr>
            <w:r>
              <w:rPr>
                <w:rFonts w:ascii="宋体" w:hAnsi="宋体" w:cs="Calibri" w:hint="eastAsia"/>
                <w:color w:val="000000"/>
                <w:szCs w:val="21"/>
              </w:rPr>
              <w:t>网址：www.xiquefund.com</w:t>
            </w:r>
          </w:p>
        </w:tc>
      </w:tr>
      <w:tr w:rsidR="00A6605D" w14:paraId="4382214C" w14:textId="77777777" w:rsidTr="006B2775">
        <w:tc>
          <w:tcPr>
            <w:tcW w:w="567" w:type="dxa"/>
          </w:tcPr>
          <w:p w14:paraId="3E009B22" w14:textId="77777777" w:rsidR="00A6605D" w:rsidRDefault="00413D7E">
            <w:pPr>
              <w:jc w:val="center"/>
              <w:rPr>
                <w:rFonts w:ascii="宋体" w:hAnsi="宋体" w:cs="宋体"/>
                <w:szCs w:val="21"/>
              </w:rPr>
            </w:pPr>
            <w:r>
              <w:rPr>
                <w:rFonts w:ascii="宋体" w:hAnsi="宋体" w:hint="eastAsia"/>
                <w:color w:val="000000"/>
              </w:rPr>
              <w:t>44</w:t>
            </w:r>
          </w:p>
        </w:tc>
        <w:tc>
          <w:tcPr>
            <w:tcW w:w="2692" w:type="dxa"/>
          </w:tcPr>
          <w:p w14:paraId="384C2ED5" w14:textId="77777777" w:rsidR="00A6605D" w:rsidRDefault="00413D7E">
            <w:pPr>
              <w:jc w:val="center"/>
              <w:rPr>
                <w:rFonts w:ascii="宋体" w:hAnsi="宋体" w:cs="宋体"/>
                <w:szCs w:val="21"/>
                <w:lang w:val="zh-CN"/>
              </w:rPr>
            </w:pPr>
            <w:r>
              <w:rPr>
                <w:rFonts w:ascii="宋体" w:hAnsi="宋体" w:cs="Calibri" w:hint="eastAsia"/>
                <w:color w:val="000000"/>
                <w:szCs w:val="21"/>
              </w:rPr>
              <w:t>招商证券股份有限公司</w:t>
            </w:r>
          </w:p>
        </w:tc>
        <w:tc>
          <w:tcPr>
            <w:tcW w:w="5105" w:type="dxa"/>
          </w:tcPr>
          <w:p w14:paraId="5DAD8628"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深圳市福田区福田街道福华一路111号</w:t>
            </w:r>
          </w:p>
          <w:p w14:paraId="65009222" w14:textId="77777777" w:rsidR="00A6605D" w:rsidRDefault="00413D7E">
            <w:pPr>
              <w:snapToGrid w:val="0"/>
              <w:spacing w:line="360" w:lineRule="auto"/>
              <w:rPr>
                <w:rFonts w:ascii="宋体" w:hAnsi="宋体" w:cs="Calibri"/>
                <w:color w:val="000000"/>
                <w:szCs w:val="21"/>
              </w:rPr>
            </w:pPr>
            <w:r>
              <w:rPr>
                <w:rFonts w:ascii="宋体" w:hAnsi="宋体" w:cs="Calibri" w:hint="eastAsia"/>
                <w:color w:val="000000"/>
                <w:szCs w:val="21"/>
              </w:rPr>
              <w:t>客户服务电话：95565、4008888111</w:t>
            </w:r>
          </w:p>
          <w:p w14:paraId="61F307E1" w14:textId="77777777" w:rsidR="00A6605D" w:rsidRDefault="00413D7E">
            <w:pPr>
              <w:snapToGrid w:val="0"/>
              <w:spacing w:line="360" w:lineRule="auto"/>
              <w:rPr>
                <w:rFonts w:ascii="宋体" w:hAnsi="宋体" w:cs="宋体"/>
                <w:szCs w:val="21"/>
              </w:rPr>
            </w:pPr>
            <w:r>
              <w:rPr>
                <w:rFonts w:ascii="宋体" w:hAnsi="宋体" w:cs="Calibri" w:hint="eastAsia"/>
                <w:color w:val="000000"/>
                <w:szCs w:val="21"/>
              </w:rPr>
              <w:t>网址：www.newone.com.cn</w:t>
            </w:r>
          </w:p>
        </w:tc>
      </w:tr>
      <w:tr w:rsidR="00A6605D" w14:paraId="0DBF5C82" w14:textId="77777777" w:rsidTr="006B2775">
        <w:tc>
          <w:tcPr>
            <w:tcW w:w="567" w:type="dxa"/>
          </w:tcPr>
          <w:p w14:paraId="7244434A" w14:textId="77777777" w:rsidR="00A6605D" w:rsidRDefault="00413D7E">
            <w:pPr>
              <w:jc w:val="center"/>
              <w:rPr>
                <w:rFonts w:ascii="宋体" w:hAnsi="宋体" w:cs="宋体"/>
                <w:szCs w:val="21"/>
              </w:rPr>
            </w:pPr>
            <w:r>
              <w:rPr>
                <w:rFonts w:ascii="宋体" w:hAnsi="宋体" w:hint="eastAsia"/>
                <w:color w:val="000000"/>
              </w:rPr>
              <w:t>45</w:t>
            </w:r>
          </w:p>
        </w:tc>
        <w:tc>
          <w:tcPr>
            <w:tcW w:w="2692" w:type="dxa"/>
          </w:tcPr>
          <w:p w14:paraId="3FD65030" w14:textId="77777777" w:rsidR="00A6605D" w:rsidRDefault="00413D7E">
            <w:pPr>
              <w:jc w:val="center"/>
              <w:rPr>
                <w:rFonts w:ascii="宋体" w:hAnsi="宋体" w:cs="宋体"/>
                <w:szCs w:val="21"/>
                <w:lang w:val="zh-CN"/>
              </w:rPr>
            </w:pPr>
            <w:r>
              <w:rPr>
                <w:rFonts w:ascii="宋体" w:hAnsi="宋体" w:cs="Calibri" w:hint="eastAsia"/>
                <w:bCs/>
                <w:color w:val="000000"/>
                <w:szCs w:val="21"/>
              </w:rPr>
              <w:t>华安证券股份有限公司</w:t>
            </w:r>
          </w:p>
        </w:tc>
        <w:tc>
          <w:tcPr>
            <w:tcW w:w="5105" w:type="dxa"/>
          </w:tcPr>
          <w:p w14:paraId="1BCF2745" w14:textId="77777777" w:rsidR="00A6605D" w:rsidRDefault="00413D7E">
            <w:pPr>
              <w:spacing w:line="360" w:lineRule="auto"/>
              <w:rPr>
                <w:rFonts w:ascii="宋体" w:hAnsi="宋体"/>
                <w:color w:val="000000"/>
              </w:rPr>
            </w:pPr>
            <w:r>
              <w:rPr>
                <w:rFonts w:ascii="宋体" w:hAnsi="宋体" w:hint="eastAsia"/>
                <w:color w:val="000000"/>
              </w:rPr>
              <w:t>注册地址：安徽省合肥市政务文化新区天鹅湖路198号</w:t>
            </w:r>
          </w:p>
          <w:p w14:paraId="75222FC5" w14:textId="77777777" w:rsidR="00A6605D" w:rsidRDefault="00413D7E">
            <w:pPr>
              <w:spacing w:line="360" w:lineRule="auto"/>
              <w:rPr>
                <w:rFonts w:ascii="宋体" w:hAnsi="宋体"/>
                <w:color w:val="000000"/>
                <w:szCs w:val="20"/>
              </w:rPr>
            </w:pPr>
            <w:r>
              <w:rPr>
                <w:rFonts w:ascii="宋体" w:hAnsi="宋体" w:hint="eastAsia"/>
                <w:color w:val="000000"/>
                <w:szCs w:val="20"/>
              </w:rPr>
              <w:t>客户服务电话：9</w:t>
            </w:r>
            <w:r>
              <w:rPr>
                <w:rFonts w:ascii="宋体" w:hAnsi="宋体"/>
                <w:color w:val="000000"/>
                <w:szCs w:val="20"/>
              </w:rPr>
              <w:t>5318</w:t>
            </w:r>
          </w:p>
          <w:p w14:paraId="3B8F9120" w14:textId="77777777" w:rsidR="00A6605D" w:rsidRDefault="00413D7E">
            <w:pPr>
              <w:widowControl/>
              <w:spacing w:line="360" w:lineRule="auto"/>
              <w:jc w:val="left"/>
              <w:rPr>
                <w:rFonts w:ascii="宋体" w:hAnsi="宋体" w:cs="宋体"/>
                <w:szCs w:val="21"/>
              </w:rPr>
            </w:pPr>
            <w:r>
              <w:rPr>
                <w:rFonts w:ascii="宋体" w:hAnsi="宋体" w:hint="eastAsia"/>
                <w:color w:val="000000"/>
                <w:szCs w:val="20"/>
              </w:rPr>
              <w:t>网址：www</w:t>
            </w:r>
            <w:r>
              <w:rPr>
                <w:rFonts w:ascii="宋体" w:hAnsi="宋体"/>
                <w:color w:val="000000"/>
                <w:szCs w:val="20"/>
              </w:rPr>
              <w:t>.hazq.com</w:t>
            </w:r>
          </w:p>
        </w:tc>
      </w:tr>
      <w:tr w:rsidR="00A6605D" w14:paraId="658E0DE0" w14:textId="77777777" w:rsidTr="006B2775">
        <w:tc>
          <w:tcPr>
            <w:tcW w:w="567" w:type="dxa"/>
          </w:tcPr>
          <w:p w14:paraId="014C9F94" w14:textId="77777777" w:rsidR="00A6605D" w:rsidRDefault="00413D7E">
            <w:pPr>
              <w:jc w:val="center"/>
              <w:rPr>
                <w:rFonts w:ascii="宋体" w:hAnsi="宋体"/>
                <w:color w:val="000000"/>
              </w:rPr>
            </w:pPr>
            <w:r>
              <w:rPr>
                <w:rFonts w:ascii="宋体" w:hAnsi="宋体" w:hint="eastAsia"/>
                <w:color w:val="000000"/>
              </w:rPr>
              <w:t>46</w:t>
            </w:r>
          </w:p>
        </w:tc>
        <w:tc>
          <w:tcPr>
            <w:tcW w:w="2692" w:type="dxa"/>
          </w:tcPr>
          <w:p w14:paraId="739294A7" w14:textId="77777777" w:rsidR="00A6605D" w:rsidRDefault="00413D7E">
            <w:pPr>
              <w:jc w:val="center"/>
              <w:rPr>
                <w:rFonts w:ascii="宋体" w:hAnsi="宋体" w:cs="Calibri"/>
                <w:bCs/>
                <w:color w:val="000000"/>
                <w:szCs w:val="21"/>
              </w:rPr>
            </w:pPr>
            <w:r>
              <w:rPr>
                <w:rFonts w:ascii="宋体" w:hAnsi="宋体" w:cs="Calibri" w:hint="eastAsia"/>
                <w:bCs/>
                <w:color w:val="000000"/>
                <w:szCs w:val="21"/>
              </w:rPr>
              <w:t>恒泰证券股份有限公司</w:t>
            </w:r>
          </w:p>
        </w:tc>
        <w:tc>
          <w:tcPr>
            <w:tcW w:w="5105" w:type="dxa"/>
          </w:tcPr>
          <w:p w14:paraId="595DCB18"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注册地址：内蒙古自治区呼和浩特市新城区海拉尔东街满世尚都办公商业综合楼</w:t>
            </w:r>
          </w:p>
          <w:p w14:paraId="7E4549D5"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客户服务电话：956088</w:t>
            </w:r>
          </w:p>
          <w:p w14:paraId="432E62B8"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网址：www.cnht.com.cn</w:t>
            </w:r>
          </w:p>
        </w:tc>
      </w:tr>
      <w:tr w:rsidR="00A6605D" w14:paraId="10D2EE2B" w14:textId="77777777" w:rsidTr="006B2775">
        <w:tc>
          <w:tcPr>
            <w:tcW w:w="567" w:type="dxa"/>
          </w:tcPr>
          <w:p w14:paraId="15B72CD5" w14:textId="77777777" w:rsidR="00A6605D" w:rsidRDefault="00413D7E">
            <w:pPr>
              <w:jc w:val="center"/>
              <w:rPr>
                <w:rFonts w:ascii="宋体" w:hAnsi="宋体"/>
                <w:color w:val="000000"/>
              </w:rPr>
            </w:pPr>
            <w:r>
              <w:rPr>
                <w:rFonts w:ascii="宋体" w:hAnsi="宋体" w:hint="eastAsia"/>
                <w:color w:val="000000"/>
              </w:rPr>
              <w:t>47</w:t>
            </w:r>
          </w:p>
        </w:tc>
        <w:tc>
          <w:tcPr>
            <w:tcW w:w="2692" w:type="dxa"/>
          </w:tcPr>
          <w:p w14:paraId="2F3FB4C8" w14:textId="77777777" w:rsidR="00A6605D" w:rsidRDefault="00413D7E">
            <w:pPr>
              <w:jc w:val="center"/>
              <w:rPr>
                <w:rFonts w:ascii="宋体" w:hAnsi="宋体" w:cs="Calibri"/>
                <w:bCs/>
                <w:color w:val="000000"/>
                <w:szCs w:val="21"/>
              </w:rPr>
            </w:pPr>
            <w:r>
              <w:rPr>
                <w:rFonts w:ascii="宋体" w:hAnsi="宋体" w:cs="Calibri" w:hint="eastAsia"/>
                <w:bCs/>
                <w:color w:val="000000"/>
                <w:szCs w:val="21"/>
              </w:rPr>
              <w:t>和耕传承基金销售有限公司</w:t>
            </w:r>
          </w:p>
        </w:tc>
        <w:tc>
          <w:tcPr>
            <w:tcW w:w="5105" w:type="dxa"/>
          </w:tcPr>
          <w:p w14:paraId="3A07287C"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注册地址：河南自贸试验区郑州片区（郑东）东风南路东康宁街北6号楼5楼503</w:t>
            </w:r>
          </w:p>
          <w:p w14:paraId="3FA8EFFE"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4000-555-671</w:t>
            </w:r>
          </w:p>
          <w:p w14:paraId="4F0BC009"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 hgccpb.com</w:t>
            </w:r>
          </w:p>
        </w:tc>
      </w:tr>
      <w:tr w:rsidR="00A6605D" w14:paraId="1825FBCA" w14:textId="77777777" w:rsidTr="006B2775">
        <w:tc>
          <w:tcPr>
            <w:tcW w:w="567" w:type="dxa"/>
          </w:tcPr>
          <w:p w14:paraId="07079362" w14:textId="77777777" w:rsidR="00A6605D" w:rsidRDefault="00413D7E">
            <w:pPr>
              <w:jc w:val="center"/>
              <w:rPr>
                <w:rFonts w:ascii="宋体" w:hAnsi="宋体"/>
                <w:color w:val="000000"/>
              </w:rPr>
            </w:pPr>
            <w:r>
              <w:rPr>
                <w:rFonts w:ascii="宋体" w:hAnsi="宋体" w:hint="eastAsia"/>
                <w:color w:val="000000"/>
              </w:rPr>
              <w:t>48</w:t>
            </w:r>
          </w:p>
        </w:tc>
        <w:tc>
          <w:tcPr>
            <w:tcW w:w="2692" w:type="dxa"/>
          </w:tcPr>
          <w:p w14:paraId="48ADCD13" w14:textId="77777777" w:rsidR="00A6605D" w:rsidRDefault="00413D7E">
            <w:pPr>
              <w:jc w:val="center"/>
              <w:rPr>
                <w:rFonts w:ascii="宋体" w:hAnsi="宋体" w:cs="Calibri"/>
                <w:bCs/>
                <w:color w:val="000000"/>
                <w:szCs w:val="21"/>
              </w:rPr>
            </w:pPr>
            <w:r>
              <w:rPr>
                <w:rFonts w:ascii="宋体" w:hAnsi="宋体" w:cs="Calibri" w:hint="eastAsia"/>
                <w:bCs/>
                <w:color w:val="000000"/>
                <w:szCs w:val="21"/>
              </w:rPr>
              <w:t>北京新浪仓石基金销售有限公司</w:t>
            </w:r>
          </w:p>
        </w:tc>
        <w:tc>
          <w:tcPr>
            <w:tcW w:w="5105" w:type="dxa"/>
          </w:tcPr>
          <w:p w14:paraId="4EA12DC4"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注册地址：北京市海淀区东北旺西路中关村软件园二期（西扩）N-1、N-2地块新浪总部科研楼5层518室</w:t>
            </w:r>
          </w:p>
          <w:p w14:paraId="18658635"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客户服务电话：010-62675369</w:t>
            </w:r>
          </w:p>
          <w:p w14:paraId="09DA561B"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网址：www.xincai.com</w:t>
            </w:r>
          </w:p>
        </w:tc>
      </w:tr>
      <w:tr w:rsidR="00A6605D" w14:paraId="0AA2114A" w14:textId="77777777" w:rsidTr="006B2775">
        <w:tc>
          <w:tcPr>
            <w:tcW w:w="567" w:type="dxa"/>
          </w:tcPr>
          <w:p w14:paraId="04392DC8" w14:textId="77777777" w:rsidR="00A6605D" w:rsidRDefault="00413D7E">
            <w:pPr>
              <w:jc w:val="center"/>
              <w:rPr>
                <w:rFonts w:ascii="宋体" w:hAnsi="宋体"/>
                <w:color w:val="000000"/>
              </w:rPr>
            </w:pPr>
            <w:r>
              <w:rPr>
                <w:rFonts w:ascii="宋体" w:hAnsi="宋体" w:hint="eastAsia"/>
                <w:color w:val="000000"/>
              </w:rPr>
              <w:lastRenderedPageBreak/>
              <w:t>49</w:t>
            </w:r>
          </w:p>
        </w:tc>
        <w:tc>
          <w:tcPr>
            <w:tcW w:w="2692" w:type="dxa"/>
          </w:tcPr>
          <w:p w14:paraId="209E0A61" w14:textId="77777777" w:rsidR="00A6605D" w:rsidRDefault="00413D7E">
            <w:pPr>
              <w:jc w:val="center"/>
              <w:rPr>
                <w:rFonts w:ascii="宋体" w:hAnsi="宋体" w:cs="Calibri"/>
                <w:bCs/>
                <w:color w:val="000000"/>
                <w:szCs w:val="21"/>
              </w:rPr>
            </w:pPr>
            <w:r>
              <w:rPr>
                <w:rFonts w:ascii="宋体" w:hAnsi="宋体" w:cs="Calibri" w:hint="eastAsia"/>
                <w:bCs/>
                <w:color w:val="000000"/>
                <w:szCs w:val="21"/>
              </w:rPr>
              <w:t>华瑞保险销售有限公司</w:t>
            </w:r>
          </w:p>
        </w:tc>
        <w:tc>
          <w:tcPr>
            <w:tcW w:w="5105" w:type="dxa"/>
          </w:tcPr>
          <w:p w14:paraId="6A00F1F8"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注册地址：上海市嘉定区南翔镇众仁路399号运通星财富广场1号楼B座13、14层</w:t>
            </w:r>
          </w:p>
          <w:p w14:paraId="414FA2EA"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客户服务电话：952303</w:t>
            </w:r>
          </w:p>
          <w:p w14:paraId="2729D376"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www.huaruisales.com</w:t>
            </w:r>
          </w:p>
        </w:tc>
      </w:tr>
      <w:tr w:rsidR="00A6605D" w14:paraId="4E8D0236" w14:textId="77777777" w:rsidTr="006B2775">
        <w:tc>
          <w:tcPr>
            <w:tcW w:w="567" w:type="dxa"/>
          </w:tcPr>
          <w:p w14:paraId="067DF8F0" w14:textId="77777777" w:rsidR="00A6605D" w:rsidRDefault="00413D7E">
            <w:pPr>
              <w:jc w:val="center"/>
              <w:rPr>
                <w:rFonts w:ascii="宋体" w:hAnsi="宋体"/>
                <w:color w:val="000000"/>
              </w:rPr>
            </w:pPr>
            <w:r>
              <w:rPr>
                <w:rFonts w:ascii="宋体" w:hAnsi="宋体" w:hint="eastAsia"/>
                <w:color w:val="000000"/>
              </w:rPr>
              <w:t>50</w:t>
            </w:r>
          </w:p>
        </w:tc>
        <w:tc>
          <w:tcPr>
            <w:tcW w:w="2692" w:type="dxa"/>
          </w:tcPr>
          <w:p w14:paraId="29C3B361" w14:textId="77777777" w:rsidR="00A6605D" w:rsidRDefault="00413D7E">
            <w:pPr>
              <w:jc w:val="center"/>
              <w:rPr>
                <w:rFonts w:ascii="宋体" w:hAnsi="宋体" w:cs="Calibri"/>
                <w:bCs/>
                <w:color w:val="000000"/>
                <w:szCs w:val="21"/>
              </w:rPr>
            </w:pPr>
            <w:r>
              <w:rPr>
                <w:rFonts w:ascii="宋体" w:hAnsi="宋体" w:cs="Calibri" w:hint="eastAsia"/>
                <w:bCs/>
                <w:color w:val="000000"/>
                <w:szCs w:val="21"/>
              </w:rPr>
              <w:t>阳光人寿保险股份有限公司</w:t>
            </w:r>
          </w:p>
        </w:tc>
        <w:tc>
          <w:tcPr>
            <w:tcW w:w="5105" w:type="dxa"/>
          </w:tcPr>
          <w:p w14:paraId="53C55FD0"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注册地址：北京市朝阳区朝阳门外大街乙12号院1号昆泰国际大厦12层</w:t>
            </w:r>
          </w:p>
          <w:p w14:paraId="55F984A7"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客户服务电话：95510</w:t>
            </w:r>
          </w:p>
          <w:p w14:paraId="6062EF8E"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网址：fund.sinosig.com</w:t>
            </w:r>
          </w:p>
        </w:tc>
      </w:tr>
      <w:tr w:rsidR="00A6605D" w14:paraId="2DBD732F" w14:textId="77777777" w:rsidTr="006B2775">
        <w:tc>
          <w:tcPr>
            <w:tcW w:w="567" w:type="dxa"/>
          </w:tcPr>
          <w:p w14:paraId="129AB37A" w14:textId="77777777" w:rsidR="00A6605D" w:rsidRDefault="00413D7E">
            <w:pPr>
              <w:jc w:val="center"/>
              <w:rPr>
                <w:rFonts w:ascii="宋体" w:hAnsi="宋体"/>
                <w:color w:val="000000"/>
              </w:rPr>
            </w:pPr>
            <w:r>
              <w:rPr>
                <w:rFonts w:ascii="宋体" w:hAnsi="宋体" w:hint="eastAsia"/>
                <w:color w:val="000000"/>
              </w:rPr>
              <w:t>5</w:t>
            </w:r>
            <w:r>
              <w:rPr>
                <w:rFonts w:ascii="宋体" w:hAnsi="宋体"/>
                <w:color w:val="000000"/>
              </w:rPr>
              <w:t>1</w:t>
            </w:r>
          </w:p>
        </w:tc>
        <w:tc>
          <w:tcPr>
            <w:tcW w:w="2692" w:type="dxa"/>
          </w:tcPr>
          <w:p w14:paraId="53E40B56" w14:textId="77777777" w:rsidR="00A6605D" w:rsidRDefault="00413D7E">
            <w:pPr>
              <w:jc w:val="center"/>
              <w:rPr>
                <w:rFonts w:ascii="宋体" w:hAnsi="宋体" w:cs="Calibri"/>
                <w:bCs/>
                <w:color w:val="000000"/>
                <w:szCs w:val="21"/>
              </w:rPr>
            </w:pPr>
            <w:r>
              <w:rPr>
                <w:rFonts w:ascii="宋体" w:hAnsi="宋体" w:cs="Calibri" w:hint="eastAsia"/>
                <w:bCs/>
                <w:color w:val="000000"/>
                <w:szCs w:val="21"/>
              </w:rPr>
              <w:t>财咨道信息技术有限公司</w:t>
            </w:r>
          </w:p>
        </w:tc>
        <w:tc>
          <w:tcPr>
            <w:tcW w:w="5105" w:type="dxa"/>
          </w:tcPr>
          <w:p w14:paraId="6E93CF09" w14:textId="77777777" w:rsidR="00A6605D" w:rsidRDefault="00413D7E">
            <w:pPr>
              <w:jc w:val="left"/>
              <w:rPr>
                <w:rFonts w:ascii="宋体" w:hAnsi="宋体" w:cs="Calibri"/>
                <w:color w:val="000000"/>
                <w:szCs w:val="21"/>
              </w:rPr>
            </w:pPr>
            <w:r>
              <w:rPr>
                <w:rFonts w:ascii="宋体" w:hAnsi="宋体" w:cs="Calibri" w:hint="eastAsia"/>
                <w:color w:val="000000"/>
                <w:szCs w:val="21"/>
              </w:rPr>
              <w:t>注册地址：辽宁省沈阳市浑南区白塔二南街18-2号B座601</w:t>
            </w:r>
          </w:p>
          <w:p w14:paraId="377A8295" w14:textId="77777777" w:rsidR="00A6605D" w:rsidRDefault="00413D7E">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024-8228-0606</w:t>
            </w:r>
          </w:p>
          <w:p w14:paraId="71F060C6"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www.caizidao.com.cn</w:t>
            </w:r>
          </w:p>
        </w:tc>
      </w:tr>
      <w:tr w:rsidR="00A6605D" w14:paraId="6FF333B4" w14:textId="77777777" w:rsidTr="006B2775">
        <w:tc>
          <w:tcPr>
            <w:tcW w:w="567" w:type="dxa"/>
          </w:tcPr>
          <w:p w14:paraId="57F8913D" w14:textId="77777777" w:rsidR="00A6605D" w:rsidRDefault="00413D7E">
            <w:pPr>
              <w:jc w:val="center"/>
              <w:rPr>
                <w:rFonts w:ascii="宋体" w:hAnsi="宋体"/>
                <w:color w:val="000000"/>
              </w:rPr>
            </w:pPr>
            <w:r>
              <w:rPr>
                <w:rFonts w:ascii="宋体" w:hAnsi="宋体" w:hint="eastAsia"/>
                <w:color w:val="000000"/>
              </w:rPr>
              <w:t>5</w:t>
            </w:r>
            <w:r>
              <w:rPr>
                <w:rFonts w:ascii="宋体" w:hAnsi="宋体"/>
                <w:color w:val="000000"/>
              </w:rPr>
              <w:t>2</w:t>
            </w:r>
          </w:p>
        </w:tc>
        <w:tc>
          <w:tcPr>
            <w:tcW w:w="2692" w:type="dxa"/>
          </w:tcPr>
          <w:p w14:paraId="75E8AFB7" w14:textId="77777777" w:rsidR="00A6605D" w:rsidRDefault="00413D7E">
            <w:pPr>
              <w:jc w:val="center"/>
              <w:rPr>
                <w:rFonts w:ascii="宋体" w:hAnsi="宋体" w:cs="Calibri"/>
                <w:bCs/>
                <w:color w:val="000000"/>
                <w:szCs w:val="21"/>
              </w:rPr>
            </w:pPr>
            <w:r>
              <w:rPr>
                <w:rFonts w:ascii="宋体" w:hAnsi="宋体" w:cs="Calibri" w:hint="eastAsia"/>
                <w:bCs/>
                <w:color w:val="000000"/>
                <w:szCs w:val="21"/>
              </w:rPr>
              <w:t>北京度小满基金销售有限公司</w:t>
            </w:r>
          </w:p>
        </w:tc>
        <w:tc>
          <w:tcPr>
            <w:tcW w:w="5105" w:type="dxa"/>
          </w:tcPr>
          <w:p w14:paraId="7AAA0885" w14:textId="77777777" w:rsidR="00A6605D" w:rsidRDefault="00413D7E">
            <w:pPr>
              <w:jc w:val="left"/>
              <w:rPr>
                <w:rFonts w:ascii="宋体" w:hAnsi="宋体" w:cs="Calibri"/>
                <w:color w:val="000000"/>
                <w:szCs w:val="21"/>
              </w:rPr>
            </w:pPr>
            <w:r>
              <w:rPr>
                <w:rFonts w:ascii="宋体" w:hAnsi="宋体" w:cs="Calibri" w:hint="eastAsia"/>
                <w:color w:val="000000"/>
                <w:szCs w:val="21"/>
              </w:rPr>
              <w:t>注册地址：北京市海淀区西北旺东路10号院西区4号楼1层103室</w:t>
            </w:r>
          </w:p>
          <w:p w14:paraId="6815DF0F" w14:textId="77777777" w:rsidR="00A6605D" w:rsidRDefault="00413D7E">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95055-4</w:t>
            </w:r>
          </w:p>
          <w:p w14:paraId="2A1B2F52"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www.duxiaomanfund.com</w:t>
            </w:r>
          </w:p>
        </w:tc>
      </w:tr>
      <w:tr w:rsidR="00A6605D" w14:paraId="2B12BF51" w14:textId="77777777" w:rsidTr="006B2775">
        <w:tc>
          <w:tcPr>
            <w:tcW w:w="567" w:type="dxa"/>
          </w:tcPr>
          <w:p w14:paraId="60137534" w14:textId="77777777" w:rsidR="00A6605D" w:rsidRDefault="00413D7E">
            <w:pPr>
              <w:jc w:val="center"/>
              <w:rPr>
                <w:rFonts w:ascii="宋体" w:hAnsi="宋体"/>
                <w:color w:val="000000"/>
              </w:rPr>
            </w:pPr>
            <w:r>
              <w:rPr>
                <w:rFonts w:ascii="宋体" w:hAnsi="宋体" w:hint="eastAsia"/>
                <w:color w:val="000000"/>
              </w:rPr>
              <w:t>5</w:t>
            </w:r>
            <w:r>
              <w:rPr>
                <w:rFonts w:ascii="宋体" w:hAnsi="宋体"/>
                <w:color w:val="000000"/>
              </w:rPr>
              <w:t>3</w:t>
            </w:r>
          </w:p>
        </w:tc>
        <w:tc>
          <w:tcPr>
            <w:tcW w:w="2692" w:type="dxa"/>
          </w:tcPr>
          <w:p w14:paraId="65842C9F" w14:textId="77777777" w:rsidR="00A6605D" w:rsidRDefault="00413D7E">
            <w:pPr>
              <w:jc w:val="center"/>
              <w:rPr>
                <w:rFonts w:ascii="宋体" w:hAnsi="宋体" w:cs="Calibri"/>
                <w:bCs/>
                <w:color w:val="000000"/>
                <w:szCs w:val="21"/>
              </w:rPr>
            </w:pPr>
            <w:r>
              <w:rPr>
                <w:rFonts w:ascii="宋体" w:hAnsi="宋体" w:cs="Calibri" w:hint="eastAsia"/>
                <w:bCs/>
                <w:color w:val="000000"/>
                <w:szCs w:val="21"/>
              </w:rPr>
              <w:t>通华财富（上海）基金销售有限公司</w:t>
            </w:r>
          </w:p>
        </w:tc>
        <w:tc>
          <w:tcPr>
            <w:tcW w:w="5105" w:type="dxa"/>
          </w:tcPr>
          <w:p w14:paraId="1AB0BCB6" w14:textId="77777777" w:rsidR="00A6605D" w:rsidRDefault="00413D7E">
            <w:pPr>
              <w:jc w:val="left"/>
              <w:rPr>
                <w:rFonts w:ascii="宋体" w:hAnsi="宋体" w:cs="Calibri"/>
                <w:color w:val="000000"/>
                <w:szCs w:val="21"/>
              </w:rPr>
            </w:pPr>
            <w:r>
              <w:rPr>
                <w:rFonts w:ascii="宋体" w:hAnsi="宋体" w:cs="Calibri" w:hint="eastAsia"/>
                <w:color w:val="000000"/>
                <w:szCs w:val="21"/>
              </w:rPr>
              <w:t>注册地址：上海市虹口区同丰路667弄107号201室</w:t>
            </w:r>
          </w:p>
          <w:p w14:paraId="094449A5" w14:textId="77777777" w:rsidR="00A6605D" w:rsidRDefault="00413D7E">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400-101-9301</w:t>
            </w:r>
          </w:p>
          <w:p w14:paraId="1BC9E2E9"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www.tonghuafund.com</w:t>
            </w:r>
          </w:p>
        </w:tc>
      </w:tr>
      <w:tr w:rsidR="00A6605D" w14:paraId="1A23421A" w14:textId="77777777" w:rsidTr="006B2775">
        <w:tc>
          <w:tcPr>
            <w:tcW w:w="567" w:type="dxa"/>
          </w:tcPr>
          <w:p w14:paraId="09424286" w14:textId="77777777" w:rsidR="00A6605D" w:rsidRDefault="00413D7E">
            <w:pPr>
              <w:jc w:val="center"/>
              <w:rPr>
                <w:rFonts w:ascii="宋体" w:hAnsi="宋体"/>
                <w:color w:val="000000"/>
              </w:rPr>
            </w:pPr>
            <w:r>
              <w:rPr>
                <w:rFonts w:ascii="宋体" w:hAnsi="宋体" w:hint="eastAsia"/>
                <w:color w:val="000000"/>
              </w:rPr>
              <w:t>5</w:t>
            </w:r>
            <w:r>
              <w:rPr>
                <w:rFonts w:ascii="宋体" w:hAnsi="宋体"/>
                <w:color w:val="000000"/>
              </w:rPr>
              <w:t>4</w:t>
            </w:r>
          </w:p>
        </w:tc>
        <w:tc>
          <w:tcPr>
            <w:tcW w:w="2692" w:type="dxa"/>
          </w:tcPr>
          <w:p w14:paraId="4DFEB5B8" w14:textId="77777777" w:rsidR="00A6605D" w:rsidRDefault="00413D7E">
            <w:pPr>
              <w:jc w:val="center"/>
              <w:rPr>
                <w:rFonts w:ascii="宋体" w:hAnsi="宋体" w:cs="Calibri"/>
                <w:bCs/>
                <w:color w:val="000000"/>
                <w:szCs w:val="21"/>
              </w:rPr>
            </w:pPr>
            <w:r>
              <w:rPr>
                <w:rFonts w:ascii="宋体" w:hAnsi="宋体" w:cs="Calibri" w:hint="eastAsia"/>
                <w:bCs/>
                <w:color w:val="000000"/>
                <w:szCs w:val="21"/>
              </w:rPr>
              <w:t>上海万得基金销售有限公司</w:t>
            </w:r>
          </w:p>
        </w:tc>
        <w:tc>
          <w:tcPr>
            <w:tcW w:w="5105" w:type="dxa"/>
          </w:tcPr>
          <w:p w14:paraId="3F8E1FAC" w14:textId="77777777" w:rsidR="00A6605D" w:rsidRDefault="00413D7E">
            <w:pPr>
              <w:jc w:val="left"/>
              <w:rPr>
                <w:rFonts w:ascii="宋体" w:hAnsi="宋体" w:cs="Calibri"/>
                <w:color w:val="000000"/>
                <w:szCs w:val="21"/>
              </w:rPr>
            </w:pPr>
            <w:r>
              <w:rPr>
                <w:rFonts w:ascii="宋体" w:hAnsi="宋体" w:cs="Calibri" w:hint="eastAsia"/>
                <w:color w:val="000000"/>
                <w:szCs w:val="21"/>
              </w:rPr>
              <w:t>注册地址：中国（上海）自由贸易试验区福山路33号11楼B座</w:t>
            </w:r>
          </w:p>
          <w:p w14:paraId="4A61DC6E" w14:textId="77777777" w:rsidR="00A6605D" w:rsidRDefault="00413D7E">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400-799-1888</w:t>
            </w:r>
          </w:p>
          <w:p w14:paraId="275244B9"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www.520fund.com.cn</w:t>
            </w:r>
          </w:p>
        </w:tc>
      </w:tr>
      <w:tr w:rsidR="00A6605D" w14:paraId="20E12E3A" w14:textId="77777777" w:rsidTr="006B2775">
        <w:tc>
          <w:tcPr>
            <w:tcW w:w="567" w:type="dxa"/>
          </w:tcPr>
          <w:p w14:paraId="55ABB191" w14:textId="77777777" w:rsidR="00A6605D" w:rsidRDefault="00413D7E">
            <w:pPr>
              <w:jc w:val="center"/>
              <w:rPr>
                <w:rFonts w:ascii="宋体" w:hAnsi="宋体"/>
                <w:color w:val="000000"/>
              </w:rPr>
            </w:pPr>
            <w:r>
              <w:rPr>
                <w:rFonts w:ascii="宋体" w:hAnsi="宋体" w:hint="eastAsia"/>
                <w:color w:val="000000"/>
              </w:rPr>
              <w:t>5</w:t>
            </w:r>
            <w:r>
              <w:rPr>
                <w:rFonts w:ascii="宋体" w:hAnsi="宋体"/>
                <w:color w:val="000000"/>
              </w:rPr>
              <w:t>5</w:t>
            </w:r>
          </w:p>
        </w:tc>
        <w:tc>
          <w:tcPr>
            <w:tcW w:w="2692" w:type="dxa"/>
          </w:tcPr>
          <w:p w14:paraId="36C7E483" w14:textId="77777777" w:rsidR="00A6605D" w:rsidRDefault="00413D7E">
            <w:pPr>
              <w:jc w:val="center"/>
              <w:rPr>
                <w:rFonts w:ascii="宋体" w:hAnsi="宋体" w:cs="Calibri"/>
                <w:bCs/>
                <w:color w:val="000000"/>
                <w:szCs w:val="21"/>
              </w:rPr>
            </w:pPr>
            <w:r>
              <w:rPr>
                <w:rFonts w:ascii="宋体" w:hAnsi="宋体" w:cs="Calibri" w:hint="eastAsia"/>
                <w:bCs/>
                <w:color w:val="000000"/>
                <w:szCs w:val="21"/>
              </w:rPr>
              <w:t>泛华普益基金销售有限公司</w:t>
            </w:r>
          </w:p>
        </w:tc>
        <w:tc>
          <w:tcPr>
            <w:tcW w:w="5105" w:type="dxa"/>
          </w:tcPr>
          <w:p w14:paraId="2D965174" w14:textId="77777777" w:rsidR="00A6605D" w:rsidRDefault="00413D7E">
            <w:pPr>
              <w:jc w:val="left"/>
              <w:rPr>
                <w:rFonts w:ascii="宋体" w:hAnsi="宋体" w:cs="Calibri"/>
                <w:color w:val="000000"/>
                <w:szCs w:val="21"/>
              </w:rPr>
            </w:pPr>
            <w:r>
              <w:rPr>
                <w:rFonts w:ascii="宋体" w:hAnsi="宋体" w:cs="Calibri" w:hint="eastAsia"/>
                <w:color w:val="000000"/>
                <w:szCs w:val="21"/>
              </w:rPr>
              <w:t>注册地址：成都市成华区建设路9号高地中心1101室</w:t>
            </w:r>
          </w:p>
          <w:p w14:paraId="7ABF9D23" w14:textId="77777777" w:rsidR="00A6605D" w:rsidRDefault="00413D7E">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400-080-3388</w:t>
            </w:r>
          </w:p>
          <w:p w14:paraId="23FC4B4A"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www.puyifund.com</w:t>
            </w:r>
          </w:p>
        </w:tc>
      </w:tr>
      <w:tr w:rsidR="00A6605D" w14:paraId="771A8A9C" w14:textId="77777777" w:rsidTr="006B2775">
        <w:tc>
          <w:tcPr>
            <w:tcW w:w="567" w:type="dxa"/>
          </w:tcPr>
          <w:p w14:paraId="79B72076" w14:textId="77777777" w:rsidR="00A6605D" w:rsidRDefault="00413D7E">
            <w:pPr>
              <w:jc w:val="center"/>
              <w:rPr>
                <w:rFonts w:ascii="宋体" w:hAnsi="宋体"/>
                <w:color w:val="000000"/>
              </w:rPr>
            </w:pPr>
            <w:r>
              <w:rPr>
                <w:rFonts w:ascii="宋体" w:hAnsi="宋体" w:hint="eastAsia"/>
                <w:color w:val="000000"/>
              </w:rPr>
              <w:t>5</w:t>
            </w:r>
            <w:r>
              <w:rPr>
                <w:rFonts w:ascii="宋体" w:hAnsi="宋体"/>
                <w:color w:val="000000"/>
              </w:rPr>
              <w:t>6</w:t>
            </w:r>
          </w:p>
        </w:tc>
        <w:tc>
          <w:tcPr>
            <w:tcW w:w="2692" w:type="dxa"/>
          </w:tcPr>
          <w:p w14:paraId="01655452" w14:textId="77777777" w:rsidR="00A6605D" w:rsidRDefault="00413D7E">
            <w:pPr>
              <w:jc w:val="center"/>
              <w:rPr>
                <w:rFonts w:ascii="宋体" w:hAnsi="宋体" w:cs="Calibri"/>
                <w:bCs/>
                <w:color w:val="000000"/>
                <w:szCs w:val="21"/>
              </w:rPr>
            </w:pPr>
            <w:r>
              <w:rPr>
                <w:rFonts w:ascii="宋体" w:hAnsi="宋体" w:cs="Calibri" w:hint="eastAsia"/>
                <w:bCs/>
                <w:color w:val="000000"/>
                <w:szCs w:val="21"/>
              </w:rPr>
              <w:t>众惠基金销售有限公司</w:t>
            </w:r>
          </w:p>
        </w:tc>
        <w:tc>
          <w:tcPr>
            <w:tcW w:w="5105" w:type="dxa"/>
          </w:tcPr>
          <w:p w14:paraId="27606E3C" w14:textId="77777777" w:rsidR="00A6605D" w:rsidRDefault="00413D7E">
            <w:pPr>
              <w:jc w:val="left"/>
              <w:rPr>
                <w:rFonts w:ascii="宋体" w:hAnsi="宋体" w:cs="Calibri"/>
                <w:color w:val="000000"/>
                <w:szCs w:val="21"/>
              </w:rPr>
            </w:pPr>
            <w:r>
              <w:rPr>
                <w:rFonts w:ascii="宋体" w:hAnsi="宋体" w:cs="Calibri" w:hint="eastAsia"/>
                <w:color w:val="000000"/>
                <w:szCs w:val="21"/>
              </w:rPr>
              <w:t>注册地址：贵州省贵阳市观山湖区长岭北路贵阳国际金融中心二期商务区第C4栋30层1号</w:t>
            </w:r>
          </w:p>
          <w:p w14:paraId="3971C03A" w14:textId="77777777" w:rsidR="00A6605D" w:rsidRDefault="00413D7E">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400-839-1818</w:t>
            </w:r>
          </w:p>
          <w:p w14:paraId="5BE83A89" w14:textId="77777777" w:rsidR="00A6605D" w:rsidRDefault="00413D7E">
            <w:pPr>
              <w:spacing w:line="360" w:lineRule="auto"/>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www.zhfundsales.com</w:t>
            </w:r>
          </w:p>
        </w:tc>
      </w:tr>
    </w:tbl>
    <w:tbl>
      <w:tblPr>
        <w:tblStyle w:val="17"/>
        <w:tblW w:w="8359" w:type="dxa"/>
        <w:tblInd w:w="113" w:type="dxa"/>
        <w:tblLayout w:type="fixed"/>
        <w:tblLook w:val="04A0" w:firstRow="1" w:lastRow="0" w:firstColumn="1" w:lastColumn="0" w:noHBand="0" w:noVBand="1"/>
      </w:tblPr>
      <w:tblGrid>
        <w:gridCol w:w="562"/>
        <w:gridCol w:w="2694"/>
        <w:gridCol w:w="5103"/>
      </w:tblGrid>
      <w:tr w:rsidR="00A6605D" w14:paraId="4BE65944" w14:textId="77777777" w:rsidTr="006B2775">
        <w:tc>
          <w:tcPr>
            <w:tcW w:w="562" w:type="dxa"/>
          </w:tcPr>
          <w:p w14:paraId="504471A4" w14:textId="77777777" w:rsidR="00A6605D" w:rsidRDefault="00413D7E">
            <w:pPr>
              <w:jc w:val="center"/>
              <w:rPr>
                <w:rFonts w:ascii="宋体" w:hAnsi="宋体"/>
                <w:color w:val="000000"/>
              </w:rPr>
            </w:pPr>
            <w:r>
              <w:rPr>
                <w:rFonts w:ascii="宋体" w:hAnsi="宋体" w:hint="eastAsia"/>
                <w:color w:val="000000"/>
              </w:rPr>
              <w:t>5</w:t>
            </w:r>
            <w:r>
              <w:rPr>
                <w:rFonts w:ascii="宋体" w:hAnsi="宋体"/>
                <w:color w:val="000000"/>
              </w:rPr>
              <w:t>7</w:t>
            </w:r>
          </w:p>
        </w:tc>
        <w:tc>
          <w:tcPr>
            <w:tcW w:w="2694" w:type="dxa"/>
          </w:tcPr>
          <w:p w14:paraId="6CC87ADD" w14:textId="77777777" w:rsidR="00A6605D" w:rsidRDefault="00413D7E">
            <w:pPr>
              <w:spacing w:line="400" w:lineRule="exact"/>
              <w:jc w:val="center"/>
              <w:rPr>
                <w:rFonts w:asciiTheme="minorEastAsia" w:hAnsiTheme="minorEastAsia" w:cs="Arial"/>
                <w:szCs w:val="20"/>
              </w:rPr>
            </w:pPr>
            <w:r>
              <w:rPr>
                <w:rFonts w:asciiTheme="minorEastAsia" w:hAnsiTheme="minorEastAsia" w:cs="Arial" w:hint="eastAsia"/>
                <w:szCs w:val="20"/>
              </w:rPr>
              <w:t>平安银行股份有限公司</w:t>
            </w:r>
          </w:p>
        </w:tc>
        <w:tc>
          <w:tcPr>
            <w:tcW w:w="5103" w:type="dxa"/>
          </w:tcPr>
          <w:p w14:paraId="621E6BC4" w14:textId="77777777" w:rsidR="00A6605D" w:rsidRDefault="00413D7E" w:rsidP="006B2775">
            <w:pPr>
              <w:widowControl/>
              <w:spacing w:line="360" w:lineRule="auto"/>
              <w:rPr>
                <w:rFonts w:ascii="宋体" w:hAnsi="宋体" w:cs="Calibri"/>
                <w:color w:val="000000"/>
                <w:szCs w:val="21"/>
              </w:rPr>
            </w:pPr>
            <w:r>
              <w:rPr>
                <w:rFonts w:ascii="宋体" w:hAnsi="宋体" w:cs="Calibri" w:hint="eastAsia"/>
                <w:color w:val="000000"/>
                <w:szCs w:val="21"/>
              </w:rPr>
              <w:t>注册地址：广东省深圳市罗湖区深南东路5047号</w:t>
            </w:r>
          </w:p>
          <w:p w14:paraId="4419253B" w14:textId="77777777" w:rsidR="00A6605D" w:rsidRDefault="00413D7E" w:rsidP="006B2775">
            <w:pPr>
              <w:widowControl/>
              <w:spacing w:line="360" w:lineRule="auto"/>
              <w:rPr>
                <w:rFonts w:ascii="宋体" w:hAnsi="宋体" w:cs="Calibri"/>
                <w:color w:val="000000"/>
                <w:kern w:val="0"/>
                <w:szCs w:val="21"/>
              </w:rPr>
            </w:pPr>
            <w:r>
              <w:rPr>
                <w:rFonts w:ascii="宋体" w:hAnsi="宋体" w:cs="Calibri" w:hint="eastAsia"/>
                <w:color w:val="000000"/>
                <w:szCs w:val="21"/>
              </w:rPr>
              <w:t>客户服务电话</w:t>
            </w:r>
            <w:r>
              <w:rPr>
                <w:rFonts w:ascii="宋体" w:hAnsi="宋体" w:cs="Calibri" w:hint="eastAsia"/>
                <w:color w:val="000000"/>
                <w:kern w:val="0"/>
                <w:szCs w:val="21"/>
              </w:rPr>
              <w:t>：400-8895-511</w:t>
            </w:r>
          </w:p>
          <w:p w14:paraId="13B618E9" w14:textId="77777777" w:rsidR="00A6605D" w:rsidRDefault="00413D7E" w:rsidP="006B2775">
            <w:pPr>
              <w:widowControl/>
              <w:spacing w:line="360" w:lineRule="auto"/>
              <w:rPr>
                <w:rFonts w:ascii="宋体" w:hAnsi="宋体" w:cs="Calibri"/>
                <w:color w:val="000000"/>
                <w:szCs w:val="21"/>
              </w:rPr>
            </w:pPr>
            <w:r>
              <w:rPr>
                <w:rFonts w:ascii="宋体" w:hAnsi="宋体" w:cs="Calibri" w:hint="eastAsia"/>
                <w:color w:val="000000"/>
                <w:szCs w:val="21"/>
              </w:rPr>
              <w:t>网址</w:t>
            </w:r>
            <w:r>
              <w:rPr>
                <w:rFonts w:ascii="宋体" w:hAnsi="宋体" w:cs="Calibri" w:hint="eastAsia"/>
                <w:color w:val="000000"/>
                <w:kern w:val="0"/>
                <w:szCs w:val="21"/>
              </w:rPr>
              <w:t>：https://bank.pingan.com/</w:t>
            </w:r>
          </w:p>
        </w:tc>
      </w:tr>
      <w:tr w:rsidR="00A6605D" w14:paraId="3B59FB8B" w14:textId="77777777" w:rsidTr="006B2775">
        <w:tc>
          <w:tcPr>
            <w:tcW w:w="562" w:type="dxa"/>
          </w:tcPr>
          <w:p w14:paraId="5EFB6F80" w14:textId="77777777" w:rsidR="00A6605D" w:rsidRDefault="00413D7E">
            <w:pPr>
              <w:jc w:val="center"/>
              <w:rPr>
                <w:rFonts w:ascii="宋体" w:hAnsi="宋体"/>
                <w:color w:val="000000"/>
              </w:rPr>
            </w:pPr>
            <w:r>
              <w:rPr>
                <w:rFonts w:ascii="宋体" w:hAnsi="宋体" w:hint="eastAsia"/>
                <w:color w:val="000000"/>
              </w:rPr>
              <w:t>5</w:t>
            </w:r>
            <w:r>
              <w:rPr>
                <w:rFonts w:ascii="宋体" w:hAnsi="宋体"/>
                <w:color w:val="000000"/>
              </w:rPr>
              <w:t>8</w:t>
            </w:r>
          </w:p>
        </w:tc>
        <w:tc>
          <w:tcPr>
            <w:tcW w:w="2694" w:type="dxa"/>
          </w:tcPr>
          <w:p w14:paraId="6EF16D9E" w14:textId="77777777" w:rsidR="00A6605D" w:rsidRDefault="00413D7E">
            <w:pPr>
              <w:spacing w:line="400" w:lineRule="exact"/>
              <w:jc w:val="center"/>
              <w:rPr>
                <w:rFonts w:asciiTheme="minorEastAsia" w:hAnsiTheme="minorEastAsia" w:cs="Arial"/>
                <w:szCs w:val="20"/>
              </w:rPr>
            </w:pPr>
            <w:r>
              <w:rPr>
                <w:rFonts w:asciiTheme="minorEastAsia" w:hAnsiTheme="minorEastAsia" w:cs="Arial" w:hint="eastAsia"/>
                <w:szCs w:val="20"/>
              </w:rPr>
              <w:t>宁波银行股份有限公司</w:t>
            </w:r>
          </w:p>
        </w:tc>
        <w:tc>
          <w:tcPr>
            <w:tcW w:w="5103" w:type="dxa"/>
          </w:tcPr>
          <w:p w14:paraId="3F074AB9" w14:textId="77777777" w:rsidR="00A6605D" w:rsidRDefault="00413D7E" w:rsidP="006B2775">
            <w:pPr>
              <w:spacing w:line="360" w:lineRule="auto"/>
              <w:rPr>
                <w:rFonts w:ascii="宋体" w:hAnsi="宋体" w:cs="Calibri"/>
                <w:color w:val="000000"/>
                <w:szCs w:val="21"/>
              </w:rPr>
            </w:pPr>
            <w:r>
              <w:rPr>
                <w:rFonts w:ascii="宋体" w:hAnsi="宋体" w:cs="Calibri" w:hint="eastAsia"/>
                <w:color w:val="000000"/>
                <w:szCs w:val="21"/>
              </w:rPr>
              <w:t>注册地址：浙江省宁波市鄞州区宁东路345 号</w:t>
            </w:r>
          </w:p>
          <w:p w14:paraId="15CA6CA8" w14:textId="77777777" w:rsidR="00A6605D" w:rsidRDefault="00413D7E" w:rsidP="006B2775">
            <w:pPr>
              <w:spacing w:line="360" w:lineRule="auto"/>
              <w:rPr>
                <w:rFonts w:eastAsia="Times New Roman"/>
                <w:szCs w:val="21"/>
              </w:rPr>
            </w:pPr>
            <w:r>
              <w:rPr>
                <w:rFonts w:ascii="宋体" w:hAnsi="宋体" w:cs="Calibri" w:hint="eastAsia"/>
                <w:color w:val="000000"/>
                <w:szCs w:val="21"/>
              </w:rPr>
              <w:t>客户服务电话</w:t>
            </w:r>
            <w:r>
              <w:rPr>
                <w:rFonts w:ascii="宋体" w:hAnsi="宋体" w:cs="宋体"/>
                <w:szCs w:val="21"/>
              </w:rPr>
              <w:t>：95574</w:t>
            </w:r>
          </w:p>
          <w:p w14:paraId="11B72D85" w14:textId="77777777" w:rsidR="00A6605D" w:rsidRDefault="00413D7E">
            <w:pPr>
              <w:widowControl/>
              <w:spacing w:line="360" w:lineRule="auto"/>
              <w:jc w:val="left"/>
              <w:rPr>
                <w:rFonts w:ascii="宋体" w:hAnsi="宋体" w:cs="Calibri"/>
                <w:color w:val="000000"/>
                <w:szCs w:val="21"/>
              </w:rPr>
            </w:pPr>
            <w:r>
              <w:rPr>
                <w:rFonts w:ascii="宋体" w:hAnsi="宋体" w:cs="Calibri" w:hint="eastAsia"/>
                <w:color w:val="000000"/>
                <w:szCs w:val="21"/>
              </w:rPr>
              <w:t>网址</w:t>
            </w:r>
            <w:r>
              <w:rPr>
                <w:rFonts w:ascii="宋体" w:hAnsi="宋体" w:cs="宋体"/>
                <w:szCs w:val="21"/>
              </w:rPr>
              <w:t>：www.nbcb.com.cn</w:t>
            </w:r>
          </w:p>
        </w:tc>
      </w:tr>
    </w:tbl>
    <w:p w14:paraId="0613CE21" w14:textId="77777777" w:rsidR="00A6605D" w:rsidRDefault="00A6605D">
      <w:pPr>
        <w:adjustRightInd w:val="0"/>
        <w:snapToGrid w:val="0"/>
        <w:spacing w:line="360" w:lineRule="auto"/>
        <w:ind w:firstLineChars="200" w:firstLine="420"/>
        <w:rPr>
          <w:rFonts w:ascii="Arial Unicode MS" w:hAnsi="Arial Unicode MS" w:cs="Arial"/>
          <w:kern w:val="0"/>
          <w:szCs w:val="21"/>
        </w:rPr>
      </w:pPr>
    </w:p>
    <w:p w14:paraId="40D7782B" w14:textId="77777777" w:rsidR="00A6605D" w:rsidRDefault="00413D7E">
      <w:pPr>
        <w:adjustRightInd w:val="0"/>
        <w:snapToGrid w:val="0"/>
        <w:spacing w:line="360" w:lineRule="auto"/>
        <w:ind w:firstLineChars="200" w:firstLine="422"/>
        <w:rPr>
          <w:rFonts w:ascii="Arial Unicode MS" w:hAnsi="Arial Unicode MS" w:cs="Arial"/>
          <w:b/>
          <w:color w:val="000000"/>
          <w:szCs w:val="21"/>
        </w:rPr>
      </w:pPr>
      <w:r>
        <w:rPr>
          <w:rFonts w:ascii="Arial Unicode MS" w:hAnsi="Arial Unicode MS" w:cs="Arial"/>
          <w:b/>
          <w:color w:val="000000"/>
          <w:szCs w:val="21"/>
        </w:rPr>
        <w:t>二、登记机构</w:t>
      </w:r>
    </w:p>
    <w:p w14:paraId="2529DB98" w14:textId="77777777" w:rsidR="00A6605D" w:rsidRDefault="00413D7E">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名称：富荣基金管理有限公司</w:t>
      </w:r>
      <w:r>
        <w:rPr>
          <w:rFonts w:ascii="Arial Unicode MS" w:hAnsi="Arial Unicode MS" w:cs="Arial" w:hint="eastAsia"/>
          <w:color w:val="000000"/>
          <w:kern w:val="0"/>
          <w:szCs w:val="21"/>
        </w:rPr>
        <w:t xml:space="preserve"> </w:t>
      </w:r>
    </w:p>
    <w:p w14:paraId="51DA251E" w14:textId="77777777" w:rsidR="00A6605D" w:rsidRDefault="00413D7E">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lastRenderedPageBreak/>
        <w:t>住所：广东省广州市南沙区海滨路</w:t>
      </w:r>
      <w:r>
        <w:rPr>
          <w:rFonts w:ascii="Arial Unicode MS" w:hAnsi="Arial Unicode MS" w:cs="Arial" w:hint="eastAsia"/>
          <w:color w:val="000000"/>
          <w:kern w:val="0"/>
          <w:szCs w:val="21"/>
        </w:rPr>
        <w:t>171</w:t>
      </w:r>
      <w:r>
        <w:rPr>
          <w:rFonts w:ascii="Arial Unicode MS" w:hAnsi="Arial Unicode MS" w:cs="Arial" w:hint="eastAsia"/>
          <w:color w:val="000000"/>
          <w:kern w:val="0"/>
          <w:szCs w:val="21"/>
        </w:rPr>
        <w:t>号南沙金融大厦</w:t>
      </w:r>
      <w:r>
        <w:rPr>
          <w:rFonts w:ascii="Arial Unicode MS" w:hAnsi="Arial Unicode MS" w:cs="Arial" w:hint="eastAsia"/>
          <w:color w:val="000000"/>
          <w:kern w:val="0"/>
          <w:szCs w:val="21"/>
        </w:rPr>
        <w:t>11</w:t>
      </w:r>
      <w:r>
        <w:rPr>
          <w:rFonts w:ascii="Arial Unicode MS" w:hAnsi="Arial Unicode MS" w:cs="Arial" w:hint="eastAsia"/>
          <w:color w:val="000000"/>
          <w:kern w:val="0"/>
          <w:szCs w:val="21"/>
        </w:rPr>
        <w:t>楼</w:t>
      </w:r>
      <w:r>
        <w:rPr>
          <w:rFonts w:ascii="Arial Unicode MS" w:hAnsi="Arial Unicode MS" w:cs="Arial" w:hint="eastAsia"/>
          <w:color w:val="000000"/>
          <w:kern w:val="0"/>
          <w:szCs w:val="21"/>
        </w:rPr>
        <w:t>1101</w:t>
      </w:r>
      <w:r>
        <w:rPr>
          <w:rFonts w:ascii="Arial Unicode MS" w:hAnsi="Arial Unicode MS" w:cs="Arial" w:hint="eastAsia"/>
          <w:color w:val="000000"/>
          <w:kern w:val="0"/>
          <w:szCs w:val="21"/>
        </w:rPr>
        <w:t>之一</w:t>
      </w:r>
      <w:r>
        <w:rPr>
          <w:rFonts w:ascii="Arial Unicode MS" w:hAnsi="Arial Unicode MS" w:cs="Arial" w:hint="eastAsia"/>
          <w:color w:val="000000"/>
          <w:kern w:val="0"/>
          <w:szCs w:val="21"/>
        </w:rPr>
        <w:t xml:space="preserve">J20 </w:t>
      </w:r>
    </w:p>
    <w:p w14:paraId="38CED401" w14:textId="77777777" w:rsidR="00A6605D" w:rsidRDefault="00413D7E">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r>
        <w:rPr>
          <w:rFonts w:ascii="Arial Unicode MS" w:hAnsi="Arial Unicode MS" w:cs="Arial" w:hint="eastAsia"/>
          <w:color w:val="000000"/>
          <w:kern w:val="0"/>
          <w:szCs w:val="21"/>
        </w:rPr>
        <w:t xml:space="preserve"> </w:t>
      </w:r>
    </w:p>
    <w:p w14:paraId="71A7F79D" w14:textId="77777777" w:rsidR="00A6605D" w:rsidRDefault="00413D7E">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法定代表人：</w:t>
      </w:r>
      <w:r>
        <w:rPr>
          <w:rFonts w:ascii="Arial Unicode MS" w:hAnsi="Arial Unicode MS" w:cs="Arial" w:hint="eastAsia"/>
          <w:color w:val="000000"/>
        </w:rPr>
        <w:t>杨小舟</w:t>
      </w:r>
    </w:p>
    <w:p w14:paraId="53D3264A" w14:textId="77777777" w:rsidR="00A6605D" w:rsidRDefault="00413D7E">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联系人：黄文飞</w:t>
      </w:r>
    </w:p>
    <w:p w14:paraId="6670C038" w14:textId="77777777" w:rsidR="00A6605D" w:rsidRDefault="00413D7E">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电话：</w:t>
      </w:r>
      <w:r>
        <w:rPr>
          <w:rFonts w:ascii="Arial Unicode MS" w:hAnsi="Arial Unicode MS" w:cs="Arial" w:hint="eastAsia"/>
          <w:color w:val="000000"/>
          <w:kern w:val="0"/>
          <w:szCs w:val="21"/>
        </w:rPr>
        <w:t xml:space="preserve"> 0755-84356604</w:t>
      </w:r>
    </w:p>
    <w:p w14:paraId="0E8B0E4C" w14:textId="77777777" w:rsidR="00A6605D" w:rsidRDefault="00413D7E">
      <w:pPr>
        <w:adjustRightInd w:val="0"/>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传真：</w:t>
      </w:r>
      <w:r>
        <w:rPr>
          <w:rFonts w:ascii="Arial Unicode MS" w:hAnsi="Arial Unicode MS" w:cs="Arial" w:hint="eastAsia"/>
          <w:color w:val="000000"/>
          <w:kern w:val="0"/>
          <w:szCs w:val="21"/>
        </w:rPr>
        <w:t xml:space="preserve"> 0755-83230787</w:t>
      </w:r>
    </w:p>
    <w:p w14:paraId="07B026F2"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w:t>
      </w:r>
      <w:r>
        <w:rPr>
          <w:rFonts w:ascii="Arial Unicode MS" w:hAnsi="Arial Unicode MS" w:cs="Arial"/>
          <w:b/>
          <w:szCs w:val="21"/>
        </w:rPr>
        <w:t>、</w:t>
      </w:r>
      <w:r>
        <w:rPr>
          <w:rFonts w:ascii="Arial Unicode MS" w:hAnsi="Arial Unicode MS" w:hint="eastAsia"/>
          <w:b/>
          <w:bCs/>
        </w:rPr>
        <w:t>出具法律意见书的律师事务所</w:t>
      </w:r>
    </w:p>
    <w:p w14:paraId="0BD2C146"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名称：上海市通力律师事务所</w:t>
      </w:r>
    </w:p>
    <w:p w14:paraId="2F4D461D"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住所：上海市银城中路</w:t>
      </w:r>
      <w:r>
        <w:rPr>
          <w:rFonts w:ascii="Arial Unicode MS" w:hAnsi="Arial Unicode MS" w:cs="Arial" w:hint="eastAsia"/>
          <w:kern w:val="0"/>
          <w:szCs w:val="21"/>
        </w:rPr>
        <w:t>68</w:t>
      </w:r>
      <w:r>
        <w:rPr>
          <w:rFonts w:ascii="Arial Unicode MS" w:hAnsi="Arial Unicode MS" w:cs="Arial" w:hint="eastAsia"/>
          <w:kern w:val="0"/>
          <w:szCs w:val="21"/>
        </w:rPr>
        <w:t>号时代金融中心</w:t>
      </w:r>
      <w:r>
        <w:rPr>
          <w:rFonts w:ascii="Arial Unicode MS" w:hAnsi="Arial Unicode MS" w:cs="Arial" w:hint="eastAsia"/>
          <w:kern w:val="0"/>
          <w:szCs w:val="21"/>
        </w:rPr>
        <w:t>19</w:t>
      </w:r>
      <w:r>
        <w:rPr>
          <w:rFonts w:ascii="Arial Unicode MS" w:hAnsi="Arial Unicode MS" w:cs="Arial" w:hint="eastAsia"/>
          <w:kern w:val="0"/>
          <w:szCs w:val="21"/>
        </w:rPr>
        <w:t>楼</w:t>
      </w:r>
    </w:p>
    <w:p w14:paraId="42879C67"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办公地址：上海市银城中路</w:t>
      </w:r>
      <w:r>
        <w:rPr>
          <w:rFonts w:ascii="Arial Unicode MS" w:hAnsi="Arial Unicode MS" w:cs="Arial" w:hint="eastAsia"/>
          <w:kern w:val="0"/>
          <w:szCs w:val="21"/>
        </w:rPr>
        <w:t>68</w:t>
      </w:r>
      <w:r>
        <w:rPr>
          <w:rFonts w:ascii="Arial Unicode MS" w:hAnsi="Arial Unicode MS" w:cs="Arial" w:hint="eastAsia"/>
          <w:kern w:val="0"/>
          <w:szCs w:val="21"/>
        </w:rPr>
        <w:t>号时代金融中心</w:t>
      </w:r>
      <w:r>
        <w:rPr>
          <w:rFonts w:ascii="Arial Unicode MS" w:hAnsi="Arial Unicode MS" w:cs="Arial" w:hint="eastAsia"/>
          <w:kern w:val="0"/>
          <w:szCs w:val="21"/>
        </w:rPr>
        <w:t>19</w:t>
      </w:r>
      <w:r>
        <w:rPr>
          <w:rFonts w:ascii="Arial Unicode MS" w:hAnsi="Arial Unicode MS" w:cs="Arial" w:hint="eastAsia"/>
          <w:kern w:val="0"/>
          <w:szCs w:val="21"/>
        </w:rPr>
        <w:t>楼</w:t>
      </w:r>
    </w:p>
    <w:p w14:paraId="6787FB66"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负责人：韩炯</w:t>
      </w:r>
    </w:p>
    <w:p w14:paraId="66C46C0B"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021-31358666</w:t>
      </w:r>
    </w:p>
    <w:p w14:paraId="1871C2BB"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021-31358600</w:t>
      </w:r>
    </w:p>
    <w:p w14:paraId="5F484684"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经办律师：安冬</w:t>
      </w:r>
      <w:r>
        <w:rPr>
          <w:rFonts w:ascii="Arial Unicode MS" w:hAnsi="Arial Unicode MS" w:cs="Arial" w:hint="eastAsia"/>
          <w:kern w:val="0"/>
          <w:szCs w:val="21"/>
        </w:rPr>
        <w:t xml:space="preserve"> </w:t>
      </w:r>
      <w:r>
        <w:rPr>
          <w:rFonts w:ascii="Arial Unicode MS" w:hAnsi="Arial Unicode MS" w:cs="Arial" w:hint="eastAsia"/>
          <w:kern w:val="0"/>
          <w:szCs w:val="21"/>
        </w:rPr>
        <w:t>陆奇</w:t>
      </w:r>
    </w:p>
    <w:p w14:paraId="72C613D6"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Pr>
          <w:rFonts w:ascii="Arial Unicode MS" w:hAnsi="Arial Unicode MS" w:cs="Arial" w:hint="eastAsia"/>
          <w:kern w:val="0"/>
          <w:szCs w:val="21"/>
        </w:rPr>
        <w:t xml:space="preserve"> </w:t>
      </w:r>
      <w:r>
        <w:rPr>
          <w:rFonts w:ascii="Arial Unicode MS" w:hAnsi="Arial Unicode MS" w:cs="Arial" w:hint="eastAsia"/>
          <w:kern w:val="0"/>
          <w:szCs w:val="21"/>
        </w:rPr>
        <w:t>安冬</w:t>
      </w:r>
    </w:p>
    <w:p w14:paraId="33F3E96F"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b/>
          <w:szCs w:val="21"/>
        </w:rPr>
        <w:t>四、</w:t>
      </w:r>
      <w:r>
        <w:rPr>
          <w:rFonts w:ascii="Arial Unicode MS" w:hAnsi="Arial Unicode MS" w:hint="eastAsia"/>
          <w:b/>
          <w:bCs/>
        </w:rPr>
        <w:t>审计基金财产的会计师事务所</w:t>
      </w:r>
    </w:p>
    <w:p w14:paraId="2F4F285C"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名称：安永华明会计师事务所（特殊普通合伙）</w:t>
      </w:r>
    </w:p>
    <w:p w14:paraId="0ACC0D85"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住所：中国北京市东城区东长安街</w:t>
      </w:r>
      <w:r>
        <w:rPr>
          <w:rFonts w:ascii="Arial Unicode MS" w:hAnsi="Arial Unicode MS" w:cs="Arial" w:hint="eastAsia"/>
          <w:kern w:val="0"/>
          <w:szCs w:val="21"/>
        </w:rPr>
        <w:t>1</w:t>
      </w:r>
      <w:r>
        <w:rPr>
          <w:rFonts w:ascii="Arial Unicode MS" w:hAnsi="Arial Unicode MS" w:cs="Arial" w:hint="eastAsia"/>
          <w:kern w:val="0"/>
          <w:szCs w:val="21"/>
        </w:rPr>
        <w:t>号东方广场安永大楼</w:t>
      </w:r>
      <w:r>
        <w:rPr>
          <w:rFonts w:ascii="Arial Unicode MS" w:hAnsi="Arial Unicode MS" w:cs="Arial" w:hint="eastAsia"/>
          <w:kern w:val="0"/>
          <w:szCs w:val="21"/>
        </w:rPr>
        <w:t>16</w:t>
      </w:r>
      <w:r>
        <w:rPr>
          <w:rFonts w:ascii="Arial Unicode MS" w:hAnsi="Arial Unicode MS" w:cs="Arial" w:hint="eastAsia"/>
          <w:kern w:val="0"/>
          <w:szCs w:val="21"/>
        </w:rPr>
        <w:t>层</w:t>
      </w:r>
    </w:p>
    <w:p w14:paraId="512F4E5A"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办公地址：中国北京市东城区东长安街</w:t>
      </w:r>
      <w:r>
        <w:rPr>
          <w:rFonts w:ascii="Arial Unicode MS" w:hAnsi="Arial Unicode MS" w:cs="Arial" w:hint="eastAsia"/>
          <w:kern w:val="0"/>
          <w:szCs w:val="21"/>
        </w:rPr>
        <w:t>1</w:t>
      </w:r>
      <w:r>
        <w:rPr>
          <w:rFonts w:ascii="Arial Unicode MS" w:hAnsi="Arial Unicode MS" w:cs="Arial" w:hint="eastAsia"/>
          <w:kern w:val="0"/>
          <w:szCs w:val="21"/>
        </w:rPr>
        <w:t>号东方广场安永大楼</w:t>
      </w:r>
      <w:r>
        <w:rPr>
          <w:rFonts w:ascii="Arial Unicode MS" w:hAnsi="Arial Unicode MS" w:cs="Arial" w:hint="eastAsia"/>
          <w:kern w:val="0"/>
          <w:szCs w:val="21"/>
        </w:rPr>
        <w:t>16</w:t>
      </w:r>
      <w:r>
        <w:rPr>
          <w:rFonts w:ascii="Arial Unicode MS" w:hAnsi="Arial Unicode MS" w:cs="Arial" w:hint="eastAsia"/>
          <w:kern w:val="0"/>
          <w:szCs w:val="21"/>
        </w:rPr>
        <w:t>层</w:t>
      </w:r>
    </w:p>
    <w:p w14:paraId="1EDDC4E3"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法定代表人：毛鞍宁</w:t>
      </w:r>
    </w:p>
    <w:p w14:paraId="3CD70B69"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+86 10 58153000</w:t>
      </w:r>
    </w:p>
    <w:p w14:paraId="20DD97E8"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+86 10 85188298</w:t>
      </w:r>
    </w:p>
    <w:p w14:paraId="7019742C"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签字注册会计师：吴翠蓉、高鹤</w:t>
      </w:r>
    </w:p>
    <w:p w14:paraId="1B8AB479"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联系人：吴翠蓉</w:t>
      </w:r>
    </w:p>
    <w:p w14:paraId="61989AE1" w14:textId="77777777" w:rsidR="00A6605D" w:rsidRDefault="00A6605D">
      <w:pPr>
        <w:adjustRightInd w:val="0"/>
        <w:snapToGrid w:val="0"/>
        <w:spacing w:line="360" w:lineRule="auto"/>
        <w:ind w:firstLineChars="200" w:firstLine="420"/>
        <w:rPr>
          <w:rFonts w:ascii="Arial Unicode MS" w:hAnsi="Arial Unicode MS" w:cs="Arial"/>
          <w:kern w:val="0"/>
          <w:szCs w:val="21"/>
        </w:rPr>
        <w:sectPr w:rsidR="00A6605D">
          <w:footerReference w:type="first" r:id="rId39"/>
          <w:pgSz w:w="11906" w:h="16838"/>
          <w:pgMar w:top="1440" w:right="1800" w:bottom="1440" w:left="1800" w:header="851" w:footer="992" w:gutter="0"/>
          <w:cols w:space="720"/>
          <w:titlePg/>
          <w:docGrid w:linePitch="312"/>
        </w:sectPr>
      </w:pPr>
    </w:p>
    <w:p w14:paraId="367A8214" w14:textId="77777777" w:rsidR="00A6605D" w:rsidRDefault="00413D7E">
      <w:pPr>
        <w:pStyle w:val="11"/>
        <w:snapToGrid w:val="0"/>
        <w:spacing w:before="0" w:after="0" w:line="360" w:lineRule="auto"/>
        <w:ind w:firstLineChars="150" w:firstLine="422"/>
        <w:rPr>
          <w:rFonts w:ascii="Arial Unicode MS" w:eastAsia="宋体" w:hAnsi="Arial Unicode MS" w:cs="Arial"/>
          <w:b/>
          <w:bCs/>
          <w:sz w:val="28"/>
          <w:szCs w:val="28"/>
        </w:rPr>
      </w:pPr>
      <w:bookmarkStart w:id="22" w:name="_Toc21073389"/>
      <w:bookmarkStart w:id="23" w:name="_Toc147463116"/>
      <w:bookmarkStart w:id="24" w:name="_Toc12357169"/>
      <w:bookmarkStart w:id="25" w:name="_Toc320887645"/>
      <w:bookmarkStart w:id="26" w:name="_Toc317088540"/>
      <w:bookmarkStart w:id="27" w:name="_Toc63676441"/>
      <w:bookmarkStart w:id="28" w:name="_Toc214873595"/>
      <w:bookmarkStart w:id="29" w:name="_Toc317088143"/>
      <w:bookmarkStart w:id="30" w:name="_Toc335232694"/>
      <w:r>
        <w:rPr>
          <w:rFonts w:ascii="Arial Unicode MS" w:eastAsia="宋体" w:hAnsi="Arial Unicode MS" w:cs="Arial"/>
          <w:b/>
          <w:bCs/>
          <w:sz w:val="28"/>
          <w:szCs w:val="28"/>
        </w:rPr>
        <w:lastRenderedPageBreak/>
        <w:t>第六部分</w:t>
      </w:r>
      <w:r>
        <w:rPr>
          <w:rFonts w:ascii="Arial Unicode MS" w:eastAsia="宋体" w:hAnsi="Arial Unicode MS" w:cs="Arial"/>
          <w:b/>
          <w:bCs/>
          <w:sz w:val="28"/>
          <w:szCs w:val="28"/>
        </w:rPr>
        <w:t xml:space="preserve">  </w:t>
      </w:r>
      <w:bookmarkEnd w:id="22"/>
      <w:bookmarkEnd w:id="23"/>
      <w:bookmarkEnd w:id="24"/>
      <w:r>
        <w:rPr>
          <w:rFonts w:ascii="Arial Unicode MS" w:eastAsia="宋体" w:hAnsi="Arial Unicode MS" w:cs="Arial"/>
          <w:b/>
          <w:bCs/>
          <w:sz w:val="28"/>
          <w:szCs w:val="28"/>
        </w:rPr>
        <w:t>基金的</w:t>
      </w:r>
      <w:r>
        <w:rPr>
          <w:rFonts w:ascii="Arial Unicode MS" w:eastAsia="宋体" w:hAnsi="Arial Unicode MS" w:cs="Arial" w:hint="eastAsia"/>
          <w:b/>
          <w:bCs/>
          <w:sz w:val="28"/>
          <w:szCs w:val="28"/>
        </w:rPr>
        <w:t>历史沿革</w:t>
      </w:r>
      <w:bookmarkEnd w:id="25"/>
      <w:bookmarkEnd w:id="26"/>
      <w:bookmarkEnd w:id="27"/>
      <w:bookmarkEnd w:id="28"/>
      <w:bookmarkEnd w:id="29"/>
      <w:bookmarkEnd w:id="30"/>
    </w:p>
    <w:p w14:paraId="14DD1907" w14:textId="77777777" w:rsidR="00A6605D" w:rsidRDefault="00A6605D"/>
    <w:p w14:paraId="0115DA45"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bookmarkStart w:id="31" w:name="_Toc21073390"/>
      <w:bookmarkStart w:id="32" w:name="_Toc147463117"/>
      <w:bookmarkStart w:id="33" w:name="_Toc12357170"/>
      <w:r>
        <w:rPr>
          <w:rFonts w:ascii="Arial Unicode MS" w:hAnsi="Arial Unicode MS" w:cs="Arial" w:hint="eastAsia"/>
          <w:bCs/>
          <w:szCs w:val="21"/>
        </w:rPr>
        <w:t>富荣富兴纯债债券型</w:t>
      </w:r>
      <w:r>
        <w:rPr>
          <w:rFonts w:ascii="Arial Unicode MS" w:hAnsi="Arial Unicode MS" w:cs="Arial"/>
          <w:bCs/>
          <w:szCs w:val="21"/>
        </w:rPr>
        <w:t>证券投资基金</w:t>
      </w:r>
      <w:r>
        <w:rPr>
          <w:rFonts w:ascii="Arial Unicode MS" w:hAnsi="Arial Unicode MS" w:cs="Arial" w:hint="eastAsia"/>
          <w:bCs/>
          <w:szCs w:val="21"/>
        </w:rPr>
        <w:t>经中国证监会《关于准予富荣富兴纯债债券型证券投资基金注册的批复》（证监许可〔</w:t>
      </w:r>
      <w:r>
        <w:rPr>
          <w:rFonts w:ascii="Arial Unicode MS" w:hAnsi="Arial Unicode MS" w:cs="Arial" w:hint="eastAsia"/>
          <w:bCs/>
          <w:szCs w:val="21"/>
        </w:rPr>
        <w:t>2016</w:t>
      </w:r>
      <w:r>
        <w:rPr>
          <w:rFonts w:ascii="Arial Unicode MS" w:hAnsi="Arial Unicode MS" w:cs="Arial" w:hint="eastAsia"/>
          <w:bCs/>
          <w:szCs w:val="21"/>
        </w:rPr>
        <w:t>〕</w:t>
      </w:r>
      <w:r>
        <w:rPr>
          <w:rFonts w:ascii="Arial Unicode MS" w:hAnsi="Arial Unicode MS" w:cs="Arial" w:hint="eastAsia"/>
          <w:bCs/>
          <w:szCs w:val="21"/>
        </w:rPr>
        <w:t>2526</w:t>
      </w:r>
      <w:r>
        <w:rPr>
          <w:rFonts w:ascii="Arial Unicode MS" w:hAnsi="Arial Unicode MS" w:cs="Arial" w:hint="eastAsia"/>
          <w:bCs/>
          <w:szCs w:val="21"/>
        </w:rPr>
        <w:t>号）准予注册。基金管理人为富荣基金管理有限公司，基金托管人为包商银行股份有限公司。</w:t>
      </w:r>
      <w:r>
        <w:rPr>
          <w:rFonts w:ascii="Arial Unicode MS" w:hAnsi="Arial Unicode MS" w:cs="Arial" w:hint="eastAsia"/>
          <w:bCs/>
          <w:szCs w:val="21"/>
        </w:rPr>
        <w:t xml:space="preserve"> </w:t>
      </w:r>
    </w:p>
    <w:p w14:paraId="3E632970"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富荣富兴纯债债券型</w:t>
      </w:r>
      <w:r>
        <w:rPr>
          <w:rFonts w:ascii="Arial Unicode MS" w:hAnsi="Arial Unicode MS" w:cs="Arial"/>
          <w:bCs/>
          <w:szCs w:val="21"/>
        </w:rPr>
        <w:t>证券投资基金</w:t>
      </w:r>
      <w:r>
        <w:rPr>
          <w:rFonts w:ascii="Arial Unicode MS" w:hAnsi="Arial Unicode MS" w:cs="Arial" w:hint="eastAsia"/>
          <w:bCs/>
          <w:szCs w:val="21"/>
        </w:rPr>
        <w:t>于</w:t>
      </w:r>
      <w:r>
        <w:rPr>
          <w:rFonts w:ascii="Arial Unicode MS" w:hAnsi="Arial Unicode MS" w:cs="Arial" w:hint="eastAsia"/>
          <w:bCs/>
          <w:szCs w:val="21"/>
        </w:rPr>
        <w:t>2017</w:t>
      </w:r>
      <w:r>
        <w:rPr>
          <w:rFonts w:ascii="Arial Unicode MS" w:hAnsi="Arial Unicode MS" w:cs="Arial" w:hint="eastAsia"/>
          <w:bCs/>
          <w:szCs w:val="21"/>
        </w:rPr>
        <w:t>年</w:t>
      </w:r>
      <w:r>
        <w:rPr>
          <w:rFonts w:ascii="Arial Unicode MS" w:hAnsi="Arial Unicode MS" w:cs="Arial" w:hint="eastAsia"/>
          <w:bCs/>
          <w:szCs w:val="21"/>
        </w:rPr>
        <w:t>3</w:t>
      </w:r>
      <w:r>
        <w:rPr>
          <w:rFonts w:ascii="Arial Unicode MS" w:hAnsi="Arial Unicode MS" w:cs="Arial" w:hint="eastAsia"/>
          <w:bCs/>
          <w:szCs w:val="21"/>
        </w:rPr>
        <w:t>月</w:t>
      </w:r>
      <w:r>
        <w:rPr>
          <w:rFonts w:ascii="Arial Unicode MS" w:hAnsi="Arial Unicode MS" w:cs="Arial" w:hint="eastAsia"/>
          <w:bCs/>
          <w:szCs w:val="21"/>
        </w:rPr>
        <w:t>7</w:t>
      </w:r>
      <w:r>
        <w:rPr>
          <w:rFonts w:ascii="Arial Unicode MS" w:hAnsi="Arial Unicode MS" w:cs="Arial" w:hint="eastAsia"/>
          <w:bCs/>
          <w:szCs w:val="21"/>
        </w:rPr>
        <w:t>日至</w:t>
      </w:r>
      <w:r>
        <w:rPr>
          <w:rFonts w:ascii="Arial Unicode MS" w:hAnsi="Arial Unicode MS" w:cs="Arial" w:hint="eastAsia"/>
          <w:bCs/>
          <w:szCs w:val="21"/>
        </w:rPr>
        <w:t>2017</w:t>
      </w:r>
      <w:r>
        <w:rPr>
          <w:rFonts w:ascii="Arial Unicode MS" w:hAnsi="Arial Unicode MS" w:cs="Arial" w:hint="eastAsia"/>
          <w:bCs/>
          <w:szCs w:val="21"/>
        </w:rPr>
        <w:t>年</w:t>
      </w:r>
      <w:r>
        <w:rPr>
          <w:rFonts w:ascii="Arial Unicode MS" w:hAnsi="Arial Unicode MS" w:cs="Arial"/>
          <w:bCs/>
          <w:szCs w:val="21"/>
        </w:rPr>
        <w:t>3</w:t>
      </w:r>
      <w:r>
        <w:rPr>
          <w:rFonts w:ascii="Arial Unicode MS" w:hAnsi="Arial Unicode MS" w:cs="Arial" w:hint="eastAsia"/>
          <w:bCs/>
          <w:szCs w:val="21"/>
        </w:rPr>
        <w:t>月</w:t>
      </w:r>
      <w:r>
        <w:rPr>
          <w:rFonts w:ascii="Arial Unicode MS" w:hAnsi="Arial Unicode MS" w:cs="Arial"/>
          <w:bCs/>
          <w:szCs w:val="21"/>
        </w:rPr>
        <w:t>7</w:t>
      </w:r>
      <w:r>
        <w:rPr>
          <w:rFonts w:ascii="Arial Unicode MS" w:hAnsi="Arial Unicode MS" w:cs="Arial" w:hint="eastAsia"/>
          <w:bCs/>
          <w:szCs w:val="21"/>
        </w:rPr>
        <w:t>日公开募集，募集结束后基金管理人向中国证监会办理备案手续。经中国证监会书面确认，《富荣富兴纯债债券型</w:t>
      </w:r>
      <w:r>
        <w:rPr>
          <w:rFonts w:ascii="Arial Unicode MS" w:hAnsi="Arial Unicode MS" w:cs="Arial"/>
          <w:bCs/>
          <w:szCs w:val="21"/>
        </w:rPr>
        <w:t>证券投资基金</w:t>
      </w:r>
      <w:r>
        <w:rPr>
          <w:rFonts w:ascii="Arial Unicode MS" w:hAnsi="Arial Unicode MS" w:cs="Arial" w:hint="eastAsia"/>
          <w:bCs/>
          <w:szCs w:val="21"/>
        </w:rPr>
        <w:t>基金合同》于</w:t>
      </w:r>
      <w:r>
        <w:rPr>
          <w:rFonts w:ascii="Arial Unicode MS" w:hAnsi="Arial Unicode MS" w:cs="Arial" w:hint="eastAsia"/>
          <w:bCs/>
          <w:szCs w:val="21"/>
        </w:rPr>
        <w:t>201</w:t>
      </w:r>
      <w:r>
        <w:rPr>
          <w:rFonts w:ascii="Arial Unicode MS" w:hAnsi="Arial Unicode MS" w:cs="Arial"/>
          <w:bCs/>
          <w:szCs w:val="21"/>
        </w:rPr>
        <w:t>7</w:t>
      </w:r>
      <w:r>
        <w:rPr>
          <w:rFonts w:ascii="Arial Unicode MS" w:hAnsi="Arial Unicode MS" w:cs="Arial" w:hint="eastAsia"/>
          <w:bCs/>
          <w:szCs w:val="21"/>
        </w:rPr>
        <w:t>年</w:t>
      </w:r>
      <w:r>
        <w:rPr>
          <w:rFonts w:ascii="Arial Unicode MS" w:hAnsi="Arial Unicode MS" w:cs="Arial"/>
          <w:bCs/>
          <w:szCs w:val="21"/>
        </w:rPr>
        <w:t>3</w:t>
      </w:r>
      <w:r>
        <w:rPr>
          <w:rFonts w:ascii="Arial Unicode MS" w:hAnsi="Arial Unicode MS" w:cs="Arial" w:hint="eastAsia"/>
          <w:bCs/>
          <w:szCs w:val="21"/>
        </w:rPr>
        <w:t>月</w:t>
      </w:r>
      <w:r>
        <w:rPr>
          <w:rFonts w:ascii="Arial Unicode MS" w:hAnsi="Arial Unicode MS" w:cs="Arial"/>
          <w:bCs/>
          <w:szCs w:val="21"/>
        </w:rPr>
        <w:t>9</w:t>
      </w:r>
      <w:r>
        <w:rPr>
          <w:rFonts w:ascii="Arial Unicode MS" w:hAnsi="Arial Unicode MS" w:cs="Arial" w:hint="eastAsia"/>
          <w:bCs/>
          <w:szCs w:val="21"/>
        </w:rPr>
        <w:t>日生效。</w:t>
      </w:r>
    </w:p>
    <w:p w14:paraId="7D397325"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bCs/>
          <w:szCs w:val="21"/>
        </w:rPr>
        <w:t>2021</w:t>
      </w:r>
      <w:r>
        <w:rPr>
          <w:rFonts w:ascii="Arial Unicode MS" w:hAnsi="Arial Unicode MS" w:cs="Arial" w:hint="eastAsia"/>
          <w:bCs/>
          <w:szCs w:val="21"/>
        </w:rPr>
        <w:t>年</w:t>
      </w:r>
      <w:r>
        <w:rPr>
          <w:rFonts w:ascii="Arial Unicode MS" w:hAnsi="Arial Unicode MS" w:cs="Arial"/>
          <w:bCs/>
          <w:szCs w:val="21"/>
        </w:rPr>
        <w:t>2</w:t>
      </w:r>
      <w:r>
        <w:rPr>
          <w:rFonts w:ascii="Arial Unicode MS" w:hAnsi="Arial Unicode MS" w:cs="Arial" w:hint="eastAsia"/>
          <w:bCs/>
          <w:szCs w:val="21"/>
        </w:rPr>
        <w:t>月</w:t>
      </w:r>
      <w:r>
        <w:rPr>
          <w:rFonts w:ascii="Arial Unicode MS" w:hAnsi="Arial Unicode MS" w:cs="Arial"/>
          <w:bCs/>
          <w:szCs w:val="21"/>
        </w:rPr>
        <w:t>7</w:t>
      </w:r>
      <w:r>
        <w:rPr>
          <w:rFonts w:ascii="Arial Unicode MS" w:hAnsi="Arial Unicode MS" w:cs="Arial" w:hint="eastAsia"/>
          <w:bCs/>
          <w:szCs w:val="21"/>
        </w:rPr>
        <w:t>日由中国证监会指定中国建设银行股份有限公司为本基金的临时基金托管人。</w:t>
      </w:r>
    </w:p>
    <w:p w14:paraId="320CD62A"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sectPr w:rsidR="00A6605D">
          <w:footerReference w:type="default" r:id="rId40"/>
          <w:headerReference w:type="first" r:id="rId41"/>
          <w:footerReference w:type="first" r:id="rId42"/>
          <w:pgSz w:w="11906" w:h="16838"/>
          <w:pgMar w:top="1440" w:right="1800" w:bottom="1440" w:left="1800" w:header="851" w:footer="992" w:gutter="0"/>
          <w:cols w:space="720"/>
          <w:titlePg/>
          <w:docGrid w:linePitch="312"/>
        </w:sectPr>
      </w:pPr>
      <w:r>
        <w:rPr>
          <w:rFonts w:ascii="Arial Unicode MS" w:hAnsi="Arial Unicode MS" w:cs="Arial" w:hint="eastAsia"/>
          <w:bCs/>
          <w:szCs w:val="21"/>
        </w:rPr>
        <w:t>2021</w:t>
      </w:r>
      <w:r>
        <w:rPr>
          <w:rFonts w:ascii="Arial Unicode MS" w:hAnsi="Arial Unicode MS" w:cs="Arial" w:hint="eastAsia"/>
          <w:bCs/>
          <w:szCs w:val="21"/>
        </w:rPr>
        <w:t>年</w:t>
      </w:r>
      <w:r>
        <w:rPr>
          <w:rFonts w:ascii="Arial Unicode MS" w:hAnsi="Arial Unicode MS" w:cs="Arial" w:hint="eastAsia"/>
          <w:bCs/>
          <w:szCs w:val="21"/>
        </w:rPr>
        <w:t>5</w:t>
      </w:r>
      <w:r>
        <w:rPr>
          <w:rFonts w:ascii="Arial Unicode MS" w:hAnsi="Arial Unicode MS" w:cs="Arial" w:hint="eastAsia"/>
          <w:bCs/>
          <w:szCs w:val="21"/>
        </w:rPr>
        <w:t>月</w:t>
      </w:r>
      <w:r>
        <w:rPr>
          <w:rFonts w:ascii="Arial Unicode MS" w:hAnsi="Arial Unicode MS" w:cs="Arial" w:hint="eastAsia"/>
          <w:bCs/>
          <w:szCs w:val="21"/>
        </w:rPr>
        <w:t>1</w:t>
      </w:r>
      <w:r>
        <w:rPr>
          <w:rFonts w:ascii="Arial Unicode MS" w:hAnsi="Arial Unicode MS" w:cs="Arial"/>
          <w:bCs/>
          <w:szCs w:val="21"/>
        </w:rPr>
        <w:t>5</w:t>
      </w:r>
      <w:r>
        <w:rPr>
          <w:rFonts w:ascii="Arial Unicode MS" w:hAnsi="Arial Unicode MS" w:cs="Arial" w:hint="eastAsia"/>
          <w:bCs/>
          <w:szCs w:val="21"/>
        </w:rPr>
        <w:t>日至</w:t>
      </w:r>
      <w:r>
        <w:rPr>
          <w:rFonts w:ascii="Arial Unicode MS" w:hAnsi="Arial Unicode MS" w:cs="Arial" w:hint="eastAsia"/>
          <w:bCs/>
          <w:szCs w:val="21"/>
        </w:rPr>
        <w:t>2021</w:t>
      </w:r>
      <w:r>
        <w:rPr>
          <w:rFonts w:ascii="Arial Unicode MS" w:hAnsi="Arial Unicode MS" w:cs="Arial" w:hint="eastAsia"/>
          <w:bCs/>
          <w:szCs w:val="21"/>
        </w:rPr>
        <w:t>年</w:t>
      </w:r>
      <w:r>
        <w:rPr>
          <w:rFonts w:ascii="Arial Unicode MS" w:hAnsi="Arial Unicode MS" w:cs="Arial" w:hint="eastAsia"/>
          <w:bCs/>
          <w:szCs w:val="21"/>
        </w:rPr>
        <w:t>6</w:t>
      </w:r>
      <w:r>
        <w:rPr>
          <w:rFonts w:ascii="Arial Unicode MS" w:hAnsi="Arial Unicode MS" w:cs="Arial" w:hint="eastAsia"/>
          <w:bCs/>
          <w:szCs w:val="21"/>
        </w:rPr>
        <w:t>月</w:t>
      </w:r>
      <w:r>
        <w:rPr>
          <w:rFonts w:ascii="Arial Unicode MS" w:hAnsi="Arial Unicode MS" w:cs="Arial" w:hint="eastAsia"/>
          <w:bCs/>
          <w:szCs w:val="21"/>
        </w:rPr>
        <w:t>1</w:t>
      </w:r>
      <w:r>
        <w:rPr>
          <w:rFonts w:ascii="Arial Unicode MS" w:hAnsi="Arial Unicode MS" w:cs="Arial"/>
          <w:bCs/>
          <w:szCs w:val="21"/>
        </w:rPr>
        <w:t>4</w:t>
      </w:r>
      <w:r>
        <w:rPr>
          <w:rFonts w:ascii="Arial Unicode MS" w:hAnsi="Arial Unicode MS" w:cs="Arial" w:hint="eastAsia"/>
          <w:bCs/>
          <w:szCs w:val="21"/>
        </w:rPr>
        <w:t>日，富荣富兴纯债债券型</w:t>
      </w:r>
      <w:r>
        <w:rPr>
          <w:rFonts w:ascii="Arial Unicode MS" w:hAnsi="Arial Unicode MS" w:cs="Arial"/>
          <w:bCs/>
          <w:szCs w:val="21"/>
        </w:rPr>
        <w:t>证券投资基金</w:t>
      </w:r>
      <w:r>
        <w:rPr>
          <w:rFonts w:ascii="Arial Unicode MS" w:hAnsi="Arial Unicode MS" w:cs="Arial" w:hint="eastAsia"/>
          <w:bCs/>
          <w:szCs w:val="21"/>
        </w:rPr>
        <w:t>召开基金份额持有人大会，会议审议通过了《关于富荣富兴纯债债券型</w:t>
      </w:r>
      <w:r>
        <w:rPr>
          <w:rFonts w:ascii="Arial Unicode MS" w:hAnsi="Arial Unicode MS" w:cs="Arial"/>
          <w:bCs/>
          <w:szCs w:val="21"/>
        </w:rPr>
        <w:t>证券投资基金</w:t>
      </w:r>
      <w:r>
        <w:rPr>
          <w:rFonts w:ascii="Arial Unicode MS" w:hAnsi="Arial Unicode MS" w:cs="Arial" w:hint="eastAsia"/>
          <w:bCs/>
          <w:szCs w:val="21"/>
        </w:rPr>
        <w:t>更换基金</w:t>
      </w:r>
      <w:r>
        <w:rPr>
          <w:rFonts w:ascii="Arial Unicode MS" w:hAnsi="Arial Unicode MS" w:cs="Arial"/>
          <w:bCs/>
          <w:szCs w:val="21"/>
        </w:rPr>
        <w:t>托管人</w:t>
      </w:r>
      <w:r>
        <w:rPr>
          <w:rFonts w:ascii="Arial Unicode MS" w:hAnsi="Arial Unicode MS" w:cs="Arial" w:hint="eastAsia"/>
          <w:bCs/>
          <w:szCs w:val="21"/>
        </w:rPr>
        <w:t>等并修改法律文件等有关事项的议案》，内容为富荣富兴纯债债券型</w:t>
      </w:r>
      <w:r>
        <w:rPr>
          <w:rFonts w:ascii="Arial Unicode MS" w:hAnsi="Arial Unicode MS" w:cs="Arial"/>
          <w:bCs/>
          <w:szCs w:val="21"/>
        </w:rPr>
        <w:t>证券投资基金</w:t>
      </w:r>
      <w:r>
        <w:rPr>
          <w:rFonts w:ascii="Arial Unicode MS" w:hAnsi="Arial Unicode MS" w:cs="Arial" w:hint="eastAsia"/>
          <w:bCs/>
          <w:szCs w:val="21"/>
        </w:rPr>
        <w:t>更换</w:t>
      </w:r>
      <w:r>
        <w:rPr>
          <w:rFonts w:ascii="Arial Unicode MS" w:hAnsi="Arial Unicode MS" w:cs="Arial"/>
          <w:bCs/>
          <w:szCs w:val="21"/>
        </w:rPr>
        <w:t>基金托管人为</w:t>
      </w:r>
      <w:r>
        <w:rPr>
          <w:rFonts w:ascii="Arial Unicode MS" w:hAnsi="Arial Unicode MS" w:cs="Arial" w:hint="eastAsia"/>
          <w:bCs/>
          <w:szCs w:val="21"/>
        </w:rPr>
        <w:t>中国建设银行股份有限公司等并相应修订法律文件等，上述基金份额持有人大会决议自表决通过之日起生效。</w:t>
      </w:r>
    </w:p>
    <w:p w14:paraId="3180DF47" w14:textId="77777777" w:rsidR="00A6605D" w:rsidRDefault="00413D7E">
      <w:pPr>
        <w:pStyle w:val="11"/>
        <w:snapToGrid w:val="0"/>
        <w:spacing w:before="0" w:after="0" w:line="360" w:lineRule="auto"/>
        <w:rPr>
          <w:rFonts w:ascii="Arial Unicode MS" w:eastAsia="宋体" w:hAnsi="Arial Unicode MS" w:cs="Arial"/>
          <w:b/>
          <w:bCs/>
          <w:sz w:val="28"/>
          <w:szCs w:val="28"/>
        </w:rPr>
      </w:pPr>
      <w:bookmarkStart w:id="34" w:name="_Toc317088144"/>
      <w:bookmarkStart w:id="35" w:name="_Toc214873596"/>
      <w:bookmarkStart w:id="36" w:name="_Toc317088541"/>
      <w:bookmarkStart w:id="37" w:name="_Toc63676442"/>
      <w:bookmarkStart w:id="38" w:name="_Toc320887646"/>
      <w:bookmarkStart w:id="39" w:name="_Toc335232695"/>
      <w:r>
        <w:rPr>
          <w:rFonts w:ascii="Arial Unicode MS" w:eastAsia="宋体" w:hAnsi="Arial Unicode MS" w:cs="Arial"/>
          <w:b/>
          <w:bCs/>
          <w:sz w:val="28"/>
          <w:szCs w:val="28"/>
        </w:rPr>
        <w:lastRenderedPageBreak/>
        <w:t>第七部分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w:t>
      </w:r>
      <w:bookmarkEnd w:id="31"/>
      <w:bookmarkEnd w:id="32"/>
      <w:bookmarkEnd w:id="33"/>
      <w:bookmarkEnd w:id="34"/>
      <w:bookmarkEnd w:id="35"/>
      <w:bookmarkEnd w:id="36"/>
      <w:r>
        <w:rPr>
          <w:rFonts w:ascii="Arial Unicode MS" w:eastAsia="宋体" w:hAnsi="Arial Unicode MS" w:cs="Arial" w:hint="eastAsia"/>
          <w:b/>
          <w:bCs/>
          <w:sz w:val="28"/>
          <w:szCs w:val="28"/>
        </w:rPr>
        <w:t>的存续</w:t>
      </w:r>
      <w:bookmarkEnd w:id="37"/>
      <w:bookmarkEnd w:id="38"/>
      <w:bookmarkEnd w:id="39"/>
    </w:p>
    <w:p w14:paraId="38026E5A" w14:textId="77777777" w:rsidR="00A6605D" w:rsidRDefault="00413D7E">
      <w:pPr>
        <w:spacing w:line="360" w:lineRule="auto"/>
        <w:ind w:firstLineChars="200" w:firstLine="420"/>
        <w:rPr>
          <w:bCs/>
        </w:rPr>
      </w:pPr>
      <w:r>
        <w:rPr>
          <w:rFonts w:hint="eastAsia"/>
          <w:bCs/>
        </w:rPr>
        <w:t>基金合同生效后，连续二十个工作日出现基金份额持有人数量不满二百人或者基金资产净值低于五千万元情形的，基金管理人应当在定期报告中予以披露；连续六十个工作日出现前述情形的，基金管理人应当向中国证监会报告并提出解决方案，如持续运作、转换运作方式、与其他基金合并或者终止基金合同等，并在</w:t>
      </w:r>
      <w:r>
        <w:rPr>
          <w:rFonts w:hint="eastAsia"/>
          <w:bCs/>
        </w:rPr>
        <w:t>6</w:t>
      </w:r>
      <w:r>
        <w:rPr>
          <w:rFonts w:hint="eastAsia"/>
          <w:bCs/>
        </w:rPr>
        <w:t>个月内召开基金份额持有人大会进行表决。</w:t>
      </w:r>
    </w:p>
    <w:p w14:paraId="50503814" w14:textId="77777777" w:rsidR="00A6605D" w:rsidRDefault="00413D7E">
      <w:pPr>
        <w:spacing w:line="360" w:lineRule="auto"/>
        <w:ind w:firstLineChars="200" w:firstLine="420"/>
        <w:rPr>
          <w:rFonts w:ascii="宋体" w:hAnsi="宋体"/>
          <w:color w:val="000000"/>
          <w:kern w:val="0"/>
          <w:szCs w:val="21"/>
        </w:rPr>
      </w:pPr>
      <w:r>
        <w:rPr>
          <w:bCs/>
        </w:rPr>
        <w:t>法律法规另有规定时，从其规定</w:t>
      </w:r>
      <w:r>
        <w:rPr>
          <w:rFonts w:hint="eastAsia"/>
          <w:bCs/>
        </w:rPr>
        <w:t>。</w:t>
      </w:r>
    </w:p>
    <w:p w14:paraId="308438C0" w14:textId="77777777" w:rsidR="00A6605D" w:rsidRDefault="00A6605D">
      <w:pPr>
        <w:pStyle w:val="11"/>
        <w:snapToGrid w:val="0"/>
        <w:spacing w:before="0" w:after="0" w:line="360" w:lineRule="auto"/>
        <w:ind w:firstLineChars="150" w:firstLine="422"/>
        <w:rPr>
          <w:rFonts w:ascii="Arial Unicode MS" w:eastAsia="宋体" w:hAnsi="Arial Unicode MS" w:cs="Arial"/>
          <w:b/>
          <w:bCs/>
          <w:sz w:val="28"/>
          <w:szCs w:val="28"/>
        </w:rPr>
        <w:sectPr w:rsidR="00A6605D">
          <w:pgSz w:w="11906" w:h="16838"/>
          <w:pgMar w:top="1440" w:right="1800" w:bottom="1440" w:left="1800" w:header="851" w:footer="992" w:gutter="0"/>
          <w:cols w:space="720"/>
          <w:titlePg/>
          <w:docGrid w:linePitch="312"/>
        </w:sectPr>
      </w:pPr>
      <w:bookmarkStart w:id="40" w:name="_Toc317088542"/>
      <w:bookmarkStart w:id="41" w:name="_Toc335232696"/>
      <w:bookmarkStart w:id="42" w:name="_Toc12357171"/>
      <w:bookmarkStart w:id="43" w:name="_Toc214873597"/>
      <w:bookmarkStart w:id="44" w:name="_Toc147463118"/>
      <w:bookmarkStart w:id="45" w:name="_Toc320887647"/>
      <w:bookmarkStart w:id="46" w:name="_Toc317088145"/>
      <w:bookmarkStart w:id="47" w:name="_Toc21073391"/>
    </w:p>
    <w:p w14:paraId="5B81DD4A" w14:textId="77777777" w:rsidR="00A6605D" w:rsidRDefault="00413D7E">
      <w:pPr>
        <w:pStyle w:val="11"/>
        <w:snapToGrid w:val="0"/>
        <w:spacing w:before="0" w:after="0" w:line="360" w:lineRule="auto"/>
        <w:ind w:firstLineChars="150" w:firstLine="422"/>
        <w:rPr>
          <w:rFonts w:ascii="Arial Unicode MS" w:eastAsia="宋体" w:hAnsi="Arial Unicode MS" w:cs="Arial"/>
          <w:b/>
          <w:bCs/>
          <w:sz w:val="28"/>
          <w:szCs w:val="28"/>
        </w:rPr>
      </w:pPr>
      <w:bookmarkStart w:id="48" w:name="_Toc63676443"/>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基金份额的申购</w:t>
      </w:r>
      <w:r>
        <w:rPr>
          <w:rFonts w:ascii="Arial Unicode MS" w:eastAsia="宋体" w:hAnsi="Arial Unicode MS" w:cs="Arial" w:hint="eastAsia"/>
          <w:b/>
          <w:bCs/>
          <w:sz w:val="28"/>
          <w:szCs w:val="28"/>
        </w:rPr>
        <w:t>与</w:t>
      </w:r>
      <w:r>
        <w:rPr>
          <w:rFonts w:ascii="Arial Unicode MS" w:eastAsia="宋体" w:hAnsi="Arial Unicode MS" w:cs="Arial"/>
          <w:b/>
          <w:bCs/>
          <w:sz w:val="28"/>
          <w:szCs w:val="28"/>
        </w:rPr>
        <w:t>赎回</w:t>
      </w:r>
      <w:bookmarkEnd w:id="40"/>
      <w:bookmarkEnd w:id="41"/>
      <w:bookmarkEnd w:id="42"/>
      <w:bookmarkEnd w:id="43"/>
      <w:bookmarkEnd w:id="44"/>
      <w:bookmarkEnd w:id="45"/>
      <w:bookmarkEnd w:id="46"/>
      <w:bookmarkEnd w:id="47"/>
      <w:bookmarkEnd w:id="48"/>
    </w:p>
    <w:p w14:paraId="20133AEC" w14:textId="77777777" w:rsidR="00A6605D" w:rsidRDefault="00A6605D">
      <w:pPr>
        <w:ind w:firstLine="315"/>
      </w:pPr>
    </w:p>
    <w:p w14:paraId="1CC83DD0" w14:textId="77777777" w:rsidR="00A6605D" w:rsidRDefault="00413D7E">
      <w:pPr>
        <w:adjustRightInd w:val="0"/>
        <w:snapToGrid w:val="0"/>
        <w:spacing w:line="360" w:lineRule="auto"/>
        <w:ind w:firstLineChars="200" w:firstLine="422"/>
        <w:rPr>
          <w:rFonts w:ascii="Arial Unicode MS" w:hAnsi="Arial Unicode MS" w:cs="Arial"/>
          <w:b/>
          <w:bCs/>
          <w:kern w:val="0"/>
          <w:szCs w:val="21"/>
        </w:rPr>
      </w:pPr>
      <w:r>
        <w:rPr>
          <w:rFonts w:ascii="Arial Unicode MS" w:hAnsi="Arial Unicode MS" w:cs="Arial" w:hint="eastAsia"/>
          <w:b/>
          <w:bCs/>
          <w:kern w:val="0"/>
          <w:szCs w:val="21"/>
        </w:rPr>
        <w:t>一、</w:t>
      </w:r>
      <w:r>
        <w:rPr>
          <w:rFonts w:ascii="Arial Unicode MS" w:hAnsi="Arial Unicode MS" w:cs="Arial"/>
          <w:b/>
          <w:bCs/>
          <w:kern w:val="0"/>
          <w:szCs w:val="21"/>
        </w:rPr>
        <w:t>申购与赎回的场所</w:t>
      </w:r>
    </w:p>
    <w:p w14:paraId="48F81261"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本基金的申购与赎回将通过销售机构进行。具体的销售网点将由基金管理人在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6FE5E775" w14:textId="77777777" w:rsidR="00A6605D" w:rsidRDefault="00413D7E">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w:t>
      </w:r>
      <w:r>
        <w:rPr>
          <w:rFonts w:ascii="Arial Unicode MS" w:hAnsi="Arial Unicode MS" w:cs="Arial"/>
          <w:b/>
          <w:bCs/>
          <w:szCs w:val="21"/>
        </w:rPr>
        <w:t>、</w:t>
      </w:r>
      <w:r>
        <w:rPr>
          <w:rFonts w:ascii="Arial Unicode MS" w:hAnsi="Arial Unicode MS" w:cs="Arial"/>
          <w:b/>
          <w:kern w:val="0"/>
          <w:szCs w:val="21"/>
        </w:rPr>
        <w:t>申购与赎回办理的开放日及时间</w:t>
      </w:r>
    </w:p>
    <w:p w14:paraId="61ED53A3"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bookmarkStart w:id="49" w:name="_Toc510842719"/>
      <w:r>
        <w:rPr>
          <w:rFonts w:ascii="Arial Unicode MS" w:hAnsi="Arial Unicode MS" w:cs="Arial" w:hint="eastAsia"/>
          <w:szCs w:val="21"/>
        </w:rPr>
        <w:t>1</w:t>
      </w:r>
      <w:r>
        <w:rPr>
          <w:rFonts w:ascii="Arial Unicode MS" w:hAnsi="Arial Unicode MS" w:cs="Arial" w:hint="eastAsia"/>
          <w:szCs w:val="21"/>
        </w:rPr>
        <w:t>、开放日及开放时间</w:t>
      </w:r>
    </w:p>
    <w:p w14:paraId="68AE6FDA"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0705DDA8"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进行公告。</w:t>
      </w:r>
    </w:p>
    <w:p w14:paraId="0715393F"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、申购、赎回开始日及业务办理时间</w:t>
      </w:r>
    </w:p>
    <w:p w14:paraId="5441D6BD" w14:textId="77777777" w:rsidR="00A6605D" w:rsidRDefault="00413D7E">
      <w:pPr>
        <w:spacing w:line="360" w:lineRule="auto"/>
        <w:ind w:firstLineChars="200" w:firstLine="420"/>
        <w:rPr>
          <w:rFonts w:ascii="宋体" w:hAnsi="宋体"/>
          <w:color w:val="000000"/>
          <w:kern w:val="0"/>
          <w:szCs w:val="21"/>
        </w:rPr>
      </w:pPr>
      <w:r>
        <w:rPr>
          <w:rFonts w:ascii="宋体" w:hAnsi="宋体" w:hint="eastAsia"/>
          <w:color w:val="000000"/>
          <w:kern w:val="0"/>
          <w:szCs w:val="21"/>
        </w:rPr>
        <w:t>本基金已于2017年3月10日开始办理申购、赎回业务。</w:t>
      </w:r>
    </w:p>
    <w:p w14:paraId="7CD7FAFB" w14:textId="77777777" w:rsidR="00A6605D" w:rsidRDefault="00413D7E">
      <w:pPr>
        <w:spacing w:line="360" w:lineRule="auto"/>
        <w:ind w:firstLineChars="200" w:firstLine="420"/>
        <w:rPr>
          <w:rFonts w:ascii="宋体" w:hAnsi="宋体"/>
          <w:color w:val="000000"/>
          <w:kern w:val="0"/>
          <w:szCs w:val="21"/>
        </w:rPr>
      </w:pPr>
      <w:r>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转换申请且登记机构确认接受的，其基金份额申购、赎回价格为下一开放日基金份额申购、赎回的价格。</w:t>
      </w:r>
    </w:p>
    <w:bookmarkEnd w:id="49"/>
    <w:p w14:paraId="04C465B9" w14:textId="77777777" w:rsidR="00A6605D" w:rsidRDefault="00413D7E">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w:t>
      </w:r>
      <w:r>
        <w:rPr>
          <w:rFonts w:ascii="Arial Unicode MS" w:hAnsi="Arial Unicode MS" w:cs="Arial"/>
          <w:b/>
          <w:szCs w:val="21"/>
        </w:rPr>
        <w:t>、申购与赎回的原则</w:t>
      </w:r>
    </w:p>
    <w:p w14:paraId="7D7F2B77"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、“未知价”原则，即申购、赎回价格以申请当日收市后计算的基金份额净值为基准进行计算；</w:t>
      </w:r>
    </w:p>
    <w:p w14:paraId="12B37C74"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、“金额申购、份额赎回”原则，即申购以金额申请，赎回以份额申请；</w:t>
      </w:r>
    </w:p>
    <w:p w14:paraId="0ABA2A50"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、当日的申购与赎回申请可以在基金管理人规定的时间以内撤销；</w:t>
      </w:r>
    </w:p>
    <w:p w14:paraId="22F5ED12"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、赎回遵循“先进先出”原则，即按照投资人认购、申购的先后次序进行顺序赎回。</w:t>
      </w:r>
    </w:p>
    <w:p w14:paraId="4F94933F"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、办理申购、赎回业务时，应当遵循基金份额持有人利益优先原则，确保投资者的合法权益不受损害并得到公平对待。</w:t>
      </w:r>
    </w:p>
    <w:p w14:paraId="11E1AB36"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基金管理人可在法律法规允许的情况下，对上述原则进行调整。基金管理人必须在新规则开始实施前依照《信息披露办法》的有关规定进行公告。</w:t>
      </w:r>
    </w:p>
    <w:p w14:paraId="1971E97F" w14:textId="77777777" w:rsidR="00A6605D" w:rsidRDefault="00413D7E">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四、申购与赎回的数额限制</w:t>
      </w:r>
    </w:p>
    <w:p w14:paraId="42176D6D"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1</w:t>
      </w:r>
      <w:r>
        <w:rPr>
          <w:rFonts w:ascii="Arial Unicode MS" w:hAnsi="Arial Unicode MS" w:cs="Arial" w:hint="eastAsia"/>
          <w:bCs/>
          <w:szCs w:val="21"/>
        </w:rPr>
        <w:t>、首次购买基金份额的最低金额为</w:t>
      </w:r>
      <w:r>
        <w:rPr>
          <w:rFonts w:ascii="Arial Unicode MS" w:hAnsi="Arial Unicode MS" w:cs="Arial" w:hint="eastAsia"/>
          <w:bCs/>
          <w:szCs w:val="21"/>
        </w:rPr>
        <w:t>1</w:t>
      </w:r>
      <w:r>
        <w:rPr>
          <w:rFonts w:ascii="Arial Unicode MS" w:hAnsi="Arial Unicode MS" w:cs="Arial"/>
          <w:bCs/>
          <w:szCs w:val="21"/>
        </w:rPr>
        <w:t>.00</w:t>
      </w:r>
      <w:r>
        <w:rPr>
          <w:rFonts w:ascii="Arial Unicode MS" w:hAnsi="Arial Unicode MS" w:cs="Arial" w:hint="eastAsia"/>
          <w:bCs/>
          <w:szCs w:val="21"/>
        </w:rPr>
        <w:t>元，追加购买最低金额为</w:t>
      </w:r>
      <w:r>
        <w:rPr>
          <w:rFonts w:ascii="Arial Unicode MS" w:hAnsi="Arial Unicode MS" w:cs="Arial" w:hint="eastAsia"/>
          <w:bCs/>
          <w:szCs w:val="21"/>
        </w:rPr>
        <w:t>1</w:t>
      </w:r>
      <w:r>
        <w:rPr>
          <w:rFonts w:ascii="Arial Unicode MS" w:hAnsi="Arial Unicode MS" w:cs="Arial"/>
          <w:bCs/>
          <w:szCs w:val="21"/>
        </w:rPr>
        <w:t>.00</w:t>
      </w:r>
      <w:r>
        <w:rPr>
          <w:rFonts w:ascii="Arial Unicode MS" w:hAnsi="Arial Unicode MS" w:cs="Arial" w:hint="eastAsia"/>
          <w:bCs/>
          <w:szCs w:val="21"/>
        </w:rPr>
        <w:t>元；</w:t>
      </w:r>
      <w:r>
        <w:rPr>
          <w:rFonts w:ascii="Arial Unicode MS" w:hAnsi="Arial Unicode MS" w:cs="Arial"/>
          <w:bCs/>
          <w:szCs w:val="21"/>
        </w:rPr>
        <w:t>详情请见当地销售机构公告</w:t>
      </w:r>
      <w:r>
        <w:rPr>
          <w:rFonts w:ascii="Arial Unicode MS" w:hAnsi="Arial Unicode MS" w:cs="Arial" w:hint="eastAsia"/>
          <w:bCs/>
          <w:szCs w:val="21"/>
        </w:rPr>
        <w:t>；</w:t>
      </w:r>
    </w:p>
    <w:p w14:paraId="17CDC298"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、每个交易账户最低持有基金份额余额为</w:t>
      </w:r>
      <w:r>
        <w:rPr>
          <w:rFonts w:ascii="Arial Unicode MS" w:hAnsi="Arial Unicode MS" w:cs="Arial" w:hint="eastAsia"/>
          <w:bCs/>
          <w:szCs w:val="21"/>
        </w:rPr>
        <w:t>1</w:t>
      </w:r>
      <w:r>
        <w:rPr>
          <w:rFonts w:ascii="Arial Unicode MS" w:hAnsi="Arial Unicode MS" w:cs="Arial" w:hint="eastAsia"/>
          <w:bCs/>
          <w:szCs w:val="21"/>
        </w:rPr>
        <w:t>份，若某笔赎回导致单个交易账户的基金份额余额少于</w:t>
      </w:r>
      <w:r>
        <w:rPr>
          <w:rFonts w:ascii="Arial Unicode MS" w:hAnsi="Arial Unicode MS" w:cs="Arial" w:hint="eastAsia"/>
          <w:bCs/>
          <w:szCs w:val="21"/>
        </w:rPr>
        <w:t>1</w:t>
      </w:r>
      <w:r>
        <w:rPr>
          <w:rFonts w:ascii="Arial Unicode MS" w:hAnsi="Arial Unicode MS" w:cs="Arial" w:hint="eastAsia"/>
          <w:bCs/>
          <w:szCs w:val="21"/>
        </w:rPr>
        <w:t>份时，余额部分基金份额必须一同赎回；</w:t>
      </w:r>
      <w:r>
        <w:rPr>
          <w:rFonts w:ascii="Arial Unicode MS" w:hAnsi="Arial Unicode MS" w:cs="Arial" w:hint="eastAsia"/>
          <w:bCs/>
          <w:szCs w:val="21"/>
        </w:rPr>
        <w:t xml:space="preserve"> </w:t>
      </w:r>
    </w:p>
    <w:p w14:paraId="4BAF0C72"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157D5958"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参见基金管理人相关公告；</w:t>
      </w:r>
    </w:p>
    <w:p w14:paraId="04D935FA"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、基金管理人可在法律法规允许的情况下，调整上述规定申购金额和赎回份额的数量限制。基金管理人必须在调整实施前依照《信息披露办法》的有关规定进行公告。</w:t>
      </w:r>
    </w:p>
    <w:p w14:paraId="1BF8635B" w14:textId="77777777" w:rsidR="00A6605D" w:rsidRDefault="00413D7E">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Pr>
          <w:rFonts w:ascii="Arial Unicode MS" w:hAnsi="Arial Unicode MS" w:cs="Arial"/>
          <w:b/>
          <w:szCs w:val="21"/>
        </w:rPr>
        <w:t>、申购与赎回的程序</w:t>
      </w:r>
    </w:p>
    <w:p w14:paraId="230861FE"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1</w:t>
      </w:r>
      <w:r>
        <w:rPr>
          <w:rFonts w:ascii="Arial Unicode MS" w:hAnsi="Arial Unicode MS" w:hint="eastAsia"/>
          <w:bCs/>
          <w:szCs w:val="21"/>
        </w:rPr>
        <w:t>、</w:t>
      </w:r>
      <w:r>
        <w:rPr>
          <w:rFonts w:ascii="Arial Unicode MS" w:hAnsi="Arial Unicode MS"/>
          <w:bCs/>
          <w:szCs w:val="21"/>
        </w:rPr>
        <w:t>申购和赎回的申请方式</w:t>
      </w:r>
    </w:p>
    <w:p w14:paraId="13A40F23"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投资人必须根据销售机构规定的程序，在开放日的具体业务办理时间内提出申购或赎回的申请。</w:t>
      </w:r>
    </w:p>
    <w:p w14:paraId="17E57E98"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2</w:t>
      </w:r>
      <w:r>
        <w:rPr>
          <w:rFonts w:ascii="Arial Unicode MS" w:hAnsi="Arial Unicode MS" w:hint="eastAsia"/>
          <w:bCs/>
          <w:szCs w:val="21"/>
        </w:rPr>
        <w:t>、</w:t>
      </w:r>
      <w:r>
        <w:rPr>
          <w:rFonts w:ascii="Arial Unicode MS" w:hAnsi="Arial Unicode MS"/>
          <w:bCs/>
          <w:szCs w:val="21"/>
        </w:rPr>
        <w:t>申购和赎回的款项支付</w:t>
      </w:r>
    </w:p>
    <w:p w14:paraId="5A364EA1"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lang w:val="zh-CN"/>
        </w:rPr>
        <w:t>投资人申购基金份额时，必须全额交付申购款项，投资人</w:t>
      </w:r>
      <w:r>
        <w:rPr>
          <w:rFonts w:ascii="Arial Unicode MS" w:hAnsi="Arial Unicode MS" w:hint="eastAsia"/>
          <w:bCs/>
          <w:szCs w:val="21"/>
          <w:lang w:val="zh-CN"/>
        </w:rPr>
        <w:t>全额</w:t>
      </w:r>
      <w:r>
        <w:rPr>
          <w:rFonts w:ascii="Arial Unicode MS" w:hAnsi="Arial Unicode MS"/>
          <w:bCs/>
          <w:szCs w:val="21"/>
          <w:lang w:val="zh-CN"/>
        </w:rPr>
        <w:t>交付</w:t>
      </w:r>
      <w:r>
        <w:rPr>
          <w:rFonts w:ascii="Arial Unicode MS" w:hAnsi="Arial Unicode MS" w:hint="eastAsia"/>
          <w:bCs/>
          <w:szCs w:val="21"/>
          <w:lang w:val="zh-CN"/>
        </w:rPr>
        <w:t>申购</w:t>
      </w:r>
      <w:r>
        <w:rPr>
          <w:rFonts w:ascii="Arial Unicode MS" w:hAnsi="Arial Unicode MS"/>
          <w:bCs/>
          <w:szCs w:val="21"/>
          <w:lang w:val="zh-CN"/>
        </w:rPr>
        <w:t>款项，申购申请</w:t>
      </w:r>
      <w:r>
        <w:rPr>
          <w:rFonts w:ascii="Arial Unicode MS" w:hAnsi="Arial Unicode MS" w:hint="eastAsia"/>
          <w:bCs/>
          <w:szCs w:val="21"/>
          <w:lang w:val="zh-CN"/>
        </w:rPr>
        <w:t>成立；登记机构确认基金份额时，</w:t>
      </w:r>
      <w:r>
        <w:rPr>
          <w:rFonts w:ascii="Arial Unicode MS" w:hAnsi="Arial Unicode MS"/>
          <w:bCs/>
          <w:szCs w:val="21"/>
          <w:lang w:val="zh-CN"/>
        </w:rPr>
        <w:t>申购</w:t>
      </w:r>
      <w:r>
        <w:rPr>
          <w:rFonts w:ascii="Arial Unicode MS" w:hAnsi="Arial Unicode MS" w:hint="eastAsia"/>
          <w:bCs/>
          <w:szCs w:val="21"/>
          <w:lang w:val="zh-CN"/>
        </w:rPr>
        <w:t>生</w:t>
      </w:r>
      <w:r>
        <w:rPr>
          <w:rFonts w:ascii="Arial Unicode MS" w:hAnsi="Arial Unicode MS"/>
          <w:bCs/>
          <w:szCs w:val="21"/>
          <w:lang w:val="zh-CN"/>
        </w:rPr>
        <w:t>效。</w:t>
      </w:r>
    </w:p>
    <w:p w14:paraId="7073664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基金份额持有人递交赎回申请，赎回成立；登记机构确认赎回时，赎回生效。</w:t>
      </w:r>
      <w:r>
        <w:rPr>
          <w:rFonts w:ascii="Arial Unicode MS" w:hAnsi="Arial Unicode MS"/>
          <w:bCs/>
          <w:szCs w:val="21"/>
        </w:rPr>
        <w:t>投资人赎回申请成功后，基金管理人将在</w:t>
      </w:r>
      <w:r>
        <w:rPr>
          <w:rFonts w:ascii="Arial Unicode MS" w:hAnsi="Arial Unicode MS"/>
          <w:bCs/>
          <w:szCs w:val="21"/>
        </w:rPr>
        <w:t>T</w:t>
      </w:r>
      <w:r>
        <w:rPr>
          <w:rFonts w:ascii="Arial Unicode MS" w:hAnsi="Arial Unicode MS"/>
          <w:bCs/>
          <w:szCs w:val="21"/>
        </w:rPr>
        <w:t>＋</w:t>
      </w:r>
      <w:r>
        <w:rPr>
          <w:rFonts w:ascii="Arial Unicode MS" w:hAnsi="Arial Unicode MS" w:hint="eastAsia"/>
          <w:bCs/>
          <w:szCs w:val="21"/>
        </w:rPr>
        <w:t>7</w:t>
      </w:r>
      <w:r>
        <w:rPr>
          <w:rFonts w:ascii="Arial Unicode MS" w:hAnsi="Arial Unicode MS"/>
          <w:bCs/>
          <w:szCs w:val="21"/>
        </w:rPr>
        <w:t>日</w:t>
      </w:r>
      <w:r>
        <w:rPr>
          <w:rFonts w:ascii="Arial Unicode MS" w:hAnsi="Arial Unicode MS"/>
          <w:bCs/>
          <w:szCs w:val="21"/>
        </w:rPr>
        <w:t>(</w:t>
      </w:r>
      <w:r>
        <w:rPr>
          <w:rFonts w:ascii="Arial Unicode MS" w:hAnsi="Arial Unicode MS"/>
          <w:bCs/>
          <w:szCs w:val="21"/>
        </w:rPr>
        <w:t>包括该日</w:t>
      </w:r>
      <w:r>
        <w:rPr>
          <w:rFonts w:ascii="Arial Unicode MS" w:hAnsi="Arial Unicode MS"/>
          <w:bCs/>
          <w:szCs w:val="21"/>
        </w:rPr>
        <w:t>)</w:t>
      </w:r>
      <w:r>
        <w:rPr>
          <w:rFonts w:ascii="Arial Unicode MS" w:hAnsi="Arial Unicode MS"/>
          <w:bCs/>
          <w:szCs w:val="21"/>
        </w:rPr>
        <w:t>内支付赎回款项。在发生巨额赎回时，款项的支付办法参照基金合同有关条款处理。</w:t>
      </w:r>
    </w:p>
    <w:p w14:paraId="1627B24C"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3</w:t>
      </w:r>
      <w:r>
        <w:rPr>
          <w:rFonts w:ascii="Arial Unicode MS" w:hAnsi="Arial Unicode MS" w:hint="eastAsia"/>
          <w:bCs/>
          <w:szCs w:val="21"/>
        </w:rPr>
        <w:t>、</w:t>
      </w:r>
      <w:r>
        <w:rPr>
          <w:rFonts w:ascii="Arial Unicode MS" w:hAnsi="Arial Unicode MS"/>
          <w:bCs/>
          <w:szCs w:val="21"/>
        </w:rPr>
        <w:t>申购和赎回申请的确认</w:t>
      </w:r>
    </w:p>
    <w:p w14:paraId="0BEFD4DF"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基金管理人应以交易时间结束前受理</w:t>
      </w:r>
      <w:r>
        <w:rPr>
          <w:rFonts w:ascii="Arial Unicode MS" w:hAnsi="Arial Unicode MS" w:hint="eastAsia"/>
          <w:bCs/>
          <w:szCs w:val="21"/>
        </w:rPr>
        <w:t>有效</w:t>
      </w:r>
      <w:r>
        <w:rPr>
          <w:rFonts w:ascii="Arial Unicode MS" w:hAnsi="Arial Unicode MS"/>
          <w:bCs/>
          <w:szCs w:val="21"/>
        </w:rPr>
        <w:t>申购和赎回申请的当天作为申购或赎回申请日</w:t>
      </w:r>
      <w:r>
        <w:rPr>
          <w:rFonts w:ascii="Arial Unicode MS" w:hAnsi="Arial Unicode MS"/>
          <w:bCs/>
          <w:szCs w:val="21"/>
        </w:rPr>
        <w:t>(T</w:t>
      </w:r>
      <w:r>
        <w:rPr>
          <w:rFonts w:ascii="Arial Unicode MS" w:hAnsi="Arial Unicode MS"/>
          <w:bCs/>
          <w:szCs w:val="21"/>
        </w:rPr>
        <w:t>日</w:t>
      </w:r>
      <w:r>
        <w:rPr>
          <w:rFonts w:ascii="Arial Unicode MS" w:hAnsi="Arial Unicode MS"/>
          <w:bCs/>
          <w:szCs w:val="21"/>
        </w:rPr>
        <w:t>)</w:t>
      </w:r>
      <w:r>
        <w:rPr>
          <w:rFonts w:ascii="Arial Unicode MS" w:hAnsi="Arial Unicode MS"/>
          <w:bCs/>
          <w:szCs w:val="21"/>
        </w:rPr>
        <w:t>，在正常情况下，本基金登记机构在</w:t>
      </w:r>
      <w:r>
        <w:rPr>
          <w:rFonts w:ascii="Arial Unicode MS" w:hAnsi="Arial Unicode MS"/>
          <w:bCs/>
          <w:szCs w:val="21"/>
        </w:rPr>
        <w:t>T+</w:t>
      </w:r>
      <w:r>
        <w:rPr>
          <w:rFonts w:ascii="Arial Unicode MS" w:hAnsi="Arial Unicode MS" w:hint="eastAsia"/>
          <w:bCs/>
          <w:szCs w:val="21"/>
        </w:rPr>
        <w:t>1</w:t>
      </w:r>
      <w:r>
        <w:rPr>
          <w:rFonts w:ascii="Arial Unicode MS" w:hAnsi="Arial Unicode MS"/>
          <w:bCs/>
          <w:szCs w:val="21"/>
        </w:rPr>
        <w:t>日内对该交易的有效性进行确认。</w:t>
      </w:r>
      <w:r>
        <w:rPr>
          <w:rFonts w:ascii="Arial Unicode MS" w:hAnsi="Arial Unicode MS"/>
          <w:bCs/>
          <w:szCs w:val="21"/>
        </w:rPr>
        <w:t>T</w:t>
      </w:r>
      <w:r>
        <w:rPr>
          <w:rFonts w:ascii="Arial Unicode MS" w:hAnsi="Arial Unicode MS"/>
          <w:bCs/>
          <w:szCs w:val="21"/>
        </w:rPr>
        <w:t>日提交的有效申请，投资人</w:t>
      </w:r>
      <w:r>
        <w:rPr>
          <w:rFonts w:ascii="Arial Unicode MS" w:hAnsi="Arial Unicode MS" w:hint="eastAsia"/>
          <w:bCs/>
          <w:szCs w:val="21"/>
        </w:rPr>
        <w:t>应</w:t>
      </w:r>
      <w:r>
        <w:rPr>
          <w:rFonts w:ascii="Arial Unicode MS" w:hAnsi="Arial Unicode MS"/>
          <w:bCs/>
          <w:szCs w:val="21"/>
        </w:rPr>
        <w:t>在</w:t>
      </w:r>
      <w:r>
        <w:rPr>
          <w:rFonts w:ascii="Arial Unicode MS" w:hAnsi="Arial Unicode MS"/>
          <w:bCs/>
          <w:szCs w:val="21"/>
        </w:rPr>
        <w:t>T+</w:t>
      </w:r>
      <w:r>
        <w:rPr>
          <w:rFonts w:ascii="Arial Unicode MS" w:hAnsi="Arial Unicode MS" w:hint="eastAsia"/>
          <w:bCs/>
          <w:szCs w:val="21"/>
        </w:rPr>
        <w:t>2</w:t>
      </w:r>
      <w:r>
        <w:rPr>
          <w:rFonts w:ascii="Arial Unicode MS" w:hAnsi="Arial Unicode MS"/>
          <w:bCs/>
          <w:szCs w:val="21"/>
        </w:rPr>
        <w:t>日后</w:t>
      </w:r>
      <w:r>
        <w:rPr>
          <w:rFonts w:ascii="Arial Unicode MS" w:hAnsi="Arial Unicode MS"/>
          <w:bCs/>
          <w:szCs w:val="21"/>
        </w:rPr>
        <w:t>(</w:t>
      </w:r>
      <w:r>
        <w:rPr>
          <w:rFonts w:ascii="Arial Unicode MS" w:hAnsi="Arial Unicode MS"/>
          <w:bCs/>
          <w:szCs w:val="21"/>
        </w:rPr>
        <w:t>包括该日</w:t>
      </w:r>
      <w:r>
        <w:rPr>
          <w:rFonts w:ascii="Arial Unicode MS" w:hAnsi="Arial Unicode MS"/>
          <w:bCs/>
          <w:szCs w:val="21"/>
        </w:rPr>
        <w:t>)</w:t>
      </w:r>
      <w:r>
        <w:rPr>
          <w:rFonts w:ascii="Arial Unicode MS" w:hAnsi="Arial Unicode MS" w:hint="eastAsia"/>
          <w:bCs/>
          <w:szCs w:val="21"/>
        </w:rPr>
        <w:t>及时</w:t>
      </w:r>
      <w:r>
        <w:rPr>
          <w:rFonts w:ascii="Arial Unicode MS" w:hAnsi="Arial Unicode MS"/>
          <w:bCs/>
          <w:szCs w:val="21"/>
        </w:rPr>
        <w:t>到销售网点柜台或以销售机构规定的其他方式查询申请的确认情况。若申购不成功，则申购款项退还给投资人。</w:t>
      </w:r>
    </w:p>
    <w:p w14:paraId="0AC6188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p>
    <w:p w14:paraId="6CA79848" w14:textId="77777777" w:rsidR="00A6605D" w:rsidRDefault="00413D7E">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kern w:val="0"/>
          <w:szCs w:val="21"/>
        </w:rPr>
        <w:t>六</w:t>
      </w:r>
      <w:r>
        <w:rPr>
          <w:rFonts w:ascii="Arial Unicode MS" w:hAnsi="Arial Unicode MS" w:cs="Arial"/>
          <w:b/>
          <w:bCs/>
          <w:szCs w:val="21"/>
        </w:rPr>
        <w:t>、申购费率、赎回费率</w:t>
      </w:r>
    </w:p>
    <w:p w14:paraId="7489E68F"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szCs w:val="21"/>
        </w:rPr>
        <w:t>1</w:t>
      </w:r>
      <w:r>
        <w:rPr>
          <w:rFonts w:ascii="Arial Unicode MS" w:hAnsi="Arial Unicode MS" w:cs="Arial"/>
          <w:szCs w:val="21"/>
        </w:rPr>
        <w:t>、投资</w:t>
      </w:r>
      <w:r>
        <w:rPr>
          <w:rFonts w:ascii="Arial Unicode MS" w:hAnsi="Arial Unicode MS" w:cs="Arial" w:hint="eastAsia"/>
          <w:szCs w:val="21"/>
        </w:rPr>
        <w:t>者</w:t>
      </w:r>
      <w:r>
        <w:rPr>
          <w:rFonts w:ascii="Arial Unicode MS" w:hAnsi="Arial Unicode MS" w:cs="Arial"/>
          <w:szCs w:val="21"/>
        </w:rPr>
        <w:t>可以多次申购本基金，申购费率按每笔申购申请单独计算。</w:t>
      </w:r>
    </w:p>
    <w:p w14:paraId="695EE512" w14:textId="77777777" w:rsidR="00A6605D" w:rsidRDefault="00413D7E">
      <w:pPr>
        <w:adjustRightInd w:val="0"/>
        <w:snapToGrid w:val="0"/>
        <w:spacing w:line="360" w:lineRule="auto"/>
        <w:ind w:firstLineChars="200" w:firstLine="420"/>
        <w:rPr>
          <w:rFonts w:ascii="Arial Unicode MS" w:hAnsi="Arial Unicode MS" w:cs="Arial"/>
        </w:rPr>
      </w:pPr>
      <w:r>
        <w:rPr>
          <w:rFonts w:ascii="Arial Unicode MS" w:hAnsi="Arial Unicode MS" w:cs="Arial"/>
          <w:szCs w:val="21"/>
        </w:rPr>
        <w:lastRenderedPageBreak/>
        <w:t>本基金基金份额采用</w:t>
      </w:r>
      <w:r>
        <w:rPr>
          <w:rFonts w:ascii="Arial Unicode MS" w:hAnsi="Arial Unicode MS" w:cs="Arial" w:hint="eastAsia"/>
          <w:szCs w:val="21"/>
        </w:rPr>
        <w:t>前</w:t>
      </w:r>
      <w:r>
        <w:rPr>
          <w:rFonts w:ascii="Arial Unicode MS" w:hAnsi="Arial Unicode MS" w:cs="Arial"/>
          <w:szCs w:val="21"/>
        </w:rPr>
        <w:t>端收费模式收取基金申购费用。</w:t>
      </w:r>
      <w:r>
        <w:rPr>
          <w:rFonts w:ascii="Arial Unicode MS" w:hAnsi="Arial Unicode MS" w:cs="Arial" w:hint="eastAsia"/>
        </w:rPr>
        <w:t>投资者的</w:t>
      </w:r>
      <w:r>
        <w:rPr>
          <w:rFonts w:ascii="Arial Unicode MS" w:hAnsi="Arial Unicode MS" w:cs="Arial"/>
        </w:rPr>
        <w:t>申购费用</w:t>
      </w:r>
      <w:r>
        <w:rPr>
          <w:rFonts w:ascii="Arial Unicode MS" w:hAnsi="Arial Unicode MS" w:cs="Arial" w:hint="eastAsia"/>
        </w:rPr>
        <w:t>如下：</w:t>
      </w:r>
    </w:p>
    <w:p w14:paraId="7886DDBE" w14:textId="77777777" w:rsidR="00A6605D" w:rsidRDefault="00413D7E">
      <w:pPr>
        <w:snapToGrid w:val="0"/>
        <w:spacing w:line="360" w:lineRule="auto"/>
        <w:jc w:val="center"/>
        <w:rPr>
          <w:rFonts w:ascii="Arial Unicode MS" w:hAnsi="Arial Unicode MS" w:cs="Arial"/>
        </w:rPr>
      </w:pPr>
      <w:r>
        <w:rPr>
          <w:rFonts w:ascii="Arial Unicode MS" w:hAnsi="Arial Unicode MS" w:cs="Arial" w:hint="eastAsia"/>
        </w:rPr>
        <w:t>表</w:t>
      </w:r>
      <w:r>
        <w:rPr>
          <w:rFonts w:ascii="Arial Unicode MS" w:hAnsi="Arial Unicode MS" w:cs="Arial" w:hint="eastAsia"/>
        </w:rPr>
        <w:t>2</w:t>
      </w:r>
      <w:r>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6"/>
      </w:tblGrid>
      <w:tr w:rsidR="00A6605D" w14:paraId="2882CDD5" w14:textId="77777777">
        <w:trPr>
          <w:trHeight w:val="190"/>
          <w:jc w:val="center"/>
        </w:trPr>
        <w:tc>
          <w:tcPr>
            <w:tcW w:w="2400" w:type="pct"/>
            <w:shd w:val="clear" w:color="auto" w:fill="auto"/>
          </w:tcPr>
          <w:p w14:paraId="68F5CC0A"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hint="eastAsia"/>
                <w:bCs/>
                <w:kern w:val="0"/>
                <w:szCs w:val="21"/>
              </w:rPr>
              <w:t>申购</w:t>
            </w:r>
            <w:r>
              <w:rPr>
                <w:rFonts w:ascii="Arial Unicode MS" w:hAnsi="Arial Unicode MS"/>
                <w:bCs/>
                <w:kern w:val="0"/>
                <w:szCs w:val="21"/>
              </w:rPr>
              <w:t>金额（</w:t>
            </w:r>
            <w:r>
              <w:rPr>
                <w:rFonts w:ascii="Arial Unicode MS" w:hAnsi="Arial Unicode MS"/>
                <w:bCs/>
                <w:kern w:val="0"/>
                <w:szCs w:val="21"/>
              </w:rPr>
              <w:t>M</w:t>
            </w:r>
            <w:r>
              <w:rPr>
                <w:rFonts w:ascii="Arial Unicode MS" w:hAnsi="Arial Unicode MS"/>
                <w:bCs/>
                <w:kern w:val="0"/>
                <w:szCs w:val="21"/>
              </w:rPr>
              <w:t>）</w:t>
            </w:r>
          </w:p>
        </w:tc>
        <w:tc>
          <w:tcPr>
            <w:tcW w:w="2600" w:type="pct"/>
            <w:shd w:val="clear" w:color="auto" w:fill="auto"/>
          </w:tcPr>
          <w:p w14:paraId="38A18BF3"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申购费率</w:t>
            </w:r>
          </w:p>
        </w:tc>
      </w:tr>
      <w:tr w:rsidR="00A6605D" w14:paraId="5A85482E" w14:textId="77777777">
        <w:trPr>
          <w:trHeight w:val="190"/>
          <w:jc w:val="center"/>
        </w:trPr>
        <w:tc>
          <w:tcPr>
            <w:tcW w:w="2400" w:type="pct"/>
            <w:shd w:val="clear" w:color="auto" w:fill="auto"/>
          </w:tcPr>
          <w:p w14:paraId="3D1F3514"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100</w:t>
            </w:r>
            <w:r>
              <w:rPr>
                <w:rFonts w:ascii="Arial Unicode MS" w:hAnsi="Arial Unicode MS"/>
                <w:bCs/>
                <w:kern w:val="0"/>
                <w:szCs w:val="21"/>
              </w:rPr>
              <w:t>万</w:t>
            </w:r>
          </w:p>
        </w:tc>
        <w:tc>
          <w:tcPr>
            <w:tcW w:w="2600" w:type="pct"/>
            <w:shd w:val="clear" w:color="auto" w:fill="auto"/>
          </w:tcPr>
          <w:p w14:paraId="71440BCA"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0.80%</w:t>
            </w:r>
          </w:p>
        </w:tc>
      </w:tr>
      <w:tr w:rsidR="00A6605D" w14:paraId="54943627" w14:textId="77777777">
        <w:trPr>
          <w:trHeight w:val="190"/>
          <w:jc w:val="center"/>
        </w:trPr>
        <w:tc>
          <w:tcPr>
            <w:tcW w:w="2400" w:type="pct"/>
            <w:shd w:val="clear" w:color="auto" w:fill="auto"/>
          </w:tcPr>
          <w:p w14:paraId="462EFA08"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100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300</w:t>
            </w:r>
            <w:r>
              <w:rPr>
                <w:rFonts w:ascii="Arial Unicode MS" w:hAnsi="Arial Unicode MS"/>
                <w:bCs/>
                <w:kern w:val="0"/>
                <w:szCs w:val="21"/>
              </w:rPr>
              <w:t>万</w:t>
            </w:r>
          </w:p>
        </w:tc>
        <w:tc>
          <w:tcPr>
            <w:tcW w:w="2600" w:type="pct"/>
            <w:shd w:val="clear" w:color="auto" w:fill="auto"/>
          </w:tcPr>
          <w:p w14:paraId="133ADF46"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0.50%</w:t>
            </w:r>
          </w:p>
        </w:tc>
      </w:tr>
      <w:tr w:rsidR="00A6605D" w14:paraId="50C8E537" w14:textId="77777777">
        <w:trPr>
          <w:trHeight w:val="190"/>
          <w:jc w:val="center"/>
        </w:trPr>
        <w:tc>
          <w:tcPr>
            <w:tcW w:w="2400" w:type="pct"/>
            <w:shd w:val="clear" w:color="auto" w:fill="auto"/>
          </w:tcPr>
          <w:p w14:paraId="54EE5913"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300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500</w:t>
            </w:r>
            <w:r>
              <w:rPr>
                <w:rFonts w:ascii="Arial Unicode MS" w:hAnsi="Arial Unicode MS"/>
                <w:bCs/>
                <w:kern w:val="0"/>
                <w:szCs w:val="21"/>
              </w:rPr>
              <w:t>万</w:t>
            </w:r>
          </w:p>
        </w:tc>
        <w:tc>
          <w:tcPr>
            <w:tcW w:w="2600" w:type="pct"/>
            <w:shd w:val="clear" w:color="auto" w:fill="auto"/>
          </w:tcPr>
          <w:p w14:paraId="56DBFEC0"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0.30%</w:t>
            </w:r>
          </w:p>
        </w:tc>
      </w:tr>
      <w:tr w:rsidR="00A6605D" w14:paraId="1C6F1E8A" w14:textId="77777777">
        <w:trPr>
          <w:trHeight w:val="190"/>
          <w:jc w:val="center"/>
        </w:trPr>
        <w:tc>
          <w:tcPr>
            <w:tcW w:w="2400" w:type="pct"/>
            <w:shd w:val="clear" w:color="auto" w:fill="auto"/>
          </w:tcPr>
          <w:p w14:paraId="460E442D"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M≥500</w:t>
            </w:r>
            <w:r>
              <w:rPr>
                <w:rFonts w:ascii="Arial Unicode MS" w:hAnsi="Arial Unicode MS"/>
                <w:bCs/>
                <w:kern w:val="0"/>
                <w:szCs w:val="21"/>
              </w:rPr>
              <w:t>万</w:t>
            </w:r>
          </w:p>
        </w:tc>
        <w:tc>
          <w:tcPr>
            <w:tcW w:w="2600" w:type="pct"/>
            <w:shd w:val="clear" w:color="auto" w:fill="auto"/>
          </w:tcPr>
          <w:p w14:paraId="2C5A39FB"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每笔</w:t>
            </w:r>
            <w:r>
              <w:rPr>
                <w:rFonts w:ascii="Arial Unicode MS" w:hAnsi="Arial Unicode MS"/>
                <w:bCs/>
                <w:kern w:val="0"/>
                <w:szCs w:val="21"/>
              </w:rPr>
              <w:t>1000</w:t>
            </w:r>
            <w:r>
              <w:rPr>
                <w:rFonts w:ascii="Arial Unicode MS" w:hAnsi="Arial Unicode MS"/>
                <w:bCs/>
                <w:kern w:val="0"/>
                <w:szCs w:val="21"/>
              </w:rPr>
              <w:t>元</w:t>
            </w:r>
          </w:p>
        </w:tc>
      </w:tr>
    </w:tbl>
    <w:p w14:paraId="6DF34B21" w14:textId="77777777" w:rsidR="00A6605D" w:rsidRDefault="00A6605D">
      <w:pPr>
        <w:adjustRightInd w:val="0"/>
        <w:snapToGrid w:val="0"/>
        <w:spacing w:line="360" w:lineRule="auto"/>
        <w:ind w:firstLineChars="200" w:firstLine="420"/>
        <w:rPr>
          <w:rFonts w:ascii="Arial Unicode MS" w:hAnsi="Arial Unicode MS" w:cs="Arial"/>
          <w:bCs/>
          <w:kern w:val="0"/>
          <w:szCs w:val="21"/>
        </w:rPr>
      </w:pPr>
    </w:p>
    <w:p w14:paraId="29961744"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本基金的申购费用由</w:t>
      </w:r>
      <w:r>
        <w:rPr>
          <w:rFonts w:ascii="Arial Unicode MS" w:hAnsi="Arial Unicode MS" w:cs="Arial" w:hint="eastAsia"/>
          <w:szCs w:val="21"/>
        </w:rPr>
        <w:t>投资人</w:t>
      </w:r>
      <w:r>
        <w:rPr>
          <w:rFonts w:ascii="Arial Unicode MS" w:hAnsi="Arial Unicode MS" w:cs="Arial"/>
          <w:szCs w:val="21"/>
        </w:rPr>
        <w:t>承担，主要用于本基金的市场推广、销售、登记等各项费用，不列入基金财产。</w:t>
      </w:r>
    </w:p>
    <w:p w14:paraId="7E07634A"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szCs w:val="21"/>
        </w:rPr>
        <w:t>2</w:t>
      </w:r>
      <w:r>
        <w:rPr>
          <w:rFonts w:ascii="Arial Unicode MS" w:hAnsi="Arial Unicode MS" w:cs="Arial"/>
          <w:szCs w:val="21"/>
        </w:rPr>
        <w:t>、赎回费率见下表：</w:t>
      </w:r>
    </w:p>
    <w:p w14:paraId="7C791B0B" w14:textId="77777777" w:rsidR="00A6605D" w:rsidRDefault="00413D7E">
      <w:pPr>
        <w:pStyle w:val="a5"/>
        <w:ind w:firstLine="420"/>
        <w:jc w:val="center"/>
        <w:rPr>
          <w:rFonts w:ascii="Arial Unicode MS" w:eastAsia="宋体" w:hAnsi="Arial Unicode MS" w:cs="Tahoma"/>
          <w:sz w:val="21"/>
        </w:rPr>
      </w:pPr>
      <w:r>
        <w:rPr>
          <w:rFonts w:ascii="Arial Unicode MS" w:eastAsia="宋体" w:hAnsi="Arial Unicode MS" w:cs="Tahoma" w:hint="eastAsia"/>
          <w:sz w:val="21"/>
        </w:rPr>
        <w:t>表</w:t>
      </w:r>
      <w:r>
        <w:rPr>
          <w:rFonts w:ascii="Arial Unicode MS" w:eastAsia="宋体" w:hAnsi="Arial Unicode MS" w:cs="Tahoma" w:hint="eastAsia"/>
          <w:sz w:val="21"/>
        </w:rPr>
        <w:t>3</w:t>
      </w:r>
      <w:r>
        <w:rPr>
          <w:rFonts w:ascii="Arial Unicode MS" w:eastAsia="宋体" w:hAnsi="Arial Unicode MS" w:cs="Tahoma" w:hint="eastAsia"/>
          <w:sz w:val="21"/>
        </w:rPr>
        <w:t>：本基金的赎回费率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A6605D" w14:paraId="3642C4FB" w14:textId="77777777">
        <w:trPr>
          <w:cantSplit/>
          <w:trHeight w:val="272"/>
          <w:jc w:val="center"/>
        </w:trPr>
        <w:tc>
          <w:tcPr>
            <w:tcW w:w="3035" w:type="dxa"/>
            <w:tcMar>
              <w:top w:w="0" w:type="dxa"/>
              <w:left w:w="108" w:type="dxa"/>
              <w:bottom w:w="0" w:type="dxa"/>
              <w:right w:w="108" w:type="dxa"/>
            </w:tcMar>
            <w:vAlign w:val="center"/>
          </w:tcPr>
          <w:p w14:paraId="4D0F7D4A" w14:textId="77777777" w:rsidR="00A6605D" w:rsidRDefault="00413D7E">
            <w:pPr>
              <w:spacing w:line="360" w:lineRule="auto"/>
              <w:jc w:val="center"/>
              <w:rPr>
                <w:rFonts w:ascii="Arial Unicode MS" w:hAnsi="Arial Unicode MS" w:cs="宋体"/>
                <w:szCs w:val="21"/>
              </w:rPr>
            </w:pPr>
            <w:r>
              <w:rPr>
                <w:rFonts w:ascii="Arial Unicode MS" w:hAnsi="Arial Unicode MS" w:hint="eastAsia"/>
              </w:rPr>
              <w:t>持有期间（</w:t>
            </w:r>
            <w:r>
              <w:rPr>
                <w:rFonts w:ascii="Arial Unicode MS" w:hAnsi="Arial Unicode MS" w:hint="eastAsia"/>
              </w:rPr>
              <w:t>Y</w:t>
            </w:r>
            <w:r>
              <w:rPr>
                <w:rFonts w:ascii="Arial Unicode MS" w:hAnsi="Arial Unicode MS" w:hint="eastAsia"/>
              </w:rPr>
              <w:t>）</w:t>
            </w:r>
          </w:p>
        </w:tc>
        <w:tc>
          <w:tcPr>
            <w:tcW w:w="1587" w:type="dxa"/>
            <w:tcMar>
              <w:top w:w="0" w:type="dxa"/>
              <w:left w:w="108" w:type="dxa"/>
              <w:bottom w:w="0" w:type="dxa"/>
              <w:right w:w="108" w:type="dxa"/>
            </w:tcMar>
            <w:vAlign w:val="center"/>
          </w:tcPr>
          <w:p w14:paraId="6646694E" w14:textId="77777777" w:rsidR="00A6605D" w:rsidRDefault="00413D7E">
            <w:pPr>
              <w:spacing w:line="360" w:lineRule="auto"/>
              <w:jc w:val="center"/>
              <w:rPr>
                <w:rFonts w:ascii="Arial Unicode MS" w:hAnsi="Arial Unicode MS" w:cs="宋体"/>
                <w:szCs w:val="21"/>
              </w:rPr>
            </w:pPr>
            <w:r>
              <w:rPr>
                <w:rFonts w:ascii="Arial Unicode MS" w:hAnsi="Arial Unicode MS" w:hint="eastAsia"/>
              </w:rPr>
              <w:t>赎回费率</w:t>
            </w:r>
          </w:p>
        </w:tc>
      </w:tr>
      <w:tr w:rsidR="00A6605D" w14:paraId="3C2BFA7C" w14:textId="77777777">
        <w:trPr>
          <w:cantSplit/>
          <w:trHeight w:val="272"/>
          <w:jc w:val="center"/>
        </w:trPr>
        <w:tc>
          <w:tcPr>
            <w:tcW w:w="3035" w:type="dxa"/>
            <w:tcMar>
              <w:top w:w="0" w:type="dxa"/>
              <w:left w:w="108" w:type="dxa"/>
              <w:bottom w:w="0" w:type="dxa"/>
              <w:right w:w="108" w:type="dxa"/>
            </w:tcMar>
          </w:tcPr>
          <w:p w14:paraId="3A8B9D63" w14:textId="77777777" w:rsidR="00A6605D" w:rsidRDefault="00413D7E">
            <w:pPr>
              <w:spacing w:line="360" w:lineRule="auto"/>
              <w:jc w:val="center"/>
              <w:rPr>
                <w:rFonts w:ascii="Arial Unicode MS" w:hAnsi="Arial Unicode MS"/>
              </w:rPr>
            </w:pPr>
            <w:r>
              <w:rPr>
                <w:rFonts w:ascii="Arial Unicode MS" w:hAnsi="Arial Unicode MS" w:hint="eastAsia"/>
              </w:rPr>
              <w:t>Y</w:t>
            </w:r>
            <w:r>
              <w:rPr>
                <w:rFonts w:ascii="Arial Unicode MS" w:hAnsi="Arial Unicode MS" w:hint="eastAsia"/>
              </w:rPr>
              <w:t>＜</w:t>
            </w:r>
            <w:r>
              <w:rPr>
                <w:rFonts w:ascii="Arial Unicode MS" w:hAnsi="Arial Unicode MS" w:hint="eastAsia"/>
              </w:rPr>
              <w:t>7</w:t>
            </w:r>
            <w:r>
              <w:rPr>
                <w:rFonts w:ascii="Arial Unicode MS" w:hAnsi="Arial Unicode MS" w:hint="eastAsia"/>
              </w:rPr>
              <w:t>日</w:t>
            </w:r>
          </w:p>
        </w:tc>
        <w:tc>
          <w:tcPr>
            <w:tcW w:w="1587" w:type="dxa"/>
            <w:tcMar>
              <w:top w:w="0" w:type="dxa"/>
              <w:left w:w="108" w:type="dxa"/>
              <w:bottom w:w="0" w:type="dxa"/>
              <w:right w:w="108" w:type="dxa"/>
            </w:tcMar>
          </w:tcPr>
          <w:p w14:paraId="1921AE64" w14:textId="77777777" w:rsidR="00A6605D" w:rsidRDefault="00413D7E">
            <w:pPr>
              <w:spacing w:line="360" w:lineRule="auto"/>
              <w:ind w:firstLine="420"/>
              <w:jc w:val="center"/>
              <w:rPr>
                <w:rFonts w:ascii="Arial Unicode MS" w:hAnsi="Arial Unicode MS"/>
              </w:rPr>
            </w:pPr>
            <w:r>
              <w:rPr>
                <w:rFonts w:ascii="Arial Unicode MS" w:hAnsi="Arial Unicode MS" w:hint="eastAsia"/>
              </w:rPr>
              <w:t>1.5%</w:t>
            </w:r>
          </w:p>
        </w:tc>
      </w:tr>
      <w:tr w:rsidR="00A6605D" w14:paraId="6DA220A9" w14:textId="77777777">
        <w:trPr>
          <w:cantSplit/>
          <w:trHeight w:val="272"/>
          <w:jc w:val="center"/>
        </w:trPr>
        <w:tc>
          <w:tcPr>
            <w:tcW w:w="3035" w:type="dxa"/>
            <w:tcMar>
              <w:top w:w="0" w:type="dxa"/>
              <w:left w:w="108" w:type="dxa"/>
              <w:bottom w:w="0" w:type="dxa"/>
              <w:right w:w="108" w:type="dxa"/>
            </w:tcMar>
          </w:tcPr>
          <w:p w14:paraId="7E353DCF" w14:textId="77777777" w:rsidR="00A6605D" w:rsidRDefault="00413D7E">
            <w:pPr>
              <w:spacing w:line="360" w:lineRule="auto"/>
              <w:jc w:val="center"/>
              <w:rPr>
                <w:rFonts w:ascii="Arial Unicode MS" w:hAnsi="Arial Unicode MS" w:cs="宋体"/>
                <w:szCs w:val="21"/>
              </w:rPr>
            </w:pPr>
            <w:r>
              <w:rPr>
                <w:rFonts w:ascii="Arial Unicode MS" w:hAnsi="Arial Unicode MS" w:hint="eastAsia"/>
              </w:rPr>
              <w:t>7</w:t>
            </w:r>
            <w:r>
              <w:rPr>
                <w:rFonts w:ascii="Arial Unicode MS" w:hAnsi="Arial Unicode MS" w:hint="eastAsia"/>
              </w:rPr>
              <w:t>日≤</w:t>
            </w:r>
            <w:r>
              <w:rPr>
                <w:rFonts w:ascii="Arial Unicode MS" w:hAnsi="Arial Unicode MS" w:hint="eastAsia"/>
              </w:rPr>
              <w:t>Y</w:t>
            </w:r>
            <w:r>
              <w:rPr>
                <w:rFonts w:ascii="Arial Unicode MS" w:hAnsi="Arial Unicode MS" w:hint="eastAsia"/>
              </w:rPr>
              <w:t>＜</w:t>
            </w:r>
            <w:r>
              <w:rPr>
                <w:rFonts w:ascii="Arial Unicode MS" w:hAnsi="Arial Unicode MS" w:hint="eastAsia"/>
              </w:rPr>
              <w:t>3</w:t>
            </w:r>
            <w:r>
              <w:rPr>
                <w:rFonts w:ascii="Arial Unicode MS" w:hAnsi="Arial Unicode MS" w:hint="eastAsia"/>
              </w:rPr>
              <w:t>个月</w:t>
            </w:r>
          </w:p>
        </w:tc>
        <w:tc>
          <w:tcPr>
            <w:tcW w:w="1587" w:type="dxa"/>
            <w:tcMar>
              <w:top w:w="0" w:type="dxa"/>
              <w:left w:w="108" w:type="dxa"/>
              <w:bottom w:w="0" w:type="dxa"/>
              <w:right w:w="108" w:type="dxa"/>
            </w:tcMar>
          </w:tcPr>
          <w:p w14:paraId="5B913B70" w14:textId="77777777" w:rsidR="00A6605D" w:rsidRDefault="00413D7E">
            <w:pPr>
              <w:spacing w:line="360" w:lineRule="auto"/>
              <w:ind w:firstLine="420"/>
              <w:jc w:val="center"/>
              <w:rPr>
                <w:rFonts w:ascii="Arial Unicode MS" w:hAnsi="Arial Unicode MS" w:cs="宋体"/>
                <w:szCs w:val="21"/>
              </w:rPr>
            </w:pPr>
            <w:r>
              <w:rPr>
                <w:rFonts w:ascii="Arial Unicode MS" w:hAnsi="Arial Unicode MS"/>
              </w:rPr>
              <w:t>0.</w:t>
            </w:r>
            <w:r>
              <w:rPr>
                <w:rFonts w:ascii="Arial Unicode MS" w:hAnsi="Arial Unicode MS" w:hint="eastAsia"/>
              </w:rPr>
              <w:t>05%</w:t>
            </w:r>
          </w:p>
        </w:tc>
      </w:tr>
      <w:tr w:rsidR="00A6605D" w14:paraId="78855444" w14:textId="77777777">
        <w:trPr>
          <w:cantSplit/>
          <w:trHeight w:val="272"/>
          <w:jc w:val="center"/>
        </w:trPr>
        <w:tc>
          <w:tcPr>
            <w:tcW w:w="3035" w:type="dxa"/>
            <w:tcMar>
              <w:top w:w="0" w:type="dxa"/>
              <w:left w:w="108" w:type="dxa"/>
              <w:bottom w:w="0" w:type="dxa"/>
              <w:right w:w="108" w:type="dxa"/>
            </w:tcMar>
          </w:tcPr>
          <w:p w14:paraId="7FCBDF96" w14:textId="77777777" w:rsidR="00A6605D" w:rsidRDefault="00413D7E">
            <w:pPr>
              <w:spacing w:line="360" w:lineRule="auto"/>
              <w:jc w:val="center"/>
              <w:rPr>
                <w:rFonts w:ascii="Arial Unicode MS" w:hAnsi="Arial Unicode MS" w:cs="宋体"/>
                <w:szCs w:val="21"/>
              </w:rPr>
            </w:pPr>
            <w:r>
              <w:rPr>
                <w:rFonts w:ascii="Arial Unicode MS" w:hAnsi="Arial Unicode MS" w:hint="eastAsia"/>
              </w:rPr>
              <w:t>Y</w:t>
            </w:r>
            <w:r>
              <w:rPr>
                <w:rFonts w:ascii="Arial Unicode MS" w:hAnsi="Arial Unicode MS" w:hint="eastAsia"/>
              </w:rPr>
              <w:t>≥</w:t>
            </w:r>
            <w:r>
              <w:rPr>
                <w:rFonts w:ascii="Arial Unicode MS" w:hAnsi="Arial Unicode MS" w:hint="eastAsia"/>
              </w:rPr>
              <w:t>3</w:t>
            </w:r>
            <w:r>
              <w:rPr>
                <w:rFonts w:ascii="Arial Unicode MS" w:hAnsi="Arial Unicode MS" w:hint="eastAsia"/>
              </w:rPr>
              <w:t>个月</w:t>
            </w:r>
          </w:p>
        </w:tc>
        <w:tc>
          <w:tcPr>
            <w:tcW w:w="1587" w:type="dxa"/>
            <w:tcMar>
              <w:top w:w="0" w:type="dxa"/>
              <w:left w:w="108" w:type="dxa"/>
              <w:bottom w:w="0" w:type="dxa"/>
              <w:right w:w="108" w:type="dxa"/>
            </w:tcMar>
          </w:tcPr>
          <w:p w14:paraId="4B4D88C9" w14:textId="77777777" w:rsidR="00A6605D" w:rsidRDefault="00413D7E">
            <w:pPr>
              <w:spacing w:line="360" w:lineRule="auto"/>
              <w:ind w:firstLine="420"/>
              <w:jc w:val="center"/>
              <w:rPr>
                <w:rFonts w:ascii="Arial Unicode MS" w:hAnsi="Arial Unicode MS" w:cs="宋体"/>
                <w:szCs w:val="21"/>
              </w:rPr>
            </w:pPr>
            <w:r>
              <w:rPr>
                <w:rFonts w:ascii="Arial Unicode MS" w:hAnsi="Arial Unicode MS" w:hint="eastAsia"/>
              </w:rPr>
              <w:t>0%</w:t>
            </w:r>
          </w:p>
        </w:tc>
      </w:tr>
    </w:tbl>
    <w:p w14:paraId="2DFEBF52" w14:textId="77777777" w:rsidR="00A6605D" w:rsidRDefault="00413D7E">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Pr>
          <w:rFonts w:ascii="Arial Unicode MS" w:hAnsi="Arial Unicode MS" w:cs="Tahoma" w:hint="eastAsia"/>
          <w:szCs w:val="21"/>
        </w:rPr>
        <w:t>天</w:t>
      </w:r>
    </w:p>
    <w:p w14:paraId="20FE8821" w14:textId="77777777" w:rsidR="00A6605D" w:rsidRDefault="00413D7E">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本基金的赎回费用由基金份额持有人承担，对持续持有期少于</w:t>
      </w:r>
      <w:r>
        <w:rPr>
          <w:rFonts w:ascii="Arial Unicode MS" w:hAnsi="Arial Unicode MS" w:cs="Tahoma" w:hint="eastAsia"/>
          <w:szCs w:val="21"/>
        </w:rPr>
        <w:t>7</w:t>
      </w:r>
      <w:r>
        <w:rPr>
          <w:rFonts w:ascii="Arial Unicode MS" w:hAnsi="Arial Unicode MS" w:cs="Tahoma" w:hint="eastAsia"/>
          <w:szCs w:val="21"/>
        </w:rPr>
        <w:t>日的投资人收取的赎回费全额计入基金财产，大于等于</w:t>
      </w:r>
      <w:r>
        <w:rPr>
          <w:rFonts w:ascii="Arial Unicode MS" w:hAnsi="Arial Unicode MS" w:cs="Tahoma" w:hint="eastAsia"/>
          <w:szCs w:val="21"/>
        </w:rPr>
        <w:t>7</w:t>
      </w:r>
      <w:r>
        <w:rPr>
          <w:rFonts w:ascii="Arial Unicode MS" w:hAnsi="Arial Unicode MS" w:cs="Tahoma" w:hint="eastAsia"/>
          <w:szCs w:val="21"/>
        </w:rPr>
        <w:t>日的将不低于</w:t>
      </w:r>
      <w:r>
        <w:rPr>
          <w:rFonts w:ascii="Arial Unicode MS" w:hAnsi="Arial Unicode MS" w:cs="Arial"/>
          <w:kern w:val="0"/>
          <w:szCs w:val="21"/>
        </w:rPr>
        <w:t>赎回费</w:t>
      </w:r>
      <w:r>
        <w:rPr>
          <w:rFonts w:ascii="Arial Unicode MS" w:hAnsi="Arial Unicode MS" w:cs="Tahoma" w:hint="eastAsia"/>
          <w:szCs w:val="21"/>
        </w:rPr>
        <w:t>总额的</w:t>
      </w:r>
      <w:r>
        <w:rPr>
          <w:rFonts w:ascii="Arial Unicode MS" w:hAnsi="Arial Unicode MS" w:cs="Arial"/>
          <w:kern w:val="0"/>
          <w:szCs w:val="21"/>
        </w:rPr>
        <w:t>25%</w:t>
      </w:r>
      <w:r>
        <w:rPr>
          <w:rFonts w:ascii="Arial Unicode MS" w:hAnsi="Arial Unicode MS" w:cs="Arial"/>
          <w:kern w:val="0"/>
          <w:szCs w:val="21"/>
        </w:rPr>
        <w:t>计入基金财产</w:t>
      </w:r>
      <w:r>
        <w:rPr>
          <w:rFonts w:ascii="Arial Unicode MS" w:hAnsi="Arial Unicode MS" w:cs="Tahoma"/>
          <w:szCs w:val="21"/>
        </w:rPr>
        <w:t>。</w:t>
      </w:r>
    </w:p>
    <w:p w14:paraId="5FB91D92" w14:textId="77777777" w:rsidR="00A6605D" w:rsidRDefault="00413D7E">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3</w:t>
      </w:r>
      <w:r>
        <w:rPr>
          <w:rFonts w:ascii="Arial Unicode MS" w:hAnsi="Arial Unicode MS" w:cs="Tahoma" w:hint="eastAsia"/>
          <w:szCs w:val="21"/>
        </w:rPr>
        <w:t>、基金管理人可以在基金合同约定的范围内调整费率或收费方式，并依照《信息披露办法》的有关规定进行公告。</w:t>
      </w:r>
    </w:p>
    <w:p w14:paraId="5BB06419" w14:textId="77777777" w:rsidR="00A6605D" w:rsidRDefault="00413D7E">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w:t>
      </w:r>
      <w:r>
        <w:rPr>
          <w:rFonts w:ascii="Arial Unicode MS" w:hAnsi="Arial Unicode MS" w:cs="Arial"/>
          <w:b/>
          <w:bCs/>
          <w:szCs w:val="21"/>
        </w:rPr>
        <w:t>、申购</w:t>
      </w:r>
      <w:r>
        <w:rPr>
          <w:rFonts w:ascii="Arial Unicode MS" w:hAnsi="Arial Unicode MS" w:cs="Arial" w:hint="eastAsia"/>
          <w:b/>
          <w:bCs/>
          <w:szCs w:val="21"/>
        </w:rPr>
        <w:t>份额</w:t>
      </w:r>
      <w:r>
        <w:rPr>
          <w:rFonts w:ascii="Arial Unicode MS" w:hAnsi="Arial Unicode MS" w:cs="Arial"/>
          <w:b/>
          <w:bCs/>
          <w:szCs w:val="21"/>
        </w:rPr>
        <w:t>与赎回金额的计算方式</w:t>
      </w:r>
    </w:p>
    <w:p w14:paraId="18FCE8CD"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申购份额的计算方式：</w:t>
      </w:r>
    </w:p>
    <w:p w14:paraId="397BD285"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）申购费用适用比例费率的情形下：</w:t>
      </w:r>
    </w:p>
    <w:p w14:paraId="5E480E2F"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申购费率）</w:t>
      </w:r>
    </w:p>
    <w:p w14:paraId="0D550110"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净申购金额</w:t>
      </w:r>
    </w:p>
    <w:p w14:paraId="11166A14"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申购份额</w:t>
      </w:r>
      <w:r>
        <w:rPr>
          <w:rFonts w:ascii="Arial Unicode MS" w:hAnsi="Arial Unicode MS" w:cs="Arial" w:hint="eastAsia"/>
          <w:szCs w:val="21"/>
        </w:rPr>
        <w:t>=</w:t>
      </w:r>
      <w:r>
        <w:rPr>
          <w:rFonts w:ascii="Arial Unicode MS" w:hAnsi="Arial Unicode MS" w:cs="Arial" w:hint="eastAsia"/>
          <w:szCs w:val="21"/>
        </w:rPr>
        <w:t>净申购金额</w:t>
      </w:r>
      <w:r>
        <w:rPr>
          <w:rFonts w:ascii="Arial Unicode MS" w:hAnsi="Arial Unicode MS" w:cs="Arial" w:hint="eastAsia"/>
          <w:szCs w:val="21"/>
        </w:rPr>
        <w:t>/T</w:t>
      </w:r>
      <w:r>
        <w:rPr>
          <w:rFonts w:ascii="Arial Unicode MS" w:hAnsi="Arial Unicode MS" w:cs="Arial" w:hint="eastAsia"/>
          <w:szCs w:val="21"/>
        </w:rPr>
        <w:t>日基金份额净值</w:t>
      </w:r>
    </w:p>
    <w:p w14:paraId="23F03BA3"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）申购费用适用固定金额的情形下：</w:t>
      </w:r>
    </w:p>
    <w:p w14:paraId="522CA2CC"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w:t>
      </w:r>
      <w:r>
        <w:rPr>
          <w:rFonts w:ascii="Arial Unicode MS" w:hAnsi="Arial Unicode MS" w:cs="Arial" w:hint="eastAsia"/>
          <w:szCs w:val="21"/>
        </w:rPr>
        <w:t>固定金额</w:t>
      </w:r>
    </w:p>
    <w:p w14:paraId="156E49FF"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固定金额</w:t>
      </w:r>
    </w:p>
    <w:p w14:paraId="431985F7"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申购份额</w:t>
      </w:r>
      <w:r>
        <w:rPr>
          <w:rFonts w:ascii="Arial Unicode MS" w:hAnsi="Arial Unicode MS" w:cs="Arial" w:hint="eastAsia"/>
          <w:szCs w:val="21"/>
        </w:rPr>
        <w:t>=</w:t>
      </w:r>
      <w:r>
        <w:rPr>
          <w:rFonts w:ascii="Arial Unicode MS" w:hAnsi="Arial Unicode MS" w:cs="Arial" w:hint="eastAsia"/>
          <w:szCs w:val="21"/>
        </w:rPr>
        <w:t>净申购金额</w:t>
      </w:r>
      <w:r>
        <w:rPr>
          <w:rFonts w:ascii="Arial Unicode MS" w:hAnsi="Arial Unicode MS" w:cs="Arial" w:hint="eastAsia"/>
          <w:szCs w:val="21"/>
        </w:rPr>
        <w:t>/T</w:t>
      </w:r>
      <w:r>
        <w:rPr>
          <w:rFonts w:ascii="Arial Unicode MS" w:hAnsi="Arial Unicode MS" w:cs="Arial" w:hint="eastAsia"/>
          <w:szCs w:val="21"/>
        </w:rPr>
        <w:t>日基金份额净值</w:t>
      </w:r>
    </w:p>
    <w:p w14:paraId="453535C3"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上述计算结果均按四舍五入方法，保留到小数点后</w:t>
      </w:r>
      <w:r>
        <w:rPr>
          <w:rFonts w:ascii="Arial Unicode MS" w:hAnsi="Arial Unicode MS" w:cs="Arial" w:hint="eastAsia"/>
          <w:szCs w:val="21"/>
        </w:rPr>
        <w:t>2</w:t>
      </w:r>
      <w:r>
        <w:rPr>
          <w:rFonts w:ascii="Arial Unicode MS" w:hAnsi="Arial Unicode MS" w:cs="Arial" w:hint="eastAsia"/>
          <w:szCs w:val="21"/>
        </w:rPr>
        <w:t>位，由此产生的收益或损失由基金财产承担。</w:t>
      </w:r>
    </w:p>
    <w:p w14:paraId="255C5C4C"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例</w:t>
      </w:r>
      <w:r>
        <w:rPr>
          <w:rFonts w:ascii="Arial Unicode MS" w:hAnsi="Arial Unicode MS" w:cs="Arial" w:hint="eastAsia"/>
          <w:szCs w:val="21"/>
        </w:rPr>
        <w:t>3</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日基金份额净值为</w:t>
      </w:r>
      <w:r>
        <w:rPr>
          <w:rFonts w:ascii="Arial Unicode MS" w:hAnsi="Arial Unicode MS" w:cs="Arial" w:hint="eastAsia"/>
          <w:szCs w:val="21"/>
        </w:rPr>
        <w:t>1.0560</w:t>
      </w:r>
      <w:r>
        <w:rPr>
          <w:rFonts w:ascii="Arial Unicode MS" w:hAnsi="Arial Unicode MS" w:cs="Arial" w:hint="eastAsia"/>
          <w:szCs w:val="21"/>
        </w:rPr>
        <w:t>元，某投资人本次申购本基金</w:t>
      </w:r>
      <w:r>
        <w:rPr>
          <w:rFonts w:ascii="Arial Unicode MS" w:hAnsi="Arial Unicode MS" w:cs="Arial" w:hint="eastAsia"/>
          <w:szCs w:val="21"/>
        </w:rPr>
        <w:t>40</w:t>
      </w:r>
      <w:r>
        <w:rPr>
          <w:rFonts w:ascii="Arial Unicode MS" w:hAnsi="Arial Unicode MS" w:cs="Arial" w:hint="eastAsia"/>
          <w:szCs w:val="21"/>
        </w:rPr>
        <w:t>万元，对应的本次申购费率为</w:t>
      </w:r>
      <w:r>
        <w:rPr>
          <w:rFonts w:ascii="Arial Unicode MS" w:hAnsi="Arial Unicode MS" w:cs="Arial" w:hint="eastAsia"/>
          <w:szCs w:val="21"/>
        </w:rPr>
        <w:t>0.80%</w:t>
      </w:r>
      <w:r>
        <w:rPr>
          <w:rFonts w:ascii="Arial Unicode MS" w:hAnsi="Arial Unicode MS" w:cs="Arial" w:hint="eastAsia"/>
          <w:szCs w:val="21"/>
        </w:rPr>
        <w:t>，该投资人可得到的基金份额为：</w:t>
      </w:r>
    </w:p>
    <w:p w14:paraId="634D9D02"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=400,000/</w:t>
      </w:r>
      <w:r>
        <w:rPr>
          <w:rFonts w:ascii="Arial Unicode MS" w:hAnsi="Arial Unicode MS" w:cs="Arial" w:hint="eastAsia"/>
          <w:szCs w:val="21"/>
        </w:rPr>
        <w:t>（</w:t>
      </w:r>
      <w:r>
        <w:rPr>
          <w:rFonts w:ascii="Arial Unicode MS" w:hAnsi="Arial Unicode MS" w:cs="Arial" w:hint="eastAsia"/>
          <w:szCs w:val="21"/>
        </w:rPr>
        <w:t>1+0.80%</w:t>
      </w:r>
      <w:r>
        <w:rPr>
          <w:rFonts w:ascii="Arial Unicode MS" w:hAnsi="Arial Unicode MS" w:cs="Arial" w:hint="eastAsia"/>
          <w:szCs w:val="21"/>
        </w:rPr>
        <w:t>）＝</w:t>
      </w:r>
      <w:r>
        <w:rPr>
          <w:rFonts w:ascii="Arial Unicode MS" w:hAnsi="Arial Unicode MS" w:cs="Arial" w:hint="eastAsia"/>
          <w:szCs w:val="21"/>
        </w:rPr>
        <w:t>396,825.40</w:t>
      </w:r>
      <w:r>
        <w:rPr>
          <w:rFonts w:ascii="Arial Unicode MS" w:hAnsi="Arial Unicode MS" w:cs="Arial" w:hint="eastAsia"/>
          <w:szCs w:val="21"/>
        </w:rPr>
        <w:t>元</w:t>
      </w:r>
    </w:p>
    <w:p w14:paraId="338D47EB"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=400,000-396,825.40</w:t>
      </w:r>
      <w:r>
        <w:rPr>
          <w:rFonts w:ascii="Arial Unicode MS" w:hAnsi="Arial Unicode MS" w:cs="Arial" w:hint="eastAsia"/>
          <w:szCs w:val="21"/>
        </w:rPr>
        <w:t>＝</w:t>
      </w:r>
      <w:r>
        <w:rPr>
          <w:rFonts w:ascii="Arial Unicode MS" w:hAnsi="Arial Unicode MS" w:cs="Arial" w:hint="eastAsia"/>
          <w:szCs w:val="21"/>
        </w:rPr>
        <w:t>3,174.60</w:t>
      </w:r>
      <w:r>
        <w:rPr>
          <w:rFonts w:ascii="Arial Unicode MS" w:hAnsi="Arial Unicode MS" w:cs="Arial" w:hint="eastAsia"/>
          <w:szCs w:val="21"/>
        </w:rPr>
        <w:t>元</w:t>
      </w:r>
    </w:p>
    <w:p w14:paraId="4E0CD551"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申购份额</w:t>
      </w:r>
      <w:r>
        <w:rPr>
          <w:rFonts w:ascii="Arial Unicode MS" w:hAnsi="Arial Unicode MS" w:cs="Arial" w:hint="eastAsia"/>
          <w:szCs w:val="21"/>
        </w:rPr>
        <w:t>=396,825.40/1.0560</w:t>
      </w:r>
      <w:r>
        <w:rPr>
          <w:rFonts w:ascii="Arial Unicode MS" w:hAnsi="Arial Unicode MS" w:cs="Arial" w:hint="eastAsia"/>
          <w:szCs w:val="21"/>
        </w:rPr>
        <w:t>＝</w:t>
      </w:r>
      <w:r>
        <w:rPr>
          <w:rFonts w:ascii="Arial Unicode MS" w:hAnsi="Arial Unicode MS" w:cs="Arial" w:hint="eastAsia"/>
          <w:szCs w:val="21"/>
        </w:rPr>
        <w:t>375,781.63</w:t>
      </w:r>
      <w:r>
        <w:rPr>
          <w:rFonts w:ascii="Arial Unicode MS" w:hAnsi="Arial Unicode MS" w:cs="Arial" w:hint="eastAsia"/>
          <w:szCs w:val="21"/>
        </w:rPr>
        <w:t>份</w:t>
      </w:r>
    </w:p>
    <w:p w14:paraId="5D60612F"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即：投资人投资</w:t>
      </w:r>
      <w:r>
        <w:rPr>
          <w:rFonts w:ascii="Arial Unicode MS" w:hAnsi="Arial Unicode MS" w:cs="Arial" w:hint="eastAsia"/>
          <w:szCs w:val="21"/>
        </w:rPr>
        <w:t>40</w:t>
      </w:r>
      <w:r>
        <w:rPr>
          <w:rFonts w:ascii="Arial Unicode MS" w:hAnsi="Arial Unicode MS" w:cs="Arial" w:hint="eastAsia"/>
          <w:szCs w:val="21"/>
        </w:rPr>
        <w:t>万元申购本基金，对应的申购费率为</w:t>
      </w:r>
      <w:r>
        <w:rPr>
          <w:rFonts w:ascii="Arial Unicode MS" w:hAnsi="Arial Unicode MS" w:cs="Arial" w:hint="eastAsia"/>
          <w:szCs w:val="21"/>
        </w:rPr>
        <w:t>0.80%</w:t>
      </w:r>
      <w:r>
        <w:rPr>
          <w:rFonts w:ascii="Arial Unicode MS" w:hAnsi="Arial Unicode MS" w:cs="Arial" w:hint="eastAsia"/>
          <w:szCs w:val="21"/>
        </w:rPr>
        <w:t>，假定申购当日基金份额净值为</w:t>
      </w:r>
      <w:r>
        <w:rPr>
          <w:rFonts w:ascii="Arial Unicode MS" w:hAnsi="Arial Unicode MS" w:cs="Arial" w:hint="eastAsia"/>
          <w:szCs w:val="21"/>
        </w:rPr>
        <w:t>1.0560</w:t>
      </w:r>
      <w:r>
        <w:rPr>
          <w:rFonts w:ascii="Arial Unicode MS" w:hAnsi="Arial Unicode MS" w:cs="Arial" w:hint="eastAsia"/>
          <w:szCs w:val="21"/>
        </w:rPr>
        <w:t>元，可得到</w:t>
      </w:r>
      <w:r>
        <w:rPr>
          <w:rFonts w:ascii="Arial Unicode MS" w:hAnsi="Arial Unicode MS" w:cs="Arial" w:hint="eastAsia"/>
          <w:szCs w:val="21"/>
        </w:rPr>
        <w:t>375,781.63</w:t>
      </w:r>
      <w:r>
        <w:rPr>
          <w:rFonts w:ascii="Arial Unicode MS" w:hAnsi="Arial Unicode MS" w:cs="Arial" w:hint="eastAsia"/>
          <w:szCs w:val="21"/>
        </w:rPr>
        <w:t>份基金份额。</w:t>
      </w:r>
    </w:p>
    <w:p w14:paraId="557D4355"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例</w:t>
      </w:r>
      <w:r>
        <w:rPr>
          <w:rFonts w:ascii="Arial Unicode MS" w:hAnsi="Arial Unicode MS" w:cs="Arial" w:hint="eastAsia"/>
          <w:szCs w:val="21"/>
        </w:rPr>
        <w:t>4</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日基金份额净值为</w:t>
      </w:r>
      <w:r>
        <w:rPr>
          <w:rFonts w:ascii="Arial Unicode MS" w:hAnsi="Arial Unicode MS" w:cs="Arial" w:hint="eastAsia"/>
          <w:szCs w:val="21"/>
        </w:rPr>
        <w:t>1.0560</w:t>
      </w:r>
      <w:r>
        <w:rPr>
          <w:rFonts w:ascii="Arial Unicode MS" w:hAnsi="Arial Unicode MS" w:cs="Arial" w:hint="eastAsia"/>
          <w:szCs w:val="21"/>
        </w:rPr>
        <w:t>元，某投资人投资</w:t>
      </w:r>
      <w:r>
        <w:rPr>
          <w:rFonts w:ascii="Arial Unicode MS" w:hAnsi="Arial Unicode MS" w:cs="Arial" w:hint="eastAsia"/>
          <w:szCs w:val="21"/>
        </w:rPr>
        <w:t>600</w:t>
      </w:r>
      <w:r>
        <w:rPr>
          <w:rFonts w:ascii="Arial Unicode MS" w:hAnsi="Arial Unicode MS" w:cs="Arial" w:hint="eastAsia"/>
          <w:szCs w:val="21"/>
        </w:rPr>
        <w:t>万元申购本基金，对应的申购费用为</w:t>
      </w:r>
      <w:r>
        <w:rPr>
          <w:rFonts w:ascii="Arial Unicode MS" w:hAnsi="Arial Unicode MS" w:cs="Arial" w:hint="eastAsia"/>
          <w:szCs w:val="21"/>
        </w:rPr>
        <w:t>1000</w:t>
      </w:r>
      <w:r>
        <w:rPr>
          <w:rFonts w:ascii="Arial Unicode MS" w:hAnsi="Arial Unicode MS" w:cs="Arial" w:hint="eastAsia"/>
          <w:szCs w:val="21"/>
        </w:rPr>
        <w:t>元，则其可得到的申购份额为：</w:t>
      </w:r>
    </w:p>
    <w:p w14:paraId="418CE600"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1000</w:t>
      </w:r>
      <w:r>
        <w:rPr>
          <w:rFonts w:ascii="Arial Unicode MS" w:hAnsi="Arial Unicode MS" w:cs="Arial" w:hint="eastAsia"/>
          <w:szCs w:val="21"/>
        </w:rPr>
        <w:t>元</w:t>
      </w:r>
    </w:p>
    <w:p w14:paraId="55606AD6"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6,000,000</w:t>
      </w:r>
      <w:r>
        <w:rPr>
          <w:rFonts w:ascii="Arial Unicode MS" w:hAnsi="Arial Unicode MS" w:cs="Arial" w:hint="eastAsia"/>
          <w:szCs w:val="21"/>
        </w:rPr>
        <w:t>－</w:t>
      </w:r>
      <w:r>
        <w:rPr>
          <w:rFonts w:ascii="Arial Unicode MS" w:hAnsi="Arial Unicode MS" w:cs="Arial" w:hint="eastAsia"/>
          <w:szCs w:val="21"/>
        </w:rPr>
        <w:t>1000</w:t>
      </w:r>
      <w:r>
        <w:rPr>
          <w:rFonts w:ascii="Arial Unicode MS" w:hAnsi="Arial Unicode MS" w:cs="Arial" w:hint="eastAsia"/>
          <w:szCs w:val="21"/>
        </w:rPr>
        <w:t>＝</w:t>
      </w:r>
      <w:r>
        <w:rPr>
          <w:rFonts w:ascii="Arial Unicode MS" w:hAnsi="Arial Unicode MS" w:cs="Arial" w:hint="eastAsia"/>
          <w:szCs w:val="21"/>
        </w:rPr>
        <w:t>5,999,000.00</w:t>
      </w:r>
      <w:r>
        <w:rPr>
          <w:rFonts w:ascii="Arial Unicode MS" w:hAnsi="Arial Unicode MS" w:cs="Arial" w:hint="eastAsia"/>
          <w:szCs w:val="21"/>
        </w:rPr>
        <w:t>元</w:t>
      </w:r>
    </w:p>
    <w:p w14:paraId="6EEF6F9A"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申购份额＝</w:t>
      </w:r>
      <w:r>
        <w:rPr>
          <w:rFonts w:ascii="Arial Unicode MS" w:hAnsi="Arial Unicode MS" w:cs="Arial" w:hint="eastAsia"/>
          <w:szCs w:val="21"/>
        </w:rPr>
        <w:t>5,999,000.00/1.0560</w:t>
      </w:r>
      <w:r>
        <w:rPr>
          <w:rFonts w:ascii="Arial Unicode MS" w:hAnsi="Arial Unicode MS" w:cs="Arial" w:hint="eastAsia"/>
          <w:szCs w:val="21"/>
        </w:rPr>
        <w:t>＝</w:t>
      </w:r>
      <w:r>
        <w:rPr>
          <w:rFonts w:ascii="Arial Unicode MS" w:hAnsi="Arial Unicode MS" w:cs="Arial" w:hint="eastAsia"/>
          <w:szCs w:val="21"/>
        </w:rPr>
        <w:t>5,680,871.21</w:t>
      </w:r>
      <w:r>
        <w:rPr>
          <w:rFonts w:ascii="Arial Unicode MS" w:hAnsi="Arial Unicode MS" w:cs="Arial" w:hint="eastAsia"/>
          <w:szCs w:val="21"/>
        </w:rPr>
        <w:t>份</w:t>
      </w:r>
    </w:p>
    <w:p w14:paraId="72995B4E"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即：投资人投资</w:t>
      </w:r>
      <w:r>
        <w:rPr>
          <w:rFonts w:ascii="Arial Unicode MS" w:hAnsi="Arial Unicode MS" w:cs="Arial" w:hint="eastAsia"/>
          <w:szCs w:val="21"/>
        </w:rPr>
        <w:t>600</w:t>
      </w:r>
      <w:r>
        <w:rPr>
          <w:rFonts w:ascii="Arial Unicode MS" w:hAnsi="Arial Unicode MS" w:cs="Arial" w:hint="eastAsia"/>
          <w:szCs w:val="21"/>
        </w:rPr>
        <w:t>万元申购本基金，对应的申购费用为</w:t>
      </w:r>
      <w:r>
        <w:rPr>
          <w:rFonts w:ascii="Arial Unicode MS" w:hAnsi="Arial Unicode MS" w:cs="Arial" w:hint="eastAsia"/>
          <w:szCs w:val="21"/>
        </w:rPr>
        <w:t>1000</w:t>
      </w:r>
      <w:r>
        <w:rPr>
          <w:rFonts w:ascii="Arial Unicode MS" w:hAnsi="Arial Unicode MS" w:cs="Arial" w:hint="eastAsia"/>
          <w:szCs w:val="21"/>
        </w:rPr>
        <w:t>元，假定申购当日基金份额净值为</w:t>
      </w:r>
      <w:r>
        <w:rPr>
          <w:rFonts w:ascii="Arial Unicode MS" w:hAnsi="Arial Unicode MS" w:cs="Arial" w:hint="eastAsia"/>
          <w:szCs w:val="21"/>
        </w:rPr>
        <w:t>1.0560</w:t>
      </w:r>
      <w:r>
        <w:rPr>
          <w:rFonts w:ascii="Arial Unicode MS" w:hAnsi="Arial Unicode MS" w:cs="Arial" w:hint="eastAsia"/>
          <w:szCs w:val="21"/>
        </w:rPr>
        <w:t>元，可得到</w:t>
      </w:r>
      <w:r>
        <w:rPr>
          <w:rFonts w:ascii="Arial Unicode MS" w:hAnsi="Arial Unicode MS" w:cs="Arial" w:hint="eastAsia"/>
          <w:szCs w:val="21"/>
        </w:rPr>
        <w:t>5,680,871.21</w:t>
      </w:r>
      <w:r>
        <w:rPr>
          <w:rFonts w:ascii="Arial Unicode MS" w:hAnsi="Arial Unicode MS" w:cs="Arial" w:hint="eastAsia"/>
          <w:szCs w:val="21"/>
        </w:rPr>
        <w:t>份基金份额。</w:t>
      </w:r>
    </w:p>
    <w:p w14:paraId="0050C2FD"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、赎回金额的计算方式：</w:t>
      </w:r>
    </w:p>
    <w:p w14:paraId="35551CEE"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赎回总金额</w:t>
      </w:r>
      <w:r>
        <w:rPr>
          <w:rFonts w:ascii="Arial Unicode MS" w:hAnsi="Arial Unicode MS" w:cs="Arial" w:hint="eastAsia"/>
          <w:szCs w:val="21"/>
        </w:rPr>
        <w:t>=</w:t>
      </w:r>
      <w:r>
        <w:rPr>
          <w:rFonts w:ascii="Arial Unicode MS" w:hAnsi="Arial Unicode MS" w:cs="Arial" w:hint="eastAsia"/>
          <w:szCs w:val="21"/>
        </w:rPr>
        <w:t>赎回份额×</w:t>
      </w:r>
      <w:r>
        <w:rPr>
          <w:rFonts w:ascii="Arial Unicode MS" w:hAnsi="Arial Unicode MS" w:cs="Arial" w:hint="eastAsia"/>
          <w:szCs w:val="21"/>
        </w:rPr>
        <w:t>T</w:t>
      </w:r>
      <w:r>
        <w:rPr>
          <w:rFonts w:ascii="Arial Unicode MS" w:hAnsi="Arial Unicode MS" w:cs="Arial" w:hint="eastAsia"/>
          <w:szCs w:val="21"/>
        </w:rPr>
        <w:t>日基金份额净值</w:t>
      </w:r>
    </w:p>
    <w:p w14:paraId="1D43B912"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赎回费用</w:t>
      </w:r>
      <w:r>
        <w:rPr>
          <w:rFonts w:ascii="Arial Unicode MS" w:hAnsi="Arial Unicode MS" w:cs="Arial" w:hint="eastAsia"/>
          <w:szCs w:val="21"/>
        </w:rPr>
        <w:t>=</w:t>
      </w:r>
      <w:r>
        <w:rPr>
          <w:rFonts w:ascii="Arial Unicode MS" w:hAnsi="Arial Unicode MS" w:cs="Arial" w:hint="eastAsia"/>
          <w:szCs w:val="21"/>
        </w:rPr>
        <w:t>赎回总金额×赎回费率</w:t>
      </w:r>
    </w:p>
    <w:p w14:paraId="4A1FAAE6"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赎回金额</w:t>
      </w:r>
      <w:r>
        <w:rPr>
          <w:rFonts w:ascii="Arial Unicode MS" w:hAnsi="Arial Unicode MS" w:cs="Arial" w:hint="eastAsia"/>
          <w:szCs w:val="21"/>
        </w:rPr>
        <w:t>=</w:t>
      </w:r>
      <w:r>
        <w:rPr>
          <w:rFonts w:ascii="Arial Unicode MS" w:hAnsi="Arial Unicode MS" w:cs="Arial" w:hint="eastAsia"/>
          <w:szCs w:val="21"/>
        </w:rPr>
        <w:t>赎回总金额—赎回费用</w:t>
      </w:r>
    </w:p>
    <w:p w14:paraId="3BEC1EB5"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上述计算结果均按四舍五入方法，保留到小数点后</w:t>
      </w:r>
      <w:r>
        <w:rPr>
          <w:rFonts w:ascii="Arial Unicode MS" w:hAnsi="Arial Unicode MS" w:cs="Arial" w:hint="eastAsia"/>
          <w:szCs w:val="21"/>
        </w:rPr>
        <w:t>2</w:t>
      </w:r>
      <w:r>
        <w:rPr>
          <w:rFonts w:ascii="Arial Unicode MS" w:hAnsi="Arial Unicode MS" w:cs="Arial" w:hint="eastAsia"/>
          <w:szCs w:val="21"/>
        </w:rPr>
        <w:t>位，由此产生的收益或损失由基金</w:t>
      </w:r>
      <w:r>
        <w:rPr>
          <w:rFonts w:ascii="Arial Unicode MS" w:hAnsi="Arial Unicode MS" w:cs="Arial" w:hint="eastAsia"/>
          <w:szCs w:val="21"/>
        </w:rPr>
        <w:lastRenderedPageBreak/>
        <w:t>财产承担。</w:t>
      </w:r>
    </w:p>
    <w:p w14:paraId="6C62E7D5"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例</w:t>
      </w:r>
      <w:r>
        <w:rPr>
          <w:rFonts w:ascii="Arial Unicode MS" w:hAnsi="Arial Unicode MS" w:cs="Arial" w:hint="eastAsia"/>
          <w:szCs w:val="21"/>
        </w:rPr>
        <w:t>5</w:t>
      </w:r>
      <w:r>
        <w:rPr>
          <w:rFonts w:ascii="Arial Unicode MS" w:hAnsi="Arial Unicode MS" w:cs="Arial" w:hint="eastAsia"/>
          <w:szCs w:val="21"/>
        </w:rPr>
        <w:t>：某投资者赎回本基金</w:t>
      </w:r>
      <w:r>
        <w:rPr>
          <w:rFonts w:ascii="Arial Unicode MS" w:hAnsi="Arial Unicode MS" w:cs="Arial" w:hint="eastAsia"/>
          <w:szCs w:val="21"/>
        </w:rPr>
        <w:t>1</w:t>
      </w:r>
      <w:r>
        <w:rPr>
          <w:rFonts w:ascii="Arial Unicode MS" w:hAnsi="Arial Unicode MS" w:cs="Arial" w:hint="eastAsia"/>
          <w:szCs w:val="21"/>
        </w:rPr>
        <w:t>万份基金份额，持有时间为三年，对应的赎回费率为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，假设赎回当日基金份额净值是</w:t>
      </w:r>
      <w:r>
        <w:rPr>
          <w:rFonts w:ascii="Arial Unicode MS" w:hAnsi="Arial Unicode MS" w:cs="Arial" w:hint="eastAsia"/>
          <w:szCs w:val="21"/>
        </w:rPr>
        <w:t xml:space="preserve">1.2500 </w:t>
      </w:r>
      <w:r>
        <w:rPr>
          <w:rFonts w:ascii="Arial Unicode MS" w:hAnsi="Arial Unicode MS" w:cs="Arial" w:hint="eastAsia"/>
          <w:szCs w:val="21"/>
        </w:rPr>
        <w:t>元，则其可得到的赎回金额为：</w:t>
      </w:r>
    </w:p>
    <w:p w14:paraId="2964CDAB"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赎回总金额</w:t>
      </w:r>
      <w:r>
        <w:rPr>
          <w:rFonts w:ascii="Arial Unicode MS" w:hAnsi="Arial Unicode MS" w:cs="Arial" w:hint="eastAsia"/>
          <w:szCs w:val="21"/>
        </w:rPr>
        <w:t>=10,000</w:t>
      </w:r>
      <w:r>
        <w:rPr>
          <w:rFonts w:ascii="Arial Unicode MS" w:hAnsi="Arial Unicode MS" w:cs="Arial" w:hint="eastAsia"/>
          <w:szCs w:val="21"/>
        </w:rPr>
        <w:t>×</w:t>
      </w:r>
      <w:r>
        <w:rPr>
          <w:rFonts w:ascii="Arial Unicode MS" w:hAnsi="Arial Unicode MS" w:cs="Arial" w:hint="eastAsia"/>
          <w:szCs w:val="21"/>
        </w:rPr>
        <w:t xml:space="preserve">1.2500=12,500.00 </w:t>
      </w:r>
      <w:r>
        <w:rPr>
          <w:rFonts w:ascii="Arial Unicode MS" w:hAnsi="Arial Unicode MS" w:cs="Arial" w:hint="eastAsia"/>
          <w:szCs w:val="21"/>
        </w:rPr>
        <w:t>元</w:t>
      </w:r>
    </w:p>
    <w:p w14:paraId="1B32D331"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赎回费用</w:t>
      </w:r>
      <w:r>
        <w:rPr>
          <w:rFonts w:ascii="Arial Unicode MS" w:hAnsi="Arial Unicode MS" w:cs="Arial" w:hint="eastAsia"/>
          <w:szCs w:val="21"/>
        </w:rPr>
        <w:t>=12,500</w:t>
      </w:r>
      <w:r>
        <w:rPr>
          <w:rFonts w:ascii="Arial Unicode MS" w:hAnsi="Arial Unicode MS" w:cs="Arial" w:hint="eastAsia"/>
          <w:szCs w:val="21"/>
        </w:rPr>
        <w:t>×</w:t>
      </w:r>
      <w:r>
        <w:rPr>
          <w:rFonts w:ascii="Arial Unicode MS" w:hAnsi="Arial Unicode MS" w:cs="Arial" w:hint="eastAsia"/>
          <w:szCs w:val="21"/>
        </w:rPr>
        <w:t xml:space="preserve">0%=0.00 </w:t>
      </w:r>
      <w:r>
        <w:rPr>
          <w:rFonts w:ascii="Arial Unicode MS" w:hAnsi="Arial Unicode MS" w:cs="Arial" w:hint="eastAsia"/>
          <w:szCs w:val="21"/>
        </w:rPr>
        <w:t>元</w:t>
      </w:r>
    </w:p>
    <w:p w14:paraId="07DCCFE0"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赎回金额</w:t>
      </w:r>
      <w:r>
        <w:rPr>
          <w:rFonts w:ascii="Arial Unicode MS" w:hAnsi="Arial Unicode MS" w:cs="Arial" w:hint="eastAsia"/>
          <w:szCs w:val="21"/>
        </w:rPr>
        <w:t xml:space="preserve">=12,500.00-0.00=12,500.00 </w:t>
      </w:r>
      <w:r>
        <w:rPr>
          <w:rFonts w:ascii="Arial Unicode MS" w:hAnsi="Arial Unicode MS" w:cs="Arial" w:hint="eastAsia"/>
          <w:szCs w:val="21"/>
        </w:rPr>
        <w:t>元</w:t>
      </w:r>
    </w:p>
    <w:p w14:paraId="3D1F8C62"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即：投资者赎回本基金</w:t>
      </w:r>
      <w:r>
        <w:rPr>
          <w:rFonts w:ascii="Arial Unicode MS" w:hAnsi="Arial Unicode MS" w:cs="Arial" w:hint="eastAsia"/>
          <w:szCs w:val="21"/>
        </w:rPr>
        <w:t>1</w:t>
      </w:r>
      <w:r>
        <w:rPr>
          <w:rFonts w:ascii="Arial Unicode MS" w:hAnsi="Arial Unicode MS" w:cs="Arial" w:hint="eastAsia"/>
          <w:szCs w:val="21"/>
        </w:rPr>
        <w:t>万份基金份额，持有时间为三年，对应的赎回费率为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，假设赎回当日基金份额净值是</w:t>
      </w:r>
      <w:r>
        <w:rPr>
          <w:rFonts w:ascii="Arial Unicode MS" w:hAnsi="Arial Unicode MS" w:cs="Arial" w:hint="eastAsia"/>
          <w:szCs w:val="21"/>
        </w:rPr>
        <w:t>1.2500</w:t>
      </w:r>
      <w:r>
        <w:rPr>
          <w:rFonts w:ascii="Arial Unicode MS" w:hAnsi="Arial Unicode MS" w:cs="Arial" w:hint="eastAsia"/>
          <w:szCs w:val="21"/>
        </w:rPr>
        <w:t>元，则其可得到的赎回金额为</w:t>
      </w:r>
      <w:r>
        <w:rPr>
          <w:rFonts w:ascii="Arial Unicode MS" w:hAnsi="Arial Unicode MS" w:cs="Arial" w:hint="eastAsia"/>
          <w:szCs w:val="21"/>
        </w:rPr>
        <w:t>12,500.00</w:t>
      </w:r>
      <w:r>
        <w:rPr>
          <w:rFonts w:ascii="Arial Unicode MS" w:hAnsi="Arial Unicode MS" w:cs="Arial" w:hint="eastAsia"/>
          <w:szCs w:val="21"/>
        </w:rPr>
        <w:t>元。</w:t>
      </w:r>
    </w:p>
    <w:p w14:paraId="7E59546E"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、本基金份额净值的计算，保留到小数点后</w:t>
      </w:r>
      <w:r>
        <w:rPr>
          <w:rFonts w:ascii="Arial Unicode MS" w:hAnsi="Arial Unicode MS" w:cs="Arial"/>
          <w:szCs w:val="21"/>
        </w:rPr>
        <w:t>4</w:t>
      </w:r>
      <w:r>
        <w:rPr>
          <w:rFonts w:ascii="Arial Unicode MS" w:hAnsi="Arial Unicode MS" w:cs="Arial" w:hint="eastAsia"/>
          <w:szCs w:val="21"/>
        </w:rPr>
        <w:t>位，小数点后第</w:t>
      </w:r>
      <w:r>
        <w:rPr>
          <w:rFonts w:ascii="Arial Unicode MS" w:hAnsi="Arial Unicode MS" w:cs="Arial"/>
          <w:szCs w:val="21"/>
        </w:rPr>
        <w:t>5</w:t>
      </w:r>
      <w:r>
        <w:rPr>
          <w:rFonts w:ascii="Arial Unicode MS" w:hAnsi="Arial Unicode MS" w:cs="Arial" w:hint="eastAsia"/>
          <w:szCs w:val="21"/>
        </w:rPr>
        <w:t>位四舍五入，由此产生的收益或损失由基金财产承担。</w:t>
      </w:r>
      <w:r>
        <w:rPr>
          <w:rFonts w:ascii="Arial Unicode MS" w:hAnsi="Arial Unicode MS" w:cs="Arial" w:hint="eastAsia"/>
          <w:szCs w:val="21"/>
        </w:rPr>
        <w:t>T</w:t>
      </w:r>
      <w:r>
        <w:rPr>
          <w:rFonts w:ascii="Arial Unicode MS" w:hAnsi="Arial Unicode MS" w:cs="Arial" w:hint="eastAsia"/>
          <w:szCs w:val="21"/>
        </w:rPr>
        <w:t>日的基金份额净值在当天收市后计算，并在</w:t>
      </w:r>
      <w:r>
        <w:rPr>
          <w:rFonts w:ascii="Arial Unicode MS" w:hAnsi="Arial Unicode MS" w:cs="Arial" w:hint="eastAsia"/>
          <w:szCs w:val="21"/>
        </w:rPr>
        <w:t>T+1</w:t>
      </w:r>
      <w:r>
        <w:rPr>
          <w:rFonts w:ascii="Arial Unicode MS" w:hAnsi="Arial Unicode MS" w:cs="Arial" w:hint="eastAsia"/>
          <w:szCs w:val="21"/>
        </w:rPr>
        <w:t>日内公告。遇特殊情况，经履行适当程序，可以适当延迟计算或公告。</w:t>
      </w:r>
    </w:p>
    <w:p w14:paraId="4408EF14"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并进行公告。</w:t>
      </w:r>
    </w:p>
    <w:p w14:paraId="25C8BA7E" w14:textId="77777777" w:rsidR="00A6605D" w:rsidRDefault="00413D7E">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八、申购与赎回的登记</w:t>
      </w:r>
    </w:p>
    <w:p w14:paraId="20A740A7"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、经基金销售机构同意，基金投资者提出的申购和赎回申请，在基金管理人规定的时间之前可以撤销。</w:t>
      </w:r>
    </w:p>
    <w:p w14:paraId="4B680814"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、投资者申购基金成功后，登记机构在</w:t>
      </w:r>
      <w:r>
        <w:rPr>
          <w:rFonts w:ascii="Arial Unicode MS" w:hAnsi="Arial Unicode MS" w:cs="Arial" w:hint="eastAsia"/>
          <w:szCs w:val="21"/>
        </w:rPr>
        <w:t>T+1</w:t>
      </w:r>
      <w:r>
        <w:rPr>
          <w:rFonts w:ascii="Arial Unicode MS" w:hAnsi="Arial Unicode MS" w:cs="Arial" w:hint="eastAsia"/>
          <w:szCs w:val="21"/>
        </w:rPr>
        <w:t>日为投资者登记权益并办理登记手续，投资人自</w:t>
      </w:r>
      <w:r>
        <w:rPr>
          <w:rFonts w:ascii="Arial Unicode MS" w:hAnsi="Arial Unicode MS" w:cs="Arial" w:hint="eastAsia"/>
          <w:szCs w:val="21"/>
        </w:rPr>
        <w:t>T+2</w:t>
      </w:r>
      <w:r>
        <w:rPr>
          <w:rFonts w:ascii="Arial Unicode MS" w:hAnsi="Arial Unicode MS" w:cs="Arial" w:hint="eastAsia"/>
          <w:szCs w:val="21"/>
        </w:rPr>
        <w:t>日（含该日）后有权赎回该部分基金份额。</w:t>
      </w:r>
    </w:p>
    <w:p w14:paraId="710AD70E"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、投资人赎回基金成功后，登记机构在</w:t>
      </w:r>
      <w:r>
        <w:rPr>
          <w:rFonts w:ascii="Arial Unicode MS" w:hAnsi="Arial Unicode MS" w:cs="Arial" w:hint="eastAsia"/>
          <w:szCs w:val="21"/>
        </w:rPr>
        <w:t>T+1</w:t>
      </w:r>
      <w:r>
        <w:rPr>
          <w:rFonts w:ascii="Arial Unicode MS" w:hAnsi="Arial Unicode MS" w:cs="Arial" w:hint="eastAsia"/>
          <w:szCs w:val="21"/>
        </w:rPr>
        <w:t>日为投资者办理扣除权益的登记手续。</w:t>
      </w:r>
    </w:p>
    <w:p w14:paraId="47E93496"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58934C1C" w14:textId="77777777" w:rsidR="00A6605D" w:rsidRDefault="00413D7E">
      <w:pPr>
        <w:adjustRightInd w:val="0"/>
        <w:snapToGrid w:val="0"/>
        <w:spacing w:line="360" w:lineRule="auto"/>
        <w:ind w:firstLineChars="200" w:firstLine="422"/>
        <w:rPr>
          <w:rFonts w:ascii="Arial Unicode MS" w:hAnsi="Arial Unicode MS"/>
          <w:b/>
          <w:bCs/>
          <w:szCs w:val="21"/>
        </w:rPr>
      </w:pPr>
      <w:r>
        <w:rPr>
          <w:rFonts w:ascii="Arial Unicode MS" w:hAnsi="Arial Unicode MS" w:hint="eastAsia"/>
          <w:b/>
          <w:bCs/>
          <w:szCs w:val="21"/>
        </w:rPr>
        <w:t>九</w:t>
      </w:r>
      <w:r>
        <w:rPr>
          <w:rFonts w:ascii="Arial Unicode MS" w:hAnsi="Arial Unicode MS"/>
          <w:b/>
          <w:bCs/>
          <w:szCs w:val="21"/>
        </w:rPr>
        <w:t>、拒绝或暂停申购的情形及处理</w:t>
      </w:r>
    </w:p>
    <w:p w14:paraId="25DBC469"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发生下列情况时，基金管理人可拒绝或暂停接受投资人的申购申请：</w:t>
      </w:r>
    </w:p>
    <w:p w14:paraId="7B0ABBBE"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、因不可抗力导致基金无法正常运作。</w:t>
      </w:r>
    </w:p>
    <w:p w14:paraId="65D172CA"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、发生基金合同规定的暂停基金资产估值情况时，基金管理人可暂停接受投资人的申</w:t>
      </w:r>
      <w:r>
        <w:rPr>
          <w:rFonts w:ascii="Arial Unicode MS" w:hAnsi="Arial Unicode MS" w:cs="Arial" w:hint="eastAsia"/>
          <w:bCs/>
          <w:szCs w:val="21"/>
        </w:rPr>
        <w:lastRenderedPageBreak/>
        <w:t>购申请。</w:t>
      </w:r>
    </w:p>
    <w:p w14:paraId="2F2D9882"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、证券交易所交易时间非正常停市，导致基金管理人无法计算当日基金资产净值。</w:t>
      </w:r>
    </w:p>
    <w:p w14:paraId="03408700"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、基金管理人接受某笔或某些申购申请可能会影响或损害现有基金份额持有人利益时。</w:t>
      </w:r>
    </w:p>
    <w:p w14:paraId="5D87C152"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3C105B15"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、基金管理人、基金托管人、基金销售机构或登记机构的异常情况导致基金销售系统、基金登记系统或基金会计系统无法正常运行。</w:t>
      </w:r>
    </w:p>
    <w:p w14:paraId="5A82FB83"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、基金管理人接受某笔或者某些申购申请有可能导致单一投资者持有基金份额的比例达到或者超过</w:t>
      </w:r>
      <w:r>
        <w:rPr>
          <w:rFonts w:ascii="Arial Unicode MS" w:hAnsi="Arial Unicode MS" w:cs="Arial" w:hint="eastAsia"/>
          <w:bCs/>
          <w:szCs w:val="21"/>
        </w:rPr>
        <w:t>50%</w:t>
      </w:r>
      <w:r>
        <w:rPr>
          <w:rFonts w:ascii="Arial Unicode MS" w:hAnsi="Arial Unicode MS" w:cs="Arial" w:hint="eastAsia"/>
          <w:bCs/>
          <w:szCs w:val="21"/>
        </w:rPr>
        <w:t>，或者变相规避</w:t>
      </w:r>
      <w:r>
        <w:rPr>
          <w:rFonts w:ascii="Arial Unicode MS" w:hAnsi="Arial Unicode MS" w:cs="Arial" w:hint="eastAsia"/>
          <w:bCs/>
          <w:szCs w:val="21"/>
        </w:rPr>
        <w:t>50%</w:t>
      </w:r>
      <w:r>
        <w:rPr>
          <w:rFonts w:ascii="Arial Unicode MS" w:hAnsi="Arial Unicode MS" w:cs="Arial" w:hint="eastAsia"/>
          <w:bCs/>
          <w:szCs w:val="21"/>
        </w:rPr>
        <w:t>集中度的情形时。</w:t>
      </w:r>
    </w:p>
    <w:p w14:paraId="6DF7A3FC"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、当前一估值日基金资产净值</w:t>
      </w:r>
      <w:r>
        <w:rPr>
          <w:rFonts w:ascii="Arial Unicode MS" w:hAnsi="Arial Unicode MS" w:cs="Arial" w:hint="eastAsia"/>
          <w:bCs/>
          <w:szCs w:val="21"/>
        </w:rPr>
        <w:t>50%</w:t>
      </w:r>
      <w:r>
        <w:rPr>
          <w:rFonts w:ascii="Arial Unicode MS" w:hAnsi="Arial Unicode MS" w:cs="Arial" w:hint="eastAsia"/>
          <w:bCs/>
          <w:szCs w:val="21"/>
        </w:rPr>
        <w:t>以上的资产出现无可参考的活跃市场价格且采用估值技术仍导致公允价值存在重大不确定性时，经与基金托管人协商确认后，基金管理人应当暂停基金估值并采取暂停接受基金申购申请的措施。</w:t>
      </w:r>
    </w:p>
    <w:p w14:paraId="505ADAC1"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、法律法规规定或中国证监会认定的其他情形。</w:t>
      </w:r>
    </w:p>
    <w:p w14:paraId="488700A5"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发生上述第</w:t>
      </w:r>
      <w:r>
        <w:rPr>
          <w:rFonts w:ascii="Arial Unicode MS" w:hAnsi="Arial Unicode MS" w:cs="Arial" w:hint="eastAsia"/>
          <w:bCs/>
          <w:szCs w:val="21"/>
        </w:rPr>
        <w:t>1</w:t>
      </w: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w:t>
      </w:r>
      <w:r>
        <w:rPr>
          <w:rFonts w:ascii="Arial Unicode MS" w:hAnsi="Arial Unicode MS" w:cs="Arial" w:hint="eastAsia"/>
          <w:bCs/>
          <w:szCs w:val="21"/>
        </w:rPr>
        <w:t>6</w:t>
      </w:r>
      <w:r>
        <w:rPr>
          <w:rFonts w:ascii="Arial Unicode MS" w:hAnsi="Arial Unicode MS" w:cs="Arial" w:hint="eastAsia"/>
          <w:bCs/>
          <w:szCs w:val="21"/>
        </w:rPr>
        <w:t>、</w:t>
      </w:r>
      <w:r>
        <w:rPr>
          <w:rFonts w:ascii="Arial Unicode MS" w:hAnsi="Arial Unicode MS" w:cs="Arial" w:hint="eastAsia"/>
          <w:bCs/>
          <w:szCs w:val="21"/>
        </w:rPr>
        <w:t>8</w:t>
      </w:r>
      <w:r>
        <w:rPr>
          <w:rFonts w:ascii="Arial Unicode MS" w:hAnsi="Arial Unicode MS" w:cs="Arial" w:hint="eastAsia"/>
          <w:bCs/>
          <w:szCs w:val="21"/>
        </w:rPr>
        <w:t>、</w:t>
      </w:r>
      <w:r>
        <w:rPr>
          <w:rFonts w:ascii="Arial Unicode MS" w:hAnsi="Arial Unicode MS" w:cs="Arial" w:hint="eastAsia"/>
          <w:bCs/>
          <w:szCs w:val="21"/>
        </w:rPr>
        <w:t>9</w:t>
      </w:r>
      <w:r>
        <w:rPr>
          <w:rFonts w:ascii="Arial Unicode MS" w:hAnsi="Arial Unicode MS" w:cs="Arial" w:hint="eastAsia"/>
          <w:bCs/>
          <w:szCs w:val="21"/>
        </w:rPr>
        <w:t>项暂停申购情形之一且基金管理人决定暂停申购申请时，基金管理人应当根据有关规定进行公告。如果投资人的申购申请被拒绝，被拒绝的申购款项将退还给投资人。在暂停申购的情况消除时，基金管理人应及时恢复申购业务的办理。</w:t>
      </w:r>
    </w:p>
    <w:p w14:paraId="7E308E4F" w14:textId="77777777" w:rsidR="00A6605D" w:rsidRDefault="00413D7E">
      <w:pPr>
        <w:adjustRightInd w:val="0"/>
        <w:snapToGrid w:val="0"/>
        <w:spacing w:line="360" w:lineRule="auto"/>
        <w:ind w:firstLineChars="200" w:firstLine="422"/>
        <w:rPr>
          <w:rFonts w:ascii="Arial Unicode MS" w:hAnsi="Arial Unicode MS"/>
          <w:b/>
        </w:rPr>
      </w:pPr>
      <w:bookmarkStart w:id="50" w:name="_Hlt70481650"/>
      <w:bookmarkEnd w:id="50"/>
      <w:r>
        <w:rPr>
          <w:rFonts w:ascii="Arial Unicode MS" w:hAnsi="Arial Unicode MS" w:hint="eastAsia"/>
          <w:b/>
          <w:bCs/>
          <w:szCs w:val="21"/>
        </w:rPr>
        <w:t>十</w:t>
      </w:r>
      <w:r>
        <w:rPr>
          <w:rFonts w:ascii="Arial Unicode MS" w:hAnsi="Arial Unicode MS"/>
          <w:b/>
          <w:bCs/>
          <w:szCs w:val="21"/>
        </w:rPr>
        <w:t>、</w:t>
      </w:r>
      <w:r>
        <w:rPr>
          <w:rFonts w:ascii="Arial Unicode MS" w:hAnsi="Arial Unicode MS" w:hint="eastAsia"/>
          <w:b/>
          <w:bCs/>
          <w:szCs w:val="21"/>
        </w:rPr>
        <w:t>暂停赎回或延缓支付赎回款项的情形</w:t>
      </w:r>
      <w:r>
        <w:rPr>
          <w:rFonts w:ascii="Arial Unicode MS" w:hAnsi="Arial Unicode MS" w:hint="eastAsia"/>
          <w:b/>
          <w:bCs/>
          <w:szCs w:val="21"/>
        </w:rPr>
        <w:t xml:space="preserve"> </w:t>
      </w:r>
      <w:r>
        <w:rPr>
          <w:rFonts w:ascii="Arial Unicode MS" w:hAnsi="Arial Unicode MS" w:cs="Arial" w:hint="eastAsia"/>
          <w:b/>
          <w:bCs/>
          <w:szCs w:val="21"/>
        </w:rPr>
        <w:t xml:space="preserve"> </w:t>
      </w:r>
    </w:p>
    <w:p w14:paraId="27D05AC5"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发生下列情形时，基金管理人可暂停接受投资人的赎回申请或延缓支付赎回款项：</w:t>
      </w:r>
    </w:p>
    <w:p w14:paraId="7F370AF5"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、因不可抗力导致基金管理人不能支付赎回款项。</w:t>
      </w:r>
    </w:p>
    <w:p w14:paraId="7DAC5F92"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、发生基金合同规定的暂停基金资产估值情况时，基金管理人可暂停接受投资人的赎回申请或延缓支付赎回款项。</w:t>
      </w:r>
    </w:p>
    <w:p w14:paraId="58DB6CEF"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、证券交易所交易时间非正常停市，导致基金管理人无法计算当日基金资产净值。</w:t>
      </w:r>
    </w:p>
    <w:p w14:paraId="74EEE144"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、连续两个或两个以上开放日发生巨额赎回。</w:t>
      </w:r>
    </w:p>
    <w:p w14:paraId="0B44E2BF"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、发生继续接受赎回申请将损害现有基金份额持有人利益的情形时，基金管理人可暂停接受投资人的赎回申请。</w:t>
      </w:r>
    </w:p>
    <w:p w14:paraId="6CBB625F"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、当前一估值日基金资产净值</w:t>
      </w:r>
      <w:r>
        <w:rPr>
          <w:rFonts w:ascii="Arial Unicode MS" w:hAnsi="Arial Unicode MS" w:hint="eastAsia"/>
          <w:bCs/>
          <w:szCs w:val="21"/>
        </w:rPr>
        <w:t>50%</w:t>
      </w:r>
      <w:r>
        <w:rPr>
          <w:rFonts w:ascii="Arial Unicode MS" w:hAnsi="Arial Unicode MS" w:hint="eastAsia"/>
          <w:bCs/>
          <w:szCs w:val="21"/>
        </w:rPr>
        <w:t>以上的资产出现无可参考的活跃市场价格且采用估值技术仍导致公允价值存在重大不确定性时，经与基金托管人协商确认后，基金管理人应当暂停基金估值，并采取延缓支付赎回款项或暂停接受基金赎回申请的措施。</w:t>
      </w:r>
    </w:p>
    <w:p w14:paraId="6BB9BE0F"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、法律法规规定或中国证监会认定的其他情形。</w:t>
      </w:r>
    </w:p>
    <w:p w14:paraId="4FBD46DA"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lastRenderedPageBreak/>
        <w:t>发生上述情形之一且基金管理人决定拒绝接受或暂停接受基金份额持有人的赎回申请时，基金管理人应在当日报中国证监会备案，已确认的赎回申请，基金管理人应足额支付；如暂时不能足额支付，未支付部分可延期支付。若出现上述第</w:t>
      </w:r>
      <w:r>
        <w:rPr>
          <w:rFonts w:ascii="Arial Unicode MS" w:hAnsi="Arial Unicode MS" w:hint="eastAsia"/>
          <w:bCs/>
          <w:szCs w:val="21"/>
        </w:rPr>
        <w:t>4</w:t>
      </w:r>
      <w:r>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2B53E759"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十一、</w:t>
      </w:r>
      <w:r>
        <w:rPr>
          <w:rFonts w:ascii="Arial Unicode MS" w:hAnsi="Arial Unicode MS"/>
          <w:b/>
          <w:bCs/>
          <w:szCs w:val="21"/>
        </w:rPr>
        <w:t>巨额赎回的情形及处理方式</w:t>
      </w:r>
    </w:p>
    <w:p w14:paraId="4CDF061E"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、巨额赎回的认定</w:t>
      </w:r>
    </w:p>
    <w:p w14:paraId="22FA7D00"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若本基金单个开放日内的基金份额净赎回申请</w:t>
      </w:r>
      <w:r>
        <w:rPr>
          <w:rFonts w:ascii="Arial Unicode MS" w:hAnsi="Arial Unicode MS" w:hint="eastAsia"/>
          <w:bCs/>
          <w:szCs w:val="21"/>
        </w:rPr>
        <w:t>(</w:t>
      </w:r>
      <w:r>
        <w:rPr>
          <w:rFonts w:ascii="Arial Unicode MS" w:hAnsi="Arial Unicode MS" w:hint="eastAsia"/>
          <w:bCs/>
          <w:szCs w:val="21"/>
        </w:rPr>
        <w:t>赎回申请份额总数加上基金转换中转出申请份额总数后扣除申购申请份额总数及基金转换中转入申请份额总数后的余额</w:t>
      </w:r>
      <w:r>
        <w:rPr>
          <w:rFonts w:ascii="Arial Unicode MS" w:hAnsi="Arial Unicode MS" w:hint="eastAsia"/>
          <w:bCs/>
          <w:szCs w:val="21"/>
        </w:rPr>
        <w:t>)</w:t>
      </w:r>
      <w:r>
        <w:rPr>
          <w:rFonts w:ascii="Arial Unicode MS" w:hAnsi="Arial Unicode MS" w:hint="eastAsia"/>
          <w:bCs/>
          <w:szCs w:val="21"/>
        </w:rPr>
        <w:t>超过前一开放日的基金总份额的</w:t>
      </w:r>
      <w:r>
        <w:rPr>
          <w:rFonts w:ascii="Arial Unicode MS" w:hAnsi="Arial Unicode MS" w:hint="eastAsia"/>
          <w:bCs/>
          <w:szCs w:val="21"/>
        </w:rPr>
        <w:t>10%</w:t>
      </w:r>
      <w:r>
        <w:rPr>
          <w:rFonts w:ascii="Arial Unicode MS" w:hAnsi="Arial Unicode MS" w:hint="eastAsia"/>
          <w:bCs/>
          <w:szCs w:val="21"/>
        </w:rPr>
        <w:t>，即认为是发生了巨额赎回。</w:t>
      </w:r>
    </w:p>
    <w:p w14:paraId="7E9A2324"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、巨额赎回的处理方式</w:t>
      </w:r>
    </w:p>
    <w:p w14:paraId="7A431A7B"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当基金出现巨额赎回时，基金管理人可以根据基金当时的资产组合状况决定全额赎回或部分延期赎回。</w:t>
      </w:r>
    </w:p>
    <w:p w14:paraId="7B5BCB01"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）全额赎回：当基金管理人认为有能力支付投资人的全部赎回申请时，按正常赎回程序执行。</w:t>
      </w:r>
    </w:p>
    <w:p w14:paraId="0B87DBFA"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Pr>
          <w:rFonts w:ascii="Arial Unicode MS" w:hAnsi="Arial Unicode MS" w:hint="eastAsia"/>
          <w:bCs/>
          <w:szCs w:val="21"/>
        </w:rPr>
        <w:t>10%</w:t>
      </w:r>
      <w:r>
        <w:rPr>
          <w:rFonts w:ascii="Arial Unicode MS" w:hAnsi="Arial Unicode MS" w:hint="eastAsia"/>
          <w:bCs/>
          <w:szCs w:val="21"/>
        </w:rPr>
        <w:t>的前提下，可对其余赎回申请延期办理。</w:t>
      </w:r>
    </w:p>
    <w:p w14:paraId="760ECDF9"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当发生巨额赎回时，对于单个基金份额持有人当日赎回申请超过上一开放日基金总份额</w:t>
      </w:r>
      <w:r>
        <w:rPr>
          <w:rFonts w:ascii="Arial Unicode MS" w:hAnsi="Arial Unicode MS" w:hint="eastAsia"/>
          <w:bCs/>
          <w:szCs w:val="21"/>
        </w:rPr>
        <w:t xml:space="preserve"> 50%</w:t>
      </w:r>
      <w:r>
        <w:rPr>
          <w:rFonts w:ascii="Arial Unicode MS" w:hAnsi="Arial Unicode MS" w:hint="eastAsia"/>
          <w:bCs/>
          <w:szCs w:val="21"/>
        </w:rPr>
        <w:t>以上的部分，基金管理人应当进行延期办理。对于其余当日非自动延期办理的赎回申请，应当按单个账户非自动延期办理的赎回申请量占非自动延期办理的赎回申请总量的比例，</w:t>
      </w:r>
      <w:r>
        <w:rPr>
          <w:rFonts w:ascii="Arial Unicode MS" w:hAnsi="Arial Unicode MS" w:hint="eastAsia"/>
          <w:bCs/>
          <w:szCs w:val="21"/>
        </w:rPr>
        <w:t xml:space="preserve"> </w:t>
      </w:r>
      <w:r>
        <w:rPr>
          <w:rFonts w:ascii="Arial Unicode MS" w:hAnsi="Arial Unicode MS" w:hint="eastAsia"/>
          <w:bCs/>
          <w:szCs w:val="21"/>
        </w:rPr>
        <w:t>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基金份额净值为基础计算赎回金额，以此类推，直到全部赎回为止。如投资人在提交赎回申请时未作明确选择，投资人未能赎回部分作自动延期赎回处理。</w:t>
      </w:r>
    </w:p>
    <w:p w14:paraId="3100C697"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）暂停赎回：连续</w:t>
      </w:r>
      <w:r>
        <w:rPr>
          <w:rFonts w:ascii="Arial Unicode MS" w:hAnsi="Arial Unicode MS" w:hint="eastAsia"/>
          <w:bCs/>
          <w:szCs w:val="21"/>
        </w:rPr>
        <w:t>2</w:t>
      </w:r>
      <w:r>
        <w:rPr>
          <w:rFonts w:ascii="Arial Unicode MS" w:hAnsi="Arial Unicode MS" w:hint="eastAsia"/>
          <w:bCs/>
          <w:szCs w:val="21"/>
        </w:rPr>
        <w:t>个开放日以上</w:t>
      </w:r>
      <w:r>
        <w:rPr>
          <w:rFonts w:ascii="Arial Unicode MS" w:hAnsi="Arial Unicode MS" w:hint="eastAsia"/>
          <w:bCs/>
          <w:szCs w:val="21"/>
        </w:rPr>
        <w:t>(</w:t>
      </w:r>
      <w:r>
        <w:rPr>
          <w:rFonts w:ascii="Arial Unicode MS" w:hAnsi="Arial Unicode MS" w:hint="eastAsia"/>
          <w:bCs/>
          <w:szCs w:val="21"/>
        </w:rPr>
        <w:t>含</w:t>
      </w:r>
      <w:r>
        <w:rPr>
          <w:rFonts w:ascii="Arial Unicode MS" w:hAnsi="Arial Unicode MS" w:hint="eastAsia"/>
          <w:bCs/>
          <w:szCs w:val="21"/>
        </w:rPr>
        <w:t>)</w:t>
      </w:r>
      <w:r>
        <w:rPr>
          <w:rFonts w:ascii="Arial Unicode MS" w:hAnsi="Arial Unicode MS" w:hint="eastAsia"/>
          <w:bCs/>
          <w:szCs w:val="21"/>
        </w:rPr>
        <w:t>发生巨额赎回，如基金管理人认为有必要，可暂停接受基金的赎回申请；已经接受的赎回申请可以延缓支付赎回款项，但不得超过</w:t>
      </w:r>
      <w:r>
        <w:rPr>
          <w:rFonts w:ascii="Arial Unicode MS" w:hAnsi="Arial Unicode MS" w:hint="eastAsia"/>
          <w:bCs/>
          <w:szCs w:val="21"/>
        </w:rPr>
        <w:t>20</w:t>
      </w:r>
      <w:r>
        <w:rPr>
          <w:rFonts w:ascii="Arial Unicode MS" w:hAnsi="Arial Unicode MS" w:hint="eastAsia"/>
          <w:bCs/>
          <w:szCs w:val="21"/>
        </w:rPr>
        <w:t>个工作日，并应当依据相关规定进行公告。</w:t>
      </w:r>
    </w:p>
    <w:p w14:paraId="05CF4F86"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lastRenderedPageBreak/>
        <w:t>3</w:t>
      </w:r>
      <w:r>
        <w:rPr>
          <w:rFonts w:ascii="Arial Unicode MS" w:hAnsi="Arial Unicode MS" w:hint="eastAsia"/>
          <w:bCs/>
          <w:szCs w:val="21"/>
        </w:rPr>
        <w:t>、巨额赎回的公告</w:t>
      </w:r>
    </w:p>
    <w:p w14:paraId="7D2A71C9"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当发生上述巨额赎回并延期办理时，基金管理人应当通过邮寄、传真或者招募说明书规定的其他方式在</w:t>
      </w:r>
      <w:r>
        <w:rPr>
          <w:rFonts w:ascii="Arial Unicode MS" w:hAnsi="Arial Unicode MS" w:hint="eastAsia"/>
          <w:bCs/>
          <w:szCs w:val="21"/>
        </w:rPr>
        <w:t>3</w:t>
      </w:r>
      <w:r>
        <w:rPr>
          <w:rFonts w:ascii="Arial Unicode MS" w:hAnsi="Arial Unicode MS" w:hint="eastAsia"/>
          <w:bCs/>
          <w:szCs w:val="21"/>
        </w:rPr>
        <w:t>个交易日内通知基金份额持有人，说明有关处理方法，并在</w:t>
      </w:r>
      <w:r>
        <w:rPr>
          <w:rFonts w:ascii="Arial Unicode MS" w:hAnsi="Arial Unicode MS" w:hint="eastAsia"/>
          <w:bCs/>
          <w:szCs w:val="21"/>
        </w:rPr>
        <w:t>2</w:t>
      </w:r>
      <w:r>
        <w:rPr>
          <w:rFonts w:ascii="Arial Unicode MS" w:hAnsi="Arial Unicode MS" w:hint="eastAsia"/>
          <w:bCs/>
          <w:szCs w:val="21"/>
        </w:rPr>
        <w:t>日内在规定媒介上刊登公告。</w:t>
      </w:r>
    </w:p>
    <w:p w14:paraId="605C2F5E"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十二、</w:t>
      </w:r>
      <w:r>
        <w:rPr>
          <w:rFonts w:ascii="Arial Unicode MS" w:hAnsi="Arial Unicode MS"/>
          <w:b/>
          <w:bCs/>
          <w:szCs w:val="21"/>
        </w:rPr>
        <w:t>暂停申购或赎回的公告和重新开放申购或赎回的公告</w:t>
      </w:r>
    </w:p>
    <w:p w14:paraId="4B921306"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、发生上述暂停申购或赎回情况的，基金管理人应在规定期限内在规定媒介上刊登暂停公告。</w:t>
      </w:r>
    </w:p>
    <w:p w14:paraId="3DF099E8"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、如发生暂停的时间为</w:t>
      </w:r>
      <w:r>
        <w:rPr>
          <w:rFonts w:ascii="Arial Unicode MS" w:hAnsi="Arial Unicode MS" w:hint="eastAsia"/>
          <w:bCs/>
          <w:szCs w:val="21"/>
        </w:rPr>
        <w:t>1</w:t>
      </w:r>
      <w:r>
        <w:rPr>
          <w:rFonts w:ascii="Arial Unicode MS" w:hAnsi="Arial Unicode MS" w:hint="eastAsia"/>
          <w:bCs/>
          <w:szCs w:val="21"/>
        </w:rPr>
        <w:t>日，基金管理人应于重新开放日，在规定媒介上刊登基金重新开放申购或赎回公告，并公布最近</w:t>
      </w:r>
      <w:r>
        <w:rPr>
          <w:rFonts w:ascii="Arial Unicode MS" w:hAnsi="Arial Unicode MS" w:hint="eastAsia"/>
          <w:bCs/>
          <w:szCs w:val="21"/>
        </w:rPr>
        <w:t>1</w:t>
      </w:r>
      <w:r>
        <w:rPr>
          <w:rFonts w:ascii="Arial Unicode MS" w:hAnsi="Arial Unicode MS" w:hint="eastAsia"/>
          <w:bCs/>
          <w:szCs w:val="21"/>
        </w:rPr>
        <w:t>个开放日的基金份额净值。</w:t>
      </w:r>
    </w:p>
    <w:p w14:paraId="524D331F"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、如发生暂停的时间超过</w:t>
      </w:r>
      <w:r>
        <w:rPr>
          <w:rFonts w:ascii="Arial Unicode MS" w:hAnsi="Arial Unicode MS" w:hint="eastAsia"/>
          <w:bCs/>
          <w:szCs w:val="21"/>
        </w:rPr>
        <w:t>1</w:t>
      </w:r>
      <w:r>
        <w:rPr>
          <w:rFonts w:ascii="Arial Unicode MS" w:hAnsi="Arial Unicode MS" w:hint="eastAsia"/>
          <w:bCs/>
          <w:szCs w:val="21"/>
        </w:rPr>
        <w:t>日，基金管理人可以根据暂停申购或赎回的时间，依照《信息披露办法》的有关规定，最迟于重新开放日在规定媒介上刊登重新开放申购或赎回的公告，也可以根据实际情况在暂停公告中明确重新开放申购或赎回的时间，届时不再另行发布重新开放的公告。</w:t>
      </w:r>
    </w:p>
    <w:p w14:paraId="76AEFDEE"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十三、基金转换</w:t>
      </w:r>
    </w:p>
    <w:p w14:paraId="32509337"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582C7348"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十四、基金份额的转让</w:t>
      </w:r>
    </w:p>
    <w:p w14:paraId="3C4F63E1"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4CB77698"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十五、基金的非交易过户</w:t>
      </w:r>
    </w:p>
    <w:p w14:paraId="354D867A"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7A2CC751"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22E755D4"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十六、基金的转托管</w:t>
      </w:r>
    </w:p>
    <w:p w14:paraId="1FD472F8"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lastRenderedPageBreak/>
        <w:t>基金份额持有人可办理已持有基金份额在不同销售机构之间的转托管，基金销售机构可以按照规定的标准收取转托管费。</w:t>
      </w:r>
    </w:p>
    <w:p w14:paraId="344B5C7A"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十七、定期定额投资计划</w:t>
      </w:r>
    </w:p>
    <w:p w14:paraId="4A2779A1"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管理人可以为投资人办理定期定额投资计划，具体规则由基金管理人另行规定。投资人在办理定期定额投资计划时可自行约定每期申购金额，每期申购金额必须不低于基金管理人在相关公告或更新的招募说明书中所规定的定期定额投资计划最低申购金额。</w:t>
      </w:r>
    </w:p>
    <w:p w14:paraId="6771F000"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十八、基金份额的冻结和解冻</w:t>
      </w:r>
    </w:p>
    <w:p w14:paraId="19111A07"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基金登记机构只受理国家有权机关依法要求的基金份额的冻结与解冻，以及登记机构认可、符合法律法规的其他情况下的冻结与解冻。</w:t>
      </w:r>
    </w:p>
    <w:p w14:paraId="402032D8"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十九、实施侧袋机制期间本基金的申购与赎回</w:t>
      </w:r>
    </w:p>
    <w:p w14:paraId="2E4B5A11"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本基金实施侧袋机制的，本基金的申购和赎回安排详见招募说明书“侧袋机制”部分的规定或相关公告。</w:t>
      </w:r>
    </w:p>
    <w:p w14:paraId="1BCB1099"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58488FED"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72C668D6"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40B0CF9B"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5A193C82"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153320D8"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657FBB3C"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703ED28C"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35203853"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301D9E8C"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7B5824E4"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7F8C3C54"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41F36C4F"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328EEE0A"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304EB938"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57246D0A"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2B77EE5A"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32FFC4BE"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192B82E5" w14:textId="77777777" w:rsidR="00A6605D" w:rsidRDefault="00413D7E">
      <w:pPr>
        <w:pStyle w:val="11"/>
        <w:snapToGrid w:val="0"/>
        <w:spacing w:before="0" w:after="0" w:line="360" w:lineRule="auto"/>
        <w:ind w:firstLine="422"/>
        <w:rPr>
          <w:rFonts w:ascii="Arial Unicode MS" w:eastAsia="宋体" w:hAnsi="Arial Unicode MS" w:cs="Arial"/>
          <w:b/>
          <w:bCs/>
          <w:sz w:val="28"/>
          <w:szCs w:val="28"/>
        </w:rPr>
      </w:pPr>
      <w:bookmarkStart w:id="51" w:name="_Toc317088543"/>
      <w:bookmarkStart w:id="52" w:name="_Toc317088146"/>
      <w:bookmarkStart w:id="53" w:name="_Toc320887648"/>
      <w:bookmarkStart w:id="54" w:name="_Toc335232697"/>
      <w:bookmarkStart w:id="55" w:name="_Toc214873598"/>
      <w:bookmarkStart w:id="56" w:name="_Toc63676444"/>
      <w:r>
        <w:rPr>
          <w:rFonts w:ascii="Arial Unicode MS" w:eastAsia="宋体" w:hAnsi="Arial Unicode MS" w:cs="Arial"/>
          <w:b/>
          <w:bCs/>
          <w:sz w:val="28"/>
          <w:szCs w:val="28"/>
        </w:rPr>
        <w:t>第</w:t>
      </w:r>
      <w:r>
        <w:rPr>
          <w:rFonts w:ascii="Arial Unicode MS" w:eastAsia="宋体" w:hAnsi="Arial Unicode MS" w:cs="Arial" w:hint="eastAsia"/>
          <w:b/>
          <w:bCs/>
          <w:sz w:val="28"/>
          <w:szCs w:val="28"/>
        </w:rPr>
        <w:t>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基金的投资</w:t>
      </w:r>
      <w:bookmarkEnd w:id="51"/>
      <w:bookmarkEnd w:id="52"/>
      <w:bookmarkEnd w:id="53"/>
      <w:bookmarkEnd w:id="54"/>
      <w:bookmarkEnd w:id="55"/>
      <w:bookmarkEnd w:id="56"/>
    </w:p>
    <w:p w14:paraId="354944D0" w14:textId="77777777" w:rsidR="00A6605D" w:rsidRDefault="00A6605D"/>
    <w:p w14:paraId="56E1AD30" w14:textId="77777777" w:rsidR="00A6605D" w:rsidRDefault="00413D7E">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b/>
          <w:bCs/>
          <w:szCs w:val="21"/>
        </w:rPr>
        <w:t>一、投资目标</w:t>
      </w:r>
    </w:p>
    <w:p w14:paraId="2ABDEB2C"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在一定程度上控制组合净值波动率的前提下，力争长期内实现超越业绩比较基准的投资回报。</w:t>
      </w:r>
    </w:p>
    <w:p w14:paraId="52F3BD91" w14:textId="77777777" w:rsidR="00A6605D" w:rsidRDefault="00413D7E">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b/>
          <w:bCs/>
          <w:szCs w:val="21"/>
        </w:rPr>
        <w:t>二、投资范围</w:t>
      </w:r>
    </w:p>
    <w:p w14:paraId="6BBC418F"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的投资范围主要为具有良好流动性的金融工具，包括国债、金融债、企业债、公司债、央行票据、中期票据、短期融资券、资产支持证券、次级债、可分离交易可转债的纯债部分、债券回购、银行存款等法律法规或中国证监会允许基金投资的其他金融工具（但须符合中国证监会的相关规定）。</w:t>
      </w:r>
    </w:p>
    <w:p w14:paraId="302BFBA5"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本基金不投资于股票和权证，也不投资于可转换债券（可分离交易可转债的纯债部分除外）、可交换债券。</w:t>
      </w:r>
    </w:p>
    <w:p w14:paraId="2261A39D"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基金的投资组合比例为：本基金对债券的投资比例不低于基金资产的</w:t>
      </w:r>
      <w:r>
        <w:rPr>
          <w:rFonts w:ascii="Arial Unicode MS" w:hAnsi="Arial Unicode MS" w:cs="Arial" w:hint="eastAsia"/>
          <w:bCs/>
          <w:szCs w:val="21"/>
        </w:rPr>
        <w:t>80</w:t>
      </w:r>
      <w:r>
        <w:rPr>
          <w:rFonts w:ascii="Arial Unicode MS" w:hAnsi="Arial Unicode MS" w:cs="Arial" w:hint="eastAsia"/>
          <w:bCs/>
          <w:szCs w:val="21"/>
        </w:rPr>
        <w:t>％；本基金持有现金或者到期日在一年以内的政府债券投资比例不低于基金资产净值的</w:t>
      </w:r>
      <w:r>
        <w:rPr>
          <w:rFonts w:ascii="Arial Unicode MS" w:hAnsi="Arial Unicode MS" w:cs="Arial" w:hint="eastAsia"/>
          <w:bCs/>
          <w:szCs w:val="21"/>
        </w:rPr>
        <w:t>5%</w:t>
      </w:r>
      <w:r>
        <w:rPr>
          <w:rFonts w:ascii="Arial Unicode MS" w:hAnsi="Arial Unicode MS" w:cs="Arial" w:hint="eastAsia"/>
          <w:bCs/>
          <w:szCs w:val="21"/>
        </w:rPr>
        <w:t>，其中，现金不包括结算备付金、存出保证金、应收申购款。</w:t>
      </w:r>
    </w:p>
    <w:p w14:paraId="16CE7A21"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如法律法规或监管机构以后允许基金投资的其他品种，基金管理人在履行适当程序后，可以将其纳入投资范围。</w:t>
      </w:r>
    </w:p>
    <w:p w14:paraId="0A301165" w14:textId="77777777" w:rsidR="00A6605D" w:rsidRDefault="00413D7E">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w:t>
      </w:r>
      <w:r>
        <w:rPr>
          <w:rFonts w:ascii="Arial Unicode MS" w:hAnsi="Arial Unicode MS" w:cs="Arial"/>
          <w:b/>
          <w:bCs/>
          <w:szCs w:val="21"/>
        </w:rPr>
        <w:t>、投资策略</w:t>
      </w:r>
    </w:p>
    <w:p w14:paraId="7117F527"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bookmarkStart w:id="57" w:name="_Toc212891567"/>
      <w:bookmarkStart w:id="58" w:name="_Toc149105517"/>
      <w:bookmarkStart w:id="59" w:name="_Toc148867251"/>
      <w:r>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尽量获取最大化的信用溢价。本基金采用的投资策略包括：期限结构策略、行业配置策略、息差策略、个券挖掘策略等。</w:t>
      </w:r>
    </w:p>
    <w:p w14:paraId="3F24D27A"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首先，本组合宏观周期研究的基础上，决定整体组合的久期、杠杆率策略。</w:t>
      </w:r>
    </w:p>
    <w:p w14:paraId="02AB6F29"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一方面，本基金将分析众多的宏观经济变量（包括</w:t>
      </w:r>
      <w:r>
        <w:rPr>
          <w:rFonts w:ascii="Arial Unicode MS" w:hAnsi="Arial Unicode MS" w:cs="Arial" w:hint="eastAsia"/>
          <w:bCs/>
          <w:szCs w:val="21"/>
        </w:rPr>
        <w:t>GDP</w:t>
      </w:r>
      <w:r>
        <w:rPr>
          <w:rFonts w:ascii="Arial Unicode MS" w:hAnsi="Arial Unicode MS" w:cs="Arial" w:hint="eastAsia"/>
          <w:bCs/>
          <w:szCs w:val="21"/>
        </w:rPr>
        <w:t>增长率、</w:t>
      </w:r>
      <w:r>
        <w:rPr>
          <w:rFonts w:ascii="Arial Unicode MS" w:hAnsi="Arial Unicode MS" w:cs="Arial" w:hint="eastAsia"/>
          <w:bCs/>
          <w:szCs w:val="21"/>
        </w:rPr>
        <w:t>CPI</w:t>
      </w:r>
      <w:r>
        <w:rPr>
          <w:rFonts w:ascii="Arial Unicode MS" w:hAnsi="Arial Unicode MS" w:cs="Arial" w:hint="eastAsia"/>
          <w:bCs/>
          <w:szCs w:val="21"/>
        </w:rPr>
        <w:t>走势、</w:t>
      </w:r>
      <w:r>
        <w:rPr>
          <w:rFonts w:ascii="Arial Unicode MS" w:hAnsi="Arial Unicode MS" w:cs="Arial" w:hint="eastAsia"/>
          <w:bCs/>
          <w:szCs w:val="21"/>
        </w:rPr>
        <w:t>M2</w:t>
      </w:r>
      <w:r>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久期范围以及杠杆率水平。</w:t>
      </w:r>
    </w:p>
    <w:p w14:paraId="05D42D66"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其次，本组合将在期限结构策略、行业轮动策略的基础上获得债券市场整体回报率，通过息差策略、个券挖掘策略获得超额收益。</w:t>
      </w:r>
    </w:p>
    <w:p w14:paraId="37DE49B2"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期限结构策略。通过预测收益率曲线的形状和变化趋势，对各类型债券进行久期配置；当收益率曲线走势难以判断时，参考基准指数的样本券久期构建组合久期，确保组合收益超过基准收益。具体来看，又分为跟踪收益率曲线的骑乘策略和基于收益率曲线变化的子弹策略、杠铃策略及梯式策略。</w:t>
      </w:r>
    </w:p>
    <w:p w14:paraId="65BDFF81"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14:paraId="44FFDE37"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子弹策略是使投资组合中债券久期集中于收益率曲线的一点，适用于收益率曲线较陡时；杠铃策略是使投资组合中债券的久期集中在收益率曲线的两端，适用于收益率曲线两头下降较中间下降更多的蝶式变动；梯式策略是使投资组合中的债券久期均匀分别于收益率曲线，适用于收益率曲线水平移动。</w:t>
      </w:r>
    </w:p>
    <w:p w14:paraId="26FCC278"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、行业配置策略。债券市场所涉及行业众多，同样宏观周期背景下不同行业的景气度的发生，本基金分别采用以下的分析策略：</w:t>
      </w:r>
    </w:p>
    <w:p w14:paraId="49BD2AF1"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）分散化投资：发行人涉及众多行业，本组合将保持在各行业配置比例上的分散化结构，避免过度集中配置在产业链高度相关的上中下游行业。</w:t>
      </w:r>
    </w:p>
    <w:p w14:paraId="792545F9"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）行业投资：本组合将依据对下一阶段各行业景气度特征的研判，确定在下一阶段在各行业的配置比例，卖出景气度降低行业的债券，提前布局景气度提升行业的债券。</w:t>
      </w:r>
    </w:p>
    <w:p w14:paraId="25FA6D46"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、息差策略。通过正回购，融资买入收益率高于回购成本的债券，从而获得杠杆放大收益。</w:t>
      </w:r>
    </w:p>
    <w:p w14:paraId="133EEE2C"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本组合将采取低杠杆、高流动性策略，适当运用杠杆息差方式来获取主动管理回报，选取具有较好流动性的债券作为杠杆买入品种，灵活控制杠杆组合仓位，降低组合波动率。</w:t>
      </w:r>
    </w:p>
    <w:p w14:paraId="7043DC5B"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个券挖掘策略。本部分策略强调公司价值挖掘的重要性，在行业周期特征、公司基本面风险特征基础上制定绝对收益率目标策略，甄别具有估值优势、基本面改善的公司，采取高度分散策略，重点布局优势债券，争取提高组合超额收益空间。</w:t>
      </w:r>
    </w:p>
    <w:p w14:paraId="76698F1C" w14:textId="77777777" w:rsidR="00A6605D" w:rsidRDefault="00413D7E">
      <w:pPr>
        <w:spacing w:line="360" w:lineRule="auto"/>
        <w:ind w:firstLineChars="200" w:firstLine="422"/>
        <w:rPr>
          <w:rFonts w:ascii="Arial Unicode MS" w:hAnsi="Arial Unicode MS" w:cs="Arial"/>
          <w:b/>
          <w:szCs w:val="21"/>
        </w:rPr>
      </w:pPr>
      <w:r>
        <w:rPr>
          <w:rFonts w:ascii="Arial Unicode MS" w:hAnsi="Arial Unicode MS" w:cs="Arial" w:hint="eastAsia"/>
          <w:b/>
          <w:szCs w:val="21"/>
        </w:rPr>
        <w:t>四、投资决策流程</w:t>
      </w:r>
    </w:p>
    <w:p w14:paraId="4AA40F58"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具体的投资流程为：</w:t>
      </w:r>
    </w:p>
    <w:p w14:paraId="12ED8BA6"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14:paraId="3E130944"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w:t>
      </w:r>
      <w:r>
        <w:rPr>
          <w:rFonts w:ascii="Arial Unicode MS" w:hAnsi="Arial Unicode MS" w:cs="Arial" w:hint="eastAsia"/>
          <w:szCs w:val="21"/>
        </w:rPr>
        <w:t>2</w:t>
      </w:r>
      <w:r>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Pr>
          <w:rFonts w:ascii="Arial Unicode MS" w:hAnsi="Arial Unicode MS" w:cs="Arial" w:hint="eastAsia"/>
          <w:szCs w:val="21"/>
        </w:rPr>
        <w:t>,</w:t>
      </w:r>
      <w:r>
        <w:rPr>
          <w:rFonts w:ascii="Arial Unicode MS" w:hAnsi="Arial Unicode MS" w:cs="Arial" w:hint="eastAsia"/>
          <w:szCs w:val="21"/>
        </w:rPr>
        <w:t>并报投资决策委员会备案。</w:t>
      </w:r>
    </w:p>
    <w:p w14:paraId="7B5744C0"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）基金经理负责执行投资方案。</w:t>
      </w:r>
    </w:p>
    <w:p w14:paraId="5DF56BCA"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14:paraId="2B350FE8"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）基金经理根据市场变化在权限范围及时进行投资策略调整，超过投资权限的报投资决策委员会审议。</w:t>
      </w:r>
    </w:p>
    <w:p w14:paraId="2DB003DC"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投资合规性控制从以下方面展开：</w:t>
      </w:r>
    </w:p>
    <w:p w14:paraId="5490DAD3"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14:paraId="5427AA91"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）督察长：可列席公司投资决策委员会议，全程监控交易指令的执行情况，保证合规性控制的实施。</w:t>
      </w:r>
    </w:p>
    <w:p w14:paraId="10C75552"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14:paraId="4A20D9B2"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）交易部负责对投资指令进行审核，对日常交易行为实时监控。</w:t>
      </w:r>
    </w:p>
    <w:p w14:paraId="694C5043"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57"/>
    <w:bookmarkEnd w:id="58"/>
    <w:bookmarkEnd w:id="59"/>
    <w:p w14:paraId="2FB008EF" w14:textId="77777777" w:rsidR="00A6605D" w:rsidRDefault="00413D7E">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五</w:t>
      </w:r>
      <w:r>
        <w:rPr>
          <w:rFonts w:ascii="Arial Unicode MS" w:hAnsi="Arial Unicode MS" w:cs="Arial"/>
          <w:b/>
          <w:bCs/>
          <w:szCs w:val="21"/>
        </w:rPr>
        <w:t>、投资限制</w:t>
      </w:r>
    </w:p>
    <w:p w14:paraId="0F539690"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、组合限制</w:t>
      </w:r>
    </w:p>
    <w:p w14:paraId="14C3CEB5"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基金的投资组合应遵循以下限制：</w:t>
      </w:r>
    </w:p>
    <w:p w14:paraId="36DDB8AA"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）本基金对债券的投资比例不低于基金资产的</w:t>
      </w:r>
      <w:r>
        <w:rPr>
          <w:rFonts w:ascii="Arial Unicode MS" w:hAnsi="Arial Unicode MS" w:cs="Arial" w:hint="eastAsia"/>
          <w:szCs w:val="21"/>
        </w:rPr>
        <w:t>80%</w:t>
      </w:r>
      <w:r>
        <w:rPr>
          <w:rFonts w:ascii="Arial Unicode MS" w:hAnsi="Arial Unicode MS" w:cs="Arial" w:hint="eastAsia"/>
          <w:szCs w:val="21"/>
        </w:rPr>
        <w:t>；</w:t>
      </w:r>
    </w:p>
    <w:p w14:paraId="73023376"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szCs w:val="21"/>
        </w:rPr>
        <w:t>本基金</w:t>
      </w:r>
      <w:r>
        <w:rPr>
          <w:rFonts w:ascii="Arial Unicode MS" w:hAnsi="Arial Unicode MS" w:cs="Arial" w:hint="eastAsia"/>
          <w:szCs w:val="21"/>
        </w:rPr>
        <w:t>持有现金或者到期日在一年以内的政府债券投资比例合计不低于基金资产净值的</w:t>
      </w: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hint="eastAsia"/>
          <w:bCs/>
          <w:szCs w:val="21"/>
        </w:rPr>
        <w:t>其中，现金不包括结算备付金、存出保证金、应收申购款</w:t>
      </w:r>
      <w:r>
        <w:rPr>
          <w:rFonts w:ascii="Arial Unicode MS" w:hAnsi="Arial Unicode MS" w:cs="Arial" w:hint="eastAsia"/>
          <w:szCs w:val="21"/>
        </w:rPr>
        <w:t>；</w:t>
      </w:r>
    </w:p>
    <w:p w14:paraId="367D30AD"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3</w:t>
      </w:r>
      <w:r>
        <w:rPr>
          <w:rFonts w:ascii="Arial Unicode MS" w:hAnsi="Arial Unicode MS" w:cs="Arial"/>
          <w:szCs w:val="21"/>
        </w:rPr>
        <w:t>）本基金持有一家公司</w:t>
      </w:r>
      <w:r>
        <w:rPr>
          <w:rFonts w:ascii="Arial Unicode MS" w:hAnsi="Arial Unicode MS" w:cs="Arial" w:hint="eastAsia"/>
          <w:szCs w:val="21"/>
        </w:rPr>
        <w:t>发行</w:t>
      </w:r>
      <w:r>
        <w:rPr>
          <w:rFonts w:ascii="Arial Unicode MS" w:hAnsi="Arial Unicode MS" w:cs="Arial"/>
          <w:szCs w:val="21"/>
        </w:rPr>
        <w:t>的</w:t>
      </w:r>
      <w:r>
        <w:rPr>
          <w:rFonts w:ascii="Arial Unicode MS" w:hAnsi="Arial Unicode MS" w:cs="Arial" w:hint="eastAsia"/>
          <w:szCs w:val="21"/>
        </w:rPr>
        <w:t>证券</w:t>
      </w:r>
      <w:r>
        <w:rPr>
          <w:rFonts w:ascii="Arial Unicode MS" w:hAnsi="Arial Unicode MS" w:cs="Arial"/>
          <w:szCs w:val="21"/>
        </w:rPr>
        <w:t>，其市值不超过基金资产净值的</w:t>
      </w:r>
      <w:r>
        <w:rPr>
          <w:rFonts w:ascii="Arial Unicode MS" w:hAnsi="Arial Unicode MS" w:cs="Arial"/>
          <w:szCs w:val="21"/>
        </w:rPr>
        <w:t>10</w:t>
      </w:r>
      <w:r>
        <w:rPr>
          <w:rFonts w:ascii="Arial Unicode MS" w:hAnsi="Arial Unicode MS" w:cs="Arial"/>
          <w:szCs w:val="21"/>
        </w:rPr>
        <w:t>％；</w:t>
      </w:r>
    </w:p>
    <w:p w14:paraId="7BC12B98"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4</w:t>
      </w:r>
      <w:r>
        <w:rPr>
          <w:rFonts w:ascii="Arial Unicode MS" w:hAnsi="Arial Unicode MS" w:cs="Arial"/>
          <w:szCs w:val="21"/>
        </w:rPr>
        <w:t>）本基金管理人管理的全部基金持有一家公司发行的证券，不超过该证券的</w:t>
      </w:r>
      <w:r>
        <w:rPr>
          <w:rFonts w:ascii="Arial Unicode MS" w:hAnsi="Arial Unicode MS" w:cs="Arial"/>
          <w:szCs w:val="21"/>
        </w:rPr>
        <w:t>10</w:t>
      </w:r>
      <w:r>
        <w:rPr>
          <w:rFonts w:ascii="Arial Unicode MS" w:hAnsi="Arial Unicode MS" w:cs="Arial"/>
          <w:szCs w:val="21"/>
        </w:rPr>
        <w:t>％；</w:t>
      </w:r>
    </w:p>
    <w:p w14:paraId="3CB262C0"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w:t>
      </w:r>
      <w:r>
        <w:rPr>
          <w:rFonts w:ascii="Arial Unicode MS" w:hAnsi="Arial Unicode MS" w:cs="Arial" w:hint="eastAsia"/>
          <w:szCs w:val="21"/>
        </w:rPr>
        <w:t>5</w:t>
      </w:r>
      <w:r>
        <w:rPr>
          <w:rFonts w:ascii="Arial Unicode MS" w:hAnsi="Arial Unicode MS" w:cs="Arial" w:hint="eastAsia"/>
          <w:szCs w:val="21"/>
        </w:rPr>
        <w:t>）本基金进入全国银行间同业市场进行债券回购的资金余额不得超过基金资产净值的</w:t>
      </w:r>
      <w:r>
        <w:rPr>
          <w:rFonts w:ascii="Arial Unicode MS" w:hAnsi="Arial Unicode MS" w:cs="Arial" w:hint="eastAsia"/>
          <w:szCs w:val="21"/>
        </w:rPr>
        <w:t>40%</w:t>
      </w:r>
      <w:r>
        <w:rPr>
          <w:rFonts w:ascii="Arial Unicode MS" w:hAnsi="Arial Unicode MS" w:cs="Arial" w:hint="eastAsia"/>
          <w:szCs w:val="21"/>
        </w:rPr>
        <w:t>；在全国银行间同业市场中的债券回购最长期限为</w:t>
      </w:r>
      <w:r>
        <w:rPr>
          <w:rFonts w:ascii="Arial Unicode MS" w:hAnsi="Arial Unicode MS" w:cs="Arial" w:hint="eastAsia"/>
          <w:szCs w:val="21"/>
        </w:rPr>
        <w:t>1</w:t>
      </w:r>
      <w:r>
        <w:rPr>
          <w:rFonts w:ascii="Arial Unicode MS" w:hAnsi="Arial Unicode MS" w:cs="Arial" w:hint="eastAsia"/>
          <w:szCs w:val="21"/>
        </w:rPr>
        <w:t>年，债券回购到期后不展期；</w:t>
      </w:r>
    </w:p>
    <w:p w14:paraId="22833565"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）本基金投资于同一原始权益人的各类资产支持证券的比例，不得超过基金资产净值的</w:t>
      </w:r>
      <w:r>
        <w:rPr>
          <w:rFonts w:ascii="Arial Unicode MS" w:hAnsi="Arial Unicode MS" w:cs="Arial" w:hint="eastAsia"/>
          <w:szCs w:val="21"/>
        </w:rPr>
        <w:t>10</w:t>
      </w:r>
      <w:r>
        <w:rPr>
          <w:rFonts w:ascii="Arial Unicode MS" w:hAnsi="Arial Unicode MS" w:cs="Arial" w:hint="eastAsia"/>
          <w:szCs w:val="21"/>
        </w:rPr>
        <w:t>％；</w:t>
      </w:r>
    </w:p>
    <w:p w14:paraId="1EA42EC6"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）本基金持有的全部资产支持证券，其市值不得超过基金资产净值的</w:t>
      </w:r>
      <w:r>
        <w:rPr>
          <w:rFonts w:ascii="Arial Unicode MS" w:hAnsi="Arial Unicode MS" w:cs="Arial" w:hint="eastAsia"/>
          <w:szCs w:val="21"/>
        </w:rPr>
        <w:t>20</w:t>
      </w:r>
      <w:r>
        <w:rPr>
          <w:rFonts w:ascii="Arial Unicode MS" w:hAnsi="Arial Unicode MS" w:cs="Arial" w:hint="eastAsia"/>
          <w:szCs w:val="21"/>
        </w:rPr>
        <w:t>％；</w:t>
      </w:r>
    </w:p>
    <w:p w14:paraId="1BA3158F"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）本基金持有的同一</w:t>
      </w:r>
      <w:r>
        <w:rPr>
          <w:rFonts w:ascii="Arial Unicode MS" w:hAnsi="Arial Unicode MS" w:cs="Arial"/>
          <w:szCs w:val="21"/>
        </w:rPr>
        <w:t>(</w:t>
      </w:r>
      <w:r>
        <w:rPr>
          <w:rFonts w:ascii="Arial Unicode MS" w:hAnsi="Arial Unicode MS" w:cs="Arial" w:hint="eastAsia"/>
          <w:szCs w:val="21"/>
        </w:rPr>
        <w:t>指同一信用级别</w:t>
      </w:r>
      <w:r>
        <w:rPr>
          <w:rFonts w:ascii="Arial Unicode MS" w:hAnsi="Arial Unicode MS" w:cs="Arial"/>
          <w:szCs w:val="21"/>
        </w:rPr>
        <w:t>)</w:t>
      </w:r>
      <w:r>
        <w:rPr>
          <w:rFonts w:ascii="Arial Unicode MS" w:hAnsi="Arial Unicode MS" w:cs="Arial" w:hint="eastAsia"/>
          <w:szCs w:val="21"/>
        </w:rPr>
        <w:t>资产支持证券的比例，不得超过该资产支持证券规模的</w:t>
      </w:r>
      <w:r>
        <w:rPr>
          <w:rFonts w:ascii="Arial Unicode MS" w:hAnsi="Arial Unicode MS" w:cs="Arial"/>
          <w:szCs w:val="21"/>
        </w:rPr>
        <w:t>10</w:t>
      </w:r>
      <w:r>
        <w:rPr>
          <w:rFonts w:ascii="Arial Unicode MS" w:hAnsi="Arial Unicode MS" w:cs="Arial" w:hint="eastAsia"/>
          <w:szCs w:val="21"/>
        </w:rPr>
        <w:t>％；</w:t>
      </w:r>
    </w:p>
    <w:p w14:paraId="5A7EC831"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9</w:t>
      </w:r>
      <w:r>
        <w:rPr>
          <w:rFonts w:ascii="Arial Unicode MS" w:hAnsi="Arial Unicode MS" w:cs="Arial" w:hint="eastAsia"/>
          <w:szCs w:val="21"/>
        </w:rPr>
        <w:t>）本基金管理人管理的全部基金投资于同一原始权益人的各类资产支持证券，不得超过其各类资产支持证券合计规模的</w:t>
      </w:r>
      <w:r>
        <w:rPr>
          <w:rFonts w:ascii="Arial Unicode MS" w:hAnsi="Arial Unicode MS" w:cs="Arial" w:hint="eastAsia"/>
          <w:szCs w:val="21"/>
        </w:rPr>
        <w:t>10</w:t>
      </w:r>
      <w:r>
        <w:rPr>
          <w:rFonts w:ascii="Arial Unicode MS" w:hAnsi="Arial Unicode MS" w:cs="Arial" w:hint="eastAsia"/>
          <w:szCs w:val="21"/>
        </w:rPr>
        <w:t>％；</w:t>
      </w:r>
    </w:p>
    <w:p w14:paraId="4CD2F750"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）本基金应投资于信用级别评级为</w:t>
      </w:r>
      <w:r>
        <w:rPr>
          <w:rFonts w:ascii="Arial Unicode MS" w:hAnsi="Arial Unicode MS" w:cs="Arial" w:hint="eastAsia"/>
          <w:szCs w:val="21"/>
        </w:rPr>
        <w:t>BBB</w:t>
      </w:r>
      <w:r>
        <w:rPr>
          <w:rFonts w:ascii="Arial Unicode MS" w:hAnsi="Arial Unicode MS" w:cs="Arial" w:hint="eastAsia"/>
          <w:szCs w:val="21"/>
        </w:rPr>
        <w:t>以上</w:t>
      </w:r>
      <w:r>
        <w:rPr>
          <w:rFonts w:ascii="Arial Unicode MS" w:hAnsi="Arial Unicode MS" w:cs="Arial" w:hint="eastAsia"/>
          <w:szCs w:val="21"/>
        </w:rPr>
        <w:t>(</w:t>
      </w:r>
      <w:r>
        <w:rPr>
          <w:rFonts w:ascii="Arial Unicode MS" w:hAnsi="Arial Unicode MS" w:cs="Arial" w:hint="eastAsia"/>
          <w:szCs w:val="21"/>
        </w:rPr>
        <w:t>含</w:t>
      </w:r>
      <w:r>
        <w:rPr>
          <w:rFonts w:ascii="Arial Unicode MS" w:hAnsi="Arial Unicode MS" w:cs="Arial" w:hint="eastAsia"/>
          <w:szCs w:val="21"/>
        </w:rPr>
        <w:t>BBB)</w:t>
      </w:r>
      <w:r>
        <w:rPr>
          <w:rFonts w:ascii="Arial Unicode MS" w:hAnsi="Arial Unicode MS" w:cs="Arial" w:hint="eastAsia"/>
          <w:szCs w:val="21"/>
        </w:rPr>
        <w:t>的资产支持证券。基金持有资产支持证券期间，如果其信用等级下降、不再符合投资标准，应在评级报告发布之日起</w:t>
      </w:r>
      <w:r>
        <w:rPr>
          <w:rFonts w:ascii="Arial Unicode MS" w:hAnsi="Arial Unicode MS" w:cs="Arial" w:hint="eastAsia"/>
          <w:szCs w:val="21"/>
        </w:rPr>
        <w:t>3</w:t>
      </w:r>
      <w:r>
        <w:rPr>
          <w:rFonts w:ascii="Arial Unicode MS" w:hAnsi="Arial Unicode MS" w:cs="Arial" w:hint="eastAsia"/>
          <w:szCs w:val="21"/>
        </w:rPr>
        <w:t>个月内予以全部卖出；</w:t>
      </w:r>
    </w:p>
    <w:p w14:paraId="54668709" w14:textId="77777777" w:rsidR="00A6605D" w:rsidRDefault="00413D7E">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11</w:t>
      </w:r>
      <w:r>
        <w:rPr>
          <w:rFonts w:ascii="Arial Unicode MS" w:hAnsi="Arial Unicode MS" w:cs="Arial" w:hint="eastAsia"/>
          <w:szCs w:val="21"/>
        </w:rPr>
        <w:t>）基金资产总值不得超过基金资产净值的</w:t>
      </w:r>
      <w:r>
        <w:rPr>
          <w:rFonts w:ascii="Arial Unicode MS" w:hAnsi="Arial Unicode MS" w:cs="Arial" w:hint="eastAsia"/>
          <w:szCs w:val="21"/>
        </w:rPr>
        <w:t>140%</w:t>
      </w:r>
      <w:r>
        <w:rPr>
          <w:rFonts w:ascii="Arial Unicode MS" w:hAnsi="Arial Unicode MS" w:cs="Arial" w:hint="eastAsia"/>
          <w:szCs w:val="21"/>
        </w:rPr>
        <w:t>；</w:t>
      </w:r>
    </w:p>
    <w:p w14:paraId="7C574F57" w14:textId="77777777" w:rsidR="00A6605D" w:rsidRDefault="00413D7E">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szCs w:val="21"/>
        </w:rPr>
        <w:t>）</w:t>
      </w:r>
      <w:r>
        <w:rPr>
          <w:rFonts w:ascii="Arial Unicode MS" w:hAnsi="Arial Unicode MS" w:cs="Arial" w:hint="eastAsia"/>
          <w:szCs w:val="21"/>
        </w:rPr>
        <w:t>本基金主动投资于流动性受限资产的市值合计不得超过基金资产净值的</w:t>
      </w:r>
      <w:r>
        <w:rPr>
          <w:rFonts w:ascii="Arial Unicode MS" w:hAnsi="Arial Unicode MS" w:cs="Arial" w:hint="eastAsia"/>
          <w:szCs w:val="21"/>
        </w:rPr>
        <w:t>15%</w:t>
      </w:r>
      <w:r>
        <w:rPr>
          <w:rFonts w:ascii="Arial Unicode MS" w:hAnsi="Arial Unicode MS" w:cs="Arial" w:hint="eastAsia"/>
          <w:szCs w:val="21"/>
        </w:rPr>
        <w:t>；</w:t>
      </w:r>
    </w:p>
    <w:p w14:paraId="3C8BAC19" w14:textId="77777777" w:rsidR="00A6605D" w:rsidRDefault="00413D7E">
      <w:pPr>
        <w:spacing w:line="360" w:lineRule="auto"/>
        <w:ind w:firstLineChars="250" w:firstLine="525"/>
        <w:rPr>
          <w:rFonts w:ascii="Arial Unicode MS" w:hAnsi="Arial Unicode MS" w:cs="Arial"/>
          <w:szCs w:val="21"/>
        </w:rPr>
      </w:pPr>
      <w:r>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p>
    <w:p w14:paraId="55561FB6" w14:textId="77777777" w:rsidR="00A6605D" w:rsidRDefault="00413D7E">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）本基金与私募类证券资管产品及中国证监会认定的其他主体为交易对手开展逆回购交易的，可接受质押品的资质要求应当与基金合同约定的投资范围保持一致；</w:t>
      </w:r>
    </w:p>
    <w:p w14:paraId="640B60C8" w14:textId="77777777" w:rsidR="00A6605D" w:rsidRDefault="00413D7E">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4</w:t>
      </w:r>
      <w:r>
        <w:rPr>
          <w:rFonts w:ascii="Arial Unicode MS" w:hAnsi="Arial Unicode MS" w:cs="Arial"/>
          <w:szCs w:val="21"/>
        </w:rPr>
        <w:t>）</w:t>
      </w:r>
      <w:r>
        <w:rPr>
          <w:rFonts w:ascii="Arial Unicode MS" w:hAnsi="Arial Unicode MS" w:cs="Arial" w:hint="eastAsia"/>
          <w:szCs w:val="21"/>
        </w:rPr>
        <w:t>法律法规及中国证监会规定的和《基金合同》约定的其他投资限制。</w:t>
      </w:r>
    </w:p>
    <w:p w14:paraId="238CC66E" w14:textId="77777777" w:rsidR="00A6605D" w:rsidRDefault="00413D7E">
      <w:pPr>
        <w:spacing w:line="360" w:lineRule="auto"/>
        <w:ind w:firstLineChars="250" w:firstLine="525"/>
        <w:rPr>
          <w:rFonts w:ascii="Arial Unicode MS" w:hAnsi="Arial Unicode MS" w:cs="Arial"/>
          <w:szCs w:val="21"/>
        </w:rPr>
      </w:pPr>
      <w:r>
        <w:rPr>
          <w:rFonts w:ascii="Arial Unicode MS" w:hAnsi="Arial Unicode MS" w:cs="Arial" w:hint="eastAsia"/>
          <w:szCs w:val="21"/>
        </w:rPr>
        <w:t>除上述第（</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）条外，因证券市场波动、证券发行人合并、基金规模变动等基金管理人之外的因素致使基金投资比例不符合上述规定投资比例的，基金管理人应当在</w:t>
      </w:r>
      <w:r>
        <w:rPr>
          <w:rFonts w:ascii="Arial Unicode MS" w:hAnsi="Arial Unicode MS" w:cs="Arial" w:hint="eastAsia"/>
          <w:szCs w:val="21"/>
        </w:rPr>
        <w:t>10</w:t>
      </w:r>
      <w:r>
        <w:rPr>
          <w:rFonts w:ascii="Arial Unicode MS" w:hAnsi="Arial Unicode MS" w:cs="Arial" w:hint="eastAsia"/>
          <w:szCs w:val="21"/>
        </w:rPr>
        <w:t>个交易日内进行调整，但中国证监会规定的特殊情形除外。法律法规或监管机构另有规定的，从其规定。</w:t>
      </w:r>
    </w:p>
    <w:p w14:paraId="6AA52168"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基金管理人应当自基金合同生效之日起</w:t>
      </w:r>
      <w:r>
        <w:rPr>
          <w:rFonts w:ascii="Arial Unicode MS" w:hAnsi="Arial Unicode MS" w:cs="Arial" w:hint="eastAsia"/>
          <w:szCs w:val="21"/>
        </w:rPr>
        <w:t>6</w:t>
      </w:r>
      <w:r>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5BFF7C81"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法律法规或监管部门取消或调整上述限制，如适用于本基金，基金管理人在履行适当程序后，则本基金投资不再受相关限制或按调整后的规定执行。</w:t>
      </w:r>
    </w:p>
    <w:p w14:paraId="73584603"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2</w:t>
      </w:r>
      <w:r>
        <w:rPr>
          <w:rFonts w:ascii="Arial Unicode MS" w:hAnsi="Arial Unicode MS" w:cs="Arial" w:hint="eastAsia"/>
          <w:szCs w:val="21"/>
        </w:rPr>
        <w:t>、禁止行为</w:t>
      </w:r>
    </w:p>
    <w:p w14:paraId="1C82E989"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为维护基金份额持有人的合法权益，基金财产不得用于下列投资或者活动：</w:t>
      </w:r>
    </w:p>
    <w:p w14:paraId="6545FDC4"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）承销证券；</w:t>
      </w:r>
    </w:p>
    <w:p w14:paraId="49252F9B"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）违反规定向他人贷款或者提供担保；</w:t>
      </w:r>
    </w:p>
    <w:p w14:paraId="32A01A43"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）从事承担无限责任的投资；</w:t>
      </w:r>
    </w:p>
    <w:p w14:paraId="431C44B9"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）买卖其他基金份额，但是中国证监会另有规定的除外；</w:t>
      </w:r>
    </w:p>
    <w:p w14:paraId="2E853284"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）向其基金管理人、基金托管人出资；</w:t>
      </w:r>
    </w:p>
    <w:p w14:paraId="46EFCC77"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）从事内幕交易、操纵证券交易价格及其他不正当的证券交易活动；</w:t>
      </w:r>
    </w:p>
    <w:p w14:paraId="7883DB40"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）法律、行政法规和中国证监会规定禁止的其他活动。</w:t>
      </w:r>
    </w:p>
    <w:p w14:paraId="757F2746"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A12A08B"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法律、行政法规或监管部门取消或变更上述禁止性规定，如适用于本基金，基金管理人在履行适当程序后，则本基金投资不再受相关限制或按变更后的规定执行。</w:t>
      </w:r>
    </w:p>
    <w:p w14:paraId="27A5AE91" w14:textId="77777777" w:rsidR="00A6605D" w:rsidRDefault="00413D7E">
      <w:pPr>
        <w:spacing w:line="360" w:lineRule="auto"/>
        <w:ind w:firstLineChars="200" w:firstLine="422"/>
        <w:rPr>
          <w:rFonts w:ascii="Arial Unicode MS" w:hAnsi="Arial Unicode MS" w:cs="Arial"/>
          <w:b/>
          <w:szCs w:val="21"/>
        </w:rPr>
      </w:pPr>
      <w:r>
        <w:rPr>
          <w:rFonts w:ascii="Arial Unicode MS" w:hAnsi="Arial Unicode MS" w:cs="Arial" w:hint="eastAsia"/>
          <w:b/>
          <w:szCs w:val="21"/>
        </w:rPr>
        <w:t>六</w:t>
      </w:r>
      <w:r>
        <w:rPr>
          <w:rFonts w:ascii="Arial Unicode MS" w:hAnsi="Arial Unicode MS" w:cs="Arial"/>
          <w:b/>
          <w:szCs w:val="21"/>
        </w:rPr>
        <w:t>、业绩比较基准</w:t>
      </w:r>
    </w:p>
    <w:p w14:paraId="1A26C1C0"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本基金的业绩比较基准为：中债综合指数（总财富）收益率×</w:t>
      </w:r>
      <w:r>
        <w:rPr>
          <w:rFonts w:ascii="Arial Unicode MS" w:hAnsi="Arial Unicode MS" w:cs="Arial" w:hint="eastAsia"/>
          <w:bCs/>
          <w:szCs w:val="21"/>
        </w:rPr>
        <w:t>90%+1</w:t>
      </w:r>
      <w:r>
        <w:rPr>
          <w:rFonts w:ascii="Arial Unicode MS" w:hAnsi="Arial Unicode MS" w:cs="Arial" w:hint="eastAsia"/>
          <w:bCs/>
          <w:szCs w:val="21"/>
        </w:rPr>
        <w:t>年期定期存款利率（税后）×</w:t>
      </w:r>
      <w:r>
        <w:rPr>
          <w:rFonts w:ascii="Arial Unicode MS" w:hAnsi="Arial Unicode MS" w:cs="Arial" w:hint="eastAsia"/>
          <w:bCs/>
          <w:szCs w:val="21"/>
        </w:rPr>
        <w:t>10%</w:t>
      </w:r>
      <w:r>
        <w:rPr>
          <w:rFonts w:ascii="Arial Unicode MS" w:hAnsi="Arial Unicode MS" w:cs="Arial" w:hint="eastAsia"/>
          <w:bCs/>
          <w:szCs w:val="21"/>
        </w:rPr>
        <w:t>。</w:t>
      </w:r>
    </w:p>
    <w:p w14:paraId="5BE3AAC1" w14:textId="77777777" w:rsidR="00A6605D" w:rsidRDefault="00413D7E">
      <w:pPr>
        <w:spacing w:line="360" w:lineRule="auto"/>
        <w:ind w:firstLineChars="250" w:firstLine="525"/>
        <w:rPr>
          <w:rFonts w:ascii="Arial Unicode MS" w:hAnsi="Arial Unicode MS" w:cs="Arial"/>
          <w:bCs/>
          <w:szCs w:val="21"/>
        </w:rPr>
      </w:pPr>
      <w:r>
        <w:rPr>
          <w:rFonts w:ascii="Arial Unicode MS" w:hAnsi="Arial Unicode MS" w:cs="Arial" w:hint="eastAsia"/>
          <w:bCs/>
          <w:szCs w:val="21"/>
        </w:rPr>
        <w:t>本基金选择上述业绩比较基准的原因为本基金是通过债券资产的配置和个券的选择来增强债券投资的收益。中债综合指数（总财富）收益率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Pr>
          <w:rFonts w:ascii="Arial Unicode MS" w:hAnsi="Arial Unicode MS" w:cs="Arial" w:hint="eastAsia"/>
          <w:bCs/>
          <w:szCs w:val="21"/>
        </w:rPr>
        <w:t>80%</w:t>
      </w:r>
      <w:r>
        <w:rPr>
          <w:rFonts w:ascii="Arial Unicode MS" w:hAnsi="Arial Unicode MS" w:cs="Arial" w:hint="eastAsia"/>
          <w:bCs/>
          <w:szCs w:val="21"/>
        </w:rPr>
        <w:t>，持有现金或者到期日在一年以内的政府债券不低于基金资产净值的</w:t>
      </w:r>
      <w:r>
        <w:rPr>
          <w:rFonts w:ascii="Arial Unicode MS" w:hAnsi="Arial Unicode MS" w:cs="Arial" w:hint="eastAsia"/>
          <w:bCs/>
          <w:szCs w:val="21"/>
        </w:rPr>
        <w:t>5%</w:t>
      </w:r>
      <w:r>
        <w:rPr>
          <w:rFonts w:ascii="Arial Unicode MS" w:hAnsi="Arial Unicode MS" w:cs="Arial" w:hint="eastAsia"/>
          <w:bCs/>
          <w:szCs w:val="21"/>
        </w:rPr>
        <w:t>，采用</w:t>
      </w:r>
      <w:r>
        <w:rPr>
          <w:rFonts w:ascii="Arial Unicode MS" w:hAnsi="Arial Unicode MS" w:cs="Arial" w:hint="eastAsia"/>
          <w:bCs/>
          <w:szCs w:val="21"/>
        </w:rPr>
        <w:t>90%</w:t>
      </w:r>
      <w:r>
        <w:rPr>
          <w:rFonts w:ascii="Arial Unicode MS" w:hAnsi="Arial Unicode MS" w:cs="Arial" w:hint="eastAsia"/>
          <w:bCs/>
          <w:szCs w:val="21"/>
        </w:rPr>
        <w:t>作为业绩比较基准中债券投资所代表的权重，</w:t>
      </w:r>
      <w:r>
        <w:rPr>
          <w:rFonts w:ascii="Arial Unicode MS" w:hAnsi="Arial Unicode MS" w:cs="Arial" w:hint="eastAsia"/>
          <w:bCs/>
          <w:szCs w:val="21"/>
        </w:rPr>
        <w:t>10%</w:t>
      </w:r>
      <w:r>
        <w:rPr>
          <w:rFonts w:ascii="Arial Unicode MS" w:hAnsi="Arial Unicode MS" w:cs="Arial" w:hint="eastAsia"/>
          <w:bCs/>
          <w:szCs w:val="21"/>
        </w:rPr>
        <w:t>乘以</w:t>
      </w:r>
      <w:r>
        <w:rPr>
          <w:rFonts w:ascii="Arial Unicode MS" w:hAnsi="Arial Unicode MS" w:cs="Arial" w:hint="eastAsia"/>
          <w:bCs/>
          <w:szCs w:val="21"/>
        </w:rPr>
        <w:t>1</w:t>
      </w:r>
      <w:r>
        <w:rPr>
          <w:rFonts w:ascii="Arial Unicode MS" w:hAnsi="Arial Unicode MS" w:cs="Arial" w:hint="eastAsia"/>
          <w:bCs/>
          <w:szCs w:val="21"/>
        </w:rPr>
        <w:t>年定期银行存款利率（税后）作为资产所对应的权重可以较好的反映本基金的风险收益特征。</w:t>
      </w:r>
    </w:p>
    <w:p w14:paraId="481A9D4F"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若未来法律法规发生变化，或者有更权威的、更能为市场普遍接受的业绩比较基准推出，</w:t>
      </w:r>
      <w:r>
        <w:rPr>
          <w:rFonts w:ascii="Arial Unicode MS" w:hAnsi="Arial Unicode MS" w:cs="Arial" w:hint="eastAsia"/>
          <w:bCs/>
          <w:szCs w:val="21"/>
        </w:rPr>
        <w:lastRenderedPageBreak/>
        <w:t>或者市场发生变化导致本业绩比较基准不再适用，本基金管理人可以依据维护投资者合法权益的原则，在与基金托管人协商一致并报中国证监会备案后，适当调整业绩比较基准并及时公告，而无需召开基金份额持有人大会。</w:t>
      </w:r>
    </w:p>
    <w:p w14:paraId="4011A874" w14:textId="77777777" w:rsidR="00A6605D" w:rsidRDefault="00413D7E">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w:t>
      </w:r>
      <w:r>
        <w:rPr>
          <w:rFonts w:ascii="Arial Unicode MS" w:hAnsi="Arial Unicode MS" w:cs="Arial"/>
          <w:b/>
          <w:szCs w:val="21"/>
        </w:rPr>
        <w:t>、风险收益特征</w:t>
      </w:r>
    </w:p>
    <w:p w14:paraId="0078524C"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本基金为债券型基金，预期收益和预期风险高于货币市场基金，但低于混合型基金、股票型基金，属于中低预期风险</w:t>
      </w:r>
      <w:r>
        <w:rPr>
          <w:rFonts w:ascii="Arial Unicode MS" w:hAnsi="Arial Unicode MS" w:cs="Arial" w:hint="eastAsia"/>
          <w:bCs/>
          <w:szCs w:val="21"/>
        </w:rPr>
        <w:t>/</w:t>
      </w:r>
      <w:r>
        <w:rPr>
          <w:rFonts w:ascii="Arial Unicode MS" w:hAnsi="Arial Unicode MS" w:cs="Arial" w:hint="eastAsia"/>
          <w:bCs/>
          <w:szCs w:val="21"/>
        </w:rPr>
        <w:t>预期收益的产品。</w:t>
      </w:r>
    </w:p>
    <w:p w14:paraId="22F9CD28" w14:textId="77777777" w:rsidR="00A6605D" w:rsidRDefault="00413D7E">
      <w:pPr>
        <w:spacing w:line="360" w:lineRule="auto"/>
        <w:ind w:firstLineChars="200" w:firstLine="422"/>
        <w:rPr>
          <w:rFonts w:ascii="Arial Unicode MS" w:hAnsi="Arial Unicode MS" w:cs="Arial"/>
          <w:b/>
          <w:bCs/>
          <w:szCs w:val="21"/>
        </w:rPr>
      </w:pPr>
      <w:bookmarkStart w:id="60" w:name="_Toc79392634"/>
      <w:r>
        <w:rPr>
          <w:rFonts w:ascii="Arial Unicode MS" w:hAnsi="Arial Unicode MS" w:cs="Arial" w:hint="eastAsia"/>
          <w:b/>
          <w:bCs/>
          <w:szCs w:val="21"/>
        </w:rPr>
        <w:t>八、基金管理人代表基金行使相关权利的处理原则及方法</w:t>
      </w:r>
    </w:p>
    <w:p w14:paraId="64403D10"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、有利于基金资产的安全与增值；</w:t>
      </w:r>
    </w:p>
    <w:p w14:paraId="0F7389BC"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bCs/>
          <w:szCs w:val="21"/>
        </w:rPr>
        <w:t>2</w:t>
      </w:r>
      <w:r>
        <w:rPr>
          <w:rFonts w:ascii="Arial Unicode MS" w:hAnsi="Arial Unicode MS" w:cs="Arial" w:hint="eastAsia"/>
          <w:bCs/>
          <w:szCs w:val="21"/>
        </w:rPr>
        <w:t>、基金管理人按照国家有关规定代表基金独立行使相关权利，保护基金份额持有人的利益；</w:t>
      </w:r>
    </w:p>
    <w:p w14:paraId="5E77B747"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、不通过关联交易为自身、雇员、授权代理人或任何存在利害关系的第三人牟取任何不当利益。</w:t>
      </w:r>
    </w:p>
    <w:p w14:paraId="31BF11A9" w14:textId="77777777" w:rsidR="00A6605D" w:rsidRDefault="00413D7E">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九、侧袋机制的实施和投资运作安排</w:t>
      </w:r>
    </w:p>
    <w:p w14:paraId="0A154555"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6D11858C"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侧袋机制实施期间，本部分约定的投资组合比例、投资策略、组合限制、业绩比较基准、风险收益特征等约定仅适用于主袋账户。</w:t>
      </w:r>
    </w:p>
    <w:p w14:paraId="543D4A7D"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侧袋账户的实施条件、实施程序、运作安排、投资安排、特定资产的处置变现和支付等对投资者权益有重大影响的事项详见招募说明书“侧袋机制”部分的规定。</w:t>
      </w:r>
    </w:p>
    <w:p w14:paraId="4E5F7659" w14:textId="77777777" w:rsidR="00A6605D" w:rsidRDefault="00413D7E">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十、基金投资组合报告</w:t>
      </w:r>
    </w:p>
    <w:p w14:paraId="6746776F"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14:paraId="1560CD6B" w14:textId="0E7BECFD"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本基金托管人中国建设银行股份有限公司根据本基金合同规定，于</w:t>
      </w:r>
      <w:r>
        <w:rPr>
          <w:rFonts w:ascii="Arial Unicode MS" w:hAnsi="Arial Unicode MS" w:cs="Arial" w:hint="eastAsia"/>
          <w:bCs/>
          <w:szCs w:val="21"/>
        </w:rPr>
        <w:t>202</w:t>
      </w:r>
      <w:r>
        <w:rPr>
          <w:rFonts w:ascii="Arial Unicode MS" w:hAnsi="Arial Unicode MS" w:cs="Arial"/>
          <w:bCs/>
          <w:szCs w:val="21"/>
        </w:rPr>
        <w:t>2</w:t>
      </w:r>
      <w:r>
        <w:rPr>
          <w:rFonts w:ascii="Arial Unicode MS" w:hAnsi="Arial Unicode MS" w:cs="Arial" w:hint="eastAsia"/>
          <w:bCs/>
          <w:szCs w:val="21"/>
        </w:rPr>
        <w:t>年</w:t>
      </w:r>
      <w:r>
        <w:rPr>
          <w:rFonts w:ascii="Arial Unicode MS" w:hAnsi="Arial Unicode MS" w:cs="Arial"/>
          <w:bCs/>
          <w:szCs w:val="21"/>
        </w:rPr>
        <w:t>3</w:t>
      </w:r>
      <w:r>
        <w:rPr>
          <w:rFonts w:ascii="Arial Unicode MS" w:hAnsi="Arial Unicode MS" w:cs="Arial" w:hint="eastAsia"/>
          <w:bCs/>
          <w:szCs w:val="21"/>
        </w:rPr>
        <w:t>月</w:t>
      </w:r>
      <w:r w:rsidR="00B56854">
        <w:rPr>
          <w:rFonts w:ascii="Arial Unicode MS" w:hAnsi="Arial Unicode MS" w:cs="Arial" w:hint="eastAsia"/>
          <w:bCs/>
          <w:szCs w:val="21"/>
        </w:rPr>
        <w:t>18</w:t>
      </w:r>
      <w:r>
        <w:rPr>
          <w:rFonts w:ascii="Arial Unicode MS" w:hAnsi="Arial Unicode MS" w:cs="Arial" w:hint="eastAsia"/>
          <w:bCs/>
          <w:szCs w:val="21"/>
        </w:rPr>
        <w:t>日复核了本报告中的财务指标、净值表现和投资组合报告等内容，保证复核内容不存在虚假记载、误导性陈述或者重大遗漏。</w:t>
      </w:r>
    </w:p>
    <w:p w14:paraId="3DB55185" w14:textId="433F4CCC"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本投资组合报告所载数据截至</w:t>
      </w:r>
      <w:r>
        <w:rPr>
          <w:rFonts w:ascii="Arial Unicode MS" w:hAnsi="Arial Unicode MS" w:cs="Arial"/>
          <w:bCs/>
          <w:szCs w:val="21"/>
        </w:rPr>
        <w:t xml:space="preserve"> </w:t>
      </w:r>
      <w:r>
        <w:rPr>
          <w:rFonts w:ascii="Arial Unicode MS" w:hAnsi="Arial Unicode MS" w:cs="Arial" w:hint="eastAsia"/>
          <w:bCs/>
          <w:szCs w:val="21"/>
        </w:rPr>
        <w:t>20</w:t>
      </w:r>
      <w:r>
        <w:rPr>
          <w:rFonts w:ascii="Arial Unicode MS" w:hAnsi="Arial Unicode MS" w:cs="Arial"/>
          <w:bCs/>
          <w:szCs w:val="21"/>
        </w:rPr>
        <w:t>21</w:t>
      </w:r>
      <w:r>
        <w:rPr>
          <w:rFonts w:ascii="Arial Unicode MS" w:hAnsi="Arial Unicode MS" w:cs="Arial" w:hint="eastAsia"/>
          <w:bCs/>
          <w:szCs w:val="21"/>
        </w:rPr>
        <w:t>年</w:t>
      </w:r>
      <w:r>
        <w:rPr>
          <w:rFonts w:ascii="Arial Unicode MS" w:hAnsi="Arial Unicode MS" w:cs="Arial" w:hint="eastAsia"/>
          <w:bCs/>
          <w:szCs w:val="21"/>
        </w:rPr>
        <w:t>12</w:t>
      </w:r>
      <w:r>
        <w:rPr>
          <w:rFonts w:ascii="Arial Unicode MS" w:hAnsi="Arial Unicode MS" w:cs="Arial" w:hint="eastAsia"/>
          <w:bCs/>
          <w:szCs w:val="21"/>
        </w:rPr>
        <w:t>月</w:t>
      </w:r>
      <w:r>
        <w:rPr>
          <w:rFonts w:ascii="Arial Unicode MS" w:hAnsi="Arial Unicode MS" w:cs="Arial" w:hint="eastAsia"/>
          <w:bCs/>
          <w:szCs w:val="21"/>
        </w:rPr>
        <w:t>31</w:t>
      </w:r>
      <w:r>
        <w:rPr>
          <w:rFonts w:ascii="Arial Unicode MS" w:hAnsi="Arial Unicode MS" w:cs="Arial" w:hint="eastAsia"/>
          <w:bCs/>
          <w:szCs w:val="21"/>
        </w:rPr>
        <w:t>日，本报告中所列财务数据未经审计。</w:t>
      </w:r>
    </w:p>
    <w:p w14:paraId="70053860" w14:textId="77777777" w:rsidR="00A6605D" w:rsidRDefault="00A6605D">
      <w:pPr>
        <w:ind w:firstLine="420"/>
        <w:rPr>
          <w:szCs w:val="21"/>
        </w:rPr>
      </w:pPr>
    </w:p>
    <w:p w14:paraId="1350ABA5" w14:textId="77777777" w:rsidR="00A6605D" w:rsidRDefault="00413D7E">
      <w:pPr>
        <w:ind w:firstLineChars="200" w:firstLine="420"/>
        <w:rPr>
          <w:szCs w:val="21"/>
        </w:rPr>
      </w:pPr>
      <w:r>
        <w:rPr>
          <w:rFonts w:hint="eastAsia"/>
          <w:szCs w:val="21"/>
        </w:rPr>
        <w:t>1</w:t>
      </w:r>
      <w:r>
        <w:rPr>
          <w:rFonts w:hint="eastAsia"/>
          <w:szCs w:val="21"/>
        </w:rPr>
        <w:t>、报告期末基金资产组合情况</w:t>
      </w:r>
    </w:p>
    <w:tbl>
      <w:tblPr>
        <w:tblW w:w="8080" w:type="dxa"/>
        <w:tblInd w:w="108" w:type="dxa"/>
        <w:tblLook w:val="04A0" w:firstRow="1" w:lastRow="0" w:firstColumn="1" w:lastColumn="0" w:noHBand="0" w:noVBand="1"/>
      </w:tblPr>
      <w:tblGrid>
        <w:gridCol w:w="716"/>
        <w:gridCol w:w="2828"/>
        <w:gridCol w:w="2268"/>
        <w:gridCol w:w="2268"/>
      </w:tblGrid>
      <w:tr w:rsidR="00A6605D" w14:paraId="086AD72B"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18D59AA8" w14:textId="77777777" w:rsidR="00A6605D" w:rsidRDefault="00413D7E" w:rsidP="006B2775">
            <w:pPr>
              <w:pStyle w:val="biaogecenter"/>
              <w:wordWrap w:val="0"/>
              <w:ind w:left="0"/>
              <w:jc w:val="both"/>
              <w:rPr>
                <w:sz w:val="21"/>
                <w:szCs w:val="21"/>
              </w:rPr>
            </w:pPr>
            <w:r>
              <w:rPr>
                <w:rFonts w:hint="eastAsia"/>
                <w:sz w:val="21"/>
                <w:szCs w:val="21"/>
              </w:rPr>
              <w:t>序号</w:t>
            </w:r>
          </w:p>
        </w:tc>
        <w:tc>
          <w:tcPr>
            <w:tcW w:w="2828" w:type="dxa"/>
            <w:tcBorders>
              <w:top w:val="single" w:sz="8" w:space="0" w:color="000000"/>
              <w:left w:val="single" w:sz="8" w:space="0" w:color="000000"/>
              <w:bottom w:val="single" w:sz="6" w:space="0" w:color="000000"/>
              <w:right w:val="single" w:sz="8" w:space="0" w:color="000000"/>
            </w:tcBorders>
            <w:vAlign w:val="center"/>
          </w:tcPr>
          <w:p w14:paraId="559ADDF8" w14:textId="77777777" w:rsidR="00A6605D" w:rsidRDefault="00413D7E">
            <w:pPr>
              <w:pStyle w:val="biaogeleft"/>
              <w:rPr>
                <w:sz w:val="21"/>
                <w:szCs w:val="21"/>
              </w:rPr>
            </w:pPr>
            <w:r>
              <w:rPr>
                <w:rFonts w:hint="eastAsia"/>
                <w:sz w:val="21"/>
                <w:szCs w:val="21"/>
              </w:rPr>
              <w:t>项目</w:t>
            </w:r>
          </w:p>
        </w:tc>
        <w:tc>
          <w:tcPr>
            <w:tcW w:w="2268" w:type="dxa"/>
            <w:tcBorders>
              <w:top w:val="single" w:sz="8" w:space="0" w:color="000000"/>
              <w:left w:val="single" w:sz="8" w:space="0" w:color="000000"/>
              <w:bottom w:val="single" w:sz="6" w:space="0" w:color="000000"/>
              <w:right w:val="single" w:sz="8" w:space="0" w:color="000000"/>
            </w:tcBorders>
            <w:vAlign w:val="center"/>
          </w:tcPr>
          <w:p w14:paraId="3142631D" w14:textId="77777777" w:rsidR="00A6605D" w:rsidRDefault="00413D7E">
            <w:pPr>
              <w:pStyle w:val="biaogeright"/>
              <w:ind w:left="420" w:hanging="420"/>
              <w:rPr>
                <w:sz w:val="21"/>
                <w:szCs w:val="21"/>
              </w:rPr>
            </w:pPr>
            <w:r>
              <w:rPr>
                <w:rFonts w:hint="eastAsia"/>
                <w:sz w:val="21"/>
                <w:szCs w:val="21"/>
              </w:rPr>
              <w:t>金额(元)</w:t>
            </w:r>
          </w:p>
        </w:tc>
        <w:tc>
          <w:tcPr>
            <w:tcW w:w="2268" w:type="dxa"/>
            <w:tcBorders>
              <w:top w:val="single" w:sz="8" w:space="0" w:color="000000"/>
              <w:left w:val="single" w:sz="8" w:space="0" w:color="000000"/>
              <w:bottom w:val="single" w:sz="6" w:space="0" w:color="000000"/>
              <w:right w:val="single" w:sz="8" w:space="0" w:color="000000"/>
            </w:tcBorders>
            <w:vAlign w:val="center"/>
          </w:tcPr>
          <w:p w14:paraId="5AE11837" w14:textId="77777777" w:rsidR="00A6605D" w:rsidRDefault="00413D7E">
            <w:pPr>
              <w:pStyle w:val="biaogeright"/>
              <w:ind w:left="420" w:hanging="420"/>
              <w:rPr>
                <w:sz w:val="21"/>
                <w:szCs w:val="21"/>
              </w:rPr>
            </w:pPr>
            <w:r>
              <w:rPr>
                <w:rFonts w:hint="eastAsia"/>
                <w:sz w:val="21"/>
                <w:szCs w:val="21"/>
              </w:rPr>
              <w:t>占基金总资产的比例（%）</w:t>
            </w:r>
          </w:p>
        </w:tc>
      </w:tr>
      <w:tr w:rsidR="00A6605D" w14:paraId="62BE2F40"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05CD304A" w14:textId="77777777" w:rsidR="00A6605D" w:rsidRDefault="00413D7E">
            <w:pPr>
              <w:pStyle w:val="biaogecenter"/>
              <w:wordWrap w:val="0"/>
              <w:ind w:firstLine="420"/>
              <w:rPr>
                <w:sz w:val="21"/>
                <w:szCs w:val="21"/>
              </w:rPr>
            </w:pPr>
            <w:r>
              <w:rPr>
                <w:rFonts w:hint="eastAsia"/>
                <w:sz w:val="21"/>
                <w:szCs w:val="21"/>
              </w:rPr>
              <w:t>1</w:t>
            </w:r>
          </w:p>
        </w:tc>
        <w:tc>
          <w:tcPr>
            <w:tcW w:w="2828" w:type="dxa"/>
            <w:tcBorders>
              <w:top w:val="single" w:sz="8" w:space="0" w:color="000000"/>
              <w:left w:val="single" w:sz="8" w:space="0" w:color="000000"/>
              <w:bottom w:val="single" w:sz="6" w:space="0" w:color="000000"/>
              <w:right w:val="single" w:sz="8" w:space="0" w:color="000000"/>
            </w:tcBorders>
            <w:vAlign w:val="center"/>
          </w:tcPr>
          <w:p w14:paraId="2BC24C0B" w14:textId="77777777" w:rsidR="00A6605D" w:rsidRDefault="00413D7E">
            <w:pPr>
              <w:pStyle w:val="biaogeleft"/>
              <w:wordWrap w:val="0"/>
              <w:rPr>
                <w:sz w:val="21"/>
                <w:szCs w:val="21"/>
              </w:rPr>
            </w:pPr>
            <w:r>
              <w:rPr>
                <w:rFonts w:hint="eastAsia"/>
                <w:sz w:val="21"/>
                <w:szCs w:val="21"/>
              </w:rPr>
              <w:t>权益投资</w:t>
            </w:r>
          </w:p>
        </w:tc>
        <w:tc>
          <w:tcPr>
            <w:tcW w:w="2268" w:type="dxa"/>
            <w:tcBorders>
              <w:top w:val="single" w:sz="8" w:space="0" w:color="000000"/>
              <w:left w:val="single" w:sz="8" w:space="0" w:color="000000"/>
              <w:bottom w:val="single" w:sz="6" w:space="0" w:color="000000"/>
              <w:right w:val="single" w:sz="8" w:space="0" w:color="000000"/>
            </w:tcBorders>
            <w:vAlign w:val="center"/>
          </w:tcPr>
          <w:p w14:paraId="57EC0E92" w14:textId="6E72125C" w:rsidR="00A6605D" w:rsidRDefault="00413D7E">
            <w:pPr>
              <w:pStyle w:val="biaogeright"/>
              <w:wordWrap w:val="0"/>
              <w:ind w:left="420" w:hanging="420"/>
              <w:rPr>
                <w:sz w:val="21"/>
                <w:szCs w:val="21"/>
              </w:rPr>
            </w:pPr>
            <w:r>
              <w:rPr>
                <w:rFonts w:hint="eastAsia"/>
              </w:rP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15F7E94F" w14:textId="293754FA" w:rsidR="00A6605D" w:rsidRDefault="00413D7E">
            <w:pPr>
              <w:pStyle w:val="biaogeright"/>
              <w:wordWrap w:val="0"/>
              <w:ind w:left="420" w:hanging="420"/>
              <w:rPr>
                <w:sz w:val="21"/>
                <w:szCs w:val="21"/>
              </w:rPr>
            </w:pPr>
            <w:r>
              <w:rPr>
                <w:rFonts w:hint="eastAsia"/>
              </w:rPr>
              <w:t>-</w:t>
            </w:r>
          </w:p>
        </w:tc>
      </w:tr>
      <w:tr w:rsidR="00A6605D" w14:paraId="380EF092"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352782E4" w14:textId="77777777" w:rsidR="00A6605D" w:rsidRDefault="00A6605D">
            <w:pPr>
              <w:pStyle w:val="biaogecenter"/>
              <w:wordWrap w:val="0"/>
              <w:ind w:firstLine="420"/>
              <w:rPr>
                <w:sz w:val="21"/>
                <w:szCs w:val="21"/>
              </w:rPr>
            </w:pPr>
          </w:p>
        </w:tc>
        <w:tc>
          <w:tcPr>
            <w:tcW w:w="2828" w:type="dxa"/>
            <w:tcBorders>
              <w:top w:val="single" w:sz="8" w:space="0" w:color="000000"/>
              <w:left w:val="single" w:sz="8" w:space="0" w:color="000000"/>
              <w:bottom w:val="single" w:sz="6" w:space="0" w:color="000000"/>
              <w:right w:val="single" w:sz="8" w:space="0" w:color="000000"/>
            </w:tcBorders>
            <w:vAlign w:val="center"/>
          </w:tcPr>
          <w:p w14:paraId="47D53A19" w14:textId="77777777" w:rsidR="00A6605D" w:rsidRDefault="00413D7E">
            <w:pPr>
              <w:pStyle w:val="biaogeleft"/>
              <w:wordWrap w:val="0"/>
              <w:rPr>
                <w:sz w:val="21"/>
                <w:szCs w:val="21"/>
              </w:rPr>
            </w:pPr>
            <w:r>
              <w:rPr>
                <w:rFonts w:hint="eastAsia"/>
                <w:sz w:val="21"/>
                <w:szCs w:val="21"/>
              </w:rPr>
              <w:t>其中：股票</w:t>
            </w:r>
          </w:p>
        </w:tc>
        <w:tc>
          <w:tcPr>
            <w:tcW w:w="2268" w:type="dxa"/>
            <w:tcBorders>
              <w:top w:val="single" w:sz="8" w:space="0" w:color="000000"/>
              <w:left w:val="single" w:sz="8" w:space="0" w:color="000000"/>
              <w:bottom w:val="single" w:sz="6" w:space="0" w:color="000000"/>
              <w:right w:val="single" w:sz="8" w:space="0" w:color="000000"/>
            </w:tcBorders>
            <w:vAlign w:val="center"/>
          </w:tcPr>
          <w:p w14:paraId="5A229FAE" w14:textId="4AC3B08B" w:rsidR="00A6605D" w:rsidRDefault="00413D7E">
            <w:pPr>
              <w:pStyle w:val="biaogeright"/>
              <w:wordWrap w:val="0"/>
              <w:ind w:left="420" w:hanging="420"/>
              <w:rPr>
                <w:sz w:val="21"/>
                <w:szCs w:val="21"/>
              </w:rPr>
            </w:pPr>
            <w:r>
              <w:rPr>
                <w:rFonts w:hint="eastAsia"/>
              </w:rP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7D54C4CD" w14:textId="5058A767" w:rsidR="00A6605D" w:rsidRDefault="00413D7E">
            <w:pPr>
              <w:pStyle w:val="biaogeright"/>
              <w:wordWrap w:val="0"/>
              <w:ind w:left="420" w:hanging="420"/>
              <w:rPr>
                <w:sz w:val="21"/>
                <w:szCs w:val="21"/>
              </w:rPr>
            </w:pPr>
            <w:r>
              <w:rPr>
                <w:rFonts w:hint="eastAsia"/>
              </w:rPr>
              <w:t>-</w:t>
            </w:r>
          </w:p>
        </w:tc>
      </w:tr>
      <w:tr w:rsidR="00A6605D" w14:paraId="3EF88BAB"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302FF3DF" w14:textId="77777777" w:rsidR="00A6605D" w:rsidRDefault="00413D7E">
            <w:pPr>
              <w:pStyle w:val="biaogecenter"/>
              <w:wordWrap w:val="0"/>
              <w:ind w:firstLine="420"/>
              <w:rPr>
                <w:sz w:val="21"/>
                <w:szCs w:val="21"/>
              </w:rPr>
            </w:pPr>
            <w:r>
              <w:rPr>
                <w:rFonts w:hint="eastAsia"/>
                <w:sz w:val="21"/>
                <w:szCs w:val="21"/>
              </w:rPr>
              <w:lastRenderedPageBreak/>
              <w:t>2</w:t>
            </w:r>
          </w:p>
        </w:tc>
        <w:tc>
          <w:tcPr>
            <w:tcW w:w="2828" w:type="dxa"/>
            <w:tcBorders>
              <w:top w:val="single" w:sz="8" w:space="0" w:color="000000"/>
              <w:left w:val="single" w:sz="8" w:space="0" w:color="000000"/>
              <w:bottom w:val="single" w:sz="6" w:space="0" w:color="000000"/>
              <w:right w:val="single" w:sz="8" w:space="0" w:color="000000"/>
            </w:tcBorders>
            <w:vAlign w:val="center"/>
          </w:tcPr>
          <w:p w14:paraId="3AAB7BE4" w14:textId="77777777" w:rsidR="00A6605D" w:rsidRDefault="00413D7E">
            <w:pPr>
              <w:pStyle w:val="biaogeleft"/>
              <w:wordWrap w:val="0"/>
              <w:rPr>
                <w:sz w:val="21"/>
                <w:szCs w:val="21"/>
              </w:rPr>
            </w:pPr>
            <w:r>
              <w:rPr>
                <w:rFonts w:hint="eastAsia"/>
                <w:sz w:val="21"/>
                <w:szCs w:val="21"/>
              </w:rPr>
              <w:t>基金投资</w:t>
            </w:r>
          </w:p>
        </w:tc>
        <w:tc>
          <w:tcPr>
            <w:tcW w:w="2268" w:type="dxa"/>
            <w:tcBorders>
              <w:top w:val="single" w:sz="8" w:space="0" w:color="000000"/>
              <w:left w:val="single" w:sz="8" w:space="0" w:color="000000"/>
              <w:bottom w:val="single" w:sz="6" w:space="0" w:color="000000"/>
              <w:right w:val="single" w:sz="8" w:space="0" w:color="000000"/>
            </w:tcBorders>
            <w:vAlign w:val="center"/>
          </w:tcPr>
          <w:p w14:paraId="5FBCB769" w14:textId="741AEB43" w:rsidR="00A6605D" w:rsidRDefault="00413D7E">
            <w:pPr>
              <w:pStyle w:val="biaogeright"/>
              <w:wordWrap w:val="0"/>
              <w:ind w:left="420" w:hanging="420"/>
              <w:rPr>
                <w:sz w:val="21"/>
                <w:szCs w:val="21"/>
              </w:rPr>
            </w:pPr>
            <w:r>
              <w:rPr>
                <w:rFonts w:hint="eastAsia"/>
              </w:rP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65D53253" w14:textId="47C0692B" w:rsidR="00A6605D" w:rsidRDefault="00413D7E">
            <w:pPr>
              <w:pStyle w:val="biaogeright"/>
              <w:wordWrap w:val="0"/>
              <w:ind w:left="420" w:hanging="420"/>
              <w:rPr>
                <w:sz w:val="21"/>
                <w:szCs w:val="21"/>
              </w:rPr>
            </w:pPr>
            <w:r>
              <w:rPr>
                <w:rFonts w:hint="eastAsia"/>
              </w:rPr>
              <w:t>-</w:t>
            </w:r>
          </w:p>
        </w:tc>
      </w:tr>
      <w:tr w:rsidR="00A6605D" w14:paraId="516C7596"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0130014" w14:textId="77777777" w:rsidR="00A6605D" w:rsidRDefault="00413D7E">
            <w:pPr>
              <w:pStyle w:val="biaogecenter"/>
              <w:wordWrap w:val="0"/>
              <w:ind w:firstLine="420"/>
              <w:rPr>
                <w:sz w:val="21"/>
                <w:szCs w:val="21"/>
              </w:rPr>
            </w:pPr>
            <w:r>
              <w:rPr>
                <w:rFonts w:hint="eastAsia"/>
                <w:sz w:val="21"/>
                <w:szCs w:val="21"/>
              </w:rPr>
              <w:t>3</w:t>
            </w:r>
          </w:p>
        </w:tc>
        <w:tc>
          <w:tcPr>
            <w:tcW w:w="2828" w:type="dxa"/>
            <w:tcBorders>
              <w:top w:val="single" w:sz="8" w:space="0" w:color="000000"/>
              <w:left w:val="single" w:sz="8" w:space="0" w:color="000000"/>
              <w:bottom w:val="single" w:sz="6" w:space="0" w:color="000000"/>
              <w:right w:val="single" w:sz="8" w:space="0" w:color="000000"/>
            </w:tcBorders>
            <w:vAlign w:val="center"/>
          </w:tcPr>
          <w:p w14:paraId="53F6DAC1" w14:textId="77777777" w:rsidR="00A6605D" w:rsidRDefault="00413D7E">
            <w:pPr>
              <w:pStyle w:val="biaogeleft"/>
              <w:wordWrap w:val="0"/>
              <w:rPr>
                <w:sz w:val="21"/>
                <w:szCs w:val="21"/>
              </w:rPr>
            </w:pPr>
            <w:r>
              <w:rPr>
                <w:rFonts w:hint="eastAsia"/>
                <w:sz w:val="21"/>
                <w:szCs w:val="21"/>
              </w:rPr>
              <w:t>固定收益投资</w:t>
            </w:r>
          </w:p>
        </w:tc>
        <w:tc>
          <w:tcPr>
            <w:tcW w:w="2268" w:type="dxa"/>
            <w:tcBorders>
              <w:top w:val="single" w:sz="8" w:space="0" w:color="000000"/>
              <w:left w:val="single" w:sz="8" w:space="0" w:color="000000"/>
              <w:bottom w:val="single" w:sz="6" w:space="0" w:color="000000"/>
              <w:right w:val="single" w:sz="8" w:space="0" w:color="000000"/>
            </w:tcBorders>
            <w:vAlign w:val="center"/>
          </w:tcPr>
          <w:p w14:paraId="4032EFA3" w14:textId="3B8F6BF7" w:rsidR="00A6605D" w:rsidRDefault="00413D7E">
            <w:pPr>
              <w:pStyle w:val="biaogeright"/>
              <w:wordWrap w:val="0"/>
              <w:ind w:left="420" w:hanging="420"/>
              <w:rPr>
                <w:sz w:val="21"/>
                <w:szCs w:val="21"/>
              </w:rPr>
            </w:pPr>
            <w:r>
              <w:rPr>
                <w:rFonts w:hint="eastAsia"/>
              </w:rPr>
              <w:t>1,473,974,423.36</w:t>
            </w:r>
          </w:p>
        </w:tc>
        <w:tc>
          <w:tcPr>
            <w:tcW w:w="2268" w:type="dxa"/>
            <w:tcBorders>
              <w:top w:val="single" w:sz="8" w:space="0" w:color="000000"/>
              <w:left w:val="single" w:sz="8" w:space="0" w:color="000000"/>
              <w:bottom w:val="single" w:sz="6" w:space="0" w:color="000000"/>
              <w:right w:val="single" w:sz="8" w:space="0" w:color="000000"/>
            </w:tcBorders>
            <w:vAlign w:val="center"/>
          </w:tcPr>
          <w:p w14:paraId="7D200BAA" w14:textId="082DB84D" w:rsidR="00A6605D" w:rsidRDefault="00413D7E">
            <w:pPr>
              <w:pStyle w:val="biaogeright"/>
              <w:wordWrap w:val="0"/>
              <w:ind w:left="420" w:hanging="420"/>
              <w:rPr>
                <w:sz w:val="21"/>
                <w:szCs w:val="21"/>
              </w:rPr>
            </w:pPr>
            <w:r>
              <w:rPr>
                <w:rFonts w:hint="eastAsia"/>
              </w:rPr>
              <w:t>88.48</w:t>
            </w:r>
          </w:p>
        </w:tc>
      </w:tr>
      <w:tr w:rsidR="00A6605D" w14:paraId="681884B1"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48E7ED02" w14:textId="77777777" w:rsidR="00A6605D" w:rsidRDefault="00A6605D">
            <w:pPr>
              <w:pStyle w:val="biaogecenter"/>
              <w:wordWrap w:val="0"/>
              <w:ind w:firstLine="420"/>
              <w:rPr>
                <w:sz w:val="21"/>
                <w:szCs w:val="21"/>
              </w:rPr>
            </w:pPr>
          </w:p>
        </w:tc>
        <w:tc>
          <w:tcPr>
            <w:tcW w:w="2828" w:type="dxa"/>
            <w:tcBorders>
              <w:top w:val="single" w:sz="8" w:space="0" w:color="000000"/>
              <w:left w:val="single" w:sz="8" w:space="0" w:color="000000"/>
              <w:bottom w:val="single" w:sz="6" w:space="0" w:color="000000"/>
              <w:right w:val="single" w:sz="8" w:space="0" w:color="000000"/>
            </w:tcBorders>
            <w:vAlign w:val="center"/>
          </w:tcPr>
          <w:p w14:paraId="047C46B0" w14:textId="77777777" w:rsidR="00A6605D" w:rsidRDefault="00413D7E">
            <w:pPr>
              <w:pStyle w:val="biaogeleft"/>
              <w:wordWrap w:val="0"/>
              <w:rPr>
                <w:sz w:val="21"/>
                <w:szCs w:val="21"/>
              </w:rPr>
            </w:pPr>
            <w:r>
              <w:rPr>
                <w:rFonts w:hint="eastAsia"/>
                <w:sz w:val="21"/>
                <w:szCs w:val="21"/>
              </w:rPr>
              <w:t>其中：债券</w:t>
            </w:r>
          </w:p>
        </w:tc>
        <w:tc>
          <w:tcPr>
            <w:tcW w:w="2268" w:type="dxa"/>
            <w:tcBorders>
              <w:top w:val="single" w:sz="8" w:space="0" w:color="000000"/>
              <w:left w:val="single" w:sz="8" w:space="0" w:color="000000"/>
              <w:bottom w:val="single" w:sz="6" w:space="0" w:color="000000"/>
              <w:right w:val="single" w:sz="8" w:space="0" w:color="000000"/>
            </w:tcBorders>
            <w:vAlign w:val="center"/>
          </w:tcPr>
          <w:p w14:paraId="2EB08310" w14:textId="5D042615" w:rsidR="00A6605D" w:rsidRDefault="00413D7E">
            <w:pPr>
              <w:pStyle w:val="biaogeright"/>
              <w:wordWrap w:val="0"/>
              <w:ind w:left="420" w:hanging="420"/>
              <w:rPr>
                <w:sz w:val="21"/>
                <w:szCs w:val="21"/>
              </w:rPr>
            </w:pPr>
            <w:r>
              <w:rPr>
                <w:rFonts w:hint="eastAsia"/>
              </w:rPr>
              <w:t>1,473,974,423.36</w:t>
            </w:r>
          </w:p>
        </w:tc>
        <w:tc>
          <w:tcPr>
            <w:tcW w:w="2268" w:type="dxa"/>
            <w:tcBorders>
              <w:top w:val="single" w:sz="8" w:space="0" w:color="000000"/>
              <w:left w:val="single" w:sz="8" w:space="0" w:color="000000"/>
              <w:bottom w:val="single" w:sz="6" w:space="0" w:color="000000"/>
              <w:right w:val="single" w:sz="8" w:space="0" w:color="000000"/>
            </w:tcBorders>
            <w:vAlign w:val="center"/>
          </w:tcPr>
          <w:p w14:paraId="44A0CE56" w14:textId="0335D1BE" w:rsidR="00A6605D" w:rsidRDefault="00413D7E">
            <w:pPr>
              <w:pStyle w:val="biaogeright"/>
              <w:wordWrap w:val="0"/>
              <w:ind w:left="420" w:hanging="420"/>
              <w:rPr>
                <w:sz w:val="21"/>
                <w:szCs w:val="21"/>
              </w:rPr>
            </w:pPr>
            <w:r>
              <w:rPr>
                <w:rFonts w:hint="eastAsia"/>
              </w:rPr>
              <w:t>88.48</w:t>
            </w:r>
          </w:p>
        </w:tc>
      </w:tr>
      <w:tr w:rsidR="00A6605D" w14:paraId="48B35D69"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0FA77722" w14:textId="77777777" w:rsidR="00A6605D" w:rsidRDefault="00A6605D">
            <w:pPr>
              <w:pStyle w:val="biaogecenter"/>
              <w:wordWrap w:val="0"/>
              <w:ind w:firstLine="420"/>
              <w:rPr>
                <w:sz w:val="21"/>
                <w:szCs w:val="21"/>
              </w:rPr>
            </w:pPr>
          </w:p>
        </w:tc>
        <w:tc>
          <w:tcPr>
            <w:tcW w:w="2828" w:type="dxa"/>
            <w:tcBorders>
              <w:top w:val="single" w:sz="8" w:space="0" w:color="000000"/>
              <w:left w:val="single" w:sz="8" w:space="0" w:color="000000"/>
              <w:bottom w:val="single" w:sz="6" w:space="0" w:color="000000"/>
              <w:right w:val="single" w:sz="8" w:space="0" w:color="000000"/>
            </w:tcBorders>
            <w:vAlign w:val="center"/>
          </w:tcPr>
          <w:p w14:paraId="26921E5B" w14:textId="77777777" w:rsidR="00A6605D" w:rsidRDefault="00413D7E">
            <w:pPr>
              <w:pStyle w:val="biaogeleft"/>
              <w:wordWrap w:val="0"/>
              <w:rPr>
                <w:sz w:val="21"/>
                <w:szCs w:val="21"/>
              </w:rPr>
            </w:pPr>
            <w:r>
              <w:rPr>
                <w:rFonts w:hint="eastAsia"/>
                <w:sz w:val="21"/>
                <w:szCs w:val="21"/>
              </w:rPr>
              <w:t>资产支持证券</w:t>
            </w:r>
          </w:p>
        </w:tc>
        <w:tc>
          <w:tcPr>
            <w:tcW w:w="2268" w:type="dxa"/>
            <w:tcBorders>
              <w:top w:val="single" w:sz="8" w:space="0" w:color="000000"/>
              <w:left w:val="single" w:sz="8" w:space="0" w:color="000000"/>
              <w:bottom w:val="single" w:sz="6" w:space="0" w:color="000000"/>
              <w:right w:val="single" w:sz="8" w:space="0" w:color="000000"/>
            </w:tcBorders>
            <w:vAlign w:val="center"/>
          </w:tcPr>
          <w:p w14:paraId="4EA35C14" w14:textId="42BC1EE5" w:rsidR="00A6605D" w:rsidRDefault="00413D7E">
            <w:pPr>
              <w:pStyle w:val="biaogeright"/>
              <w:wordWrap w:val="0"/>
              <w:ind w:left="420" w:hanging="420"/>
              <w:rPr>
                <w:sz w:val="21"/>
                <w:szCs w:val="21"/>
              </w:rPr>
            </w:pPr>
            <w:r>
              <w:rPr>
                <w:rFonts w:hint="eastAsia"/>
              </w:rP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6C104EFE" w14:textId="45FA0BDD" w:rsidR="00A6605D" w:rsidRDefault="00413D7E">
            <w:pPr>
              <w:pStyle w:val="biaogeright"/>
              <w:wordWrap w:val="0"/>
              <w:ind w:left="420" w:hanging="420"/>
              <w:rPr>
                <w:sz w:val="21"/>
                <w:szCs w:val="21"/>
              </w:rPr>
            </w:pPr>
            <w:r>
              <w:rPr>
                <w:rFonts w:hint="eastAsia"/>
              </w:rPr>
              <w:t>-</w:t>
            </w:r>
          </w:p>
        </w:tc>
      </w:tr>
      <w:tr w:rsidR="00A6605D" w14:paraId="608B7B02"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41357CB" w14:textId="77777777" w:rsidR="00A6605D" w:rsidRDefault="00413D7E">
            <w:pPr>
              <w:pStyle w:val="biaogecenter"/>
              <w:wordWrap w:val="0"/>
              <w:ind w:firstLine="420"/>
              <w:rPr>
                <w:sz w:val="21"/>
                <w:szCs w:val="21"/>
              </w:rPr>
            </w:pPr>
            <w:r>
              <w:rPr>
                <w:rFonts w:hint="eastAsia"/>
                <w:sz w:val="21"/>
                <w:szCs w:val="21"/>
              </w:rPr>
              <w:t>4</w:t>
            </w:r>
          </w:p>
        </w:tc>
        <w:tc>
          <w:tcPr>
            <w:tcW w:w="2828" w:type="dxa"/>
            <w:tcBorders>
              <w:top w:val="single" w:sz="8" w:space="0" w:color="000000"/>
              <w:left w:val="single" w:sz="8" w:space="0" w:color="000000"/>
              <w:bottom w:val="single" w:sz="6" w:space="0" w:color="000000"/>
              <w:right w:val="single" w:sz="8" w:space="0" w:color="000000"/>
            </w:tcBorders>
            <w:vAlign w:val="center"/>
          </w:tcPr>
          <w:p w14:paraId="151BC7A3" w14:textId="77777777" w:rsidR="00A6605D" w:rsidRDefault="00413D7E">
            <w:pPr>
              <w:pStyle w:val="biaogeleft"/>
              <w:wordWrap w:val="0"/>
              <w:rPr>
                <w:sz w:val="21"/>
                <w:szCs w:val="21"/>
              </w:rPr>
            </w:pPr>
            <w:r>
              <w:rPr>
                <w:rFonts w:hint="eastAsia"/>
                <w:sz w:val="21"/>
                <w:szCs w:val="21"/>
              </w:rPr>
              <w:t>贵金属投资</w:t>
            </w:r>
          </w:p>
        </w:tc>
        <w:tc>
          <w:tcPr>
            <w:tcW w:w="2268" w:type="dxa"/>
            <w:tcBorders>
              <w:top w:val="single" w:sz="8" w:space="0" w:color="000000"/>
              <w:left w:val="single" w:sz="8" w:space="0" w:color="000000"/>
              <w:bottom w:val="single" w:sz="6" w:space="0" w:color="000000"/>
              <w:right w:val="single" w:sz="8" w:space="0" w:color="000000"/>
            </w:tcBorders>
            <w:vAlign w:val="center"/>
          </w:tcPr>
          <w:p w14:paraId="65C6773A" w14:textId="24A5F182" w:rsidR="00A6605D" w:rsidRDefault="00413D7E">
            <w:pPr>
              <w:pStyle w:val="biaogeright"/>
              <w:wordWrap w:val="0"/>
              <w:ind w:left="420" w:hanging="420"/>
              <w:rPr>
                <w:sz w:val="21"/>
                <w:szCs w:val="21"/>
              </w:rPr>
            </w:pPr>
            <w:r>
              <w:rPr>
                <w:rFonts w:hint="eastAsia"/>
              </w:rP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09D8E30F" w14:textId="0D2EC200" w:rsidR="00A6605D" w:rsidRDefault="00413D7E">
            <w:pPr>
              <w:pStyle w:val="biaogeright"/>
              <w:wordWrap w:val="0"/>
              <w:ind w:left="420" w:hanging="420"/>
              <w:rPr>
                <w:sz w:val="21"/>
                <w:szCs w:val="21"/>
              </w:rPr>
            </w:pPr>
            <w:r>
              <w:rPr>
                <w:rFonts w:hint="eastAsia"/>
              </w:rPr>
              <w:t>-</w:t>
            </w:r>
          </w:p>
        </w:tc>
      </w:tr>
      <w:tr w:rsidR="00A6605D" w14:paraId="4760A828"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1FADD48" w14:textId="77777777" w:rsidR="00A6605D" w:rsidRDefault="00413D7E">
            <w:pPr>
              <w:pStyle w:val="biaogecenter"/>
              <w:wordWrap w:val="0"/>
              <w:ind w:firstLine="420"/>
              <w:rPr>
                <w:sz w:val="21"/>
                <w:szCs w:val="21"/>
              </w:rPr>
            </w:pPr>
            <w:r>
              <w:rPr>
                <w:rFonts w:hint="eastAsia"/>
                <w:sz w:val="21"/>
                <w:szCs w:val="21"/>
              </w:rPr>
              <w:t>5</w:t>
            </w:r>
          </w:p>
        </w:tc>
        <w:tc>
          <w:tcPr>
            <w:tcW w:w="2828" w:type="dxa"/>
            <w:tcBorders>
              <w:top w:val="single" w:sz="8" w:space="0" w:color="000000"/>
              <w:left w:val="single" w:sz="8" w:space="0" w:color="000000"/>
              <w:bottom w:val="single" w:sz="6" w:space="0" w:color="000000"/>
              <w:right w:val="single" w:sz="8" w:space="0" w:color="000000"/>
            </w:tcBorders>
            <w:vAlign w:val="center"/>
          </w:tcPr>
          <w:p w14:paraId="70080006" w14:textId="77777777" w:rsidR="00A6605D" w:rsidRDefault="00413D7E">
            <w:pPr>
              <w:pStyle w:val="biaogeleft"/>
              <w:wordWrap w:val="0"/>
              <w:rPr>
                <w:sz w:val="21"/>
                <w:szCs w:val="21"/>
              </w:rPr>
            </w:pPr>
            <w:r>
              <w:rPr>
                <w:rFonts w:hint="eastAsia"/>
                <w:sz w:val="21"/>
                <w:szCs w:val="21"/>
              </w:rPr>
              <w:t>金融衍生品投资</w:t>
            </w:r>
          </w:p>
        </w:tc>
        <w:tc>
          <w:tcPr>
            <w:tcW w:w="2268" w:type="dxa"/>
            <w:tcBorders>
              <w:top w:val="single" w:sz="8" w:space="0" w:color="000000"/>
              <w:left w:val="single" w:sz="8" w:space="0" w:color="000000"/>
              <w:bottom w:val="single" w:sz="6" w:space="0" w:color="000000"/>
              <w:right w:val="single" w:sz="8" w:space="0" w:color="000000"/>
            </w:tcBorders>
            <w:vAlign w:val="center"/>
          </w:tcPr>
          <w:p w14:paraId="7DF5E375" w14:textId="55D52F33" w:rsidR="00A6605D" w:rsidRDefault="00413D7E">
            <w:pPr>
              <w:pStyle w:val="biaogeright"/>
              <w:wordWrap w:val="0"/>
              <w:ind w:left="420" w:hanging="420"/>
              <w:rPr>
                <w:sz w:val="21"/>
                <w:szCs w:val="21"/>
              </w:rPr>
            </w:pPr>
            <w:r>
              <w:rPr>
                <w:rFonts w:hint="eastAsia"/>
              </w:rP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5D23F451" w14:textId="6E809004" w:rsidR="00A6605D" w:rsidRDefault="00413D7E">
            <w:pPr>
              <w:pStyle w:val="biaogeright"/>
              <w:wordWrap w:val="0"/>
              <w:ind w:left="420" w:hanging="420"/>
              <w:rPr>
                <w:sz w:val="21"/>
                <w:szCs w:val="21"/>
              </w:rPr>
            </w:pPr>
            <w:r>
              <w:rPr>
                <w:rFonts w:hint="eastAsia"/>
              </w:rPr>
              <w:t>-</w:t>
            </w:r>
          </w:p>
        </w:tc>
      </w:tr>
      <w:tr w:rsidR="00A6605D" w14:paraId="4D373C5A"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21FF37A" w14:textId="77777777" w:rsidR="00A6605D" w:rsidRDefault="00413D7E">
            <w:pPr>
              <w:pStyle w:val="biaogecenter"/>
              <w:wordWrap w:val="0"/>
              <w:ind w:firstLine="420"/>
              <w:rPr>
                <w:sz w:val="21"/>
                <w:szCs w:val="21"/>
              </w:rPr>
            </w:pPr>
            <w:r>
              <w:rPr>
                <w:rFonts w:hint="eastAsia"/>
                <w:sz w:val="21"/>
                <w:szCs w:val="21"/>
              </w:rPr>
              <w:t>6</w:t>
            </w:r>
          </w:p>
        </w:tc>
        <w:tc>
          <w:tcPr>
            <w:tcW w:w="2828" w:type="dxa"/>
            <w:tcBorders>
              <w:top w:val="single" w:sz="8" w:space="0" w:color="000000"/>
              <w:left w:val="single" w:sz="8" w:space="0" w:color="000000"/>
              <w:bottom w:val="single" w:sz="6" w:space="0" w:color="000000"/>
              <w:right w:val="single" w:sz="8" w:space="0" w:color="000000"/>
            </w:tcBorders>
            <w:vAlign w:val="center"/>
          </w:tcPr>
          <w:p w14:paraId="7ECC6D34" w14:textId="77777777" w:rsidR="00A6605D" w:rsidRDefault="00413D7E">
            <w:pPr>
              <w:pStyle w:val="biaogeleft"/>
              <w:wordWrap w:val="0"/>
              <w:rPr>
                <w:sz w:val="21"/>
                <w:szCs w:val="21"/>
              </w:rPr>
            </w:pPr>
            <w:r>
              <w:rPr>
                <w:rFonts w:hint="eastAsia"/>
                <w:sz w:val="21"/>
                <w:szCs w:val="21"/>
              </w:rPr>
              <w:t>买入返售金融资产</w:t>
            </w:r>
          </w:p>
        </w:tc>
        <w:tc>
          <w:tcPr>
            <w:tcW w:w="2268" w:type="dxa"/>
            <w:tcBorders>
              <w:top w:val="single" w:sz="8" w:space="0" w:color="000000"/>
              <w:left w:val="single" w:sz="8" w:space="0" w:color="000000"/>
              <w:bottom w:val="single" w:sz="6" w:space="0" w:color="000000"/>
              <w:right w:val="single" w:sz="8" w:space="0" w:color="000000"/>
            </w:tcBorders>
            <w:vAlign w:val="center"/>
          </w:tcPr>
          <w:p w14:paraId="03865496" w14:textId="5521D726" w:rsidR="00A6605D" w:rsidRDefault="00413D7E">
            <w:pPr>
              <w:pStyle w:val="biaogeright"/>
              <w:wordWrap w:val="0"/>
              <w:ind w:left="420" w:hanging="420"/>
              <w:rPr>
                <w:sz w:val="21"/>
                <w:szCs w:val="21"/>
              </w:rPr>
            </w:pPr>
            <w:r>
              <w:rPr>
                <w:rFonts w:hint="eastAsia"/>
              </w:rPr>
              <w:t>160,900,711.35</w:t>
            </w:r>
          </w:p>
        </w:tc>
        <w:tc>
          <w:tcPr>
            <w:tcW w:w="2268" w:type="dxa"/>
            <w:tcBorders>
              <w:top w:val="single" w:sz="8" w:space="0" w:color="000000"/>
              <w:left w:val="single" w:sz="8" w:space="0" w:color="000000"/>
              <w:bottom w:val="single" w:sz="6" w:space="0" w:color="000000"/>
              <w:right w:val="single" w:sz="8" w:space="0" w:color="000000"/>
            </w:tcBorders>
            <w:vAlign w:val="center"/>
          </w:tcPr>
          <w:p w14:paraId="5367B929" w14:textId="0E47A3A6" w:rsidR="00A6605D" w:rsidRDefault="00413D7E">
            <w:pPr>
              <w:pStyle w:val="biaogeright"/>
              <w:wordWrap w:val="0"/>
              <w:ind w:left="420" w:hanging="420"/>
              <w:rPr>
                <w:sz w:val="21"/>
                <w:szCs w:val="21"/>
              </w:rPr>
            </w:pPr>
            <w:r>
              <w:rPr>
                <w:rFonts w:hint="eastAsia"/>
              </w:rPr>
              <w:t>9.66</w:t>
            </w:r>
          </w:p>
        </w:tc>
      </w:tr>
      <w:tr w:rsidR="00A6605D" w14:paraId="4F2CF84B"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5B131618" w14:textId="77777777" w:rsidR="00A6605D" w:rsidRDefault="00A6605D">
            <w:pPr>
              <w:pStyle w:val="biaogecenter"/>
              <w:wordWrap w:val="0"/>
              <w:ind w:firstLine="420"/>
              <w:rPr>
                <w:sz w:val="21"/>
                <w:szCs w:val="21"/>
              </w:rPr>
            </w:pPr>
          </w:p>
        </w:tc>
        <w:tc>
          <w:tcPr>
            <w:tcW w:w="2828" w:type="dxa"/>
            <w:tcBorders>
              <w:top w:val="single" w:sz="8" w:space="0" w:color="000000"/>
              <w:left w:val="single" w:sz="8" w:space="0" w:color="000000"/>
              <w:bottom w:val="single" w:sz="6" w:space="0" w:color="000000"/>
              <w:right w:val="single" w:sz="8" w:space="0" w:color="000000"/>
            </w:tcBorders>
            <w:vAlign w:val="center"/>
          </w:tcPr>
          <w:p w14:paraId="064388EA" w14:textId="77777777" w:rsidR="00A6605D" w:rsidRDefault="00413D7E">
            <w:pPr>
              <w:pStyle w:val="biaogeleft"/>
              <w:wordWrap w:val="0"/>
              <w:rPr>
                <w:sz w:val="21"/>
                <w:szCs w:val="21"/>
              </w:rPr>
            </w:pPr>
            <w:r>
              <w:rPr>
                <w:rFonts w:hint="eastAsia"/>
                <w:sz w:val="21"/>
                <w:szCs w:val="21"/>
              </w:rPr>
              <w:t>其中：买断式回购的买入返售金融资产</w:t>
            </w:r>
          </w:p>
        </w:tc>
        <w:tc>
          <w:tcPr>
            <w:tcW w:w="2268" w:type="dxa"/>
            <w:tcBorders>
              <w:top w:val="single" w:sz="8" w:space="0" w:color="000000"/>
              <w:left w:val="single" w:sz="8" w:space="0" w:color="000000"/>
              <w:bottom w:val="single" w:sz="6" w:space="0" w:color="000000"/>
              <w:right w:val="single" w:sz="8" w:space="0" w:color="000000"/>
            </w:tcBorders>
            <w:vAlign w:val="center"/>
          </w:tcPr>
          <w:p w14:paraId="67E82597" w14:textId="6D5DDEC9" w:rsidR="00A6605D" w:rsidRDefault="00413D7E">
            <w:pPr>
              <w:pStyle w:val="biaogeright"/>
              <w:wordWrap w:val="0"/>
              <w:ind w:left="420" w:hanging="420"/>
              <w:rPr>
                <w:sz w:val="21"/>
                <w:szCs w:val="21"/>
              </w:rPr>
            </w:pPr>
            <w:r>
              <w:rPr>
                <w:rFonts w:hint="eastAsia"/>
              </w:rP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4FF6EE9E" w14:textId="4538A9CC" w:rsidR="00A6605D" w:rsidRDefault="00413D7E">
            <w:pPr>
              <w:pStyle w:val="biaogeright"/>
              <w:wordWrap w:val="0"/>
              <w:ind w:left="420" w:hanging="420"/>
              <w:rPr>
                <w:sz w:val="21"/>
                <w:szCs w:val="21"/>
              </w:rPr>
            </w:pPr>
            <w:r>
              <w:rPr>
                <w:rFonts w:hint="eastAsia"/>
              </w:rPr>
              <w:t>-</w:t>
            </w:r>
          </w:p>
        </w:tc>
      </w:tr>
      <w:tr w:rsidR="00A6605D" w14:paraId="2613F2A7"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0B3E275F" w14:textId="77777777" w:rsidR="00A6605D" w:rsidRDefault="00413D7E">
            <w:pPr>
              <w:pStyle w:val="biaogecenter"/>
              <w:wordWrap w:val="0"/>
              <w:ind w:firstLine="420"/>
              <w:rPr>
                <w:sz w:val="21"/>
                <w:szCs w:val="21"/>
              </w:rPr>
            </w:pPr>
            <w:r>
              <w:rPr>
                <w:rFonts w:hint="eastAsia"/>
                <w:sz w:val="21"/>
                <w:szCs w:val="21"/>
              </w:rPr>
              <w:t>7</w:t>
            </w:r>
          </w:p>
        </w:tc>
        <w:tc>
          <w:tcPr>
            <w:tcW w:w="2828" w:type="dxa"/>
            <w:tcBorders>
              <w:top w:val="single" w:sz="8" w:space="0" w:color="000000"/>
              <w:left w:val="single" w:sz="8" w:space="0" w:color="000000"/>
              <w:bottom w:val="single" w:sz="6" w:space="0" w:color="000000"/>
              <w:right w:val="single" w:sz="8" w:space="0" w:color="000000"/>
            </w:tcBorders>
            <w:vAlign w:val="center"/>
          </w:tcPr>
          <w:p w14:paraId="6A791DFB" w14:textId="77777777" w:rsidR="00A6605D" w:rsidRDefault="00413D7E">
            <w:pPr>
              <w:pStyle w:val="biaogeleft"/>
              <w:wordWrap w:val="0"/>
              <w:rPr>
                <w:sz w:val="21"/>
                <w:szCs w:val="21"/>
              </w:rPr>
            </w:pPr>
            <w:r>
              <w:rPr>
                <w:rFonts w:hint="eastAsia"/>
                <w:sz w:val="21"/>
                <w:szCs w:val="21"/>
              </w:rPr>
              <w:t>银行存款和结算备付金合计</w:t>
            </w:r>
          </w:p>
        </w:tc>
        <w:tc>
          <w:tcPr>
            <w:tcW w:w="2268" w:type="dxa"/>
            <w:tcBorders>
              <w:top w:val="single" w:sz="8" w:space="0" w:color="000000"/>
              <w:left w:val="single" w:sz="8" w:space="0" w:color="000000"/>
              <w:bottom w:val="single" w:sz="6" w:space="0" w:color="000000"/>
              <w:right w:val="single" w:sz="8" w:space="0" w:color="000000"/>
            </w:tcBorders>
            <w:vAlign w:val="center"/>
          </w:tcPr>
          <w:p w14:paraId="43802869" w14:textId="29D6DCCA" w:rsidR="00A6605D" w:rsidRDefault="00413D7E">
            <w:pPr>
              <w:pStyle w:val="biaogeright"/>
              <w:wordWrap w:val="0"/>
              <w:ind w:left="420" w:hanging="420"/>
              <w:rPr>
                <w:sz w:val="21"/>
                <w:szCs w:val="21"/>
              </w:rPr>
            </w:pPr>
            <w:r>
              <w:rPr>
                <w:rFonts w:hint="eastAsia"/>
              </w:rPr>
              <w:t>5,137,259.81</w:t>
            </w:r>
          </w:p>
        </w:tc>
        <w:tc>
          <w:tcPr>
            <w:tcW w:w="2268" w:type="dxa"/>
            <w:tcBorders>
              <w:top w:val="single" w:sz="8" w:space="0" w:color="000000"/>
              <w:left w:val="single" w:sz="8" w:space="0" w:color="000000"/>
              <w:bottom w:val="single" w:sz="6" w:space="0" w:color="000000"/>
              <w:right w:val="single" w:sz="8" w:space="0" w:color="000000"/>
            </w:tcBorders>
            <w:vAlign w:val="center"/>
          </w:tcPr>
          <w:p w14:paraId="269B1226" w14:textId="32E0F784" w:rsidR="00A6605D" w:rsidRDefault="00413D7E">
            <w:pPr>
              <w:pStyle w:val="biaogeright"/>
              <w:wordWrap w:val="0"/>
              <w:ind w:left="420" w:hanging="420"/>
              <w:rPr>
                <w:sz w:val="21"/>
                <w:szCs w:val="21"/>
              </w:rPr>
            </w:pPr>
            <w:r>
              <w:rPr>
                <w:rFonts w:hint="eastAsia"/>
              </w:rPr>
              <w:t>0.31</w:t>
            </w:r>
          </w:p>
        </w:tc>
      </w:tr>
      <w:tr w:rsidR="00A6605D" w14:paraId="66731D73"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650C902" w14:textId="77777777" w:rsidR="00A6605D" w:rsidRDefault="00413D7E">
            <w:pPr>
              <w:pStyle w:val="biaogecenter"/>
              <w:wordWrap w:val="0"/>
              <w:ind w:firstLine="420"/>
              <w:rPr>
                <w:sz w:val="21"/>
                <w:szCs w:val="21"/>
              </w:rPr>
            </w:pPr>
            <w:r>
              <w:rPr>
                <w:rFonts w:hint="eastAsia"/>
                <w:sz w:val="21"/>
                <w:szCs w:val="21"/>
              </w:rPr>
              <w:t>8</w:t>
            </w:r>
          </w:p>
        </w:tc>
        <w:tc>
          <w:tcPr>
            <w:tcW w:w="2828" w:type="dxa"/>
            <w:tcBorders>
              <w:top w:val="single" w:sz="8" w:space="0" w:color="000000"/>
              <w:left w:val="single" w:sz="8" w:space="0" w:color="000000"/>
              <w:bottom w:val="single" w:sz="6" w:space="0" w:color="000000"/>
              <w:right w:val="single" w:sz="8" w:space="0" w:color="000000"/>
            </w:tcBorders>
            <w:vAlign w:val="center"/>
          </w:tcPr>
          <w:p w14:paraId="443C317C" w14:textId="77777777" w:rsidR="00A6605D" w:rsidRDefault="00413D7E">
            <w:pPr>
              <w:pStyle w:val="biaogeleft"/>
              <w:wordWrap w:val="0"/>
              <w:rPr>
                <w:sz w:val="21"/>
                <w:szCs w:val="21"/>
              </w:rPr>
            </w:pPr>
            <w:r>
              <w:rPr>
                <w:rFonts w:hint="eastAsia"/>
                <w:sz w:val="21"/>
                <w:szCs w:val="21"/>
              </w:rPr>
              <w:t>其他资产</w:t>
            </w:r>
          </w:p>
        </w:tc>
        <w:tc>
          <w:tcPr>
            <w:tcW w:w="2268" w:type="dxa"/>
            <w:tcBorders>
              <w:top w:val="single" w:sz="8" w:space="0" w:color="000000"/>
              <w:left w:val="single" w:sz="8" w:space="0" w:color="000000"/>
              <w:bottom w:val="single" w:sz="6" w:space="0" w:color="000000"/>
              <w:right w:val="single" w:sz="8" w:space="0" w:color="000000"/>
            </w:tcBorders>
            <w:vAlign w:val="center"/>
          </w:tcPr>
          <w:p w14:paraId="54434121" w14:textId="7B845D63" w:rsidR="00A6605D" w:rsidRDefault="00413D7E">
            <w:pPr>
              <w:pStyle w:val="biaogeright"/>
              <w:wordWrap w:val="0"/>
              <w:ind w:left="420" w:hanging="420"/>
              <w:rPr>
                <w:sz w:val="21"/>
                <w:szCs w:val="21"/>
              </w:rPr>
            </w:pPr>
            <w:r>
              <w:rPr>
                <w:rFonts w:hint="eastAsia"/>
              </w:rPr>
              <w:t>25,829,917.79</w:t>
            </w:r>
          </w:p>
        </w:tc>
        <w:tc>
          <w:tcPr>
            <w:tcW w:w="2268" w:type="dxa"/>
            <w:tcBorders>
              <w:top w:val="single" w:sz="8" w:space="0" w:color="000000"/>
              <w:left w:val="single" w:sz="8" w:space="0" w:color="000000"/>
              <w:bottom w:val="single" w:sz="6" w:space="0" w:color="000000"/>
              <w:right w:val="single" w:sz="8" w:space="0" w:color="000000"/>
            </w:tcBorders>
            <w:vAlign w:val="center"/>
          </w:tcPr>
          <w:p w14:paraId="33267C16" w14:textId="1FFFA863" w:rsidR="00A6605D" w:rsidRDefault="00413D7E">
            <w:pPr>
              <w:pStyle w:val="biaogeright"/>
              <w:wordWrap w:val="0"/>
              <w:ind w:left="420" w:hanging="420"/>
              <w:rPr>
                <w:sz w:val="21"/>
                <w:szCs w:val="21"/>
              </w:rPr>
            </w:pPr>
            <w:r>
              <w:rPr>
                <w:rFonts w:hint="eastAsia"/>
              </w:rPr>
              <w:t>1.55</w:t>
            </w:r>
          </w:p>
        </w:tc>
      </w:tr>
      <w:tr w:rsidR="00A6605D" w14:paraId="55B86CA5"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93DAD3A" w14:textId="77777777" w:rsidR="00A6605D" w:rsidRDefault="00413D7E">
            <w:pPr>
              <w:pStyle w:val="biaogecenter"/>
              <w:wordWrap w:val="0"/>
              <w:ind w:firstLine="420"/>
              <w:rPr>
                <w:sz w:val="21"/>
                <w:szCs w:val="21"/>
              </w:rPr>
            </w:pPr>
            <w:r>
              <w:rPr>
                <w:rFonts w:hint="eastAsia"/>
                <w:sz w:val="21"/>
                <w:szCs w:val="21"/>
              </w:rPr>
              <w:t>9</w:t>
            </w:r>
          </w:p>
        </w:tc>
        <w:tc>
          <w:tcPr>
            <w:tcW w:w="2828" w:type="dxa"/>
            <w:tcBorders>
              <w:top w:val="single" w:sz="8" w:space="0" w:color="000000"/>
              <w:left w:val="single" w:sz="8" w:space="0" w:color="000000"/>
              <w:bottom w:val="single" w:sz="6" w:space="0" w:color="000000"/>
              <w:right w:val="single" w:sz="8" w:space="0" w:color="000000"/>
            </w:tcBorders>
            <w:vAlign w:val="center"/>
          </w:tcPr>
          <w:p w14:paraId="7E2B6BD9" w14:textId="77777777" w:rsidR="00A6605D" w:rsidRDefault="00413D7E">
            <w:pPr>
              <w:pStyle w:val="biaogeleft"/>
              <w:wordWrap w:val="0"/>
              <w:rPr>
                <w:sz w:val="21"/>
                <w:szCs w:val="21"/>
              </w:rPr>
            </w:pPr>
            <w:r>
              <w:rPr>
                <w:rFonts w:hint="eastAsia"/>
                <w:sz w:val="21"/>
                <w:szCs w:val="21"/>
              </w:rPr>
              <w:t>合计</w:t>
            </w:r>
          </w:p>
        </w:tc>
        <w:tc>
          <w:tcPr>
            <w:tcW w:w="2268" w:type="dxa"/>
            <w:tcBorders>
              <w:top w:val="single" w:sz="8" w:space="0" w:color="000000"/>
              <w:left w:val="single" w:sz="8" w:space="0" w:color="000000"/>
              <w:bottom w:val="single" w:sz="6" w:space="0" w:color="000000"/>
              <w:right w:val="single" w:sz="8" w:space="0" w:color="000000"/>
            </w:tcBorders>
            <w:vAlign w:val="center"/>
          </w:tcPr>
          <w:p w14:paraId="62D5659B" w14:textId="2DEB968A" w:rsidR="00A6605D" w:rsidRDefault="00413D7E">
            <w:pPr>
              <w:pStyle w:val="biaogeright"/>
              <w:wordWrap w:val="0"/>
              <w:ind w:left="420" w:hanging="420"/>
              <w:rPr>
                <w:sz w:val="21"/>
                <w:szCs w:val="21"/>
              </w:rPr>
            </w:pPr>
            <w:r>
              <w:rPr>
                <w:rFonts w:hint="eastAsia"/>
              </w:rPr>
              <w:t>1,665,842,312.31</w:t>
            </w:r>
          </w:p>
        </w:tc>
        <w:tc>
          <w:tcPr>
            <w:tcW w:w="2268" w:type="dxa"/>
            <w:tcBorders>
              <w:top w:val="single" w:sz="8" w:space="0" w:color="000000"/>
              <w:left w:val="single" w:sz="8" w:space="0" w:color="000000"/>
              <w:bottom w:val="single" w:sz="6" w:space="0" w:color="000000"/>
              <w:right w:val="single" w:sz="8" w:space="0" w:color="000000"/>
            </w:tcBorders>
            <w:vAlign w:val="center"/>
          </w:tcPr>
          <w:p w14:paraId="2FA7DC3A" w14:textId="41FAE4EE" w:rsidR="00A6605D" w:rsidRDefault="00413D7E">
            <w:pPr>
              <w:pStyle w:val="biaogeright"/>
              <w:wordWrap w:val="0"/>
              <w:ind w:left="420" w:hanging="420"/>
              <w:rPr>
                <w:sz w:val="21"/>
                <w:szCs w:val="21"/>
              </w:rPr>
            </w:pPr>
            <w:r>
              <w:rPr>
                <w:rFonts w:hint="eastAsia"/>
              </w:rPr>
              <w:t>100.00</w:t>
            </w:r>
          </w:p>
        </w:tc>
      </w:tr>
    </w:tbl>
    <w:p w14:paraId="1F2CCC09" w14:textId="77777777" w:rsidR="00A6605D" w:rsidRDefault="00A6605D">
      <w:pPr>
        <w:widowControl/>
        <w:spacing w:line="360" w:lineRule="auto"/>
        <w:jc w:val="left"/>
        <w:rPr>
          <w:rFonts w:ascii="宋体" w:hAnsi="宋体" w:cs="宋体"/>
          <w:kern w:val="0"/>
          <w:szCs w:val="21"/>
        </w:rPr>
      </w:pPr>
    </w:p>
    <w:p w14:paraId="149C43CC" w14:textId="77777777" w:rsidR="00A6605D" w:rsidRDefault="00413D7E">
      <w:pPr>
        <w:pStyle w:val="neirong"/>
        <w:spacing w:line="360" w:lineRule="auto"/>
        <w:ind w:leftChars="7" w:firstLineChars="100" w:firstLine="210"/>
        <w:rPr>
          <w:bCs/>
          <w:szCs w:val="21"/>
        </w:rPr>
      </w:pPr>
      <w:r>
        <w:rPr>
          <w:bCs/>
          <w:sz w:val="21"/>
          <w:szCs w:val="21"/>
        </w:rPr>
        <w:t>2</w:t>
      </w:r>
      <w:r>
        <w:rPr>
          <w:rFonts w:hint="eastAsia"/>
          <w:bCs/>
          <w:sz w:val="21"/>
          <w:szCs w:val="21"/>
        </w:rPr>
        <w:t>、报告期末按行业分类的股票投资组合</w:t>
      </w:r>
    </w:p>
    <w:p w14:paraId="49E1AA5F" w14:textId="77777777" w:rsidR="00A6605D" w:rsidRDefault="00413D7E">
      <w:pPr>
        <w:pStyle w:val="neirong"/>
        <w:spacing w:line="360" w:lineRule="auto"/>
        <w:ind w:leftChars="7" w:firstLineChars="100" w:firstLine="210"/>
        <w:rPr>
          <w:bCs/>
          <w:szCs w:val="21"/>
        </w:rPr>
      </w:pPr>
      <w:r>
        <w:rPr>
          <w:rFonts w:hint="eastAsia"/>
          <w:bCs/>
          <w:sz w:val="21"/>
          <w:szCs w:val="21"/>
        </w:rPr>
        <w:t>（1）报告期末按行业分类的境内股票投资组合</w:t>
      </w:r>
    </w:p>
    <w:p w14:paraId="7151E05E" w14:textId="77777777" w:rsidR="00A6605D" w:rsidRDefault="00413D7E">
      <w:pPr>
        <w:pStyle w:val="neirong"/>
        <w:spacing w:line="360" w:lineRule="auto"/>
        <w:ind w:leftChars="7" w:firstLineChars="200" w:firstLine="420"/>
        <w:rPr>
          <w:bCs/>
          <w:szCs w:val="21"/>
        </w:rPr>
      </w:pPr>
      <w:r>
        <w:rPr>
          <w:rFonts w:hint="eastAsia"/>
          <w:bCs/>
          <w:sz w:val="21"/>
          <w:szCs w:val="21"/>
        </w:rPr>
        <w:t>本基金报告期末未持有股票。</w:t>
      </w:r>
    </w:p>
    <w:p w14:paraId="6D195887" w14:textId="77777777" w:rsidR="00A6605D" w:rsidRDefault="00413D7E">
      <w:pPr>
        <w:pStyle w:val="neirong"/>
        <w:spacing w:line="360" w:lineRule="auto"/>
        <w:ind w:leftChars="7" w:firstLineChars="100" w:firstLine="210"/>
        <w:rPr>
          <w:bCs/>
          <w:sz w:val="21"/>
          <w:szCs w:val="21"/>
        </w:rPr>
      </w:pPr>
      <w:r>
        <w:rPr>
          <w:rFonts w:hint="eastAsia"/>
          <w:bCs/>
          <w:sz w:val="21"/>
          <w:szCs w:val="21"/>
        </w:rPr>
        <w:t>（</w:t>
      </w:r>
      <w:r>
        <w:rPr>
          <w:bCs/>
          <w:sz w:val="21"/>
          <w:szCs w:val="21"/>
        </w:rPr>
        <w:t>2）报告期末按行业分类的港股通投资股票投资组合</w:t>
      </w:r>
    </w:p>
    <w:p w14:paraId="00661FEB" w14:textId="77777777" w:rsidR="00A6605D" w:rsidRDefault="00413D7E">
      <w:pPr>
        <w:pStyle w:val="neirong"/>
        <w:spacing w:line="360" w:lineRule="auto"/>
        <w:ind w:leftChars="7" w:firstLineChars="200" w:firstLine="420"/>
        <w:rPr>
          <w:bCs/>
          <w:sz w:val="21"/>
          <w:szCs w:val="21"/>
        </w:rPr>
      </w:pPr>
      <w:r>
        <w:rPr>
          <w:rFonts w:hint="eastAsia"/>
          <w:bCs/>
          <w:sz w:val="21"/>
          <w:szCs w:val="21"/>
        </w:rPr>
        <w:t>本基金报告期末未持有港股通股票。</w:t>
      </w:r>
    </w:p>
    <w:p w14:paraId="68E32AFF" w14:textId="77777777" w:rsidR="00A6605D" w:rsidRDefault="00A6605D">
      <w:pPr>
        <w:pStyle w:val="neirong"/>
        <w:spacing w:line="360" w:lineRule="auto"/>
        <w:ind w:leftChars="7" w:firstLineChars="200" w:firstLine="420"/>
        <w:rPr>
          <w:bCs/>
          <w:sz w:val="21"/>
          <w:szCs w:val="21"/>
        </w:rPr>
      </w:pPr>
    </w:p>
    <w:p w14:paraId="6DF5746B" w14:textId="77777777" w:rsidR="00A6605D" w:rsidRDefault="00413D7E">
      <w:pPr>
        <w:spacing w:line="360" w:lineRule="auto"/>
        <w:ind w:firstLineChars="100" w:firstLine="210"/>
        <w:rPr>
          <w:szCs w:val="21"/>
        </w:rPr>
      </w:pPr>
      <w:r>
        <w:rPr>
          <w:rFonts w:hint="eastAsia"/>
          <w:szCs w:val="21"/>
        </w:rPr>
        <w:t>3</w:t>
      </w:r>
      <w:r>
        <w:rPr>
          <w:rFonts w:hint="eastAsia"/>
          <w:szCs w:val="21"/>
        </w:rPr>
        <w:t>、报告期末按公允价值占基金资产净值比例大小排序的前十名股票投资明细</w:t>
      </w:r>
    </w:p>
    <w:p w14:paraId="2C1B69F8" w14:textId="77777777" w:rsidR="008C2EBF" w:rsidRDefault="008C2EBF">
      <w:pPr>
        <w:spacing w:line="360" w:lineRule="auto"/>
        <w:ind w:firstLineChars="100" w:firstLine="210"/>
        <w:rPr>
          <w:vanish/>
          <w:szCs w:val="21"/>
        </w:rPr>
      </w:pPr>
    </w:p>
    <w:p w14:paraId="591DA860" w14:textId="512D4C29" w:rsidR="00A6605D" w:rsidRDefault="00413D7E">
      <w:pPr>
        <w:pStyle w:val="neirong"/>
        <w:spacing w:line="360" w:lineRule="auto"/>
        <w:ind w:left="0" w:firstLineChars="200" w:firstLine="420"/>
        <w:rPr>
          <w:sz w:val="21"/>
          <w:szCs w:val="21"/>
        </w:rPr>
      </w:pPr>
      <w:r>
        <w:rPr>
          <w:rFonts w:hint="eastAsia"/>
          <w:sz w:val="21"/>
          <w:szCs w:val="21"/>
        </w:rPr>
        <w:t>本基金本报告期末未持有股票。</w:t>
      </w:r>
    </w:p>
    <w:p w14:paraId="61D15ECA" w14:textId="77777777" w:rsidR="00A6605D" w:rsidRDefault="00A6605D">
      <w:pPr>
        <w:spacing w:line="360" w:lineRule="auto"/>
        <w:ind w:firstLineChars="100" w:firstLine="210"/>
        <w:rPr>
          <w:szCs w:val="21"/>
        </w:rPr>
      </w:pPr>
    </w:p>
    <w:p w14:paraId="382E4526" w14:textId="77777777" w:rsidR="00A6605D" w:rsidRDefault="00413D7E">
      <w:pPr>
        <w:spacing w:line="360" w:lineRule="auto"/>
        <w:ind w:firstLineChars="100" w:firstLine="210"/>
      </w:pPr>
      <w:r>
        <w:rPr>
          <w:rFonts w:hint="eastAsia"/>
          <w:szCs w:val="21"/>
        </w:rPr>
        <w:t>4</w:t>
      </w:r>
      <w:r>
        <w:rPr>
          <w:rFonts w:hint="eastAsia"/>
          <w:szCs w:val="21"/>
        </w:rPr>
        <w:t>、报告期末按债券品种分类的债券投资组合</w:t>
      </w:r>
    </w:p>
    <w:tbl>
      <w:tblPr>
        <w:tblW w:w="0" w:type="auto"/>
        <w:tblInd w:w="108" w:type="dxa"/>
        <w:tblLook w:val="04A0" w:firstRow="1" w:lastRow="0" w:firstColumn="1" w:lastColumn="0" w:noHBand="0" w:noVBand="1"/>
      </w:tblPr>
      <w:tblGrid>
        <w:gridCol w:w="1150"/>
        <w:gridCol w:w="2717"/>
        <w:gridCol w:w="2139"/>
        <w:gridCol w:w="2174"/>
      </w:tblGrid>
      <w:tr w:rsidR="00A6605D" w14:paraId="186283BE"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21F8D82"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序号</w:t>
            </w:r>
          </w:p>
        </w:tc>
        <w:tc>
          <w:tcPr>
            <w:tcW w:w="2717" w:type="dxa"/>
            <w:tcBorders>
              <w:top w:val="single" w:sz="8" w:space="0" w:color="000000"/>
              <w:left w:val="single" w:sz="8" w:space="0" w:color="000000"/>
              <w:bottom w:val="single" w:sz="6" w:space="0" w:color="000000"/>
              <w:right w:val="single" w:sz="8" w:space="0" w:color="000000"/>
            </w:tcBorders>
            <w:vAlign w:val="center"/>
          </w:tcPr>
          <w:p w14:paraId="6F8491BC" w14:textId="77777777" w:rsidR="00A6605D" w:rsidRDefault="00413D7E">
            <w:pPr>
              <w:pStyle w:val="biaogeleft"/>
              <w:rPr>
                <w:sz w:val="21"/>
                <w:szCs w:val="21"/>
              </w:rPr>
            </w:pPr>
            <w:r>
              <w:rPr>
                <w:rFonts w:hint="eastAsia"/>
                <w:sz w:val="21"/>
                <w:szCs w:val="21"/>
              </w:rPr>
              <w:t>债券品种</w:t>
            </w:r>
          </w:p>
        </w:tc>
        <w:tc>
          <w:tcPr>
            <w:tcW w:w="2139" w:type="dxa"/>
            <w:tcBorders>
              <w:top w:val="single" w:sz="8" w:space="0" w:color="000000"/>
              <w:left w:val="single" w:sz="8" w:space="0" w:color="000000"/>
              <w:bottom w:val="single" w:sz="6" w:space="0" w:color="000000"/>
              <w:right w:val="single" w:sz="8" w:space="0" w:color="000000"/>
            </w:tcBorders>
            <w:vAlign w:val="center"/>
          </w:tcPr>
          <w:p w14:paraId="4BD7CD83" w14:textId="77777777" w:rsidR="00A6605D" w:rsidRDefault="00413D7E">
            <w:pPr>
              <w:pStyle w:val="biaogeright"/>
              <w:ind w:left="420" w:hanging="420"/>
              <w:rPr>
                <w:rFonts w:hAnsi="Calibri"/>
                <w:color w:val="000000"/>
                <w:sz w:val="21"/>
                <w:szCs w:val="21"/>
              </w:rPr>
            </w:pPr>
            <w:r>
              <w:rPr>
                <w:rFonts w:hAnsi="Calibri" w:hint="eastAsia"/>
                <w:color w:val="000000"/>
                <w:sz w:val="21"/>
                <w:szCs w:val="21"/>
              </w:rPr>
              <w:t>公允价值(元)</w:t>
            </w:r>
          </w:p>
        </w:tc>
        <w:tc>
          <w:tcPr>
            <w:tcW w:w="2174" w:type="dxa"/>
            <w:tcBorders>
              <w:top w:val="single" w:sz="8" w:space="0" w:color="000000"/>
              <w:left w:val="single" w:sz="8" w:space="0" w:color="000000"/>
              <w:bottom w:val="single" w:sz="6" w:space="0" w:color="000000"/>
              <w:right w:val="single" w:sz="8" w:space="0" w:color="000000"/>
            </w:tcBorders>
            <w:vAlign w:val="center"/>
          </w:tcPr>
          <w:p w14:paraId="30F3E9F1" w14:textId="77777777" w:rsidR="00A6605D" w:rsidRDefault="00413D7E">
            <w:pPr>
              <w:pStyle w:val="biaogeright"/>
              <w:ind w:left="420" w:hanging="420"/>
              <w:rPr>
                <w:rFonts w:hAnsi="Calibri"/>
                <w:color w:val="000000"/>
                <w:sz w:val="21"/>
                <w:szCs w:val="21"/>
              </w:rPr>
            </w:pPr>
            <w:r>
              <w:rPr>
                <w:rFonts w:hAnsi="Calibri" w:hint="eastAsia"/>
                <w:color w:val="000000"/>
                <w:sz w:val="21"/>
                <w:szCs w:val="21"/>
              </w:rPr>
              <w:t>占基金资产净值比例（％）</w:t>
            </w:r>
          </w:p>
        </w:tc>
      </w:tr>
      <w:tr w:rsidR="00A6605D" w14:paraId="000C315E"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1664C48D"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1</w:t>
            </w:r>
          </w:p>
        </w:tc>
        <w:tc>
          <w:tcPr>
            <w:tcW w:w="2717" w:type="dxa"/>
            <w:tcBorders>
              <w:top w:val="single" w:sz="8" w:space="0" w:color="000000"/>
              <w:left w:val="single" w:sz="8" w:space="0" w:color="000000"/>
              <w:bottom w:val="single" w:sz="6" w:space="0" w:color="000000"/>
              <w:right w:val="single" w:sz="8" w:space="0" w:color="000000"/>
            </w:tcBorders>
            <w:vAlign w:val="center"/>
          </w:tcPr>
          <w:p w14:paraId="32D5155D" w14:textId="77777777" w:rsidR="00A6605D" w:rsidRDefault="00413D7E">
            <w:pPr>
              <w:pStyle w:val="biaogeleft"/>
              <w:wordWrap w:val="0"/>
              <w:rPr>
                <w:sz w:val="21"/>
                <w:szCs w:val="21"/>
              </w:rPr>
            </w:pPr>
            <w:r>
              <w:rPr>
                <w:rFonts w:hint="eastAsia"/>
                <w:sz w:val="21"/>
                <w:szCs w:val="21"/>
              </w:rPr>
              <w:t>国家债券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33A156D8" w14:textId="51CFA898" w:rsidR="00A6605D" w:rsidRDefault="00413D7E">
            <w:pPr>
              <w:pStyle w:val="biaogeright"/>
              <w:wordWrap w:val="0"/>
              <w:ind w:left="420" w:hanging="420"/>
              <w:rPr>
                <w:rFonts w:hAnsi="Calibri"/>
                <w:color w:val="000000"/>
                <w:sz w:val="21"/>
                <w:szCs w:val="21"/>
              </w:rPr>
            </w:pPr>
            <w:r>
              <w:rPr>
                <w:rFonts w:hAnsi="等线" w:hint="eastAsia"/>
                <w:color w:val="000000"/>
              </w:rPr>
              <w:t>20,404,754.00</w:t>
            </w:r>
          </w:p>
        </w:tc>
        <w:tc>
          <w:tcPr>
            <w:tcW w:w="2174" w:type="dxa"/>
            <w:tcBorders>
              <w:top w:val="single" w:sz="8" w:space="0" w:color="000000"/>
              <w:left w:val="single" w:sz="8" w:space="0" w:color="000000"/>
              <w:bottom w:val="single" w:sz="6" w:space="0" w:color="000000"/>
              <w:right w:val="single" w:sz="8" w:space="0" w:color="000000"/>
            </w:tcBorders>
            <w:vAlign w:val="center"/>
          </w:tcPr>
          <w:p w14:paraId="4F8D6FF0" w14:textId="2683B80C" w:rsidR="00A6605D" w:rsidRDefault="00413D7E">
            <w:pPr>
              <w:pStyle w:val="biaogeright"/>
              <w:wordWrap w:val="0"/>
              <w:ind w:left="420" w:hanging="420"/>
              <w:rPr>
                <w:rFonts w:hAnsi="Calibri"/>
                <w:color w:val="000000"/>
                <w:sz w:val="21"/>
                <w:szCs w:val="21"/>
              </w:rPr>
            </w:pPr>
            <w:r>
              <w:rPr>
                <w:rFonts w:hAnsi="等线" w:hint="eastAsia"/>
                <w:color w:val="000000"/>
              </w:rPr>
              <w:t>1.48</w:t>
            </w:r>
          </w:p>
        </w:tc>
      </w:tr>
      <w:tr w:rsidR="00A6605D" w14:paraId="4240AAD3"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ECE9B31"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2</w:t>
            </w:r>
          </w:p>
        </w:tc>
        <w:tc>
          <w:tcPr>
            <w:tcW w:w="2717" w:type="dxa"/>
            <w:tcBorders>
              <w:top w:val="single" w:sz="8" w:space="0" w:color="000000"/>
              <w:left w:val="single" w:sz="8" w:space="0" w:color="000000"/>
              <w:bottom w:val="single" w:sz="6" w:space="0" w:color="000000"/>
              <w:right w:val="single" w:sz="8" w:space="0" w:color="000000"/>
            </w:tcBorders>
            <w:vAlign w:val="center"/>
          </w:tcPr>
          <w:p w14:paraId="0724A1EA" w14:textId="77777777" w:rsidR="00A6605D" w:rsidRDefault="00413D7E">
            <w:pPr>
              <w:pStyle w:val="biaogeleft"/>
              <w:wordWrap w:val="0"/>
              <w:rPr>
                <w:sz w:val="21"/>
                <w:szCs w:val="21"/>
              </w:rPr>
            </w:pPr>
            <w:r>
              <w:rPr>
                <w:rFonts w:hint="eastAsia"/>
                <w:sz w:val="21"/>
                <w:szCs w:val="21"/>
              </w:rPr>
              <w:t>央行票据</w:t>
            </w:r>
          </w:p>
        </w:tc>
        <w:tc>
          <w:tcPr>
            <w:tcW w:w="2139" w:type="dxa"/>
            <w:tcBorders>
              <w:top w:val="single" w:sz="8" w:space="0" w:color="000000"/>
              <w:left w:val="single" w:sz="8" w:space="0" w:color="000000"/>
              <w:bottom w:val="single" w:sz="6" w:space="0" w:color="000000"/>
              <w:right w:val="single" w:sz="8" w:space="0" w:color="000000"/>
            </w:tcBorders>
            <w:vAlign w:val="center"/>
          </w:tcPr>
          <w:p w14:paraId="2364398B" w14:textId="26385C42" w:rsidR="00A6605D" w:rsidRDefault="00413D7E">
            <w:pPr>
              <w:pStyle w:val="biaogeright"/>
              <w:wordWrap w:val="0"/>
              <w:ind w:left="420" w:hanging="420"/>
              <w:rPr>
                <w:rFonts w:hAnsi="Calibri"/>
                <w:color w:val="000000"/>
                <w:sz w:val="21"/>
                <w:szCs w:val="21"/>
              </w:rPr>
            </w:pPr>
            <w:r>
              <w:rPr>
                <w:rFonts w:hAnsi="等线" w:hint="eastAsia"/>
                <w:color w:val="000000"/>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5700516D" w14:textId="5B3816C8" w:rsidR="00A6605D" w:rsidRDefault="00413D7E">
            <w:pPr>
              <w:pStyle w:val="biaogeright"/>
              <w:wordWrap w:val="0"/>
              <w:ind w:left="420" w:hanging="420"/>
              <w:rPr>
                <w:rFonts w:hAnsi="Calibri"/>
                <w:color w:val="000000"/>
                <w:sz w:val="21"/>
                <w:szCs w:val="21"/>
              </w:rPr>
            </w:pPr>
            <w:r>
              <w:rPr>
                <w:rFonts w:hAnsi="等线" w:hint="eastAsia"/>
                <w:color w:val="000000"/>
              </w:rPr>
              <w:t>-</w:t>
            </w:r>
          </w:p>
        </w:tc>
      </w:tr>
      <w:tr w:rsidR="00A6605D" w14:paraId="36E136BB"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45E62D87"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3</w:t>
            </w:r>
          </w:p>
        </w:tc>
        <w:tc>
          <w:tcPr>
            <w:tcW w:w="2717" w:type="dxa"/>
            <w:tcBorders>
              <w:top w:val="single" w:sz="8" w:space="0" w:color="000000"/>
              <w:left w:val="single" w:sz="8" w:space="0" w:color="000000"/>
              <w:bottom w:val="single" w:sz="6" w:space="0" w:color="000000"/>
              <w:right w:val="single" w:sz="8" w:space="0" w:color="000000"/>
            </w:tcBorders>
            <w:vAlign w:val="center"/>
          </w:tcPr>
          <w:p w14:paraId="2A6D7BD2" w14:textId="77777777" w:rsidR="00A6605D" w:rsidRDefault="00413D7E">
            <w:pPr>
              <w:pStyle w:val="biaogeleft"/>
              <w:wordWrap w:val="0"/>
              <w:rPr>
                <w:sz w:val="21"/>
                <w:szCs w:val="21"/>
              </w:rPr>
            </w:pPr>
            <w:r>
              <w:rPr>
                <w:rFonts w:hint="eastAsia"/>
                <w:sz w:val="21"/>
                <w:szCs w:val="21"/>
              </w:rPr>
              <w:t>金融债券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4533F0B8" w14:textId="11CEE973" w:rsidR="00A6605D" w:rsidRDefault="00413D7E">
            <w:pPr>
              <w:pStyle w:val="biaogeright"/>
              <w:wordWrap w:val="0"/>
              <w:ind w:left="420" w:hanging="420"/>
              <w:rPr>
                <w:rFonts w:hAnsi="Calibri"/>
                <w:color w:val="000000"/>
                <w:sz w:val="21"/>
                <w:szCs w:val="21"/>
              </w:rPr>
            </w:pPr>
            <w:r>
              <w:rPr>
                <w:rFonts w:hAnsi="等线" w:hint="eastAsia"/>
                <w:color w:val="000000"/>
              </w:rPr>
              <w:t>422,259,500.00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74A69CFB" w14:textId="49DE9EBE" w:rsidR="00A6605D" w:rsidRDefault="00413D7E">
            <w:pPr>
              <w:pStyle w:val="biaogeright"/>
              <w:wordWrap w:val="0"/>
              <w:ind w:left="420" w:hanging="420"/>
              <w:rPr>
                <w:rFonts w:hAnsi="Calibri"/>
                <w:color w:val="000000"/>
                <w:sz w:val="21"/>
                <w:szCs w:val="21"/>
              </w:rPr>
            </w:pPr>
            <w:r>
              <w:rPr>
                <w:rFonts w:hAnsi="等线" w:hint="eastAsia"/>
                <w:color w:val="000000"/>
              </w:rPr>
              <w:t>30.58</w:t>
            </w:r>
          </w:p>
        </w:tc>
      </w:tr>
      <w:tr w:rsidR="00A6605D" w14:paraId="2073087A"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78FD6CFC" w14:textId="77777777" w:rsidR="00A6605D" w:rsidRDefault="00A6605D">
            <w:pPr>
              <w:pStyle w:val="biaogecenter"/>
              <w:wordWrap w:val="0"/>
              <w:ind w:firstLine="420"/>
              <w:rPr>
                <w:rFonts w:hAnsi="Calibri"/>
                <w:color w:val="000000"/>
                <w:sz w:val="21"/>
                <w:szCs w:val="21"/>
              </w:rPr>
            </w:pPr>
          </w:p>
        </w:tc>
        <w:tc>
          <w:tcPr>
            <w:tcW w:w="2717" w:type="dxa"/>
            <w:tcBorders>
              <w:top w:val="single" w:sz="8" w:space="0" w:color="000000"/>
              <w:left w:val="single" w:sz="8" w:space="0" w:color="000000"/>
              <w:bottom w:val="single" w:sz="6" w:space="0" w:color="000000"/>
              <w:right w:val="single" w:sz="8" w:space="0" w:color="000000"/>
            </w:tcBorders>
            <w:vAlign w:val="center"/>
          </w:tcPr>
          <w:p w14:paraId="2D4B0392" w14:textId="77777777" w:rsidR="00A6605D" w:rsidRDefault="00413D7E">
            <w:pPr>
              <w:pStyle w:val="biaogeleft"/>
              <w:wordWrap w:val="0"/>
              <w:rPr>
                <w:sz w:val="21"/>
                <w:szCs w:val="21"/>
              </w:rPr>
            </w:pPr>
            <w:r>
              <w:rPr>
                <w:rFonts w:hint="eastAsia"/>
                <w:sz w:val="21"/>
                <w:szCs w:val="21"/>
              </w:rPr>
              <w:t>其中：政策性金融债</w:t>
            </w:r>
          </w:p>
        </w:tc>
        <w:tc>
          <w:tcPr>
            <w:tcW w:w="2139" w:type="dxa"/>
            <w:tcBorders>
              <w:top w:val="single" w:sz="8" w:space="0" w:color="000000"/>
              <w:left w:val="single" w:sz="8" w:space="0" w:color="000000"/>
              <w:bottom w:val="single" w:sz="6" w:space="0" w:color="000000"/>
              <w:right w:val="single" w:sz="8" w:space="0" w:color="000000"/>
            </w:tcBorders>
            <w:vAlign w:val="center"/>
          </w:tcPr>
          <w:p w14:paraId="31D4D3FA" w14:textId="7C7CC12D" w:rsidR="00A6605D" w:rsidRDefault="00413D7E">
            <w:pPr>
              <w:pStyle w:val="biaogeright"/>
              <w:wordWrap w:val="0"/>
              <w:ind w:left="420" w:hanging="420"/>
              <w:rPr>
                <w:rFonts w:hAnsi="Calibri"/>
                <w:color w:val="000000"/>
                <w:sz w:val="21"/>
                <w:szCs w:val="21"/>
              </w:rPr>
            </w:pPr>
            <w:r>
              <w:rPr>
                <w:rFonts w:hAnsi="等线" w:hint="eastAsia"/>
                <w:color w:val="000000"/>
              </w:rPr>
              <w:t>146,274,500.00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4CD4F2CA" w14:textId="590BD99A" w:rsidR="00A6605D" w:rsidRDefault="00413D7E">
            <w:pPr>
              <w:pStyle w:val="biaogeright"/>
              <w:wordWrap w:val="0"/>
              <w:ind w:left="420" w:hanging="420"/>
              <w:rPr>
                <w:rFonts w:hAnsi="Calibri"/>
                <w:color w:val="000000"/>
                <w:sz w:val="21"/>
                <w:szCs w:val="21"/>
              </w:rPr>
            </w:pPr>
            <w:r>
              <w:rPr>
                <w:rFonts w:hAnsi="等线" w:hint="eastAsia"/>
                <w:color w:val="000000"/>
              </w:rPr>
              <w:t>10.59</w:t>
            </w:r>
          </w:p>
        </w:tc>
      </w:tr>
      <w:tr w:rsidR="00A6605D" w14:paraId="3AAA078C"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7818E2AB"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4</w:t>
            </w:r>
          </w:p>
        </w:tc>
        <w:tc>
          <w:tcPr>
            <w:tcW w:w="2717" w:type="dxa"/>
            <w:tcBorders>
              <w:top w:val="single" w:sz="8" w:space="0" w:color="000000"/>
              <w:left w:val="single" w:sz="8" w:space="0" w:color="000000"/>
              <w:bottom w:val="single" w:sz="6" w:space="0" w:color="000000"/>
              <w:right w:val="single" w:sz="8" w:space="0" w:color="000000"/>
            </w:tcBorders>
            <w:vAlign w:val="center"/>
          </w:tcPr>
          <w:p w14:paraId="6DBCBCB8" w14:textId="77777777" w:rsidR="00A6605D" w:rsidRDefault="00413D7E">
            <w:pPr>
              <w:pStyle w:val="biaogeleft"/>
              <w:wordWrap w:val="0"/>
              <w:rPr>
                <w:sz w:val="21"/>
                <w:szCs w:val="21"/>
              </w:rPr>
            </w:pPr>
            <w:r>
              <w:rPr>
                <w:rFonts w:hint="eastAsia"/>
                <w:sz w:val="21"/>
                <w:szCs w:val="21"/>
              </w:rPr>
              <w:t>企业债券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7CA0CFC2" w14:textId="36A7C555" w:rsidR="00A6605D" w:rsidRDefault="00413D7E">
            <w:pPr>
              <w:pStyle w:val="biaogeright"/>
              <w:wordWrap w:val="0"/>
              <w:ind w:left="420" w:hanging="420"/>
              <w:rPr>
                <w:rFonts w:hAnsi="Calibri"/>
                <w:color w:val="000000"/>
                <w:sz w:val="21"/>
                <w:szCs w:val="21"/>
              </w:rPr>
            </w:pPr>
            <w:r>
              <w:rPr>
                <w:rFonts w:hAnsi="等线" w:hint="eastAsia"/>
                <w:color w:val="000000"/>
              </w:rPr>
              <w:t>241,515,469.36</w:t>
            </w:r>
          </w:p>
        </w:tc>
        <w:tc>
          <w:tcPr>
            <w:tcW w:w="2174" w:type="dxa"/>
            <w:tcBorders>
              <w:top w:val="single" w:sz="8" w:space="0" w:color="000000"/>
              <w:left w:val="single" w:sz="8" w:space="0" w:color="000000"/>
              <w:bottom w:val="single" w:sz="6" w:space="0" w:color="000000"/>
              <w:right w:val="single" w:sz="8" w:space="0" w:color="000000"/>
            </w:tcBorders>
            <w:vAlign w:val="center"/>
          </w:tcPr>
          <w:p w14:paraId="404F3B7D" w14:textId="5D4A264B" w:rsidR="00A6605D" w:rsidRDefault="00413D7E">
            <w:pPr>
              <w:pStyle w:val="biaogeright"/>
              <w:wordWrap w:val="0"/>
              <w:ind w:left="420" w:hanging="420"/>
              <w:rPr>
                <w:rFonts w:hAnsi="Calibri"/>
                <w:color w:val="000000"/>
                <w:sz w:val="21"/>
                <w:szCs w:val="21"/>
              </w:rPr>
            </w:pPr>
            <w:r>
              <w:rPr>
                <w:rFonts w:hAnsi="等线" w:hint="eastAsia"/>
                <w:color w:val="000000"/>
              </w:rPr>
              <w:t>17.49</w:t>
            </w:r>
          </w:p>
        </w:tc>
      </w:tr>
      <w:tr w:rsidR="00A6605D" w14:paraId="1CF46424"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27F0573C"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5</w:t>
            </w:r>
          </w:p>
        </w:tc>
        <w:tc>
          <w:tcPr>
            <w:tcW w:w="2717" w:type="dxa"/>
            <w:tcBorders>
              <w:top w:val="single" w:sz="8" w:space="0" w:color="000000"/>
              <w:left w:val="single" w:sz="8" w:space="0" w:color="000000"/>
              <w:bottom w:val="single" w:sz="6" w:space="0" w:color="000000"/>
              <w:right w:val="single" w:sz="8" w:space="0" w:color="000000"/>
            </w:tcBorders>
            <w:vAlign w:val="center"/>
          </w:tcPr>
          <w:p w14:paraId="4A4F5650" w14:textId="77777777" w:rsidR="00A6605D" w:rsidRDefault="00413D7E">
            <w:pPr>
              <w:pStyle w:val="biaogeleft"/>
              <w:wordWrap w:val="0"/>
              <w:rPr>
                <w:sz w:val="21"/>
                <w:szCs w:val="21"/>
              </w:rPr>
            </w:pPr>
            <w:r>
              <w:rPr>
                <w:rFonts w:hint="eastAsia"/>
                <w:sz w:val="21"/>
                <w:szCs w:val="21"/>
              </w:rPr>
              <w:t>企业短期融资券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60AF19C5" w14:textId="00ABF1FA" w:rsidR="00A6605D" w:rsidRDefault="00413D7E">
            <w:pPr>
              <w:pStyle w:val="biaogeright"/>
              <w:wordWrap w:val="0"/>
              <w:ind w:left="420" w:hanging="420"/>
              <w:rPr>
                <w:rFonts w:hAnsi="Calibri"/>
                <w:color w:val="000000"/>
                <w:sz w:val="21"/>
                <w:szCs w:val="21"/>
              </w:rPr>
            </w:pPr>
            <w:r>
              <w:rPr>
                <w:rFonts w:hAnsi="等线" w:hint="eastAsia"/>
                <w:color w:val="000000"/>
              </w:rPr>
              <w:t>276,101,000.00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387C8B2F" w14:textId="5F6EB86B" w:rsidR="00A6605D" w:rsidRDefault="00413D7E">
            <w:pPr>
              <w:pStyle w:val="biaogeright"/>
              <w:wordWrap w:val="0"/>
              <w:ind w:left="420" w:hanging="420"/>
              <w:rPr>
                <w:rFonts w:hAnsi="Calibri"/>
                <w:color w:val="000000"/>
                <w:sz w:val="21"/>
                <w:szCs w:val="21"/>
              </w:rPr>
            </w:pPr>
            <w:r>
              <w:rPr>
                <w:rFonts w:hAnsi="等线" w:hint="eastAsia"/>
                <w:color w:val="000000"/>
              </w:rPr>
              <w:t>19.99</w:t>
            </w:r>
          </w:p>
        </w:tc>
      </w:tr>
      <w:tr w:rsidR="00A6605D" w14:paraId="513B155B"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6B2794A"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6</w:t>
            </w:r>
          </w:p>
        </w:tc>
        <w:tc>
          <w:tcPr>
            <w:tcW w:w="2717" w:type="dxa"/>
            <w:tcBorders>
              <w:top w:val="single" w:sz="8" w:space="0" w:color="000000"/>
              <w:left w:val="single" w:sz="8" w:space="0" w:color="000000"/>
              <w:bottom w:val="single" w:sz="6" w:space="0" w:color="000000"/>
              <w:right w:val="single" w:sz="8" w:space="0" w:color="000000"/>
            </w:tcBorders>
            <w:vAlign w:val="center"/>
          </w:tcPr>
          <w:p w14:paraId="67E3FF45" w14:textId="77777777" w:rsidR="00A6605D" w:rsidRDefault="00413D7E">
            <w:pPr>
              <w:pStyle w:val="biaogeleft"/>
              <w:wordWrap w:val="0"/>
              <w:rPr>
                <w:sz w:val="21"/>
                <w:szCs w:val="21"/>
              </w:rPr>
            </w:pPr>
            <w:r>
              <w:rPr>
                <w:rFonts w:hint="eastAsia"/>
                <w:sz w:val="21"/>
                <w:szCs w:val="21"/>
              </w:rPr>
              <w:t>中期票据</w:t>
            </w:r>
          </w:p>
        </w:tc>
        <w:tc>
          <w:tcPr>
            <w:tcW w:w="2139" w:type="dxa"/>
            <w:tcBorders>
              <w:top w:val="single" w:sz="8" w:space="0" w:color="000000"/>
              <w:left w:val="single" w:sz="8" w:space="0" w:color="000000"/>
              <w:bottom w:val="single" w:sz="6" w:space="0" w:color="000000"/>
              <w:right w:val="single" w:sz="8" w:space="0" w:color="000000"/>
            </w:tcBorders>
            <w:vAlign w:val="center"/>
          </w:tcPr>
          <w:p w14:paraId="30C4EFC8" w14:textId="35A5CE58" w:rsidR="00A6605D" w:rsidRDefault="00413D7E">
            <w:pPr>
              <w:pStyle w:val="biaogeright"/>
              <w:wordWrap w:val="0"/>
              <w:ind w:left="420" w:hanging="420"/>
              <w:rPr>
                <w:rFonts w:hAnsi="Calibri"/>
                <w:color w:val="000000"/>
                <w:sz w:val="21"/>
                <w:szCs w:val="21"/>
              </w:rPr>
            </w:pPr>
            <w:r>
              <w:rPr>
                <w:rFonts w:hAnsi="等线" w:hint="eastAsia"/>
                <w:color w:val="000000"/>
              </w:rPr>
              <w:t>474,283,700.00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0E2F8CD9" w14:textId="34E9D35F" w:rsidR="00A6605D" w:rsidRDefault="00413D7E">
            <w:pPr>
              <w:pStyle w:val="biaogeright"/>
              <w:wordWrap w:val="0"/>
              <w:ind w:left="420" w:hanging="420"/>
              <w:rPr>
                <w:rFonts w:hAnsi="Calibri"/>
                <w:color w:val="000000"/>
                <w:sz w:val="21"/>
                <w:szCs w:val="21"/>
              </w:rPr>
            </w:pPr>
            <w:r>
              <w:rPr>
                <w:rFonts w:hAnsi="等线" w:hint="eastAsia"/>
                <w:color w:val="000000"/>
              </w:rPr>
              <w:t>34.34</w:t>
            </w:r>
          </w:p>
        </w:tc>
      </w:tr>
      <w:tr w:rsidR="00A6605D" w14:paraId="46472E93"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2AF2A8F"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7</w:t>
            </w:r>
          </w:p>
        </w:tc>
        <w:tc>
          <w:tcPr>
            <w:tcW w:w="2717" w:type="dxa"/>
            <w:tcBorders>
              <w:top w:val="single" w:sz="8" w:space="0" w:color="000000"/>
              <w:left w:val="single" w:sz="8" w:space="0" w:color="000000"/>
              <w:bottom w:val="single" w:sz="6" w:space="0" w:color="000000"/>
              <w:right w:val="single" w:sz="8" w:space="0" w:color="000000"/>
            </w:tcBorders>
            <w:vAlign w:val="center"/>
          </w:tcPr>
          <w:p w14:paraId="75009C5E" w14:textId="77777777" w:rsidR="00A6605D" w:rsidRDefault="00413D7E">
            <w:pPr>
              <w:pStyle w:val="biaogeleft"/>
              <w:wordWrap w:val="0"/>
              <w:rPr>
                <w:sz w:val="21"/>
                <w:szCs w:val="21"/>
              </w:rPr>
            </w:pPr>
            <w:r>
              <w:rPr>
                <w:rFonts w:hint="eastAsia"/>
                <w:sz w:val="21"/>
                <w:szCs w:val="21"/>
              </w:rPr>
              <w:t>可转债（可交换债）</w:t>
            </w:r>
          </w:p>
        </w:tc>
        <w:tc>
          <w:tcPr>
            <w:tcW w:w="2139" w:type="dxa"/>
            <w:tcBorders>
              <w:top w:val="single" w:sz="8" w:space="0" w:color="000000"/>
              <w:left w:val="single" w:sz="8" w:space="0" w:color="000000"/>
              <w:bottom w:val="single" w:sz="6" w:space="0" w:color="000000"/>
              <w:right w:val="single" w:sz="8" w:space="0" w:color="000000"/>
            </w:tcBorders>
            <w:vAlign w:val="center"/>
          </w:tcPr>
          <w:p w14:paraId="337BBBFC" w14:textId="095EAF58" w:rsidR="00A6605D" w:rsidRDefault="00413D7E">
            <w:pPr>
              <w:pStyle w:val="biaogeright"/>
              <w:wordWrap w:val="0"/>
              <w:ind w:left="420" w:hanging="420"/>
              <w:rPr>
                <w:rFonts w:hAnsi="Calibri"/>
                <w:color w:val="000000"/>
                <w:sz w:val="21"/>
                <w:szCs w:val="21"/>
              </w:rPr>
            </w:pPr>
            <w:r>
              <w:rPr>
                <w:rFonts w:hAnsi="等线" w:hint="eastAsia"/>
                <w:color w:val="000000"/>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2CE77383" w14:textId="10796F8E" w:rsidR="00A6605D" w:rsidRDefault="00413D7E">
            <w:pPr>
              <w:pStyle w:val="biaogeright"/>
              <w:wordWrap w:val="0"/>
              <w:ind w:left="420" w:hanging="420"/>
              <w:rPr>
                <w:rFonts w:hAnsi="Calibri"/>
                <w:color w:val="000000"/>
                <w:sz w:val="21"/>
                <w:szCs w:val="21"/>
              </w:rPr>
            </w:pPr>
            <w:r>
              <w:rPr>
                <w:rFonts w:hAnsi="等线" w:hint="eastAsia"/>
                <w:color w:val="000000"/>
              </w:rPr>
              <w:t>-</w:t>
            </w:r>
          </w:p>
        </w:tc>
      </w:tr>
      <w:tr w:rsidR="00A6605D" w14:paraId="6505FAA2"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33D289E8"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lastRenderedPageBreak/>
              <w:t>8</w:t>
            </w:r>
          </w:p>
        </w:tc>
        <w:tc>
          <w:tcPr>
            <w:tcW w:w="2717" w:type="dxa"/>
            <w:tcBorders>
              <w:top w:val="single" w:sz="8" w:space="0" w:color="000000"/>
              <w:left w:val="single" w:sz="8" w:space="0" w:color="000000"/>
              <w:bottom w:val="single" w:sz="6" w:space="0" w:color="000000"/>
              <w:right w:val="single" w:sz="8" w:space="0" w:color="000000"/>
            </w:tcBorders>
            <w:vAlign w:val="center"/>
          </w:tcPr>
          <w:p w14:paraId="2F014E37" w14:textId="77777777" w:rsidR="00A6605D" w:rsidRDefault="00413D7E">
            <w:pPr>
              <w:pStyle w:val="biaogeleft"/>
              <w:wordWrap w:val="0"/>
              <w:rPr>
                <w:sz w:val="21"/>
                <w:szCs w:val="21"/>
              </w:rPr>
            </w:pPr>
            <w:r>
              <w:rPr>
                <w:rFonts w:hint="eastAsia"/>
                <w:sz w:val="21"/>
                <w:szCs w:val="21"/>
              </w:rPr>
              <w:t>同业存单</w:t>
            </w:r>
          </w:p>
        </w:tc>
        <w:tc>
          <w:tcPr>
            <w:tcW w:w="2139" w:type="dxa"/>
            <w:tcBorders>
              <w:top w:val="single" w:sz="8" w:space="0" w:color="000000"/>
              <w:left w:val="single" w:sz="8" w:space="0" w:color="000000"/>
              <w:bottom w:val="single" w:sz="6" w:space="0" w:color="000000"/>
              <w:right w:val="single" w:sz="8" w:space="0" w:color="000000"/>
            </w:tcBorders>
            <w:vAlign w:val="center"/>
          </w:tcPr>
          <w:p w14:paraId="60227204" w14:textId="1DB950FC" w:rsidR="00A6605D" w:rsidRDefault="00413D7E">
            <w:pPr>
              <w:pStyle w:val="biaogeright"/>
              <w:wordWrap w:val="0"/>
              <w:ind w:left="420" w:hanging="420"/>
              <w:rPr>
                <w:rFonts w:hAnsi="Calibri"/>
                <w:color w:val="000000"/>
                <w:sz w:val="21"/>
                <w:szCs w:val="21"/>
              </w:rPr>
            </w:pPr>
            <w:r>
              <w:rPr>
                <w:rFonts w:hAnsi="等线" w:hint="eastAsia"/>
                <w:color w:val="000000"/>
              </w:rPr>
              <w:t>39,410,000.00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247CDBB8" w14:textId="6964A870" w:rsidR="00A6605D" w:rsidRDefault="00413D7E">
            <w:pPr>
              <w:pStyle w:val="biaogeright"/>
              <w:wordWrap w:val="0"/>
              <w:ind w:left="420" w:hanging="420"/>
              <w:rPr>
                <w:rFonts w:hAnsi="Calibri"/>
                <w:color w:val="000000"/>
                <w:sz w:val="21"/>
                <w:szCs w:val="21"/>
              </w:rPr>
            </w:pPr>
            <w:r>
              <w:rPr>
                <w:rFonts w:hAnsi="等线" w:hint="eastAsia"/>
                <w:color w:val="000000"/>
              </w:rPr>
              <w:t>2.85</w:t>
            </w:r>
          </w:p>
        </w:tc>
      </w:tr>
      <w:tr w:rsidR="00A6605D" w14:paraId="5314D166"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316CFC0F"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9</w:t>
            </w:r>
          </w:p>
        </w:tc>
        <w:tc>
          <w:tcPr>
            <w:tcW w:w="2717" w:type="dxa"/>
            <w:tcBorders>
              <w:top w:val="single" w:sz="8" w:space="0" w:color="000000"/>
              <w:left w:val="single" w:sz="8" w:space="0" w:color="000000"/>
              <w:bottom w:val="single" w:sz="6" w:space="0" w:color="000000"/>
              <w:right w:val="single" w:sz="8" w:space="0" w:color="000000"/>
            </w:tcBorders>
            <w:vAlign w:val="center"/>
          </w:tcPr>
          <w:p w14:paraId="3D0E91CF" w14:textId="77777777" w:rsidR="00A6605D" w:rsidRDefault="00413D7E">
            <w:pPr>
              <w:pStyle w:val="biaogeleft"/>
              <w:wordWrap w:val="0"/>
              <w:rPr>
                <w:sz w:val="21"/>
                <w:szCs w:val="21"/>
              </w:rPr>
            </w:pPr>
            <w:r>
              <w:rPr>
                <w:rFonts w:hint="eastAsia"/>
                <w:sz w:val="21"/>
                <w:szCs w:val="21"/>
              </w:rPr>
              <w:t>其他</w:t>
            </w:r>
          </w:p>
        </w:tc>
        <w:tc>
          <w:tcPr>
            <w:tcW w:w="2139" w:type="dxa"/>
            <w:tcBorders>
              <w:top w:val="single" w:sz="8" w:space="0" w:color="000000"/>
              <w:left w:val="single" w:sz="8" w:space="0" w:color="000000"/>
              <w:bottom w:val="single" w:sz="6" w:space="0" w:color="000000"/>
              <w:right w:val="single" w:sz="8" w:space="0" w:color="000000"/>
            </w:tcBorders>
            <w:vAlign w:val="center"/>
          </w:tcPr>
          <w:p w14:paraId="72FC7B2D" w14:textId="559EC92C" w:rsidR="00A6605D" w:rsidRDefault="00413D7E">
            <w:pPr>
              <w:pStyle w:val="biaogeright"/>
              <w:wordWrap w:val="0"/>
              <w:ind w:left="420" w:hanging="420"/>
              <w:rPr>
                <w:rFonts w:hAnsi="Calibri"/>
                <w:color w:val="000000"/>
                <w:sz w:val="21"/>
                <w:szCs w:val="21"/>
              </w:rPr>
            </w:pPr>
            <w:r>
              <w:rPr>
                <w:rFonts w:hAnsi="等线" w:hint="eastAsia"/>
                <w:color w:val="000000"/>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5B0E6A67" w14:textId="479879D2" w:rsidR="00A6605D" w:rsidRDefault="00413D7E">
            <w:pPr>
              <w:pStyle w:val="biaogeright"/>
              <w:wordWrap w:val="0"/>
              <w:ind w:left="420" w:hanging="420"/>
              <w:rPr>
                <w:rFonts w:hAnsi="Calibri"/>
                <w:color w:val="000000"/>
                <w:sz w:val="21"/>
                <w:szCs w:val="21"/>
              </w:rPr>
            </w:pPr>
            <w:r>
              <w:rPr>
                <w:rFonts w:hAnsi="等线" w:hint="eastAsia"/>
                <w:color w:val="000000"/>
              </w:rPr>
              <w:t>-</w:t>
            </w:r>
          </w:p>
        </w:tc>
      </w:tr>
      <w:tr w:rsidR="00A6605D" w14:paraId="267E0770"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0B22A0B"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10</w:t>
            </w:r>
          </w:p>
        </w:tc>
        <w:tc>
          <w:tcPr>
            <w:tcW w:w="2717" w:type="dxa"/>
            <w:tcBorders>
              <w:top w:val="single" w:sz="8" w:space="0" w:color="000000"/>
              <w:left w:val="single" w:sz="8" w:space="0" w:color="000000"/>
              <w:bottom w:val="single" w:sz="6" w:space="0" w:color="000000"/>
              <w:right w:val="single" w:sz="8" w:space="0" w:color="000000"/>
            </w:tcBorders>
            <w:vAlign w:val="center"/>
          </w:tcPr>
          <w:p w14:paraId="2E03C8BB" w14:textId="77777777" w:rsidR="00A6605D" w:rsidRDefault="00413D7E">
            <w:pPr>
              <w:pStyle w:val="biaogeleft"/>
              <w:wordWrap w:val="0"/>
              <w:rPr>
                <w:sz w:val="21"/>
                <w:szCs w:val="21"/>
              </w:rPr>
            </w:pPr>
            <w:r>
              <w:rPr>
                <w:rFonts w:hint="eastAsia"/>
                <w:sz w:val="21"/>
                <w:szCs w:val="21"/>
              </w:rPr>
              <w:t>合计</w:t>
            </w:r>
          </w:p>
        </w:tc>
        <w:tc>
          <w:tcPr>
            <w:tcW w:w="2139" w:type="dxa"/>
            <w:tcBorders>
              <w:top w:val="single" w:sz="8" w:space="0" w:color="000000"/>
              <w:left w:val="single" w:sz="8" w:space="0" w:color="000000"/>
              <w:bottom w:val="single" w:sz="6" w:space="0" w:color="000000"/>
              <w:right w:val="single" w:sz="8" w:space="0" w:color="000000"/>
            </w:tcBorders>
            <w:vAlign w:val="center"/>
          </w:tcPr>
          <w:p w14:paraId="62387484" w14:textId="3F864927" w:rsidR="00A6605D" w:rsidRDefault="00413D7E">
            <w:pPr>
              <w:pStyle w:val="biaogeright"/>
              <w:wordWrap w:val="0"/>
              <w:ind w:left="420" w:hanging="420"/>
              <w:rPr>
                <w:rFonts w:hAnsi="Calibri"/>
                <w:color w:val="000000"/>
                <w:sz w:val="21"/>
                <w:szCs w:val="21"/>
              </w:rPr>
            </w:pPr>
            <w:r>
              <w:rPr>
                <w:rFonts w:hAnsi="等线" w:hint="eastAsia"/>
                <w:color w:val="000000"/>
              </w:rPr>
              <w:t>1,473,974,423.36</w:t>
            </w:r>
          </w:p>
        </w:tc>
        <w:tc>
          <w:tcPr>
            <w:tcW w:w="2174" w:type="dxa"/>
            <w:tcBorders>
              <w:top w:val="single" w:sz="8" w:space="0" w:color="000000"/>
              <w:left w:val="single" w:sz="8" w:space="0" w:color="000000"/>
              <w:bottom w:val="single" w:sz="6" w:space="0" w:color="000000"/>
              <w:right w:val="single" w:sz="8" w:space="0" w:color="000000"/>
            </w:tcBorders>
            <w:vAlign w:val="center"/>
          </w:tcPr>
          <w:p w14:paraId="2ADAC9D7" w14:textId="1DB12B2C" w:rsidR="00A6605D" w:rsidRDefault="00413D7E">
            <w:pPr>
              <w:pStyle w:val="biaogeright"/>
              <w:wordWrap w:val="0"/>
              <w:ind w:left="420" w:hanging="420"/>
              <w:rPr>
                <w:rFonts w:hAnsi="Calibri"/>
                <w:color w:val="000000"/>
                <w:sz w:val="21"/>
                <w:szCs w:val="21"/>
              </w:rPr>
            </w:pPr>
            <w:r>
              <w:rPr>
                <w:rFonts w:hAnsi="等线" w:hint="eastAsia"/>
                <w:color w:val="000000"/>
              </w:rPr>
              <w:t>106.73</w:t>
            </w:r>
          </w:p>
        </w:tc>
      </w:tr>
    </w:tbl>
    <w:p w14:paraId="4BF00E5B" w14:textId="77777777" w:rsidR="00A6605D" w:rsidRDefault="00A6605D">
      <w:pPr>
        <w:widowControl/>
        <w:spacing w:line="360" w:lineRule="auto"/>
        <w:jc w:val="left"/>
        <w:rPr>
          <w:rFonts w:ascii="宋体" w:hAnsi="宋体" w:cs="宋体"/>
          <w:kern w:val="0"/>
          <w:szCs w:val="21"/>
        </w:rPr>
      </w:pPr>
    </w:p>
    <w:p w14:paraId="53639B83" w14:textId="77777777" w:rsidR="00A6605D" w:rsidRDefault="00413D7E">
      <w:pPr>
        <w:spacing w:line="360" w:lineRule="auto"/>
        <w:ind w:firstLineChars="200" w:firstLine="420"/>
        <w:rPr>
          <w:rFonts w:ascii="宋体" w:hAnsi="宋体"/>
          <w:kern w:val="0"/>
        </w:rPr>
      </w:pPr>
      <w:r>
        <w:rPr>
          <w:rFonts w:hint="eastAsia"/>
          <w:szCs w:val="21"/>
        </w:rPr>
        <w:t>5</w:t>
      </w:r>
      <w:r>
        <w:rPr>
          <w:rFonts w:hint="eastAsia"/>
          <w:szCs w:val="21"/>
        </w:rPr>
        <w:t>、报告期末按公允价值占基金资产净值比例大小排序的前五名债券投资明细</w:t>
      </w:r>
    </w:p>
    <w:tbl>
      <w:tblPr>
        <w:tblW w:w="9073" w:type="dxa"/>
        <w:tblInd w:w="-34" w:type="dxa"/>
        <w:tblLook w:val="04A0" w:firstRow="1" w:lastRow="0" w:firstColumn="1" w:lastColumn="0" w:noHBand="0" w:noVBand="1"/>
      </w:tblPr>
      <w:tblGrid>
        <w:gridCol w:w="709"/>
        <w:gridCol w:w="1377"/>
        <w:gridCol w:w="2252"/>
        <w:gridCol w:w="1144"/>
        <w:gridCol w:w="1905"/>
        <w:gridCol w:w="1686"/>
      </w:tblGrid>
      <w:tr w:rsidR="00A6605D" w14:paraId="36046261"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62E78B97"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序号</w:t>
            </w:r>
          </w:p>
        </w:tc>
        <w:tc>
          <w:tcPr>
            <w:tcW w:w="1377" w:type="dxa"/>
            <w:tcBorders>
              <w:top w:val="single" w:sz="8" w:space="0" w:color="000000"/>
              <w:left w:val="single" w:sz="8" w:space="0" w:color="000000"/>
              <w:bottom w:val="single" w:sz="6" w:space="0" w:color="000000"/>
              <w:right w:val="single" w:sz="8" w:space="0" w:color="000000"/>
            </w:tcBorders>
            <w:vAlign w:val="center"/>
          </w:tcPr>
          <w:p w14:paraId="67E2FD4A"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债券代码</w:t>
            </w:r>
          </w:p>
        </w:tc>
        <w:tc>
          <w:tcPr>
            <w:tcW w:w="2252" w:type="dxa"/>
            <w:tcBorders>
              <w:top w:val="single" w:sz="8" w:space="0" w:color="000000"/>
              <w:left w:val="single" w:sz="8" w:space="0" w:color="000000"/>
              <w:bottom w:val="single" w:sz="6" w:space="0" w:color="000000"/>
              <w:right w:val="single" w:sz="8" w:space="0" w:color="000000"/>
            </w:tcBorders>
            <w:vAlign w:val="center"/>
          </w:tcPr>
          <w:p w14:paraId="0A1BED22"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债券名称</w:t>
            </w:r>
          </w:p>
        </w:tc>
        <w:tc>
          <w:tcPr>
            <w:tcW w:w="1144" w:type="dxa"/>
            <w:tcBorders>
              <w:top w:val="single" w:sz="8" w:space="0" w:color="000000"/>
              <w:left w:val="single" w:sz="8" w:space="0" w:color="000000"/>
              <w:bottom w:val="single" w:sz="6" w:space="0" w:color="000000"/>
              <w:right w:val="single" w:sz="8" w:space="0" w:color="000000"/>
            </w:tcBorders>
            <w:vAlign w:val="center"/>
          </w:tcPr>
          <w:p w14:paraId="6C64DE62"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数量（张）</w:t>
            </w:r>
          </w:p>
        </w:tc>
        <w:tc>
          <w:tcPr>
            <w:tcW w:w="1905" w:type="dxa"/>
            <w:tcBorders>
              <w:top w:val="single" w:sz="8" w:space="0" w:color="000000"/>
              <w:left w:val="single" w:sz="8" w:space="0" w:color="000000"/>
              <w:bottom w:val="single" w:sz="6" w:space="0" w:color="000000"/>
              <w:right w:val="single" w:sz="8" w:space="0" w:color="000000"/>
            </w:tcBorders>
            <w:vAlign w:val="center"/>
          </w:tcPr>
          <w:p w14:paraId="74B435CE"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公允价值</w:t>
            </w:r>
            <w:r>
              <w:rPr>
                <w:rFonts w:hAnsi="Calibri" w:hint="eastAsia"/>
                <w:color w:val="000000"/>
                <w:szCs w:val="21"/>
              </w:rPr>
              <w:t>(</w:t>
            </w:r>
            <w:r>
              <w:rPr>
                <w:rFonts w:hAnsi="Calibri" w:hint="eastAsia"/>
                <w:color w:val="000000"/>
                <w:szCs w:val="21"/>
              </w:rPr>
              <w:t>元</w:t>
            </w:r>
            <w:r>
              <w:rPr>
                <w:rFonts w:hAnsi="Calibri" w:hint="eastAsia"/>
                <w:color w:val="000000"/>
                <w:szCs w:val="21"/>
              </w:rPr>
              <w:t>)</w:t>
            </w:r>
          </w:p>
        </w:tc>
        <w:tc>
          <w:tcPr>
            <w:tcW w:w="1686" w:type="dxa"/>
            <w:tcBorders>
              <w:top w:val="single" w:sz="8" w:space="0" w:color="000000"/>
              <w:left w:val="single" w:sz="8" w:space="0" w:color="000000"/>
              <w:bottom w:val="single" w:sz="6" w:space="0" w:color="000000"/>
              <w:right w:val="single" w:sz="8" w:space="0" w:color="000000"/>
            </w:tcBorders>
            <w:vAlign w:val="center"/>
          </w:tcPr>
          <w:p w14:paraId="408128BB"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占基金资产净值比例（％）</w:t>
            </w:r>
          </w:p>
        </w:tc>
      </w:tr>
      <w:tr w:rsidR="00A6605D" w14:paraId="20EA2830"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613EF1E9" w14:textId="77777777" w:rsidR="00A6605D" w:rsidRDefault="00413D7E" w:rsidP="006B2775">
            <w:pPr>
              <w:widowControl/>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1</w:t>
            </w:r>
          </w:p>
        </w:tc>
        <w:tc>
          <w:tcPr>
            <w:tcW w:w="1377" w:type="dxa"/>
            <w:tcBorders>
              <w:top w:val="single" w:sz="8" w:space="0" w:color="000000"/>
              <w:left w:val="single" w:sz="8" w:space="0" w:color="000000"/>
              <w:bottom w:val="single" w:sz="6" w:space="0" w:color="000000"/>
              <w:right w:val="single" w:sz="8" w:space="0" w:color="000000"/>
            </w:tcBorders>
            <w:vAlign w:val="center"/>
          </w:tcPr>
          <w:p w14:paraId="46D36D35" w14:textId="77777777" w:rsidR="00A6605D" w:rsidRDefault="00413D7E" w:rsidP="006B2775">
            <w:pPr>
              <w:widowControl/>
              <w:wordWrap w:val="0"/>
              <w:autoSpaceDE w:val="0"/>
              <w:autoSpaceDN w:val="0"/>
              <w:adjustRightInd w:val="0"/>
              <w:spacing w:before="29" w:line="288" w:lineRule="auto"/>
              <w:ind w:left="15"/>
              <w:jc w:val="left"/>
              <w:rPr>
                <w:rFonts w:hAnsi="Calibri"/>
                <w:color w:val="000000"/>
                <w:szCs w:val="21"/>
              </w:rPr>
            </w:pPr>
            <w:r>
              <w:rPr>
                <w:rFonts w:hAnsi="Calibri" w:hint="eastAsia"/>
                <w:color w:val="000000"/>
                <w:szCs w:val="21"/>
              </w:rPr>
              <w:t>190203</w:t>
            </w:r>
          </w:p>
        </w:tc>
        <w:tc>
          <w:tcPr>
            <w:tcW w:w="2252" w:type="dxa"/>
            <w:tcBorders>
              <w:top w:val="single" w:sz="8" w:space="0" w:color="000000"/>
              <w:left w:val="single" w:sz="8" w:space="0" w:color="000000"/>
              <w:bottom w:val="single" w:sz="6" w:space="0" w:color="000000"/>
              <w:right w:val="single" w:sz="8" w:space="0" w:color="000000"/>
            </w:tcBorders>
            <w:vAlign w:val="center"/>
          </w:tcPr>
          <w:p w14:paraId="381163DE" w14:textId="77777777" w:rsidR="00A6605D" w:rsidRDefault="00413D7E" w:rsidP="006B2775">
            <w:pPr>
              <w:widowControl/>
              <w:wordWrap w:val="0"/>
              <w:autoSpaceDE w:val="0"/>
              <w:autoSpaceDN w:val="0"/>
              <w:adjustRightInd w:val="0"/>
              <w:spacing w:before="29" w:line="288" w:lineRule="auto"/>
              <w:ind w:left="15"/>
              <w:jc w:val="left"/>
              <w:rPr>
                <w:rFonts w:hAnsi="Calibri"/>
                <w:color w:val="000000"/>
                <w:szCs w:val="21"/>
              </w:rPr>
            </w:pPr>
            <w:r>
              <w:rPr>
                <w:rFonts w:hAnsi="Calibri" w:hint="eastAsia"/>
                <w:color w:val="000000"/>
                <w:szCs w:val="21"/>
              </w:rPr>
              <w:t>19</w:t>
            </w:r>
            <w:r>
              <w:rPr>
                <w:rFonts w:hAnsi="Calibri" w:hint="eastAsia"/>
                <w:color w:val="000000"/>
                <w:szCs w:val="21"/>
              </w:rPr>
              <w:t>国开</w:t>
            </w:r>
            <w:r>
              <w:rPr>
                <w:rFonts w:hAnsi="Calibri" w:hint="eastAsia"/>
                <w:color w:val="000000"/>
                <w:szCs w:val="21"/>
              </w:rPr>
              <w:t>03</w:t>
            </w:r>
          </w:p>
        </w:tc>
        <w:tc>
          <w:tcPr>
            <w:tcW w:w="1144" w:type="dxa"/>
            <w:tcBorders>
              <w:top w:val="single" w:sz="8" w:space="0" w:color="000000"/>
              <w:left w:val="single" w:sz="8" w:space="0" w:color="000000"/>
              <w:bottom w:val="single" w:sz="6" w:space="0" w:color="000000"/>
              <w:right w:val="single" w:sz="8" w:space="0" w:color="000000"/>
            </w:tcBorders>
            <w:vAlign w:val="center"/>
          </w:tcPr>
          <w:p w14:paraId="0E311EC8"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400,000</w:t>
            </w:r>
          </w:p>
        </w:tc>
        <w:tc>
          <w:tcPr>
            <w:tcW w:w="1905" w:type="dxa"/>
            <w:tcBorders>
              <w:top w:val="single" w:sz="8" w:space="0" w:color="000000"/>
              <w:left w:val="single" w:sz="8" w:space="0" w:color="000000"/>
              <w:bottom w:val="single" w:sz="6" w:space="0" w:color="000000"/>
              <w:right w:val="single" w:sz="8" w:space="0" w:color="000000"/>
            </w:tcBorders>
            <w:vAlign w:val="center"/>
          </w:tcPr>
          <w:p w14:paraId="0D769E0D"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40,620,000.00</w:t>
            </w:r>
          </w:p>
        </w:tc>
        <w:tc>
          <w:tcPr>
            <w:tcW w:w="1686" w:type="dxa"/>
            <w:tcBorders>
              <w:top w:val="single" w:sz="8" w:space="0" w:color="000000"/>
              <w:left w:val="single" w:sz="8" w:space="0" w:color="000000"/>
              <w:bottom w:val="single" w:sz="6" w:space="0" w:color="000000"/>
              <w:right w:val="single" w:sz="8" w:space="0" w:color="000000"/>
            </w:tcBorders>
            <w:vAlign w:val="center"/>
          </w:tcPr>
          <w:p w14:paraId="1A99FF77"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2.94</w:t>
            </w:r>
          </w:p>
        </w:tc>
      </w:tr>
      <w:tr w:rsidR="00A6605D" w14:paraId="638E2F12"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52147681"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2</w:t>
            </w:r>
          </w:p>
        </w:tc>
        <w:tc>
          <w:tcPr>
            <w:tcW w:w="1377" w:type="dxa"/>
            <w:tcBorders>
              <w:top w:val="single" w:sz="8" w:space="0" w:color="000000"/>
              <w:left w:val="single" w:sz="8" w:space="0" w:color="000000"/>
              <w:bottom w:val="single" w:sz="6" w:space="0" w:color="000000"/>
              <w:right w:val="single" w:sz="8" w:space="0" w:color="000000"/>
            </w:tcBorders>
            <w:vAlign w:val="center"/>
          </w:tcPr>
          <w:p w14:paraId="76130E1F" w14:textId="77777777" w:rsidR="00A6605D" w:rsidRDefault="00413D7E" w:rsidP="006B2775">
            <w:pPr>
              <w:widowControl/>
              <w:wordWrap w:val="0"/>
              <w:autoSpaceDE w:val="0"/>
              <w:autoSpaceDN w:val="0"/>
              <w:adjustRightInd w:val="0"/>
              <w:spacing w:before="29" w:line="288" w:lineRule="auto"/>
              <w:ind w:left="15"/>
              <w:jc w:val="left"/>
              <w:rPr>
                <w:rFonts w:hAnsi="Calibri"/>
                <w:color w:val="000000"/>
                <w:szCs w:val="21"/>
              </w:rPr>
            </w:pPr>
            <w:r>
              <w:rPr>
                <w:rFonts w:hAnsi="Calibri" w:hint="eastAsia"/>
                <w:color w:val="000000"/>
                <w:szCs w:val="21"/>
              </w:rPr>
              <w:t>200312</w:t>
            </w:r>
          </w:p>
        </w:tc>
        <w:tc>
          <w:tcPr>
            <w:tcW w:w="2252" w:type="dxa"/>
            <w:tcBorders>
              <w:top w:val="single" w:sz="8" w:space="0" w:color="000000"/>
              <w:left w:val="single" w:sz="8" w:space="0" w:color="000000"/>
              <w:bottom w:val="single" w:sz="6" w:space="0" w:color="000000"/>
              <w:right w:val="single" w:sz="8" w:space="0" w:color="000000"/>
            </w:tcBorders>
            <w:vAlign w:val="center"/>
          </w:tcPr>
          <w:p w14:paraId="5411C49B" w14:textId="77777777" w:rsidR="00A6605D" w:rsidRDefault="00413D7E" w:rsidP="006B2775">
            <w:pPr>
              <w:widowControl/>
              <w:wordWrap w:val="0"/>
              <w:autoSpaceDE w:val="0"/>
              <w:autoSpaceDN w:val="0"/>
              <w:adjustRightInd w:val="0"/>
              <w:spacing w:before="29" w:line="288" w:lineRule="auto"/>
              <w:ind w:left="15"/>
              <w:jc w:val="left"/>
              <w:rPr>
                <w:rFonts w:hAnsi="Calibri"/>
                <w:color w:val="000000"/>
                <w:szCs w:val="21"/>
              </w:rPr>
            </w:pPr>
            <w:r>
              <w:rPr>
                <w:rFonts w:hAnsi="Calibri" w:hint="eastAsia"/>
                <w:color w:val="000000"/>
                <w:szCs w:val="21"/>
              </w:rPr>
              <w:t>20</w:t>
            </w:r>
            <w:r>
              <w:rPr>
                <w:rFonts w:hAnsi="Calibri" w:hint="eastAsia"/>
                <w:color w:val="000000"/>
                <w:szCs w:val="21"/>
              </w:rPr>
              <w:t>进出</w:t>
            </w:r>
            <w:r>
              <w:rPr>
                <w:rFonts w:hAnsi="Calibri" w:hint="eastAsia"/>
                <w:color w:val="000000"/>
                <w:szCs w:val="21"/>
              </w:rPr>
              <w:t>12</w:t>
            </w:r>
          </w:p>
        </w:tc>
        <w:tc>
          <w:tcPr>
            <w:tcW w:w="1144" w:type="dxa"/>
            <w:tcBorders>
              <w:top w:val="single" w:sz="8" w:space="0" w:color="000000"/>
              <w:left w:val="single" w:sz="8" w:space="0" w:color="000000"/>
              <w:bottom w:val="single" w:sz="6" w:space="0" w:color="000000"/>
              <w:right w:val="single" w:sz="8" w:space="0" w:color="000000"/>
            </w:tcBorders>
            <w:vAlign w:val="center"/>
          </w:tcPr>
          <w:p w14:paraId="48B04633"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400,000</w:t>
            </w:r>
          </w:p>
        </w:tc>
        <w:tc>
          <w:tcPr>
            <w:tcW w:w="1905" w:type="dxa"/>
            <w:tcBorders>
              <w:top w:val="single" w:sz="8" w:space="0" w:color="000000"/>
              <w:left w:val="single" w:sz="8" w:space="0" w:color="000000"/>
              <w:bottom w:val="single" w:sz="6" w:space="0" w:color="000000"/>
              <w:right w:val="single" w:sz="8" w:space="0" w:color="000000"/>
            </w:tcBorders>
            <w:vAlign w:val="center"/>
          </w:tcPr>
          <w:p w14:paraId="2D81EED7"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40,140,000.00</w:t>
            </w:r>
          </w:p>
        </w:tc>
        <w:tc>
          <w:tcPr>
            <w:tcW w:w="1686" w:type="dxa"/>
            <w:tcBorders>
              <w:top w:val="single" w:sz="8" w:space="0" w:color="000000"/>
              <w:left w:val="single" w:sz="8" w:space="0" w:color="000000"/>
              <w:bottom w:val="single" w:sz="6" w:space="0" w:color="000000"/>
              <w:right w:val="single" w:sz="8" w:space="0" w:color="000000"/>
            </w:tcBorders>
            <w:vAlign w:val="center"/>
          </w:tcPr>
          <w:p w14:paraId="6CB47F8D"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2.91</w:t>
            </w:r>
          </w:p>
        </w:tc>
      </w:tr>
      <w:tr w:rsidR="00A6605D" w14:paraId="003BBAC7"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60B0A047"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3</w:t>
            </w:r>
          </w:p>
        </w:tc>
        <w:tc>
          <w:tcPr>
            <w:tcW w:w="1377" w:type="dxa"/>
            <w:tcBorders>
              <w:top w:val="single" w:sz="8" w:space="0" w:color="000000"/>
              <w:left w:val="single" w:sz="8" w:space="0" w:color="000000"/>
              <w:bottom w:val="single" w:sz="6" w:space="0" w:color="000000"/>
              <w:right w:val="single" w:sz="8" w:space="0" w:color="000000"/>
            </w:tcBorders>
            <w:vAlign w:val="center"/>
          </w:tcPr>
          <w:p w14:paraId="73019C5B" w14:textId="77777777" w:rsidR="00A6605D" w:rsidRDefault="00413D7E" w:rsidP="006B2775">
            <w:pPr>
              <w:widowControl/>
              <w:wordWrap w:val="0"/>
              <w:autoSpaceDE w:val="0"/>
              <w:autoSpaceDN w:val="0"/>
              <w:adjustRightInd w:val="0"/>
              <w:spacing w:before="29" w:line="288" w:lineRule="auto"/>
              <w:ind w:left="15"/>
              <w:jc w:val="left"/>
              <w:rPr>
                <w:rFonts w:hAnsi="Calibri"/>
                <w:color w:val="000000"/>
                <w:szCs w:val="21"/>
              </w:rPr>
            </w:pPr>
            <w:r>
              <w:rPr>
                <w:rFonts w:hAnsi="Calibri" w:hint="eastAsia"/>
                <w:color w:val="000000"/>
                <w:szCs w:val="21"/>
              </w:rPr>
              <w:t>2028037</w:t>
            </w:r>
          </w:p>
        </w:tc>
        <w:tc>
          <w:tcPr>
            <w:tcW w:w="2252" w:type="dxa"/>
            <w:tcBorders>
              <w:top w:val="single" w:sz="8" w:space="0" w:color="000000"/>
              <w:left w:val="single" w:sz="8" w:space="0" w:color="000000"/>
              <w:bottom w:val="single" w:sz="6" w:space="0" w:color="000000"/>
              <w:right w:val="single" w:sz="8" w:space="0" w:color="000000"/>
            </w:tcBorders>
            <w:vAlign w:val="center"/>
          </w:tcPr>
          <w:p w14:paraId="1FD843B9" w14:textId="77777777" w:rsidR="00A6605D" w:rsidRDefault="00413D7E" w:rsidP="006B2775">
            <w:pPr>
              <w:widowControl/>
              <w:wordWrap w:val="0"/>
              <w:autoSpaceDE w:val="0"/>
              <w:autoSpaceDN w:val="0"/>
              <w:adjustRightInd w:val="0"/>
              <w:spacing w:before="29" w:line="288" w:lineRule="auto"/>
              <w:ind w:left="15"/>
              <w:jc w:val="left"/>
              <w:rPr>
                <w:rFonts w:hAnsi="Calibri"/>
                <w:color w:val="000000"/>
                <w:szCs w:val="21"/>
              </w:rPr>
            </w:pPr>
            <w:r>
              <w:rPr>
                <w:rFonts w:hAnsi="Calibri" w:hint="eastAsia"/>
                <w:color w:val="000000"/>
                <w:szCs w:val="21"/>
              </w:rPr>
              <w:t>20</w:t>
            </w:r>
            <w:r>
              <w:rPr>
                <w:rFonts w:hAnsi="Calibri" w:hint="eastAsia"/>
                <w:color w:val="000000"/>
                <w:szCs w:val="21"/>
              </w:rPr>
              <w:t>光大银行永续债</w:t>
            </w:r>
          </w:p>
        </w:tc>
        <w:tc>
          <w:tcPr>
            <w:tcW w:w="1144" w:type="dxa"/>
            <w:tcBorders>
              <w:top w:val="single" w:sz="8" w:space="0" w:color="000000"/>
              <w:left w:val="single" w:sz="8" w:space="0" w:color="000000"/>
              <w:bottom w:val="single" w:sz="6" w:space="0" w:color="000000"/>
              <w:right w:val="single" w:sz="8" w:space="0" w:color="000000"/>
            </w:tcBorders>
            <w:vAlign w:val="center"/>
          </w:tcPr>
          <w:p w14:paraId="46AAE301"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300,000</w:t>
            </w:r>
          </w:p>
        </w:tc>
        <w:tc>
          <w:tcPr>
            <w:tcW w:w="1905" w:type="dxa"/>
            <w:tcBorders>
              <w:top w:val="single" w:sz="8" w:space="0" w:color="000000"/>
              <w:left w:val="single" w:sz="8" w:space="0" w:color="000000"/>
              <w:bottom w:val="single" w:sz="6" w:space="0" w:color="000000"/>
              <w:right w:val="single" w:sz="8" w:space="0" w:color="000000"/>
            </w:tcBorders>
            <w:vAlign w:val="center"/>
          </w:tcPr>
          <w:p w14:paraId="24D36C31"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31,368,000.00</w:t>
            </w:r>
          </w:p>
        </w:tc>
        <w:tc>
          <w:tcPr>
            <w:tcW w:w="1686" w:type="dxa"/>
            <w:tcBorders>
              <w:top w:val="single" w:sz="8" w:space="0" w:color="000000"/>
              <w:left w:val="single" w:sz="8" w:space="0" w:color="000000"/>
              <w:bottom w:val="single" w:sz="6" w:space="0" w:color="000000"/>
              <w:right w:val="single" w:sz="8" w:space="0" w:color="000000"/>
            </w:tcBorders>
            <w:vAlign w:val="center"/>
          </w:tcPr>
          <w:p w14:paraId="5DEA4A92"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2.27</w:t>
            </w:r>
          </w:p>
        </w:tc>
      </w:tr>
      <w:tr w:rsidR="00A6605D" w14:paraId="12F8643D"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0E7921D0"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4</w:t>
            </w:r>
          </w:p>
        </w:tc>
        <w:tc>
          <w:tcPr>
            <w:tcW w:w="1377" w:type="dxa"/>
            <w:tcBorders>
              <w:top w:val="single" w:sz="8" w:space="0" w:color="000000"/>
              <w:left w:val="single" w:sz="8" w:space="0" w:color="000000"/>
              <w:bottom w:val="single" w:sz="6" w:space="0" w:color="000000"/>
              <w:right w:val="single" w:sz="8" w:space="0" w:color="000000"/>
            </w:tcBorders>
            <w:vAlign w:val="center"/>
          </w:tcPr>
          <w:p w14:paraId="5812E0E9" w14:textId="77777777" w:rsidR="00A6605D" w:rsidRDefault="00413D7E" w:rsidP="006B2775">
            <w:pPr>
              <w:widowControl/>
              <w:wordWrap w:val="0"/>
              <w:autoSpaceDE w:val="0"/>
              <w:autoSpaceDN w:val="0"/>
              <w:adjustRightInd w:val="0"/>
              <w:spacing w:before="29" w:line="288" w:lineRule="auto"/>
              <w:ind w:left="15"/>
              <w:jc w:val="left"/>
              <w:rPr>
                <w:rFonts w:hAnsi="Calibri"/>
                <w:color w:val="000000"/>
                <w:szCs w:val="21"/>
              </w:rPr>
            </w:pPr>
            <w:r>
              <w:rPr>
                <w:rFonts w:hAnsi="Calibri" w:hint="eastAsia"/>
                <w:color w:val="000000"/>
                <w:szCs w:val="21"/>
              </w:rPr>
              <w:t>2120092</w:t>
            </w:r>
          </w:p>
        </w:tc>
        <w:tc>
          <w:tcPr>
            <w:tcW w:w="2252" w:type="dxa"/>
            <w:tcBorders>
              <w:top w:val="single" w:sz="8" w:space="0" w:color="000000"/>
              <w:left w:val="single" w:sz="8" w:space="0" w:color="000000"/>
              <w:bottom w:val="single" w:sz="6" w:space="0" w:color="000000"/>
              <w:right w:val="single" w:sz="8" w:space="0" w:color="000000"/>
            </w:tcBorders>
            <w:vAlign w:val="center"/>
          </w:tcPr>
          <w:p w14:paraId="674B2344" w14:textId="77777777" w:rsidR="00A6605D" w:rsidRDefault="00413D7E" w:rsidP="006B2775">
            <w:pPr>
              <w:widowControl/>
              <w:wordWrap w:val="0"/>
              <w:autoSpaceDE w:val="0"/>
              <w:autoSpaceDN w:val="0"/>
              <w:adjustRightInd w:val="0"/>
              <w:spacing w:before="29" w:line="288" w:lineRule="auto"/>
              <w:ind w:left="15"/>
              <w:jc w:val="left"/>
              <w:rPr>
                <w:rFonts w:hAnsi="Calibri"/>
                <w:color w:val="000000"/>
                <w:szCs w:val="21"/>
              </w:rPr>
            </w:pPr>
            <w:r>
              <w:rPr>
                <w:rFonts w:hAnsi="Calibri" w:hint="eastAsia"/>
                <w:color w:val="000000"/>
                <w:szCs w:val="21"/>
              </w:rPr>
              <w:t>21</w:t>
            </w:r>
            <w:r>
              <w:rPr>
                <w:rFonts w:hAnsi="Calibri" w:hint="eastAsia"/>
                <w:color w:val="000000"/>
                <w:szCs w:val="21"/>
              </w:rPr>
              <w:t>徽商银行二级</w:t>
            </w:r>
            <w:r>
              <w:rPr>
                <w:rFonts w:hAnsi="Calibri" w:hint="eastAsia"/>
                <w:color w:val="000000"/>
                <w:szCs w:val="21"/>
              </w:rPr>
              <w:t>01</w:t>
            </w:r>
          </w:p>
        </w:tc>
        <w:tc>
          <w:tcPr>
            <w:tcW w:w="1144" w:type="dxa"/>
            <w:tcBorders>
              <w:top w:val="single" w:sz="8" w:space="0" w:color="000000"/>
              <w:left w:val="single" w:sz="8" w:space="0" w:color="000000"/>
              <w:bottom w:val="single" w:sz="6" w:space="0" w:color="000000"/>
              <w:right w:val="single" w:sz="8" w:space="0" w:color="000000"/>
            </w:tcBorders>
            <w:vAlign w:val="center"/>
          </w:tcPr>
          <w:p w14:paraId="4894C4D7"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300,000</w:t>
            </w:r>
          </w:p>
        </w:tc>
        <w:tc>
          <w:tcPr>
            <w:tcW w:w="1905" w:type="dxa"/>
            <w:tcBorders>
              <w:top w:val="single" w:sz="8" w:space="0" w:color="000000"/>
              <w:left w:val="single" w:sz="8" w:space="0" w:color="000000"/>
              <w:bottom w:val="single" w:sz="6" w:space="0" w:color="000000"/>
              <w:right w:val="single" w:sz="8" w:space="0" w:color="000000"/>
            </w:tcBorders>
            <w:vAlign w:val="center"/>
          </w:tcPr>
          <w:p w14:paraId="0E503D7B"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30,546,000.00</w:t>
            </w:r>
          </w:p>
        </w:tc>
        <w:tc>
          <w:tcPr>
            <w:tcW w:w="1686" w:type="dxa"/>
            <w:tcBorders>
              <w:top w:val="single" w:sz="8" w:space="0" w:color="000000"/>
              <w:left w:val="single" w:sz="8" w:space="0" w:color="000000"/>
              <w:bottom w:val="single" w:sz="6" w:space="0" w:color="000000"/>
              <w:right w:val="single" w:sz="8" w:space="0" w:color="000000"/>
            </w:tcBorders>
            <w:vAlign w:val="center"/>
          </w:tcPr>
          <w:p w14:paraId="37535533"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2.21</w:t>
            </w:r>
          </w:p>
        </w:tc>
      </w:tr>
      <w:tr w:rsidR="00A6605D" w14:paraId="59B8EA1E"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5E2A426A"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5</w:t>
            </w:r>
          </w:p>
        </w:tc>
        <w:tc>
          <w:tcPr>
            <w:tcW w:w="1377" w:type="dxa"/>
            <w:tcBorders>
              <w:top w:val="single" w:sz="8" w:space="0" w:color="000000"/>
              <w:left w:val="single" w:sz="8" w:space="0" w:color="000000"/>
              <w:bottom w:val="single" w:sz="6" w:space="0" w:color="000000"/>
              <w:right w:val="single" w:sz="8" w:space="0" w:color="000000"/>
            </w:tcBorders>
            <w:vAlign w:val="center"/>
          </w:tcPr>
          <w:p w14:paraId="1642B693" w14:textId="77777777" w:rsidR="00A6605D" w:rsidRDefault="00413D7E" w:rsidP="006B2775">
            <w:pPr>
              <w:widowControl/>
              <w:wordWrap w:val="0"/>
              <w:autoSpaceDE w:val="0"/>
              <w:autoSpaceDN w:val="0"/>
              <w:adjustRightInd w:val="0"/>
              <w:spacing w:before="29" w:line="288" w:lineRule="auto"/>
              <w:ind w:left="15"/>
              <w:jc w:val="left"/>
              <w:rPr>
                <w:rFonts w:hAnsi="Calibri"/>
                <w:color w:val="000000"/>
                <w:szCs w:val="21"/>
              </w:rPr>
            </w:pPr>
            <w:r>
              <w:rPr>
                <w:rFonts w:hAnsi="Calibri" w:hint="eastAsia"/>
                <w:color w:val="000000"/>
                <w:szCs w:val="21"/>
              </w:rPr>
              <w:t>102000328</w:t>
            </w:r>
          </w:p>
        </w:tc>
        <w:tc>
          <w:tcPr>
            <w:tcW w:w="2252" w:type="dxa"/>
            <w:tcBorders>
              <w:top w:val="single" w:sz="8" w:space="0" w:color="000000"/>
              <w:left w:val="single" w:sz="8" w:space="0" w:color="000000"/>
              <w:bottom w:val="single" w:sz="6" w:space="0" w:color="000000"/>
              <w:right w:val="single" w:sz="8" w:space="0" w:color="000000"/>
            </w:tcBorders>
            <w:vAlign w:val="center"/>
          </w:tcPr>
          <w:p w14:paraId="1862E59E" w14:textId="77777777" w:rsidR="00A6605D" w:rsidRDefault="00413D7E" w:rsidP="006B2775">
            <w:pPr>
              <w:widowControl/>
              <w:wordWrap w:val="0"/>
              <w:autoSpaceDE w:val="0"/>
              <w:autoSpaceDN w:val="0"/>
              <w:adjustRightInd w:val="0"/>
              <w:spacing w:before="29" w:line="288" w:lineRule="auto"/>
              <w:ind w:left="15"/>
              <w:jc w:val="left"/>
              <w:rPr>
                <w:rFonts w:hAnsi="Calibri"/>
                <w:color w:val="000000"/>
                <w:szCs w:val="21"/>
              </w:rPr>
            </w:pPr>
            <w:r>
              <w:rPr>
                <w:rFonts w:hAnsi="Calibri" w:hint="eastAsia"/>
                <w:color w:val="000000"/>
                <w:szCs w:val="21"/>
              </w:rPr>
              <w:t>20</w:t>
            </w:r>
            <w:r>
              <w:rPr>
                <w:rFonts w:hAnsi="Calibri" w:hint="eastAsia"/>
                <w:color w:val="000000"/>
                <w:szCs w:val="21"/>
              </w:rPr>
              <w:t>农十二师</w:t>
            </w:r>
            <w:r>
              <w:rPr>
                <w:rFonts w:hAnsi="Calibri" w:hint="eastAsia"/>
                <w:color w:val="000000"/>
                <w:szCs w:val="21"/>
              </w:rPr>
              <w:t>(</w:t>
            </w:r>
            <w:r>
              <w:rPr>
                <w:rFonts w:hAnsi="Calibri" w:hint="eastAsia"/>
                <w:color w:val="000000"/>
                <w:szCs w:val="21"/>
              </w:rPr>
              <w:t>疫情防控债</w:t>
            </w:r>
            <w:r>
              <w:rPr>
                <w:rFonts w:hAnsi="Calibri" w:hint="eastAsia"/>
                <w:color w:val="000000"/>
                <w:szCs w:val="21"/>
              </w:rPr>
              <w:t>)MTN001</w:t>
            </w:r>
          </w:p>
        </w:tc>
        <w:tc>
          <w:tcPr>
            <w:tcW w:w="1144" w:type="dxa"/>
            <w:tcBorders>
              <w:top w:val="single" w:sz="8" w:space="0" w:color="000000"/>
              <w:left w:val="single" w:sz="8" w:space="0" w:color="000000"/>
              <w:bottom w:val="single" w:sz="6" w:space="0" w:color="000000"/>
              <w:right w:val="single" w:sz="8" w:space="0" w:color="000000"/>
            </w:tcBorders>
            <w:vAlign w:val="center"/>
          </w:tcPr>
          <w:p w14:paraId="250FAB6D"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300,000</w:t>
            </w:r>
          </w:p>
        </w:tc>
        <w:tc>
          <w:tcPr>
            <w:tcW w:w="1905" w:type="dxa"/>
            <w:tcBorders>
              <w:top w:val="single" w:sz="8" w:space="0" w:color="000000"/>
              <w:left w:val="single" w:sz="8" w:space="0" w:color="000000"/>
              <w:bottom w:val="single" w:sz="6" w:space="0" w:color="000000"/>
              <w:right w:val="single" w:sz="8" w:space="0" w:color="000000"/>
            </w:tcBorders>
            <w:vAlign w:val="center"/>
          </w:tcPr>
          <w:p w14:paraId="653043F2"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30,429,000.00</w:t>
            </w:r>
          </w:p>
        </w:tc>
        <w:tc>
          <w:tcPr>
            <w:tcW w:w="1686" w:type="dxa"/>
            <w:tcBorders>
              <w:top w:val="single" w:sz="8" w:space="0" w:color="000000"/>
              <w:left w:val="single" w:sz="8" w:space="0" w:color="000000"/>
              <w:bottom w:val="single" w:sz="6" w:space="0" w:color="000000"/>
              <w:right w:val="single" w:sz="8" w:space="0" w:color="000000"/>
            </w:tcBorders>
            <w:vAlign w:val="center"/>
          </w:tcPr>
          <w:p w14:paraId="07AB8278"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2.20</w:t>
            </w:r>
          </w:p>
        </w:tc>
      </w:tr>
    </w:tbl>
    <w:p w14:paraId="25FA6767" w14:textId="77777777" w:rsidR="00A6605D" w:rsidRDefault="00A6605D">
      <w:pPr>
        <w:widowControl/>
        <w:spacing w:line="360" w:lineRule="auto"/>
        <w:jc w:val="left"/>
        <w:rPr>
          <w:rFonts w:ascii="宋体" w:hAnsi="宋体" w:cs="宋体"/>
          <w:kern w:val="0"/>
          <w:szCs w:val="21"/>
        </w:rPr>
      </w:pPr>
    </w:p>
    <w:p w14:paraId="125DA07B" w14:textId="77777777" w:rsidR="00A6605D" w:rsidRDefault="00413D7E">
      <w:pPr>
        <w:spacing w:line="360" w:lineRule="auto"/>
        <w:ind w:firstLineChars="200" w:firstLine="420"/>
        <w:rPr>
          <w:szCs w:val="21"/>
        </w:rPr>
      </w:pPr>
      <w:r>
        <w:rPr>
          <w:rFonts w:hint="eastAsia"/>
          <w:szCs w:val="21"/>
        </w:rPr>
        <w:t>6</w:t>
      </w:r>
      <w:r>
        <w:rPr>
          <w:rFonts w:hint="eastAsia"/>
          <w:szCs w:val="21"/>
        </w:rPr>
        <w:t>、</w:t>
      </w:r>
      <w:r>
        <w:rPr>
          <w:rFonts w:ascii="宋体" w:hAnsi="宋体" w:hint="eastAsia"/>
          <w:szCs w:val="21"/>
        </w:rPr>
        <w:t>报告</w:t>
      </w:r>
      <w:r>
        <w:rPr>
          <w:rFonts w:hint="eastAsia"/>
          <w:szCs w:val="21"/>
        </w:rPr>
        <w:t>期末按公允价值占基金资产净值比例大小排序的前十名资产支持证券投资明细</w:t>
      </w:r>
    </w:p>
    <w:p w14:paraId="2CE23BCB" w14:textId="77777777" w:rsidR="00A6605D" w:rsidRDefault="00413D7E">
      <w:pPr>
        <w:spacing w:line="360" w:lineRule="auto"/>
        <w:ind w:firstLineChars="300" w:firstLine="630"/>
        <w:rPr>
          <w:rFonts w:ascii="宋体" w:hAnsi="宋体"/>
          <w:szCs w:val="21"/>
        </w:rPr>
      </w:pPr>
      <w:r>
        <w:rPr>
          <w:rFonts w:hint="eastAsia"/>
          <w:szCs w:val="21"/>
        </w:rPr>
        <w:t>本基金本报告</w:t>
      </w:r>
      <w:r>
        <w:rPr>
          <w:rFonts w:ascii="宋体" w:hAnsi="宋体" w:hint="eastAsia"/>
          <w:szCs w:val="21"/>
        </w:rPr>
        <w:t>期末未持有资产支持证券。</w:t>
      </w:r>
    </w:p>
    <w:p w14:paraId="7E1C9B8E" w14:textId="77777777" w:rsidR="00A6605D" w:rsidRDefault="00413D7E">
      <w:pPr>
        <w:spacing w:line="360" w:lineRule="auto"/>
        <w:ind w:firstLineChars="200" w:firstLine="420"/>
        <w:rPr>
          <w:rFonts w:ascii="宋体" w:hAnsi="宋体" w:cs="宋体"/>
          <w:kern w:val="0"/>
          <w:szCs w:val="21"/>
        </w:rPr>
      </w:pPr>
      <w:r>
        <w:rPr>
          <w:rFonts w:hint="eastAsia"/>
          <w:szCs w:val="21"/>
        </w:rPr>
        <w:t>7</w:t>
      </w:r>
      <w:r>
        <w:rPr>
          <w:rFonts w:hint="eastAsia"/>
          <w:szCs w:val="21"/>
        </w:rPr>
        <w:t>、报告期末按公允价值占基金资产净值比例大小排序的前五名贵金属投资明细</w:t>
      </w:r>
    </w:p>
    <w:p w14:paraId="2A889B5C" w14:textId="77777777" w:rsidR="00A6605D" w:rsidRDefault="00413D7E">
      <w:pPr>
        <w:pStyle w:val="neirong"/>
        <w:spacing w:line="360" w:lineRule="auto"/>
        <w:ind w:leftChars="7" w:firstLineChars="300" w:firstLine="630"/>
      </w:pPr>
      <w:r>
        <w:rPr>
          <w:rFonts w:hint="eastAsia"/>
          <w:sz w:val="21"/>
          <w:szCs w:val="21"/>
        </w:rPr>
        <w:t>本基金本报告期末未持有贵金属。</w:t>
      </w:r>
    </w:p>
    <w:p w14:paraId="55BCED2A" w14:textId="77777777" w:rsidR="00A6605D" w:rsidRDefault="00413D7E">
      <w:pPr>
        <w:spacing w:line="360" w:lineRule="auto"/>
        <w:ind w:firstLineChars="200" w:firstLine="420"/>
        <w:rPr>
          <w:szCs w:val="21"/>
        </w:rPr>
      </w:pPr>
      <w:r>
        <w:rPr>
          <w:rFonts w:hint="eastAsia"/>
          <w:szCs w:val="21"/>
        </w:rPr>
        <w:t>8</w:t>
      </w:r>
      <w:r>
        <w:rPr>
          <w:rFonts w:hint="eastAsia"/>
          <w:szCs w:val="21"/>
        </w:rPr>
        <w:t>、报告期末按公允价值占基金资产净值比例大小排序的前五名权证投资明细</w:t>
      </w:r>
    </w:p>
    <w:p w14:paraId="4BE34ECE" w14:textId="77777777" w:rsidR="00A6605D" w:rsidRDefault="00A6605D">
      <w:pPr>
        <w:spacing w:line="360" w:lineRule="auto"/>
        <w:ind w:firstLineChars="200" w:firstLine="420"/>
        <w:rPr>
          <w:vanish/>
          <w:szCs w:val="21"/>
        </w:rPr>
      </w:pPr>
    </w:p>
    <w:p w14:paraId="6A5319E9" w14:textId="77777777" w:rsidR="00A6605D" w:rsidRDefault="00413D7E">
      <w:pPr>
        <w:pStyle w:val="neirong"/>
        <w:spacing w:line="360" w:lineRule="auto"/>
        <w:ind w:leftChars="7" w:firstLineChars="300" w:firstLine="630"/>
      </w:pPr>
      <w:r>
        <w:rPr>
          <w:rFonts w:hint="eastAsia"/>
          <w:sz w:val="21"/>
          <w:szCs w:val="21"/>
        </w:rPr>
        <w:t>本基金本报告期末未持有权证。</w:t>
      </w:r>
    </w:p>
    <w:p w14:paraId="11160120" w14:textId="77777777" w:rsidR="00A6605D" w:rsidRDefault="00413D7E">
      <w:pPr>
        <w:spacing w:line="360" w:lineRule="auto"/>
        <w:ind w:firstLineChars="200" w:firstLine="420"/>
      </w:pPr>
      <w:r>
        <w:rPr>
          <w:rFonts w:hint="eastAsia"/>
          <w:szCs w:val="21"/>
        </w:rPr>
        <w:t>9</w:t>
      </w:r>
      <w:r>
        <w:rPr>
          <w:rFonts w:hint="eastAsia"/>
          <w:szCs w:val="21"/>
        </w:rPr>
        <w:t>、</w:t>
      </w:r>
      <w:r>
        <w:rPr>
          <w:szCs w:val="21"/>
        </w:rPr>
        <w:t xml:space="preserve"> </w:t>
      </w:r>
      <w:r>
        <w:rPr>
          <w:rFonts w:hint="eastAsia"/>
          <w:szCs w:val="21"/>
        </w:rPr>
        <w:t>报告期末本基金投资的股指期货交易情况说明</w:t>
      </w:r>
    </w:p>
    <w:p w14:paraId="1435D74F" w14:textId="77777777" w:rsidR="00A6605D" w:rsidRDefault="00413D7E">
      <w:pPr>
        <w:pStyle w:val="neirong"/>
        <w:spacing w:line="360" w:lineRule="auto"/>
        <w:ind w:leftChars="7" w:firstLineChars="200" w:firstLine="420"/>
        <w:rPr>
          <w:sz w:val="21"/>
          <w:szCs w:val="21"/>
        </w:rPr>
      </w:pPr>
      <w:r>
        <w:rPr>
          <w:rFonts w:hint="eastAsia"/>
          <w:sz w:val="21"/>
          <w:szCs w:val="21"/>
        </w:rPr>
        <w:t>(1) 报告期末本基金投资的股指期货持仓和损益明细</w:t>
      </w:r>
    </w:p>
    <w:p w14:paraId="7091AB64" w14:textId="77777777" w:rsidR="00A6605D" w:rsidRDefault="00413D7E">
      <w:pPr>
        <w:pStyle w:val="neirong"/>
        <w:spacing w:line="360" w:lineRule="auto"/>
        <w:ind w:firstLineChars="300" w:firstLine="630"/>
        <w:rPr>
          <w:sz w:val="21"/>
          <w:szCs w:val="21"/>
        </w:rPr>
      </w:pPr>
      <w:r>
        <w:rPr>
          <w:rFonts w:hint="eastAsia"/>
          <w:sz w:val="21"/>
          <w:szCs w:val="21"/>
        </w:rPr>
        <w:t>本基金本报告期末未投资股指期货。</w:t>
      </w:r>
    </w:p>
    <w:p w14:paraId="1F69164A" w14:textId="77777777" w:rsidR="00A6605D" w:rsidRDefault="00413D7E">
      <w:pPr>
        <w:pStyle w:val="neirong"/>
        <w:spacing w:line="360" w:lineRule="auto"/>
        <w:ind w:leftChars="7" w:firstLineChars="150" w:firstLine="315"/>
        <w:rPr>
          <w:sz w:val="21"/>
          <w:szCs w:val="21"/>
        </w:rPr>
      </w:pPr>
      <w:r>
        <w:rPr>
          <w:rFonts w:hint="eastAsia"/>
          <w:sz w:val="21"/>
          <w:szCs w:val="21"/>
        </w:rPr>
        <w:t xml:space="preserve"> (2)</w:t>
      </w:r>
      <w:r>
        <w:rPr>
          <w:sz w:val="21"/>
          <w:szCs w:val="21"/>
        </w:rPr>
        <w:t xml:space="preserve"> </w:t>
      </w:r>
      <w:r>
        <w:rPr>
          <w:rFonts w:hint="eastAsia"/>
          <w:sz w:val="21"/>
          <w:szCs w:val="21"/>
        </w:rPr>
        <w:t>本基金投资股指期货的投资政策</w:t>
      </w:r>
    </w:p>
    <w:p w14:paraId="1D88CB35" w14:textId="77777777" w:rsidR="00A6605D" w:rsidRDefault="00413D7E">
      <w:pPr>
        <w:pStyle w:val="neirong"/>
        <w:spacing w:line="360" w:lineRule="auto"/>
        <w:ind w:leftChars="7" w:firstLineChars="350" w:firstLine="735"/>
        <w:rPr>
          <w:sz w:val="21"/>
          <w:szCs w:val="21"/>
        </w:rPr>
      </w:pPr>
      <w:r>
        <w:rPr>
          <w:rFonts w:hint="eastAsia"/>
          <w:sz w:val="21"/>
          <w:szCs w:val="21"/>
        </w:rPr>
        <w:t>本基金本报告期末未投资股指期货。</w:t>
      </w:r>
    </w:p>
    <w:p w14:paraId="23E87E2E" w14:textId="77777777" w:rsidR="00A6605D" w:rsidRDefault="00413D7E">
      <w:pPr>
        <w:spacing w:line="360" w:lineRule="auto"/>
        <w:ind w:firstLineChars="200" w:firstLine="420"/>
        <w:rPr>
          <w:rFonts w:ascii="宋体" w:hAnsi="宋体" w:cs="宋体"/>
          <w:kern w:val="0"/>
          <w:szCs w:val="21"/>
        </w:rPr>
      </w:pPr>
      <w:r>
        <w:rPr>
          <w:rFonts w:hint="eastAsia"/>
          <w:szCs w:val="21"/>
        </w:rPr>
        <w:t>10</w:t>
      </w:r>
      <w:r>
        <w:rPr>
          <w:rFonts w:hint="eastAsia"/>
          <w:szCs w:val="21"/>
        </w:rPr>
        <w:t>、报告期末本基金投资的国债期货交易情况说明</w:t>
      </w:r>
    </w:p>
    <w:p w14:paraId="293D80F5" w14:textId="77777777" w:rsidR="00A6605D" w:rsidRDefault="00413D7E">
      <w:pPr>
        <w:pStyle w:val="neirong"/>
        <w:spacing w:line="360" w:lineRule="auto"/>
        <w:ind w:firstLineChars="200" w:firstLine="420"/>
        <w:rPr>
          <w:sz w:val="21"/>
          <w:szCs w:val="21"/>
        </w:rPr>
      </w:pPr>
      <w:r>
        <w:rPr>
          <w:rFonts w:hint="eastAsia"/>
          <w:sz w:val="21"/>
          <w:szCs w:val="21"/>
        </w:rPr>
        <w:t>(1)本期国债期货投资政策</w:t>
      </w:r>
    </w:p>
    <w:p w14:paraId="3788ED1A" w14:textId="77777777" w:rsidR="00A6605D" w:rsidRDefault="00413D7E">
      <w:pPr>
        <w:pStyle w:val="neirong"/>
        <w:spacing w:line="360" w:lineRule="auto"/>
        <w:ind w:firstLineChars="200" w:firstLine="420"/>
        <w:rPr>
          <w:sz w:val="21"/>
          <w:szCs w:val="21"/>
        </w:rPr>
      </w:pPr>
      <w:r>
        <w:rPr>
          <w:rFonts w:hint="eastAsia"/>
          <w:sz w:val="21"/>
          <w:szCs w:val="21"/>
        </w:rPr>
        <w:t>本基金本报告期末未投资国债期货。</w:t>
      </w:r>
    </w:p>
    <w:p w14:paraId="1AFCDDD5" w14:textId="77777777" w:rsidR="00A6605D" w:rsidRDefault="00413D7E">
      <w:pPr>
        <w:pStyle w:val="neirong"/>
        <w:spacing w:line="360" w:lineRule="auto"/>
        <w:ind w:firstLineChars="200" w:firstLine="420"/>
        <w:rPr>
          <w:sz w:val="21"/>
          <w:szCs w:val="21"/>
        </w:rPr>
      </w:pPr>
      <w:r>
        <w:rPr>
          <w:rFonts w:hint="eastAsia"/>
          <w:sz w:val="21"/>
          <w:szCs w:val="21"/>
        </w:rPr>
        <w:t>(2)报告期末本基金投资的国债期货持仓和损益明细</w:t>
      </w:r>
    </w:p>
    <w:p w14:paraId="71D6F09E" w14:textId="77777777" w:rsidR="00A6605D" w:rsidRDefault="00413D7E">
      <w:pPr>
        <w:pStyle w:val="neirong"/>
        <w:spacing w:line="360" w:lineRule="auto"/>
        <w:ind w:firstLineChars="200" w:firstLine="420"/>
        <w:rPr>
          <w:sz w:val="21"/>
          <w:szCs w:val="21"/>
        </w:rPr>
      </w:pPr>
      <w:r>
        <w:rPr>
          <w:rFonts w:hint="eastAsia"/>
          <w:sz w:val="21"/>
          <w:szCs w:val="21"/>
        </w:rPr>
        <w:t>本基金本报告期末未投资国债期货。</w:t>
      </w:r>
    </w:p>
    <w:p w14:paraId="5DD9DF19" w14:textId="77777777" w:rsidR="00A6605D" w:rsidRDefault="00413D7E">
      <w:pPr>
        <w:pStyle w:val="neirong"/>
        <w:spacing w:line="360" w:lineRule="auto"/>
        <w:ind w:firstLineChars="200" w:firstLine="420"/>
        <w:rPr>
          <w:sz w:val="21"/>
          <w:szCs w:val="21"/>
        </w:rPr>
      </w:pPr>
      <w:r>
        <w:rPr>
          <w:rFonts w:hint="eastAsia"/>
          <w:sz w:val="21"/>
          <w:szCs w:val="21"/>
        </w:rPr>
        <w:t>(3) 本期国债期货投资评价</w:t>
      </w:r>
    </w:p>
    <w:p w14:paraId="0A50AC1C" w14:textId="77777777" w:rsidR="00A6605D" w:rsidRDefault="00413D7E">
      <w:pPr>
        <w:pStyle w:val="zhangjiep2"/>
        <w:spacing w:line="360" w:lineRule="auto"/>
        <w:ind w:firstLineChars="200" w:firstLine="420"/>
        <w:rPr>
          <w:sz w:val="21"/>
          <w:szCs w:val="21"/>
        </w:rPr>
      </w:pPr>
      <w:r>
        <w:rPr>
          <w:rFonts w:hint="eastAsia"/>
          <w:sz w:val="21"/>
          <w:szCs w:val="21"/>
        </w:rPr>
        <w:t>本基金本报告期末未投资国债期货。</w:t>
      </w:r>
    </w:p>
    <w:p w14:paraId="53E76279"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kern w:val="2"/>
          <w:sz w:val="21"/>
          <w:szCs w:val="21"/>
        </w:rPr>
        <w:t>1</w:t>
      </w:r>
      <w:r>
        <w:rPr>
          <w:rFonts w:ascii="Times New Roman" w:hAnsi="Times New Roman" w:cs="Times New Roman" w:hint="eastAsia"/>
          <w:kern w:val="2"/>
          <w:sz w:val="21"/>
          <w:szCs w:val="21"/>
        </w:rPr>
        <w:t>1</w:t>
      </w:r>
      <w:r>
        <w:rPr>
          <w:rFonts w:ascii="Times New Roman" w:hAnsi="Times New Roman" w:cs="Times New Roman" w:hint="eastAsia"/>
          <w:kern w:val="2"/>
          <w:sz w:val="21"/>
          <w:szCs w:val="21"/>
        </w:rPr>
        <w:t>、投资组合报告附注</w:t>
      </w:r>
    </w:p>
    <w:p w14:paraId="6EB98D8D"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lastRenderedPageBreak/>
        <w:t>（</w:t>
      </w:r>
      <w:r>
        <w:rPr>
          <w:rFonts w:ascii="Times New Roman" w:hAnsi="Times New Roman" w:cs="Times New Roman" w:hint="eastAsia"/>
          <w:kern w:val="2"/>
          <w:sz w:val="21"/>
          <w:szCs w:val="21"/>
        </w:rPr>
        <w:t>1</w:t>
      </w:r>
      <w:r>
        <w:rPr>
          <w:rFonts w:ascii="Times New Roman" w:hAnsi="Times New Roman" w:cs="Times New Roman" w:hint="eastAsia"/>
          <w:kern w:val="2"/>
          <w:sz w:val="21"/>
          <w:szCs w:val="21"/>
        </w:rPr>
        <w:t>）本基金投资的前十名证券的发行主体中，中国进出口银行、中信银行股份有限公司在报告编制日前一年内曾受到中国银行保险监督管理委员会的处罚。</w:t>
      </w:r>
    </w:p>
    <w:p w14:paraId="5F785301" w14:textId="35101A1B"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本基金对上述主体发行的相关证券的投资决策程序符合相关法律法规及基金合同的要求。除上述主体外，本基金投资的其他前十名证券的发行主体本期没有出现被监管部门立案调查，或在报告编制日前一年内受到公开谴责、处罚的情形。</w:t>
      </w:r>
    </w:p>
    <w:p w14:paraId="26154613"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2</w:t>
      </w:r>
      <w:r>
        <w:rPr>
          <w:rFonts w:ascii="Times New Roman" w:hAnsi="Times New Roman" w:cs="Times New Roman" w:hint="eastAsia"/>
          <w:kern w:val="2"/>
          <w:sz w:val="21"/>
          <w:szCs w:val="21"/>
        </w:rPr>
        <w:t>）本基金本报告期末未持有股票。</w:t>
      </w:r>
    </w:p>
    <w:p w14:paraId="192E1248"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3</w:t>
      </w:r>
      <w:r>
        <w:rPr>
          <w:rFonts w:ascii="Times New Roman" w:hAnsi="Times New Roman" w:cs="Times New Roman" w:hint="eastAsia"/>
          <w:kern w:val="2"/>
          <w:sz w:val="21"/>
          <w:szCs w:val="21"/>
        </w:rPr>
        <w:t>）其他资产构成</w:t>
      </w:r>
    </w:p>
    <w:tbl>
      <w:tblPr>
        <w:tblW w:w="0" w:type="auto"/>
        <w:tblInd w:w="108" w:type="dxa"/>
        <w:tblLook w:val="04A0" w:firstRow="1" w:lastRow="0" w:firstColumn="1" w:lastColumn="0" w:noHBand="0" w:noVBand="1"/>
      </w:tblPr>
      <w:tblGrid>
        <w:gridCol w:w="1160"/>
        <w:gridCol w:w="3308"/>
        <w:gridCol w:w="3633"/>
      </w:tblGrid>
      <w:tr w:rsidR="00A6605D" w14:paraId="05A71D9A"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178023A8"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序号</w:t>
            </w:r>
          </w:p>
        </w:tc>
        <w:tc>
          <w:tcPr>
            <w:tcW w:w="3308" w:type="dxa"/>
            <w:tcBorders>
              <w:top w:val="single" w:sz="8" w:space="0" w:color="000000"/>
              <w:left w:val="single" w:sz="8" w:space="0" w:color="000000"/>
              <w:bottom w:val="single" w:sz="6" w:space="0" w:color="000000"/>
              <w:right w:val="single" w:sz="8" w:space="0" w:color="000000"/>
            </w:tcBorders>
            <w:vAlign w:val="center"/>
          </w:tcPr>
          <w:p w14:paraId="29E4B328" w14:textId="77777777" w:rsidR="00A6605D" w:rsidRDefault="00413D7E">
            <w:pPr>
              <w:pStyle w:val="biaogeleft"/>
              <w:rPr>
                <w:sz w:val="21"/>
                <w:szCs w:val="21"/>
              </w:rPr>
            </w:pPr>
            <w:r>
              <w:rPr>
                <w:rFonts w:hint="eastAsia"/>
                <w:sz w:val="21"/>
                <w:szCs w:val="21"/>
              </w:rPr>
              <w:t>名称</w:t>
            </w:r>
          </w:p>
        </w:tc>
        <w:tc>
          <w:tcPr>
            <w:tcW w:w="3633" w:type="dxa"/>
            <w:tcBorders>
              <w:top w:val="single" w:sz="8" w:space="0" w:color="000000"/>
              <w:left w:val="single" w:sz="8" w:space="0" w:color="000000"/>
              <w:bottom w:val="single" w:sz="6" w:space="0" w:color="000000"/>
              <w:right w:val="single" w:sz="8" w:space="0" w:color="000000"/>
            </w:tcBorders>
            <w:vAlign w:val="center"/>
          </w:tcPr>
          <w:p w14:paraId="45B9D82D" w14:textId="77777777" w:rsidR="00A6605D" w:rsidRDefault="00413D7E">
            <w:pPr>
              <w:pStyle w:val="biaogeright"/>
              <w:ind w:left="420" w:hanging="420"/>
              <w:rPr>
                <w:sz w:val="21"/>
                <w:szCs w:val="21"/>
              </w:rPr>
            </w:pPr>
            <w:r>
              <w:rPr>
                <w:rFonts w:hint="eastAsia"/>
                <w:sz w:val="21"/>
                <w:szCs w:val="21"/>
              </w:rPr>
              <w:t>金额(元)</w:t>
            </w:r>
          </w:p>
        </w:tc>
      </w:tr>
      <w:tr w:rsidR="00A6605D" w14:paraId="35B26CF0"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77275BF5"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1</w:t>
            </w:r>
          </w:p>
        </w:tc>
        <w:tc>
          <w:tcPr>
            <w:tcW w:w="3308" w:type="dxa"/>
            <w:tcBorders>
              <w:top w:val="single" w:sz="8" w:space="0" w:color="000000"/>
              <w:left w:val="single" w:sz="8" w:space="0" w:color="000000"/>
              <w:bottom w:val="single" w:sz="6" w:space="0" w:color="000000"/>
              <w:right w:val="single" w:sz="8" w:space="0" w:color="000000"/>
            </w:tcBorders>
            <w:vAlign w:val="center"/>
          </w:tcPr>
          <w:p w14:paraId="3BFFBCFE" w14:textId="77777777" w:rsidR="00A6605D" w:rsidRDefault="00413D7E">
            <w:pPr>
              <w:pStyle w:val="biaogeleft"/>
              <w:wordWrap w:val="0"/>
              <w:rPr>
                <w:sz w:val="21"/>
                <w:szCs w:val="21"/>
              </w:rPr>
            </w:pPr>
            <w:r>
              <w:rPr>
                <w:rFonts w:hint="eastAsia"/>
                <w:sz w:val="21"/>
                <w:szCs w:val="21"/>
              </w:rPr>
              <w:t>存出保证金</w:t>
            </w:r>
          </w:p>
        </w:tc>
        <w:tc>
          <w:tcPr>
            <w:tcW w:w="3633" w:type="dxa"/>
            <w:tcBorders>
              <w:top w:val="single" w:sz="8" w:space="0" w:color="000000"/>
              <w:left w:val="single" w:sz="8" w:space="0" w:color="000000"/>
              <w:bottom w:val="single" w:sz="6" w:space="0" w:color="000000"/>
              <w:right w:val="single" w:sz="8" w:space="0" w:color="000000"/>
            </w:tcBorders>
            <w:vAlign w:val="center"/>
          </w:tcPr>
          <w:p w14:paraId="5D0220D5" w14:textId="45C63B40" w:rsidR="00A6605D" w:rsidRDefault="00413D7E">
            <w:pPr>
              <w:pStyle w:val="biaogeright"/>
              <w:wordWrap w:val="0"/>
              <w:ind w:left="420" w:hanging="420"/>
              <w:rPr>
                <w:sz w:val="21"/>
                <w:szCs w:val="21"/>
              </w:rPr>
            </w:pPr>
            <w:r>
              <w:rPr>
                <w:rFonts w:hint="eastAsia"/>
              </w:rPr>
              <w:t>11,360.43</w:t>
            </w:r>
          </w:p>
        </w:tc>
      </w:tr>
      <w:tr w:rsidR="00A6605D" w14:paraId="6B69206C"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1909F9B3"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2</w:t>
            </w:r>
          </w:p>
        </w:tc>
        <w:tc>
          <w:tcPr>
            <w:tcW w:w="3308" w:type="dxa"/>
            <w:tcBorders>
              <w:top w:val="single" w:sz="8" w:space="0" w:color="000000"/>
              <w:left w:val="single" w:sz="8" w:space="0" w:color="000000"/>
              <w:bottom w:val="single" w:sz="6" w:space="0" w:color="000000"/>
              <w:right w:val="single" w:sz="8" w:space="0" w:color="000000"/>
            </w:tcBorders>
            <w:vAlign w:val="center"/>
          </w:tcPr>
          <w:p w14:paraId="2EBCF895" w14:textId="77777777" w:rsidR="00A6605D" w:rsidRDefault="00413D7E">
            <w:pPr>
              <w:pStyle w:val="biaogeleft"/>
              <w:wordWrap w:val="0"/>
              <w:rPr>
                <w:sz w:val="21"/>
                <w:szCs w:val="21"/>
              </w:rPr>
            </w:pPr>
            <w:r>
              <w:rPr>
                <w:rFonts w:hint="eastAsia"/>
                <w:sz w:val="21"/>
                <w:szCs w:val="21"/>
              </w:rPr>
              <w:t>应收证券清算款</w:t>
            </w:r>
          </w:p>
        </w:tc>
        <w:tc>
          <w:tcPr>
            <w:tcW w:w="3633" w:type="dxa"/>
            <w:tcBorders>
              <w:top w:val="single" w:sz="8" w:space="0" w:color="000000"/>
              <w:left w:val="single" w:sz="8" w:space="0" w:color="000000"/>
              <w:bottom w:val="single" w:sz="6" w:space="0" w:color="000000"/>
              <w:right w:val="single" w:sz="8" w:space="0" w:color="000000"/>
            </w:tcBorders>
            <w:vAlign w:val="center"/>
          </w:tcPr>
          <w:p w14:paraId="22993A95" w14:textId="60DBDDFD" w:rsidR="00A6605D" w:rsidRDefault="00413D7E">
            <w:pPr>
              <w:pStyle w:val="biaogeright"/>
              <w:wordWrap w:val="0"/>
              <w:ind w:left="420" w:hanging="420"/>
              <w:rPr>
                <w:sz w:val="21"/>
                <w:szCs w:val="21"/>
              </w:rPr>
            </w:pPr>
            <w:r>
              <w:rPr>
                <w:rFonts w:hint="eastAsia"/>
              </w:rPr>
              <w:t>-</w:t>
            </w:r>
          </w:p>
        </w:tc>
      </w:tr>
      <w:tr w:rsidR="00A6605D" w14:paraId="6CC28BB5"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3B0DB536"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3</w:t>
            </w:r>
          </w:p>
        </w:tc>
        <w:tc>
          <w:tcPr>
            <w:tcW w:w="3308" w:type="dxa"/>
            <w:tcBorders>
              <w:top w:val="single" w:sz="8" w:space="0" w:color="000000"/>
              <w:left w:val="single" w:sz="8" w:space="0" w:color="000000"/>
              <w:bottom w:val="single" w:sz="6" w:space="0" w:color="000000"/>
              <w:right w:val="single" w:sz="8" w:space="0" w:color="000000"/>
            </w:tcBorders>
            <w:vAlign w:val="center"/>
          </w:tcPr>
          <w:p w14:paraId="17EDBAB3" w14:textId="77777777" w:rsidR="00A6605D" w:rsidRDefault="00413D7E">
            <w:pPr>
              <w:pStyle w:val="biaogeleft"/>
              <w:wordWrap w:val="0"/>
              <w:rPr>
                <w:sz w:val="21"/>
                <w:szCs w:val="21"/>
              </w:rPr>
            </w:pPr>
            <w:r>
              <w:rPr>
                <w:rFonts w:hint="eastAsia"/>
                <w:sz w:val="21"/>
                <w:szCs w:val="21"/>
              </w:rPr>
              <w:t>应收股利</w:t>
            </w:r>
          </w:p>
        </w:tc>
        <w:tc>
          <w:tcPr>
            <w:tcW w:w="3633" w:type="dxa"/>
            <w:tcBorders>
              <w:top w:val="single" w:sz="8" w:space="0" w:color="000000"/>
              <w:left w:val="single" w:sz="8" w:space="0" w:color="000000"/>
              <w:bottom w:val="single" w:sz="6" w:space="0" w:color="000000"/>
              <w:right w:val="single" w:sz="8" w:space="0" w:color="000000"/>
            </w:tcBorders>
            <w:vAlign w:val="center"/>
          </w:tcPr>
          <w:p w14:paraId="162035F4" w14:textId="6DE027A5" w:rsidR="00A6605D" w:rsidRDefault="00413D7E">
            <w:pPr>
              <w:pStyle w:val="biaogeright"/>
              <w:wordWrap w:val="0"/>
              <w:ind w:left="420" w:hanging="420"/>
              <w:rPr>
                <w:sz w:val="21"/>
                <w:szCs w:val="21"/>
              </w:rPr>
            </w:pPr>
            <w:r>
              <w:rPr>
                <w:rFonts w:hint="eastAsia"/>
              </w:rPr>
              <w:t>-</w:t>
            </w:r>
          </w:p>
        </w:tc>
      </w:tr>
      <w:tr w:rsidR="00A6605D" w14:paraId="554BCA50"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7E769630"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4</w:t>
            </w:r>
          </w:p>
        </w:tc>
        <w:tc>
          <w:tcPr>
            <w:tcW w:w="3308" w:type="dxa"/>
            <w:tcBorders>
              <w:top w:val="single" w:sz="8" w:space="0" w:color="000000"/>
              <w:left w:val="single" w:sz="8" w:space="0" w:color="000000"/>
              <w:bottom w:val="single" w:sz="6" w:space="0" w:color="000000"/>
              <w:right w:val="single" w:sz="8" w:space="0" w:color="000000"/>
            </w:tcBorders>
            <w:vAlign w:val="center"/>
          </w:tcPr>
          <w:p w14:paraId="266C9DF5" w14:textId="77777777" w:rsidR="00A6605D" w:rsidRDefault="00413D7E">
            <w:pPr>
              <w:pStyle w:val="biaogeleft"/>
              <w:wordWrap w:val="0"/>
              <w:rPr>
                <w:sz w:val="21"/>
                <w:szCs w:val="21"/>
              </w:rPr>
            </w:pPr>
            <w:r>
              <w:rPr>
                <w:rFonts w:hint="eastAsia"/>
                <w:sz w:val="21"/>
                <w:szCs w:val="21"/>
              </w:rPr>
              <w:t>应收利息</w:t>
            </w:r>
          </w:p>
        </w:tc>
        <w:tc>
          <w:tcPr>
            <w:tcW w:w="3633" w:type="dxa"/>
            <w:tcBorders>
              <w:top w:val="single" w:sz="8" w:space="0" w:color="000000"/>
              <w:left w:val="single" w:sz="8" w:space="0" w:color="000000"/>
              <w:bottom w:val="single" w:sz="6" w:space="0" w:color="000000"/>
              <w:right w:val="single" w:sz="8" w:space="0" w:color="000000"/>
            </w:tcBorders>
            <w:vAlign w:val="center"/>
          </w:tcPr>
          <w:p w14:paraId="2FF496D9" w14:textId="4B5DE4FE" w:rsidR="00A6605D" w:rsidRDefault="00413D7E">
            <w:pPr>
              <w:pStyle w:val="biaogeright"/>
              <w:wordWrap w:val="0"/>
              <w:ind w:left="420" w:hanging="420"/>
              <w:rPr>
                <w:sz w:val="21"/>
                <w:szCs w:val="21"/>
              </w:rPr>
            </w:pPr>
            <w:r>
              <w:rPr>
                <w:rFonts w:hint="eastAsia"/>
              </w:rPr>
              <w:t>23,832,688.50</w:t>
            </w:r>
          </w:p>
        </w:tc>
      </w:tr>
      <w:tr w:rsidR="00A6605D" w14:paraId="7C9E8DB6"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579D43D7"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5</w:t>
            </w:r>
          </w:p>
        </w:tc>
        <w:tc>
          <w:tcPr>
            <w:tcW w:w="3308" w:type="dxa"/>
            <w:tcBorders>
              <w:top w:val="single" w:sz="8" w:space="0" w:color="000000"/>
              <w:left w:val="single" w:sz="8" w:space="0" w:color="000000"/>
              <w:bottom w:val="single" w:sz="6" w:space="0" w:color="000000"/>
              <w:right w:val="single" w:sz="8" w:space="0" w:color="000000"/>
            </w:tcBorders>
            <w:vAlign w:val="center"/>
          </w:tcPr>
          <w:p w14:paraId="474074B5" w14:textId="77777777" w:rsidR="00A6605D" w:rsidRDefault="00413D7E">
            <w:pPr>
              <w:pStyle w:val="biaogeleft"/>
              <w:wordWrap w:val="0"/>
              <w:rPr>
                <w:sz w:val="21"/>
                <w:szCs w:val="21"/>
              </w:rPr>
            </w:pPr>
            <w:r>
              <w:rPr>
                <w:rFonts w:hint="eastAsia"/>
                <w:sz w:val="21"/>
                <w:szCs w:val="21"/>
              </w:rPr>
              <w:t>应收申购款</w:t>
            </w:r>
          </w:p>
        </w:tc>
        <w:tc>
          <w:tcPr>
            <w:tcW w:w="3633" w:type="dxa"/>
            <w:tcBorders>
              <w:top w:val="single" w:sz="8" w:space="0" w:color="000000"/>
              <w:left w:val="single" w:sz="8" w:space="0" w:color="000000"/>
              <w:bottom w:val="single" w:sz="6" w:space="0" w:color="000000"/>
              <w:right w:val="single" w:sz="8" w:space="0" w:color="000000"/>
            </w:tcBorders>
            <w:vAlign w:val="center"/>
          </w:tcPr>
          <w:p w14:paraId="0ECA2949" w14:textId="6C26CE72" w:rsidR="00A6605D" w:rsidRDefault="00413D7E">
            <w:pPr>
              <w:pStyle w:val="biaogeright"/>
              <w:wordWrap w:val="0"/>
              <w:ind w:left="420" w:hanging="420"/>
              <w:rPr>
                <w:sz w:val="21"/>
                <w:szCs w:val="21"/>
              </w:rPr>
            </w:pPr>
            <w:r>
              <w:rPr>
                <w:rFonts w:hint="eastAsia"/>
              </w:rPr>
              <w:t>1,985,868.86</w:t>
            </w:r>
          </w:p>
        </w:tc>
      </w:tr>
      <w:tr w:rsidR="00A6605D" w14:paraId="3E1C2A05"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69AF8829"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6</w:t>
            </w:r>
          </w:p>
        </w:tc>
        <w:tc>
          <w:tcPr>
            <w:tcW w:w="3308" w:type="dxa"/>
            <w:tcBorders>
              <w:top w:val="single" w:sz="8" w:space="0" w:color="000000"/>
              <w:left w:val="single" w:sz="8" w:space="0" w:color="000000"/>
              <w:bottom w:val="single" w:sz="6" w:space="0" w:color="000000"/>
              <w:right w:val="single" w:sz="8" w:space="0" w:color="000000"/>
            </w:tcBorders>
            <w:vAlign w:val="center"/>
          </w:tcPr>
          <w:p w14:paraId="0E076F47" w14:textId="77777777" w:rsidR="00A6605D" w:rsidRDefault="00413D7E">
            <w:pPr>
              <w:pStyle w:val="biaogeleft"/>
              <w:wordWrap w:val="0"/>
              <w:rPr>
                <w:sz w:val="21"/>
                <w:szCs w:val="21"/>
              </w:rPr>
            </w:pPr>
            <w:r>
              <w:rPr>
                <w:rFonts w:hint="eastAsia"/>
                <w:sz w:val="21"/>
                <w:szCs w:val="21"/>
              </w:rPr>
              <w:t>其他应收款</w:t>
            </w:r>
          </w:p>
        </w:tc>
        <w:tc>
          <w:tcPr>
            <w:tcW w:w="3633" w:type="dxa"/>
            <w:tcBorders>
              <w:top w:val="single" w:sz="8" w:space="0" w:color="000000"/>
              <w:left w:val="single" w:sz="8" w:space="0" w:color="000000"/>
              <w:bottom w:val="single" w:sz="6" w:space="0" w:color="000000"/>
              <w:right w:val="single" w:sz="8" w:space="0" w:color="000000"/>
            </w:tcBorders>
            <w:vAlign w:val="center"/>
          </w:tcPr>
          <w:p w14:paraId="4E44BD3A" w14:textId="27CAD404" w:rsidR="00A6605D" w:rsidRDefault="00413D7E">
            <w:pPr>
              <w:pStyle w:val="biaogeright"/>
              <w:wordWrap w:val="0"/>
              <w:ind w:left="420" w:hanging="420"/>
              <w:rPr>
                <w:sz w:val="21"/>
                <w:szCs w:val="21"/>
              </w:rPr>
            </w:pPr>
            <w:r>
              <w:rPr>
                <w:rFonts w:hint="eastAsia"/>
              </w:rPr>
              <w:t>-</w:t>
            </w:r>
          </w:p>
        </w:tc>
      </w:tr>
      <w:tr w:rsidR="00A6605D" w14:paraId="0CEE6237"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5984D463"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7</w:t>
            </w:r>
          </w:p>
        </w:tc>
        <w:tc>
          <w:tcPr>
            <w:tcW w:w="3308" w:type="dxa"/>
            <w:tcBorders>
              <w:top w:val="single" w:sz="8" w:space="0" w:color="000000"/>
              <w:left w:val="single" w:sz="8" w:space="0" w:color="000000"/>
              <w:bottom w:val="single" w:sz="6" w:space="0" w:color="000000"/>
              <w:right w:val="single" w:sz="8" w:space="0" w:color="000000"/>
            </w:tcBorders>
            <w:vAlign w:val="center"/>
          </w:tcPr>
          <w:p w14:paraId="57D4BA3F" w14:textId="77777777" w:rsidR="00A6605D" w:rsidRDefault="00413D7E">
            <w:pPr>
              <w:pStyle w:val="biaogeleft"/>
              <w:wordWrap w:val="0"/>
              <w:rPr>
                <w:sz w:val="21"/>
                <w:szCs w:val="21"/>
              </w:rPr>
            </w:pPr>
            <w:r>
              <w:rPr>
                <w:rFonts w:hint="eastAsia"/>
                <w:sz w:val="21"/>
                <w:szCs w:val="21"/>
              </w:rPr>
              <w:t>其他</w:t>
            </w:r>
          </w:p>
        </w:tc>
        <w:tc>
          <w:tcPr>
            <w:tcW w:w="3633" w:type="dxa"/>
            <w:tcBorders>
              <w:top w:val="single" w:sz="8" w:space="0" w:color="000000"/>
              <w:left w:val="single" w:sz="8" w:space="0" w:color="000000"/>
              <w:bottom w:val="single" w:sz="6" w:space="0" w:color="000000"/>
              <w:right w:val="single" w:sz="8" w:space="0" w:color="000000"/>
            </w:tcBorders>
            <w:vAlign w:val="center"/>
          </w:tcPr>
          <w:p w14:paraId="16F9EC63" w14:textId="2B3466CF" w:rsidR="00A6605D" w:rsidRDefault="00413D7E">
            <w:pPr>
              <w:pStyle w:val="biaogeright"/>
              <w:wordWrap w:val="0"/>
              <w:ind w:left="420" w:hanging="420"/>
              <w:rPr>
                <w:sz w:val="21"/>
                <w:szCs w:val="21"/>
              </w:rPr>
            </w:pPr>
            <w:r>
              <w:rPr>
                <w:rFonts w:hint="eastAsia"/>
              </w:rPr>
              <w:t>-</w:t>
            </w:r>
          </w:p>
        </w:tc>
      </w:tr>
      <w:tr w:rsidR="00A6605D" w14:paraId="7CAE84A5"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303AA010"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8</w:t>
            </w:r>
          </w:p>
        </w:tc>
        <w:tc>
          <w:tcPr>
            <w:tcW w:w="3308" w:type="dxa"/>
            <w:tcBorders>
              <w:top w:val="single" w:sz="8" w:space="0" w:color="000000"/>
              <w:left w:val="single" w:sz="8" w:space="0" w:color="000000"/>
              <w:bottom w:val="single" w:sz="6" w:space="0" w:color="000000"/>
              <w:right w:val="single" w:sz="8" w:space="0" w:color="000000"/>
            </w:tcBorders>
            <w:vAlign w:val="center"/>
          </w:tcPr>
          <w:p w14:paraId="541B559C" w14:textId="77777777" w:rsidR="00A6605D" w:rsidRDefault="00413D7E">
            <w:pPr>
              <w:pStyle w:val="biaogeleft"/>
              <w:wordWrap w:val="0"/>
              <w:rPr>
                <w:sz w:val="21"/>
                <w:szCs w:val="21"/>
              </w:rPr>
            </w:pPr>
            <w:r>
              <w:rPr>
                <w:rFonts w:hint="eastAsia"/>
                <w:sz w:val="21"/>
                <w:szCs w:val="21"/>
              </w:rPr>
              <w:t>合计</w:t>
            </w:r>
          </w:p>
        </w:tc>
        <w:tc>
          <w:tcPr>
            <w:tcW w:w="3633" w:type="dxa"/>
            <w:tcBorders>
              <w:top w:val="single" w:sz="8" w:space="0" w:color="000000"/>
              <w:left w:val="single" w:sz="8" w:space="0" w:color="000000"/>
              <w:bottom w:val="single" w:sz="6" w:space="0" w:color="000000"/>
              <w:right w:val="single" w:sz="8" w:space="0" w:color="000000"/>
            </w:tcBorders>
            <w:vAlign w:val="center"/>
          </w:tcPr>
          <w:p w14:paraId="37B02CAC" w14:textId="1458E65F" w:rsidR="00A6605D" w:rsidRDefault="00413D7E">
            <w:pPr>
              <w:pStyle w:val="biaogeright"/>
              <w:wordWrap w:val="0"/>
              <w:ind w:left="420" w:hanging="420"/>
              <w:rPr>
                <w:sz w:val="21"/>
                <w:szCs w:val="21"/>
              </w:rPr>
            </w:pPr>
            <w:r>
              <w:rPr>
                <w:rFonts w:hint="eastAsia"/>
              </w:rPr>
              <w:t>25,829,917.79</w:t>
            </w:r>
          </w:p>
        </w:tc>
      </w:tr>
    </w:tbl>
    <w:p w14:paraId="4E2396B1" w14:textId="77777777" w:rsidR="00A6605D" w:rsidRDefault="00A6605D">
      <w:pPr>
        <w:widowControl/>
        <w:spacing w:line="360" w:lineRule="auto"/>
        <w:jc w:val="left"/>
        <w:rPr>
          <w:rFonts w:ascii="宋体" w:hAnsi="宋体" w:cs="宋体"/>
          <w:kern w:val="0"/>
          <w:szCs w:val="21"/>
        </w:rPr>
      </w:pPr>
    </w:p>
    <w:p w14:paraId="4658DBBE" w14:textId="77777777" w:rsidR="00A6605D" w:rsidRDefault="00413D7E">
      <w:pPr>
        <w:pStyle w:val="zhangjiep2"/>
        <w:spacing w:line="360" w:lineRule="auto"/>
        <w:ind w:firstLineChars="200" w:firstLine="420"/>
        <w:rPr>
          <w:vanish/>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4</w:t>
      </w:r>
      <w:r>
        <w:rPr>
          <w:rFonts w:ascii="Times New Roman" w:hAnsi="Times New Roman" w:cs="Times New Roman" w:hint="eastAsia"/>
          <w:kern w:val="2"/>
          <w:sz w:val="21"/>
          <w:szCs w:val="21"/>
        </w:rPr>
        <w:t>）报告期末持有的处于转股期的可转换债券明细</w:t>
      </w:r>
    </w:p>
    <w:p w14:paraId="59F2E0E3" w14:textId="77777777" w:rsidR="00A6605D" w:rsidRDefault="00413D7E">
      <w:pPr>
        <w:pStyle w:val="zhangjiep2"/>
        <w:spacing w:line="360" w:lineRule="auto"/>
        <w:ind w:firstLineChars="300" w:firstLine="630"/>
        <w:rPr>
          <w:rFonts w:ascii="Times New Roman" w:hAnsi="Times New Roman" w:cs="Times New Roman"/>
          <w:kern w:val="2"/>
          <w:sz w:val="21"/>
          <w:szCs w:val="21"/>
        </w:rPr>
      </w:pPr>
      <w:r>
        <w:rPr>
          <w:rFonts w:ascii="Times New Roman" w:hAnsi="Times New Roman" w:cs="Times New Roman" w:hint="eastAsia"/>
          <w:kern w:val="2"/>
          <w:sz w:val="21"/>
          <w:szCs w:val="21"/>
        </w:rPr>
        <w:t>本基金本报告期末未持有处于转股期的可转换债券。</w:t>
      </w:r>
    </w:p>
    <w:p w14:paraId="55AA4EA3" w14:textId="77777777" w:rsidR="00A6605D" w:rsidRDefault="00413D7E">
      <w:pPr>
        <w:pStyle w:val="zhangjiep2"/>
        <w:spacing w:line="360" w:lineRule="auto"/>
        <w:ind w:firstLineChars="200" w:firstLine="420"/>
        <w:rPr>
          <w:sz w:val="21"/>
          <w:szCs w:val="21"/>
        </w:rPr>
      </w:pPr>
      <w:r>
        <w:rPr>
          <w:rFonts w:hint="eastAsia"/>
          <w:sz w:val="21"/>
          <w:szCs w:val="21"/>
        </w:rPr>
        <w:t>（</w:t>
      </w:r>
      <w:r>
        <w:rPr>
          <w:sz w:val="21"/>
          <w:szCs w:val="21"/>
        </w:rPr>
        <w:t>5）</w:t>
      </w:r>
      <w:r>
        <w:rPr>
          <w:rFonts w:hint="eastAsia"/>
          <w:sz w:val="21"/>
          <w:szCs w:val="21"/>
        </w:rPr>
        <w:t>报告期末前十名股票中存在流通受限情况的说明</w:t>
      </w:r>
    </w:p>
    <w:p w14:paraId="0197ABD2" w14:textId="77777777" w:rsidR="00A6605D" w:rsidRDefault="00A6605D">
      <w:pPr>
        <w:pStyle w:val="zhangjiep2"/>
        <w:spacing w:line="360" w:lineRule="auto"/>
        <w:ind w:firstLineChars="200" w:firstLine="420"/>
        <w:rPr>
          <w:vanish/>
          <w:sz w:val="21"/>
          <w:szCs w:val="21"/>
        </w:rPr>
      </w:pPr>
    </w:p>
    <w:p w14:paraId="32A73A48" w14:textId="77777777" w:rsidR="00A6605D" w:rsidRDefault="00413D7E">
      <w:pPr>
        <w:pStyle w:val="zhangjiep2"/>
        <w:spacing w:line="360" w:lineRule="auto"/>
        <w:ind w:firstLineChars="300" w:firstLine="630"/>
        <w:rPr>
          <w:sz w:val="21"/>
          <w:szCs w:val="21"/>
        </w:rPr>
      </w:pPr>
      <w:r>
        <w:rPr>
          <w:rFonts w:hint="eastAsia"/>
          <w:sz w:val="21"/>
          <w:szCs w:val="21"/>
        </w:rPr>
        <w:t>本基金报告期末未持有股票。</w:t>
      </w:r>
    </w:p>
    <w:p w14:paraId="5473AF54"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6</w:t>
      </w:r>
      <w:r>
        <w:rPr>
          <w:rFonts w:ascii="Times New Roman" w:hAnsi="Times New Roman" w:cs="Times New Roman" w:hint="eastAsia"/>
          <w:kern w:val="2"/>
          <w:sz w:val="21"/>
          <w:szCs w:val="21"/>
        </w:rPr>
        <w:t>）投资组合报告附注的其他文字描述部分</w:t>
      </w:r>
    </w:p>
    <w:p w14:paraId="751A0051" w14:textId="77777777" w:rsidR="00A6605D" w:rsidRDefault="00413D7E">
      <w:pPr>
        <w:spacing w:line="360" w:lineRule="auto"/>
        <w:ind w:firstLineChars="300" w:firstLine="630"/>
        <w:rPr>
          <w:rFonts w:ascii="Arial Unicode MS" w:hAnsi="Arial Unicode MS" w:cs="Arial"/>
          <w:b/>
          <w:bCs/>
          <w:szCs w:val="21"/>
        </w:rPr>
      </w:pPr>
      <w:r>
        <w:rPr>
          <w:rFonts w:hint="eastAsia"/>
          <w:szCs w:val="21"/>
        </w:rPr>
        <w:t>由于四舍五入原因，分项之和与合计可能存在尾差。</w:t>
      </w:r>
    </w:p>
    <w:p w14:paraId="018B2102" w14:textId="77777777" w:rsidR="00A6605D" w:rsidRDefault="00413D7E">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十一、基金净值表现</w:t>
      </w:r>
    </w:p>
    <w:p w14:paraId="6BDFE91C" w14:textId="77777777" w:rsidR="00A6605D" w:rsidRDefault="00413D7E">
      <w:pPr>
        <w:pStyle w:val="zhangjiep2"/>
        <w:spacing w:line="360" w:lineRule="auto"/>
        <w:ind w:firstLineChars="200" w:firstLine="420"/>
        <w:rPr>
          <w:sz w:val="21"/>
          <w:szCs w:val="21"/>
        </w:rPr>
      </w:pPr>
      <w:r>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8428" w:type="dxa"/>
        <w:tblInd w:w="108" w:type="dxa"/>
        <w:tblLayout w:type="fixed"/>
        <w:tblLook w:val="04A0" w:firstRow="1" w:lastRow="0" w:firstColumn="1" w:lastColumn="0" w:noHBand="0" w:noVBand="1"/>
      </w:tblPr>
      <w:tblGrid>
        <w:gridCol w:w="2347"/>
        <w:gridCol w:w="1065"/>
        <w:gridCol w:w="888"/>
        <w:gridCol w:w="1012"/>
        <w:gridCol w:w="1351"/>
        <w:gridCol w:w="850"/>
        <w:gridCol w:w="915"/>
      </w:tblGrid>
      <w:tr w:rsidR="00A6605D" w14:paraId="46A16933" w14:textId="77777777">
        <w:trPr>
          <w:trHeight w:val="1995"/>
        </w:trPr>
        <w:tc>
          <w:tcPr>
            <w:tcW w:w="2347" w:type="dxa"/>
            <w:tcBorders>
              <w:top w:val="single" w:sz="8" w:space="0" w:color="000000"/>
              <w:left w:val="single" w:sz="8" w:space="0" w:color="000000"/>
              <w:bottom w:val="single" w:sz="8" w:space="0" w:color="000000"/>
              <w:right w:val="single" w:sz="8" w:space="0" w:color="000000"/>
            </w:tcBorders>
            <w:vAlign w:val="center"/>
          </w:tcPr>
          <w:p w14:paraId="07FECA1E" w14:textId="77777777" w:rsidR="00A6605D" w:rsidRDefault="00413D7E">
            <w:pPr>
              <w:pStyle w:val="biaogecenter"/>
              <w:spacing w:line="360" w:lineRule="auto"/>
              <w:ind w:firstLine="420"/>
              <w:rPr>
                <w:sz w:val="21"/>
                <w:szCs w:val="21"/>
              </w:rPr>
            </w:pPr>
            <w:r>
              <w:rPr>
                <w:rFonts w:hAnsi="Calibri" w:hint="eastAsia"/>
                <w:color w:val="000000"/>
                <w:sz w:val="21"/>
                <w:szCs w:val="21"/>
              </w:rPr>
              <w:t>阶段</w:t>
            </w:r>
          </w:p>
        </w:tc>
        <w:tc>
          <w:tcPr>
            <w:tcW w:w="1065" w:type="dxa"/>
            <w:tcBorders>
              <w:top w:val="single" w:sz="8" w:space="0" w:color="000000"/>
              <w:left w:val="single" w:sz="8" w:space="0" w:color="000000"/>
              <w:bottom w:val="single" w:sz="8" w:space="0" w:color="000000"/>
              <w:right w:val="single" w:sz="8" w:space="0" w:color="000000"/>
            </w:tcBorders>
            <w:vAlign w:val="center"/>
          </w:tcPr>
          <w:p w14:paraId="549C8696" w14:textId="77777777" w:rsidR="00A6605D" w:rsidRDefault="00413D7E">
            <w:pPr>
              <w:pStyle w:val="biaogecenter"/>
              <w:spacing w:line="360" w:lineRule="auto"/>
              <w:jc w:val="both"/>
              <w:rPr>
                <w:sz w:val="21"/>
                <w:szCs w:val="21"/>
              </w:rPr>
            </w:pPr>
            <w:r>
              <w:rPr>
                <w:rFonts w:hAnsi="Calibri" w:hint="eastAsia"/>
                <w:color w:val="000000"/>
                <w:sz w:val="21"/>
                <w:szCs w:val="21"/>
              </w:rPr>
              <w:t>份额净值增长率①</w:t>
            </w:r>
          </w:p>
        </w:tc>
        <w:tc>
          <w:tcPr>
            <w:tcW w:w="888" w:type="dxa"/>
            <w:tcBorders>
              <w:top w:val="single" w:sz="8" w:space="0" w:color="000000"/>
              <w:left w:val="single" w:sz="8" w:space="0" w:color="000000"/>
              <w:bottom w:val="single" w:sz="8" w:space="0" w:color="000000"/>
              <w:right w:val="single" w:sz="8" w:space="0" w:color="000000"/>
            </w:tcBorders>
            <w:vAlign w:val="center"/>
          </w:tcPr>
          <w:p w14:paraId="13E41059" w14:textId="77777777" w:rsidR="00A6605D" w:rsidRDefault="00413D7E">
            <w:pPr>
              <w:pStyle w:val="biaogecenter"/>
              <w:spacing w:line="360" w:lineRule="auto"/>
              <w:jc w:val="both"/>
              <w:rPr>
                <w:sz w:val="21"/>
                <w:szCs w:val="21"/>
              </w:rPr>
            </w:pPr>
            <w:r>
              <w:rPr>
                <w:rFonts w:hAnsi="Calibri" w:hint="eastAsia"/>
                <w:color w:val="000000"/>
                <w:sz w:val="21"/>
                <w:szCs w:val="21"/>
              </w:rPr>
              <w:t>份额净值增长率标准差②</w:t>
            </w:r>
          </w:p>
        </w:tc>
        <w:tc>
          <w:tcPr>
            <w:tcW w:w="1012" w:type="dxa"/>
            <w:tcBorders>
              <w:top w:val="single" w:sz="8" w:space="0" w:color="000000"/>
              <w:left w:val="single" w:sz="8" w:space="0" w:color="000000"/>
              <w:bottom w:val="single" w:sz="8" w:space="0" w:color="000000"/>
              <w:right w:val="single" w:sz="8" w:space="0" w:color="000000"/>
            </w:tcBorders>
            <w:vAlign w:val="center"/>
          </w:tcPr>
          <w:p w14:paraId="2F53D05E" w14:textId="77777777" w:rsidR="00A6605D" w:rsidRDefault="00413D7E">
            <w:pPr>
              <w:pStyle w:val="biaogecenter"/>
              <w:spacing w:line="360" w:lineRule="auto"/>
              <w:jc w:val="both"/>
              <w:rPr>
                <w:sz w:val="21"/>
                <w:szCs w:val="21"/>
              </w:rPr>
            </w:pPr>
            <w:r>
              <w:rPr>
                <w:rFonts w:hAnsi="Calibri" w:hint="eastAsia"/>
                <w:color w:val="000000"/>
                <w:sz w:val="21"/>
                <w:szCs w:val="21"/>
              </w:rPr>
              <w:t>业绩比较基准收益率③</w:t>
            </w:r>
          </w:p>
        </w:tc>
        <w:tc>
          <w:tcPr>
            <w:tcW w:w="1351" w:type="dxa"/>
            <w:tcBorders>
              <w:top w:val="single" w:sz="8" w:space="0" w:color="000000"/>
              <w:left w:val="single" w:sz="8" w:space="0" w:color="000000"/>
              <w:bottom w:val="single" w:sz="8" w:space="0" w:color="000000"/>
              <w:right w:val="single" w:sz="8" w:space="0" w:color="000000"/>
            </w:tcBorders>
            <w:vAlign w:val="center"/>
          </w:tcPr>
          <w:p w14:paraId="3D6D7C2B" w14:textId="77777777" w:rsidR="00A6605D" w:rsidRDefault="00413D7E">
            <w:pPr>
              <w:pStyle w:val="biaogecenter"/>
              <w:spacing w:line="360" w:lineRule="auto"/>
              <w:jc w:val="both"/>
              <w:rPr>
                <w:sz w:val="21"/>
                <w:szCs w:val="21"/>
              </w:rPr>
            </w:pPr>
            <w:r>
              <w:rPr>
                <w:rFonts w:hAnsi="Calibri" w:hint="eastAsia"/>
                <w:color w:val="000000"/>
                <w:sz w:val="21"/>
                <w:szCs w:val="21"/>
              </w:rPr>
              <w:t>业绩比较基准收益率标准差④</w:t>
            </w:r>
          </w:p>
        </w:tc>
        <w:tc>
          <w:tcPr>
            <w:tcW w:w="850" w:type="dxa"/>
            <w:tcBorders>
              <w:top w:val="single" w:sz="8" w:space="0" w:color="000000"/>
              <w:left w:val="single" w:sz="8" w:space="0" w:color="000000"/>
              <w:bottom w:val="single" w:sz="8" w:space="0" w:color="000000"/>
              <w:right w:val="single" w:sz="8" w:space="0" w:color="000000"/>
            </w:tcBorders>
            <w:vAlign w:val="center"/>
          </w:tcPr>
          <w:p w14:paraId="2C41452E" w14:textId="77777777" w:rsidR="00A6605D" w:rsidRDefault="00413D7E">
            <w:pPr>
              <w:pStyle w:val="biaogecenter"/>
              <w:spacing w:line="360" w:lineRule="auto"/>
              <w:jc w:val="both"/>
              <w:rPr>
                <w:sz w:val="21"/>
                <w:szCs w:val="21"/>
              </w:rPr>
            </w:pPr>
            <w:r>
              <w:rPr>
                <w:rFonts w:hAnsi="Calibri" w:hint="eastAsia"/>
                <w:color w:val="000000"/>
                <w:sz w:val="21"/>
                <w:szCs w:val="21"/>
              </w:rPr>
              <w:t>①-③</w:t>
            </w:r>
          </w:p>
        </w:tc>
        <w:tc>
          <w:tcPr>
            <w:tcW w:w="915" w:type="dxa"/>
            <w:tcBorders>
              <w:top w:val="single" w:sz="8" w:space="0" w:color="000000"/>
              <w:left w:val="single" w:sz="8" w:space="0" w:color="000000"/>
              <w:bottom w:val="single" w:sz="8" w:space="0" w:color="000000"/>
              <w:right w:val="single" w:sz="8" w:space="0" w:color="000000"/>
            </w:tcBorders>
            <w:vAlign w:val="center"/>
          </w:tcPr>
          <w:p w14:paraId="5F07BB18" w14:textId="77777777" w:rsidR="00A6605D" w:rsidRDefault="00413D7E">
            <w:pPr>
              <w:pStyle w:val="biaogecenter"/>
              <w:spacing w:line="360" w:lineRule="auto"/>
              <w:jc w:val="both"/>
              <w:rPr>
                <w:sz w:val="21"/>
                <w:szCs w:val="21"/>
              </w:rPr>
            </w:pPr>
            <w:r>
              <w:rPr>
                <w:rFonts w:hAnsi="Calibri" w:hint="eastAsia"/>
                <w:color w:val="000000"/>
                <w:sz w:val="21"/>
                <w:szCs w:val="21"/>
              </w:rPr>
              <w:t>②-④</w:t>
            </w:r>
          </w:p>
        </w:tc>
      </w:tr>
      <w:tr w:rsidR="00A6605D" w14:paraId="01D6057B" w14:textId="77777777">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394DAF6E" w14:textId="77777777" w:rsidR="00A6605D" w:rsidRDefault="00413D7E">
            <w:pPr>
              <w:pStyle w:val="biaogeleft"/>
              <w:spacing w:line="360" w:lineRule="auto"/>
              <w:rPr>
                <w:sz w:val="21"/>
                <w:szCs w:val="21"/>
              </w:rPr>
            </w:pPr>
            <w:r>
              <w:rPr>
                <w:color w:val="000000"/>
                <w:sz w:val="21"/>
                <w:szCs w:val="21"/>
              </w:rPr>
              <w:t>2017.3.9~2017.</w:t>
            </w:r>
            <w:r>
              <w:rPr>
                <w:rFonts w:hint="eastAsia"/>
                <w:color w:val="000000"/>
                <w:sz w:val="21"/>
                <w:szCs w:val="21"/>
              </w:rPr>
              <w:t>12</w:t>
            </w:r>
            <w:r>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vAlign w:val="center"/>
          </w:tcPr>
          <w:p w14:paraId="744FE9FF" w14:textId="77777777" w:rsidR="00A6605D" w:rsidRDefault="00413D7E">
            <w:pPr>
              <w:pStyle w:val="biaogeright"/>
              <w:spacing w:line="360" w:lineRule="auto"/>
              <w:ind w:left="420" w:hanging="420"/>
              <w:rPr>
                <w:sz w:val="21"/>
                <w:szCs w:val="21"/>
              </w:rPr>
            </w:pPr>
            <w:r>
              <w:rPr>
                <w:rFonts w:hAnsi="Calibri"/>
                <w:color w:val="000000"/>
                <w:sz w:val="21"/>
                <w:szCs w:val="21"/>
              </w:rPr>
              <w:t>1.30%</w:t>
            </w:r>
          </w:p>
        </w:tc>
        <w:tc>
          <w:tcPr>
            <w:tcW w:w="888" w:type="dxa"/>
            <w:tcBorders>
              <w:top w:val="single" w:sz="8" w:space="0" w:color="000000"/>
              <w:left w:val="single" w:sz="8" w:space="0" w:color="000000"/>
              <w:bottom w:val="single" w:sz="8" w:space="0" w:color="000000"/>
              <w:right w:val="single" w:sz="8" w:space="0" w:color="000000"/>
            </w:tcBorders>
            <w:vAlign w:val="center"/>
          </w:tcPr>
          <w:p w14:paraId="38D0D013" w14:textId="77777777" w:rsidR="00A6605D" w:rsidRDefault="00413D7E">
            <w:pPr>
              <w:pStyle w:val="biaogeright"/>
              <w:spacing w:line="360" w:lineRule="auto"/>
              <w:ind w:left="420" w:hanging="420"/>
              <w:rPr>
                <w:sz w:val="21"/>
                <w:szCs w:val="21"/>
              </w:rPr>
            </w:pPr>
            <w:r>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vAlign w:val="center"/>
          </w:tcPr>
          <w:p w14:paraId="3DCB4D3B" w14:textId="77777777" w:rsidR="00A6605D" w:rsidRDefault="00413D7E">
            <w:pPr>
              <w:pStyle w:val="biaogeright"/>
              <w:spacing w:line="360" w:lineRule="auto"/>
              <w:ind w:left="420" w:hanging="420"/>
              <w:rPr>
                <w:sz w:val="21"/>
                <w:szCs w:val="21"/>
              </w:rPr>
            </w:pPr>
            <w:r>
              <w:rPr>
                <w:rFonts w:hAnsi="Calibri"/>
                <w:color w:val="000000"/>
                <w:sz w:val="21"/>
                <w:szCs w:val="21"/>
              </w:rPr>
              <w:t>0.86%</w:t>
            </w:r>
          </w:p>
        </w:tc>
        <w:tc>
          <w:tcPr>
            <w:tcW w:w="1351" w:type="dxa"/>
            <w:tcBorders>
              <w:top w:val="single" w:sz="8" w:space="0" w:color="000000"/>
              <w:left w:val="single" w:sz="8" w:space="0" w:color="000000"/>
              <w:bottom w:val="single" w:sz="8" w:space="0" w:color="000000"/>
              <w:right w:val="single" w:sz="8" w:space="0" w:color="000000"/>
            </w:tcBorders>
            <w:vAlign w:val="center"/>
          </w:tcPr>
          <w:p w14:paraId="3B5EB297" w14:textId="77777777" w:rsidR="00A6605D" w:rsidRDefault="00413D7E">
            <w:pPr>
              <w:pStyle w:val="biaogeright"/>
              <w:spacing w:line="360" w:lineRule="auto"/>
              <w:ind w:left="420" w:hanging="420"/>
              <w:rPr>
                <w:sz w:val="21"/>
                <w:szCs w:val="21"/>
              </w:rPr>
            </w:pPr>
            <w:r>
              <w:rPr>
                <w:rFonts w:hAnsi="Calibri"/>
                <w:color w:val="000000"/>
                <w:sz w:val="21"/>
                <w:szCs w:val="21"/>
              </w:rPr>
              <w:t>0.05%</w:t>
            </w:r>
          </w:p>
        </w:tc>
        <w:tc>
          <w:tcPr>
            <w:tcW w:w="850" w:type="dxa"/>
            <w:tcBorders>
              <w:top w:val="single" w:sz="8" w:space="0" w:color="000000"/>
              <w:left w:val="single" w:sz="8" w:space="0" w:color="000000"/>
              <w:bottom w:val="single" w:sz="8" w:space="0" w:color="000000"/>
              <w:right w:val="single" w:sz="8" w:space="0" w:color="000000"/>
            </w:tcBorders>
            <w:vAlign w:val="center"/>
          </w:tcPr>
          <w:p w14:paraId="3AF622BF" w14:textId="77777777" w:rsidR="00A6605D" w:rsidRDefault="00413D7E">
            <w:pPr>
              <w:pStyle w:val="biaogeright"/>
              <w:spacing w:line="360" w:lineRule="auto"/>
              <w:ind w:left="420" w:hanging="420"/>
              <w:rPr>
                <w:sz w:val="21"/>
                <w:szCs w:val="21"/>
              </w:rPr>
            </w:pPr>
            <w:r>
              <w:rPr>
                <w:rFonts w:hAnsi="Calibri"/>
                <w:color w:val="000000"/>
                <w:sz w:val="21"/>
                <w:szCs w:val="21"/>
              </w:rPr>
              <w:t>0.44%</w:t>
            </w:r>
          </w:p>
        </w:tc>
        <w:tc>
          <w:tcPr>
            <w:tcW w:w="915" w:type="dxa"/>
            <w:tcBorders>
              <w:top w:val="single" w:sz="8" w:space="0" w:color="000000"/>
              <w:left w:val="single" w:sz="8" w:space="0" w:color="000000"/>
              <w:bottom w:val="single" w:sz="8" w:space="0" w:color="000000"/>
              <w:right w:val="single" w:sz="8" w:space="0" w:color="000000"/>
            </w:tcBorders>
            <w:vAlign w:val="center"/>
          </w:tcPr>
          <w:p w14:paraId="0F9FD5B4" w14:textId="77777777" w:rsidR="00A6605D" w:rsidRDefault="00413D7E">
            <w:pPr>
              <w:pStyle w:val="biaogeright"/>
              <w:spacing w:line="360" w:lineRule="auto"/>
              <w:ind w:left="420" w:hanging="420"/>
              <w:rPr>
                <w:sz w:val="21"/>
                <w:szCs w:val="21"/>
              </w:rPr>
            </w:pPr>
            <w:r>
              <w:rPr>
                <w:rFonts w:hAnsi="Calibri"/>
                <w:color w:val="000000"/>
                <w:sz w:val="21"/>
                <w:szCs w:val="21"/>
              </w:rPr>
              <w:t>0.01%</w:t>
            </w:r>
          </w:p>
        </w:tc>
      </w:tr>
      <w:tr w:rsidR="00A6605D" w14:paraId="4A98073E" w14:textId="77777777">
        <w:trPr>
          <w:trHeight w:val="402"/>
        </w:trPr>
        <w:tc>
          <w:tcPr>
            <w:tcW w:w="2347" w:type="dxa"/>
            <w:tcBorders>
              <w:top w:val="single" w:sz="8" w:space="0" w:color="000000"/>
              <w:left w:val="single" w:sz="8" w:space="0" w:color="000000"/>
              <w:bottom w:val="single" w:sz="8" w:space="0" w:color="000000"/>
              <w:right w:val="single" w:sz="8" w:space="0" w:color="000000"/>
            </w:tcBorders>
            <w:vAlign w:val="center"/>
          </w:tcPr>
          <w:p w14:paraId="0A9CDDCF" w14:textId="77777777" w:rsidR="00A6605D" w:rsidRDefault="00413D7E">
            <w:pPr>
              <w:pStyle w:val="biaogeleft"/>
              <w:spacing w:line="360" w:lineRule="auto"/>
              <w:rPr>
                <w:color w:val="000000"/>
                <w:sz w:val="21"/>
                <w:szCs w:val="21"/>
              </w:rPr>
            </w:pPr>
            <w:r>
              <w:rPr>
                <w:color w:val="000000"/>
                <w:sz w:val="21"/>
                <w:szCs w:val="21"/>
              </w:rPr>
              <w:lastRenderedPageBreak/>
              <w:t>201</w:t>
            </w:r>
            <w:r>
              <w:rPr>
                <w:rFonts w:hint="eastAsia"/>
                <w:color w:val="000000"/>
                <w:sz w:val="21"/>
                <w:szCs w:val="21"/>
              </w:rPr>
              <w:t>8</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tcPr>
          <w:p w14:paraId="3EF6026D"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8.10%</w:t>
            </w:r>
          </w:p>
        </w:tc>
        <w:tc>
          <w:tcPr>
            <w:tcW w:w="888" w:type="dxa"/>
            <w:tcBorders>
              <w:top w:val="single" w:sz="8" w:space="0" w:color="000000"/>
              <w:left w:val="single" w:sz="8" w:space="0" w:color="000000"/>
              <w:bottom w:val="single" w:sz="8" w:space="0" w:color="000000"/>
              <w:right w:val="single" w:sz="8" w:space="0" w:color="000000"/>
            </w:tcBorders>
          </w:tcPr>
          <w:p w14:paraId="7EC7F137"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tcPr>
          <w:p w14:paraId="577DD5E5"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7.53%</w:t>
            </w:r>
          </w:p>
        </w:tc>
        <w:tc>
          <w:tcPr>
            <w:tcW w:w="1351" w:type="dxa"/>
            <w:tcBorders>
              <w:top w:val="single" w:sz="8" w:space="0" w:color="000000"/>
              <w:left w:val="single" w:sz="8" w:space="0" w:color="000000"/>
              <w:bottom w:val="single" w:sz="8" w:space="0" w:color="000000"/>
              <w:right w:val="single" w:sz="8" w:space="0" w:color="000000"/>
            </w:tcBorders>
          </w:tcPr>
          <w:p w14:paraId="1183A968"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0.06%</w:t>
            </w:r>
          </w:p>
        </w:tc>
        <w:tc>
          <w:tcPr>
            <w:tcW w:w="850" w:type="dxa"/>
            <w:tcBorders>
              <w:top w:val="single" w:sz="8" w:space="0" w:color="000000"/>
              <w:left w:val="single" w:sz="8" w:space="0" w:color="000000"/>
              <w:bottom w:val="single" w:sz="8" w:space="0" w:color="000000"/>
              <w:right w:val="single" w:sz="8" w:space="0" w:color="000000"/>
            </w:tcBorders>
          </w:tcPr>
          <w:p w14:paraId="0306ADE3"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0.57%</w:t>
            </w:r>
          </w:p>
        </w:tc>
        <w:tc>
          <w:tcPr>
            <w:tcW w:w="915" w:type="dxa"/>
            <w:tcBorders>
              <w:top w:val="single" w:sz="8" w:space="0" w:color="000000"/>
              <w:left w:val="single" w:sz="8" w:space="0" w:color="000000"/>
              <w:bottom w:val="single" w:sz="8" w:space="0" w:color="000000"/>
              <w:right w:val="single" w:sz="8" w:space="0" w:color="000000"/>
            </w:tcBorders>
          </w:tcPr>
          <w:p w14:paraId="32498C4C"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0.00%</w:t>
            </w:r>
          </w:p>
        </w:tc>
      </w:tr>
      <w:tr w:rsidR="00A6605D" w14:paraId="56C50C45" w14:textId="77777777">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455AB8E1" w14:textId="77777777" w:rsidR="00A6605D" w:rsidRDefault="00413D7E">
            <w:pPr>
              <w:pStyle w:val="biaogeleft"/>
              <w:spacing w:line="360" w:lineRule="auto"/>
              <w:rPr>
                <w:rFonts w:hAnsi="Calibri"/>
                <w:color w:val="000000"/>
                <w:sz w:val="21"/>
                <w:szCs w:val="21"/>
              </w:rPr>
            </w:pP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tcPr>
          <w:p w14:paraId="44736408"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6.36%</w:t>
            </w:r>
          </w:p>
        </w:tc>
        <w:tc>
          <w:tcPr>
            <w:tcW w:w="888" w:type="dxa"/>
            <w:tcBorders>
              <w:top w:val="single" w:sz="8" w:space="0" w:color="000000"/>
              <w:left w:val="single" w:sz="8" w:space="0" w:color="000000"/>
              <w:bottom w:val="single" w:sz="8" w:space="0" w:color="000000"/>
              <w:right w:val="single" w:sz="8" w:space="0" w:color="000000"/>
            </w:tcBorders>
          </w:tcPr>
          <w:p w14:paraId="19D16E03"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0.05%</w:t>
            </w:r>
          </w:p>
        </w:tc>
        <w:tc>
          <w:tcPr>
            <w:tcW w:w="1012" w:type="dxa"/>
            <w:tcBorders>
              <w:top w:val="single" w:sz="8" w:space="0" w:color="000000"/>
              <w:left w:val="single" w:sz="8" w:space="0" w:color="000000"/>
              <w:bottom w:val="single" w:sz="8" w:space="0" w:color="000000"/>
              <w:right w:val="single" w:sz="8" w:space="0" w:color="000000"/>
            </w:tcBorders>
          </w:tcPr>
          <w:p w14:paraId="12761A2C"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4.28%</w:t>
            </w:r>
          </w:p>
        </w:tc>
        <w:tc>
          <w:tcPr>
            <w:tcW w:w="1351" w:type="dxa"/>
            <w:tcBorders>
              <w:top w:val="single" w:sz="8" w:space="0" w:color="000000"/>
              <w:left w:val="single" w:sz="8" w:space="0" w:color="000000"/>
              <w:bottom w:val="single" w:sz="8" w:space="0" w:color="000000"/>
              <w:right w:val="single" w:sz="8" w:space="0" w:color="000000"/>
            </w:tcBorders>
          </w:tcPr>
          <w:p w14:paraId="57D6BC7C"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0.04%</w:t>
            </w:r>
          </w:p>
        </w:tc>
        <w:tc>
          <w:tcPr>
            <w:tcW w:w="850" w:type="dxa"/>
            <w:tcBorders>
              <w:top w:val="single" w:sz="8" w:space="0" w:color="000000"/>
              <w:left w:val="single" w:sz="8" w:space="0" w:color="000000"/>
              <w:bottom w:val="single" w:sz="8" w:space="0" w:color="000000"/>
              <w:right w:val="single" w:sz="8" w:space="0" w:color="000000"/>
            </w:tcBorders>
          </w:tcPr>
          <w:p w14:paraId="6409CB38"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2.08%</w:t>
            </w:r>
          </w:p>
        </w:tc>
        <w:tc>
          <w:tcPr>
            <w:tcW w:w="915" w:type="dxa"/>
            <w:tcBorders>
              <w:top w:val="single" w:sz="8" w:space="0" w:color="000000"/>
              <w:left w:val="single" w:sz="8" w:space="0" w:color="000000"/>
              <w:bottom w:val="single" w:sz="8" w:space="0" w:color="000000"/>
              <w:right w:val="single" w:sz="8" w:space="0" w:color="000000"/>
            </w:tcBorders>
          </w:tcPr>
          <w:p w14:paraId="66C60BF1"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0.01%</w:t>
            </w:r>
          </w:p>
        </w:tc>
      </w:tr>
      <w:tr w:rsidR="00A6605D" w14:paraId="41D4867C" w14:textId="77777777">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6074863C" w14:textId="77777777" w:rsidR="00A6605D" w:rsidRDefault="00413D7E">
            <w:pPr>
              <w:pStyle w:val="biaogeleft"/>
              <w:spacing w:line="360" w:lineRule="auto"/>
              <w:rPr>
                <w:color w:val="000000"/>
                <w:sz w:val="21"/>
                <w:szCs w:val="21"/>
              </w:rPr>
            </w:pPr>
            <w:r>
              <w:rPr>
                <w:color w:val="000000"/>
                <w:sz w:val="21"/>
                <w:szCs w:val="21"/>
              </w:rPr>
              <w:t>20</w:t>
            </w:r>
            <w:r>
              <w:rPr>
                <w:rFonts w:hint="eastAsia"/>
                <w:color w:val="000000"/>
                <w:sz w:val="21"/>
                <w:szCs w:val="21"/>
              </w:rPr>
              <w:t>20</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w:t>
            </w:r>
            <w:r>
              <w:rPr>
                <w:rFonts w:hint="eastAsia"/>
                <w:color w:val="000000"/>
                <w:sz w:val="21"/>
                <w:szCs w:val="21"/>
              </w:rPr>
              <w:t>20</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vAlign w:val="center"/>
          </w:tcPr>
          <w:p w14:paraId="714E9D76"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4.17%</w:t>
            </w:r>
          </w:p>
        </w:tc>
        <w:tc>
          <w:tcPr>
            <w:tcW w:w="888" w:type="dxa"/>
            <w:tcBorders>
              <w:top w:val="single" w:sz="8" w:space="0" w:color="000000"/>
              <w:left w:val="single" w:sz="8" w:space="0" w:color="000000"/>
              <w:bottom w:val="single" w:sz="8" w:space="0" w:color="000000"/>
              <w:right w:val="single" w:sz="8" w:space="0" w:color="000000"/>
            </w:tcBorders>
            <w:vAlign w:val="center"/>
          </w:tcPr>
          <w:p w14:paraId="6FFBA6C2"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0.07%</w:t>
            </w:r>
          </w:p>
        </w:tc>
        <w:tc>
          <w:tcPr>
            <w:tcW w:w="1012" w:type="dxa"/>
            <w:tcBorders>
              <w:top w:val="single" w:sz="8" w:space="0" w:color="000000"/>
              <w:left w:val="single" w:sz="8" w:space="0" w:color="000000"/>
              <w:bottom w:val="single" w:sz="8" w:space="0" w:color="000000"/>
              <w:right w:val="single" w:sz="8" w:space="0" w:color="000000"/>
            </w:tcBorders>
            <w:vAlign w:val="center"/>
          </w:tcPr>
          <w:p w14:paraId="24395A16"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2.83%</w:t>
            </w:r>
          </w:p>
        </w:tc>
        <w:tc>
          <w:tcPr>
            <w:tcW w:w="1351" w:type="dxa"/>
            <w:tcBorders>
              <w:top w:val="single" w:sz="8" w:space="0" w:color="000000"/>
              <w:left w:val="single" w:sz="8" w:space="0" w:color="000000"/>
              <w:bottom w:val="single" w:sz="8" w:space="0" w:color="000000"/>
              <w:right w:val="single" w:sz="8" w:space="0" w:color="000000"/>
            </w:tcBorders>
            <w:vAlign w:val="center"/>
          </w:tcPr>
          <w:p w14:paraId="4741D057"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0.09%</w:t>
            </w:r>
          </w:p>
        </w:tc>
        <w:tc>
          <w:tcPr>
            <w:tcW w:w="850" w:type="dxa"/>
            <w:tcBorders>
              <w:top w:val="single" w:sz="8" w:space="0" w:color="000000"/>
              <w:left w:val="single" w:sz="8" w:space="0" w:color="000000"/>
              <w:bottom w:val="single" w:sz="8" w:space="0" w:color="000000"/>
              <w:right w:val="single" w:sz="8" w:space="0" w:color="000000"/>
            </w:tcBorders>
            <w:vAlign w:val="center"/>
          </w:tcPr>
          <w:p w14:paraId="42E264FC"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1.34%</w:t>
            </w:r>
          </w:p>
        </w:tc>
        <w:tc>
          <w:tcPr>
            <w:tcW w:w="915" w:type="dxa"/>
            <w:tcBorders>
              <w:top w:val="single" w:sz="8" w:space="0" w:color="000000"/>
              <w:left w:val="single" w:sz="8" w:space="0" w:color="000000"/>
              <w:bottom w:val="single" w:sz="8" w:space="0" w:color="000000"/>
              <w:right w:val="single" w:sz="8" w:space="0" w:color="000000"/>
            </w:tcBorders>
            <w:vAlign w:val="center"/>
          </w:tcPr>
          <w:p w14:paraId="0248E70D"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-0.02%</w:t>
            </w:r>
          </w:p>
        </w:tc>
      </w:tr>
      <w:tr w:rsidR="00A6605D" w14:paraId="4688E9EC" w14:textId="77777777">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113815B3" w14:textId="77777777" w:rsidR="00A6605D" w:rsidRDefault="00413D7E">
            <w:pPr>
              <w:pStyle w:val="biaogeleft"/>
              <w:spacing w:line="360" w:lineRule="auto"/>
              <w:rPr>
                <w:color w:val="000000"/>
                <w:sz w:val="21"/>
                <w:szCs w:val="21"/>
              </w:rPr>
            </w:pPr>
            <w:r>
              <w:rPr>
                <w:color w:val="000000"/>
                <w:sz w:val="21"/>
                <w:szCs w:val="21"/>
              </w:rPr>
              <w:t>2021.1.1~2021.12.31</w:t>
            </w:r>
          </w:p>
        </w:tc>
        <w:tc>
          <w:tcPr>
            <w:tcW w:w="1065" w:type="dxa"/>
            <w:tcBorders>
              <w:top w:val="single" w:sz="8" w:space="0" w:color="000000"/>
              <w:left w:val="single" w:sz="8" w:space="0" w:color="000000"/>
              <w:bottom w:val="single" w:sz="8" w:space="0" w:color="000000"/>
              <w:right w:val="single" w:sz="8" w:space="0" w:color="000000"/>
            </w:tcBorders>
            <w:vAlign w:val="center"/>
          </w:tcPr>
          <w:p w14:paraId="2FA5258E"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5.61%</w:t>
            </w:r>
          </w:p>
        </w:tc>
        <w:tc>
          <w:tcPr>
            <w:tcW w:w="888" w:type="dxa"/>
            <w:tcBorders>
              <w:top w:val="single" w:sz="8" w:space="0" w:color="000000"/>
              <w:left w:val="single" w:sz="8" w:space="0" w:color="000000"/>
              <w:bottom w:val="single" w:sz="8" w:space="0" w:color="000000"/>
              <w:right w:val="single" w:sz="8" w:space="0" w:color="000000"/>
            </w:tcBorders>
            <w:vAlign w:val="center"/>
          </w:tcPr>
          <w:p w14:paraId="6D9E94E5"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vAlign w:val="center"/>
          </w:tcPr>
          <w:p w14:paraId="77C30D00"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4.73%</w:t>
            </w:r>
          </w:p>
        </w:tc>
        <w:tc>
          <w:tcPr>
            <w:tcW w:w="1351" w:type="dxa"/>
            <w:tcBorders>
              <w:top w:val="single" w:sz="8" w:space="0" w:color="000000"/>
              <w:left w:val="single" w:sz="8" w:space="0" w:color="000000"/>
              <w:bottom w:val="single" w:sz="8" w:space="0" w:color="000000"/>
              <w:right w:val="single" w:sz="8" w:space="0" w:color="000000"/>
            </w:tcBorders>
            <w:vAlign w:val="center"/>
          </w:tcPr>
          <w:p w14:paraId="10D6A3ED"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0.04%</w:t>
            </w:r>
          </w:p>
        </w:tc>
        <w:tc>
          <w:tcPr>
            <w:tcW w:w="850" w:type="dxa"/>
            <w:tcBorders>
              <w:top w:val="single" w:sz="8" w:space="0" w:color="000000"/>
              <w:left w:val="single" w:sz="8" w:space="0" w:color="000000"/>
              <w:bottom w:val="single" w:sz="8" w:space="0" w:color="000000"/>
              <w:right w:val="single" w:sz="8" w:space="0" w:color="000000"/>
            </w:tcBorders>
            <w:vAlign w:val="center"/>
          </w:tcPr>
          <w:p w14:paraId="155B765E"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0.88%</w:t>
            </w:r>
          </w:p>
        </w:tc>
        <w:tc>
          <w:tcPr>
            <w:tcW w:w="915" w:type="dxa"/>
            <w:tcBorders>
              <w:top w:val="single" w:sz="8" w:space="0" w:color="000000"/>
              <w:left w:val="single" w:sz="8" w:space="0" w:color="000000"/>
              <w:bottom w:val="single" w:sz="8" w:space="0" w:color="000000"/>
              <w:right w:val="single" w:sz="8" w:space="0" w:color="000000"/>
            </w:tcBorders>
            <w:vAlign w:val="center"/>
          </w:tcPr>
          <w:p w14:paraId="70D8C19F"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0.02%</w:t>
            </w:r>
          </w:p>
        </w:tc>
      </w:tr>
      <w:tr w:rsidR="00A6605D" w14:paraId="63EDDB0F" w14:textId="77777777">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0D82D1A3" w14:textId="318A95D1" w:rsidR="00A6605D" w:rsidRDefault="00413D7E">
            <w:pPr>
              <w:pStyle w:val="biaogeleft"/>
              <w:spacing w:line="360" w:lineRule="auto"/>
              <w:rPr>
                <w:color w:val="000000"/>
                <w:sz w:val="21"/>
                <w:szCs w:val="21"/>
              </w:rPr>
            </w:pPr>
            <w:r>
              <w:rPr>
                <w:rFonts w:hAnsi="Calibri" w:hint="eastAsia"/>
                <w:color w:val="000000"/>
                <w:sz w:val="21"/>
                <w:szCs w:val="21"/>
              </w:rPr>
              <w:t>自基金合同生效起至今</w:t>
            </w:r>
          </w:p>
        </w:tc>
        <w:tc>
          <w:tcPr>
            <w:tcW w:w="1065" w:type="dxa"/>
            <w:tcBorders>
              <w:top w:val="single" w:sz="8" w:space="0" w:color="000000"/>
              <w:left w:val="single" w:sz="8" w:space="0" w:color="000000"/>
              <w:bottom w:val="single" w:sz="8" w:space="0" w:color="000000"/>
              <w:right w:val="single" w:sz="8" w:space="0" w:color="000000"/>
            </w:tcBorders>
            <w:vAlign w:val="center"/>
          </w:tcPr>
          <w:p w14:paraId="6EB117F4" w14:textId="2CA23B75"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28.13%</w:t>
            </w:r>
          </w:p>
        </w:tc>
        <w:tc>
          <w:tcPr>
            <w:tcW w:w="888" w:type="dxa"/>
            <w:tcBorders>
              <w:top w:val="single" w:sz="8" w:space="0" w:color="000000"/>
              <w:left w:val="single" w:sz="8" w:space="0" w:color="000000"/>
              <w:bottom w:val="single" w:sz="8" w:space="0" w:color="000000"/>
              <w:right w:val="single" w:sz="8" w:space="0" w:color="000000"/>
            </w:tcBorders>
            <w:vAlign w:val="center"/>
          </w:tcPr>
          <w:p w14:paraId="1AF0DF42" w14:textId="66CFCABF"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vAlign w:val="center"/>
          </w:tcPr>
          <w:p w14:paraId="25B1A4F2" w14:textId="4CA1FA05"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21.80%</w:t>
            </w:r>
          </w:p>
        </w:tc>
        <w:tc>
          <w:tcPr>
            <w:tcW w:w="1351" w:type="dxa"/>
            <w:tcBorders>
              <w:top w:val="single" w:sz="8" w:space="0" w:color="000000"/>
              <w:left w:val="single" w:sz="8" w:space="0" w:color="000000"/>
              <w:bottom w:val="single" w:sz="8" w:space="0" w:color="000000"/>
              <w:right w:val="single" w:sz="8" w:space="0" w:color="000000"/>
            </w:tcBorders>
            <w:vAlign w:val="center"/>
          </w:tcPr>
          <w:p w14:paraId="2B1193B5" w14:textId="7D017C96"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0.06%</w:t>
            </w:r>
          </w:p>
        </w:tc>
        <w:tc>
          <w:tcPr>
            <w:tcW w:w="850" w:type="dxa"/>
            <w:tcBorders>
              <w:top w:val="single" w:sz="8" w:space="0" w:color="000000"/>
              <w:left w:val="single" w:sz="8" w:space="0" w:color="000000"/>
              <w:bottom w:val="single" w:sz="8" w:space="0" w:color="000000"/>
              <w:right w:val="single" w:sz="8" w:space="0" w:color="000000"/>
            </w:tcBorders>
            <w:vAlign w:val="center"/>
          </w:tcPr>
          <w:p w14:paraId="5C5C5EA5" w14:textId="3D15807A"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6.33%</w:t>
            </w:r>
          </w:p>
        </w:tc>
        <w:tc>
          <w:tcPr>
            <w:tcW w:w="915" w:type="dxa"/>
            <w:tcBorders>
              <w:top w:val="single" w:sz="8" w:space="0" w:color="000000"/>
              <w:left w:val="single" w:sz="8" w:space="0" w:color="000000"/>
              <w:bottom w:val="single" w:sz="8" w:space="0" w:color="000000"/>
              <w:right w:val="single" w:sz="8" w:space="0" w:color="000000"/>
            </w:tcBorders>
            <w:vAlign w:val="center"/>
          </w:tcPr>
          <w:p w14:paraId="5EA7BC40" w14:textId="7CEE9711"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0.00%</w:t>
            </w:r>
          </w:p>
        </w:tc>
      </w:tr>
    </w:tbl>
    <w:p w14:paraId="36F9B94C" w14:textId="77777777" w:rsidR="00A6605D" w:rsidRDefault="00413D7E">
      <w:pPr>
        <w:pStyle w:val="neirong"/>
        <w:spacing w:line="360" w:lineRule="auto"/>
        <w:rPr>
          <w:sz w:val="21"/>
          <w:szCs w:val="21"/>
        </w:rPr>
      </w:pPr>
      <w:r>
        <w:rPr>
          <w:rFonts w:hint="eastAsia"/>
          <w:sz w:val="21"/>
          <w:szCs w:val="21"/>
        </w:rPr>
        <w:t>注：本基金的业绩比较基准为：中债综合指数（总财富）收益率×90%+1年期定期存款利率（税后）×10%</w:t>
      </w:r>
    </w:p>
    <w:p w14:paraId="25467333" w14:textId="77777777" w:rsidR="00A6605D" w:rsidRDefault="00413D7E">
      <w:pPr>
        <w:pStyle w:val="zhangjiep2"/>
        <w:rPr>
          <w:sz w:val="21"/>
          <w:szCs w:val="21"/>
        </w:rPr>
      </w:pPr>
      <w:r>
        <w:rPr>
          <w:rFonts w:hint="eastAsia"/>
          <w:bCs/>
          <w:sz w:val="21"/>
          <w:szCs w:val="21"/>
        </w:rPr>
        <w:t>2 自基金合同生效以来基金份额累计净值增长率变动及其与同期业绩比较基准收益率变动的比较</w:t>
      </w:r>
    </w:p>
    <w:p w14:paraId="1ABE3629" w14:textId="682663B4" w:rsidR="00A6605D" w:rsidRDefault="00413D7E">
      <w:pPr>
        <w:pStyle w:val="biaogeleft"/>
      </w:pPr>
      <w:r>
        <w:rPr>
          <w:rFonts w:hAnsi="等线"/>
          <w:noProof/>
          <w:color w:val="000000"/>
        </w:rPr>
        <w:drawing>
          <wp:inline distT="0" distB="0" distL="0" distR="0">
            <wp:extent cx="5274310" cy="3426460"/>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0" y="0"/>
                      <a:ext cx="5274310" cy="3426460"/>
                    </a:xfrm>
                    <a:prstGeom prst="rect">
                      <a:avLst/>
                    </a:prstGeom>
                    <a:noFill/>
                    <a:ln>
                      <a:noFill/>
                    </a:ln>
                  </pic:spPr>
                </pic:pic>
              </a:graphicData>
            </a:graphic>
          </wp:inline>
        </w:drawing>
      </w:r>
    </w:p>
    <w:p w14:paraId="0E307314" w14:textId="77777777" w:rsidR="00A6605D" w:rsidRDefault="00413D7E">
      <w:pPr>
        <w:pStyle w:val="neirong"/>
        <w:rPr>
          <w:sz w:val="21"/>
          <w:szCs w:val="21"/>
        </w:rPr>
      </w:pPr>
      <w:r>
        <w:rPr>
          <w:rFonts w:hint="eastAsia"/>
          <w:sz w:val="21"/>
          <w:szCs w:val="21"/>
        </w:rPr>
        <w:t>注：本基金建仓期为6个月，建仓期结束时各项资产配置比例符合合同约定。</w:t>
      </w:r>
    </w:p>
    <w:p w14:paraId="73BB71DF" w14:textId="77777777" w:rsidR="00A6605D" w:rsidRDefault="00A6605D">
      <w:pPr>
        <w:spacing w:line="360" w:lineRule="auto"/>
        <w:ind w:firstLineChars="200" w:firstLine="422"/>
        <w:rPr>
          <w:rFonts w:ascii="Arial Unicode MS" w:hAnsi="Arial Unicode MS" w:cs="Arial"/>
          <w:b/>
          <w:bCs/>
          <w:szCs w:val="21"/>
        </w:rPr>
      </w:pPr>
    </w:p>
    <w:p w14:paraId="7075ECEA" w14:textId="77777777" w:rsidR="00A6605D" w:rsidRDefault="00A6605D">
      <w:pPr>
        <w:spacing w:line="360" w:lineRule="auto"/>
        <w:ind w:firstLineChars="200" w:firstLine="422"/>
        <w:rPr>
          <w:rFonts w:ascii="Arial Unicode MS" w:hAnsi="Arial Unicode MS" w:cs="Arial"/>
          <w:b/>
          <w:bCs/>
          <w:szCs w:val="21"/>
        </w:rPr>
      </w:pPr>
    </w:p>
    <w:p w14:paraId="770EB36F" w14:textId="77777777" w:rsidR="00A6605D" w:rsidRDefault="00A6605D">
      <w:pPr>
        <w:spacing w:line="360" w:lineRule="auto"/>
        <w:ind w:firstLineChars="200" w:firstLine="422"/>
        <w:rPr>
          <w:rFonts w:ascii="Arial Unicode MS" w:hAnsi="Arial Unicode MS" w:cs="Arial"/>
          <w:b/>
          <w:bCs/>
          <w:szCs w:val="21"/>
        </w:rPr>
      </w:pPr>
    </w:p>
    <w:p w14:paraId="0A068EDB" w14:textId="77777777" w:rsidR="00A6605D" w:rsidRDefault="00A6605D">
      <w:pPr>
        <w:spacing w:line="360" w:lineRule="auto"/>
        <w:ind w:firstLineChars="200" w:firstLine="422"/>
        <w:rPr>
          <w:rFonts w:ascii="Arial Unicode MS" w:hAnsi="Arial Unicode MS" w:cs="Arial"/>
          <w:b/>
          <w:bCs/>
          <w:szCs w:val="21"/>
        </w:rPr>
      </w:pPr>
    </w:p>
    <w:p w14:paraId="38A31FD5" w14:textId="77777777" w:rsidR="00A6605D" w:rsidRDefault="00A6605D">
      <w:pPr>
        <w:spacing w:line="360" w:lineRule="auto"/>
        <w:ind w:firstLineChars="200" w:firstLine="422"/>
        <w:rPr>
          <w:rFonts w:ascii="Arial Unicode MS" w:hAnsi="Arial Unicode MS" w:cs="Arial"/>
          <w:b/>
          <w:bCs/>
          <w:szCs w:val="21"/>
        </w:rPr>
      </w:pPr>
    </w:p>
    <w:p w14:paraId="6508F1AA" w14:textId="77777777" w:rsidR="00A6605D" w:rsidRDefault="00A6605D">
      <w:pPr>
        <w:spacing w:line="360" w:lineRule="auto"/>
        <w:rPr>
          <w:rFonts w:ascii="Arial Unicode MS" w:hAnsi="Arial Unicode MS" w:cs="Arial"/>
          <w:b/>
          <w:bCs/>
          <w:szCs w:val="21"/>
        </w:rPr>
      </w:pPr>
    </w:p>
    <w:p w14:paraId="232BE4F2" w14:textId="77777777" w:rsidR="00A6605D" w:rsidRDefault="00A6605D">
      <w:pPr>
        <w:spacing w:line="360" w:lineRule="auto"/>
        <w:rPr>
          <w:rFonts w:ascii="Arial Unicode MS" w:hAnsi="Arial Unicode MS" w:cs="Arial"/>
          <w:b/>
          <w:bCs/>
          <w:szCs w:val="21"/>
        </w:rPr>
      </w:pPr>
    </w:p>
    <w:p w14:paraId="65FAD7C0" w14:textId="77777777" w:rsidR="00A6605D" w:rsidRDefault="00413D7E">
      <w:pPr>
        <w:widowControl/>
        <w:jc w:val="left"/>
        <w:rPr>
          <w:rFonts w:ascii="Arial Unicode MS" w:hAnsi="Arial Unicode MS" w:cs="Arial"/>
          <w:b/>
          <w:bCs/>
          <w:szCs w:val="21"/>
        </w:rPr>
      </w:pPr>
      <w:r>
        <w:rPr>
          <w:rFonts w:ascii="Arial Unicode MS" w:hAnsi="Arial Unicode MS" w:cs="Arial"/>
          <w:b/>
          <w:bCs/>
          <w:szCs w:val="21"/>
        </w:rPr>
        <w:br w:type="page"/>
      </w:r>
    </w:p>
    <w:p w14:paraId="6333D7A9" w14:textId="77777777" w:rsidR="00A6605D" w:rsidRDefault="00413D7E">
      <w:pPr>
        <w:pStyle w:val="11"/>
        <w:snapToGrid w:val="0"/>
        <w:spacing w:before="0" w:after="0" w:line="360" w:lineRule="auto"/>
        <w:ind w:firstLineChars="950" w:firstLine="2670"/>
        <w:jc w:val="left"/>
        <w:rPr>
          <w:rFonts w:ascii="Arial Unicode MS" w:eastAsia="宋体" w:hAnsi="Arial Unicode MS" w:cs="Arial"/>
          <w:b/>
          <w:bCs/>
          <w:sz w:val="28"/>
          <w:szCs w:val="28"/>
        </w:rPr>
      </w:pPr>
      <w:bookmarkStart w:id="61" w:name="_Toc63676445"/>
      <w:bookmarkStart w:id="62" w:name="_Toc317088147"/>
      <w:bookmarkStart w:id="63" w:name="_Toc317088544"/>
      <w:bookmarkStart w:id="64" w:name="_Toc214873599"/>
      <w:bookmarkStart w:id="65" w:name="_Toc320887649"/>
      <w:bookmarkStart w:id="66" w:name="_Toc335232698"/>
      <w:bookmarkEnd w:id="60"/>
      <w:r>
        <w:rPr>
          <w:rFonts w:ascii="Arial Unicode MS" w:eastAsia="宋体" w:hAnsi="Arial Unicode MS" w:cs="Arial"/>
          <w:b/>
          <w:bCs/>
          <w:sz w:val="28"/>
          <w:szCs w:val="28"/>
        </w:rPr>
        <w:lastRenderedPageBreak/>
        <w:t>第十部分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基金的财产</w:t>
      </w:r>
      <w:bookmarkEnd w:id="61"/>
      <w:bookmarkEnd w:id="62"/>
      <w:bookmarkEnd w:id="63"/>
      <w:bookmarkEnd w:id="64"/>
      <w:bookmarkEnd w:id="65"/>
      <w:bookmarkEnd w:id="66"/>
    </w:p>
    <w:p w14:paraId="56E55259" w14:textId="77777777" w:rsidR="00A6605D" w:rsidRDefault="00A6605D">
      <w:pPr>
        <w:ind w:firstLine="2280"/>
      </w:pPr>
    </w:p>
    <w:p w14:paraId="36950603" w14:textId="77777777" w:rsidR="00A6605D" w:rsidRDefault="00413D7E">
      <w:pPr>
        <w:spacing w:line="360" w:lineRule="auto"/>
        <w:ind w:firstLineChars="200" w:firstLine="422"/>
        <w:rPr>
          <w:rFonts w:ascii="Arial Unicode MS" w:hAnsi="Arial Unicode MS" w:cs="Arial"/>
          <w:b/>
          <w:szCs w:val="21"/>
        </w:rPr>
      </w:pPr>
      <w:r>
        <w:rPr>
          <w:rFonts w:ascii="Arial Unicode MS" w:hAnsi="Arial Unicode MS" w:cs="Arial"/>
          <w:b/>
          <w:szCs w:val="21"/>
        </w:rPr>
        <w:t>一、基金资产总值</w:t>
      </w:r>
    </w:p>
    <w:p w14:paraId="0E14673A"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bCs/>
          <w:szCs w:val="21"/>
        </w:rPr>
        <w:t>基金资产总值是指购买的各类证券及票据价值、银行存款本息和基金应收的申购基金款以及其他投资所形成的价值总和。</w:t>
      </w:r>
    </w:p>
    <w:p w14:paraId="3FC8D025" w14:textId="77777777" w:rsidR="00A6605D" w:rsidRDefault="00413D7E">
      <w:pPr>
        <w:spacing w:line="360" w:lineRule="auto"/>
        <w:ind w:firstLineChars="200" w:firstLine="422"/>
        <w:rPr>
          <w:rFonts w:ascii="Arial Unicode MS" w:hAnsi="Arial Unicode MS" w:cs="Arial"/>
          <w:b/>
          <w:szCs w:val="21"/>
        </w:rPr>
      </w:pPr>
      <w:r>
        <w:rPr>
          <w:rFonts w:ascii="Arial Unicode MS" w:hAnsi="Arial Unicode MS" w:cs="Arial"/>
          <w:b/>
          <w:szCs w:val="21"/>
        </w:rPr>
        <w:t>二、基金资产净值</w:t>
      </w:r>
    </w:p>
    <w:p w14:paraId="15E5FE80"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szCs w:val="21"/>
        </w:rPr>
        <w:t>基金资产净值是指基金资产总值减去基金负债后的价值。</w:t>
      </w:r>
    </w:p>
    <w:p w14:paraId="33612CEC" w14:textId="77777777" w:rsidR="00A6605D" w:rsidRDefault="00413D7E">
      <w:pPr>
        <w:spacing w:line="360" w:lineRule="auto"/>
        <w:ind w:firstLineChars="200" w:firstLine="422"/>
        <w:rPr>
          <w:rFonts w:ascii="Arial Unicode MS" w:hAnsi="Arial Unicode MS" w:cs="Arial"/>
          <w:b/>
          <w:szCs w:val="21"/>
        </w:rPr>
      </w:pPr>
      <w:r>
        <w:rPr>
          <w:rFonts w:ascii="Arial Unicode MS" w:hAnsi="Arial Unicode MS" w:cs="Arial"/>
          <w:b/>
          <w:szCs w:val="21"/>
        </w:rPr>
        <w:t>三、基金财产的账户</w:t>
      </w:r>
    </w:p>
    <w:p w14:paraId="32052AF5"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0B4DCEF3" w14:textId="77777777" w:rsidR="00A6605D" w:rsidRDefault="00413D7E">
      <w:pPr>
        <w:spacing w:line="360" w:lineRule="auto"/>
        <w:ind w:firstLineChars="200" w:firstLine="422"/>
        <w:rPr>
          <w:rFonts w:ascii="Arial Unicode MS" w:hAnsi="Arial Unicode MS" w:cs="Arial"/>
          <w:b/>
          <w:szCs w:val="21"/>
        </w:rPr>
      </w:pPr>
      <w:r>
        <w:rPr>
          <w:rFonts w:ascii="Arial Unicode MS" w:hAnsi="Arial Unicode MS" w:cs="Arial"/>
          <w:b/>
          <w:szCs w:val="21"/>
        </w:rPr>
        <w:t>四、基金财产的保管和处分</w:t>
      </w:r>
    </w:p>
    <w:p w14:paraId="430900DE" w14:textId="77777777" w:rsidR="00A6605D" w:rsidRDefault="00413D7E">
      <w:pPr>
        <w:spacing w:line="360" w:lineRule="auto"/>
        <w:ind w:firstLineChars="200" w:firstLine="420"/>
        <w:rPr>
          <w:rFonts w:ascii="Arial Unicode MS" w:hAnsi="Arial Unicode MS" w:cs="Arial"/>
          <w:bCs/>
          <w:szCs w:val="21"/>
        </w:rPr>
      </w:pPr>
      <w:bookmarkStart w:id="67" w:name="_Hlt88841837"/>
      <w:bookmarkStart w:id="68" w:name="_Hlt88900062"/>
      <w:bookmarkEnd w:id="67"/>
      <w:bookmarkEnd w:id="68"/>
      <w:r>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4B730E27"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17F2CF47" w14:textId="77777777" w:rsidR="00A6605D" w:rsidRDefault="00A6605D">
      <w:pPr>
        <w:spacing w:line="360" w:lineRule="auto"/>
        <w:ind w:firstLineChars="200" w:firstLine="420"/>
        <w:rPr>
          <w:rFonts w:ascii="Arial Unicode MS" w:hAnsi="Arial Unicode MS" w:cs="Arial"/>
          <w:szCs w:val="21"/>
        </w:rPr>
        <w:sectPr w:rsidR="00A6605D">
          <w:pgSz w:w="11906" w:h="16838"/>
          <w:pgMar w:top="1440" w:right="1800" w:bottom="1440" w:left="1800" w:header="851" w:footer="992" w:gutter="0"/>
          <w:cols w:space="720"/>
          <w:titlePg/>
          <w:docGrid w:linePitch="312"/>
        </w:sectPr>
      </w:pPr>
    </w:p>
    <w:p w14:paraId="590699DA" w14:textId="77777777" w:rsidR="00A6605D" w:rsidRDefault="00413D7E">
      <w:pPr>
        <w:pStyle w:val="11"/>
        <w:snapToGrid w:val="0"/>
        <w:spacing w:before="0" w:after="0" w:line="360" w:lineRule="auto"/>
        <w:ind w:firstLineChars="150" w:firstLine="422"/>
        <w:rPr>
          <w:rFonts w:ascii="Arial Unicode MS" w:eastAsia="宋体" w:hAnsi="Arial Unicode MS" w:cs="Arial"/>
          <w:b/>
          <w:bCs/>
          <w:sz w:val="28"/>
          <w:szCs w:val="28"/>
        </w:rPr>
      </w:pPr>
      <w:bookmarkStart w:id="69" w:name="_Toc317088545"/>
      <w:bookmarkStart w:id="70" w:name="_Toc320887650"/>
      <w:bookmarkStart w:id="71" w:name="_Toc317088148"/>
      <w:bookmarkStart w:id="72" w:name="_Toc214873600"/>
      <w:bookmarkStart w:id="73" w:name="_Toc63676446"/>
      <w:bookmarkStart w:id="74" w:name="_Toc335232699"/>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基金资产的估值</w:t>
      </w:r>
      <w:bookmarkEnd w:id="69"/>
      <w:bookmarkEnd w:id="70"/>
      <w:bookmarkEnd w:id="71"/>
      <w:bookmarkEnd w:id="72"/>
      <w:bookmarkEnd w:id="73"/>
      <w:bookmarkEnd w:id="74"/>
    </w:p>
    <w:p w14:paraId="6D492FD6" w14:textId="77777777" w:rsidR="00A6605D" w:rsidRDefault="00A6605D">
      <w:pPr>
        <w:ind w:firstLine="315"/>
      </w:pPr>
    </w:p>
    <w:p w14:paraId="2BBD174F" w14:textId="77777777" w:rsidR="00A6605D" w:rsidRDefault="00413D7E">
      <w:pPr>
        <w:spacing w:line="360" w:lineRule="auto"/>
        <w:ind w:firstLineChars="200" w:firstLine="422"/>
        <w:rPr>
          <w:rFonts w:ascii="Arial Unicode MS" w:hAnsi="Arial Unicode MS"/>
          <w:b/>
          <w:bCs/>
          <w:szCs w:val="21"/>
        </w:rPr>
      </w:pPr>
      <w:bookmarkStart w:id="75" w:name="_Toc530223193"/>
      <w:bookmarkStart w:id="76" w:name="_Toc214873601"/>
      <w:r>
        <w:rPr>
          <w:rFonts w:ascii="Arial Unicode MS" w:hAnsi="Arial Unicode MS"/>
          <w:b/>
          <w:bCs/>
          <w:szCs w:val="21"/>
        </w:rPr>
        <w:t>一、估值日</w:t>
      </w:r>
    </w:p>
    <w:p w14:paraId="10340134"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本基金的估值日为本基金相关的证券交易场所的交易日以及国家法律法规规定需要对外披露基金净值的非交易日。</w:t>
      </w:r>
    </w:p>
    <w:p w14:paraId="361ED0A7"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二、估值对象</w:t>
      </w:r>
    </w:p>
    <w:p w14:paraId="57376950"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基金所拥有的债券和银行存款本息、应收款项、其它投资等资产及负债。</w:t>
      </w:r>
    </w:p>
    <w:p w14:paraId="03D00951" w14:textId="77777777" w:rsidR="00A6605D" w:rsidRDefault="00413D7E">
      <w:pPr>
        <w:numPr>
          <w:ilvl w:val="0"/>
          <w:numId w:val="5"/>
        </w:numPr>
        <w:spacing w:line="360" w:lineRule="auto"/>
        <w:ind w:firstLineChars="200" w:firstLine="422"/>
        <w:rPr>
          <w:rFonts w:ascii="Arial Unicode MS" w:hAnsi="Arial Unicode MS"/>
          <w:b/>
          <w:szCs w:val="21"/>
        </w:rPr>
      </w:pPr>
      <w:r>
        <w:rPr>
          <w:rFonts w:ascii="Arial Unicode MS" w:hAnsi="Arial Unicode MS" w:hint="eastAsia"/>
          <w:b/>
          <w:szCs w:val="21"/>
        </w:rPr>
        <w:t>估值原则</w:t>
      </w:r>
    </w:p>
    <w:p w14:paraId="5F022770" w14:textId="77777777" w:rsidR="00A6605D" w:rsidRDefault="00413D7E">
      <w:pPr>
        <w:numPr>
          <w:ilvl w:val="255"/>
          <w:numId w:val="0"/>
        </w:numPr>
        <w:spacing w:line="360" w:lineRule="auto"/>
        <w:ind w:firstLine="420"/>
        <w:rPr>
          <w:rFonts w:ascii="Arial Unicode MS" w:hAnsi="Arial Unicode MS"/>
          <w:bCs/>
          <w:szCs w:val="21"/>
        </w:rPr>
      </w:pPr>
      <w:r>
        <w:rPr>
          <w:rFonts w:ascii="Arial Unicode MS" w:hAnsi="Arial Unicode MS"/>
          <w:bCs/>
          <w:szCs w:val="21"/>
        </w:rPr>
        <w:t>基金管理人在确定相关金融资产和金融负债的公允价值时，应符合《企业会计准则》、监管部门有关规定。</w:t>
      </w:r>
    </w:p>
    <w:p w14:paraId="70AFEAAC" w14:textId="77777777" w:rsidR="00A6605D" w:rsidRDefault="00413D7E">
      <w:pPr>
        <w:numPr>
          <w:ilvl w:val="255"/>
          <w:numId w:val="0"/>
        </w:numPr>
        <w:spacing w:line="360" w:lineRule="auto"/>
        <w:ind w:firstLine="420"/>
        <w:rPr>
          <w:rFonts w:ascii="Arial Unicode MS" w:hAnsi="Arial Unicode MS"/>
          <w:bCs/>
          <w:szCs w:val="21"/>
        </w:rPr>
      </w:pPr>
      <w:r>
        <w:rPr>
          <w:rFonts w:ascii="Arial Unicode MS" w:hAnsi="Arial Unicode MS"/>
          <w:bCs/>
          <w:szCs w:val="21"/>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27CAB369" w14:textId="77777777" w:rsidR="00A6605D" w:rsidRDefault="00413D7E">
      <w:pPr>
        <w:numPr>
          <w:ilvl w:val="255"/>
          <w:numId w:val="0"/>
        </w:numPr>
        <w:spacing w:line="360" w:lineRule="auto"/>
        <w:ind w:firstLine="420"/>
        <w:rPr>
          <w:rFonts w:ascii="Arial Unicode MS" w:hAnsi="Arial Unicode MS"/>
          <w:bCs/>
          <w:szCs w:val="21"/>
        </w:rPr>
      </w:pPr>
      <w:r>
        <w:rPr>
          <w:rFonts w:ascii="Arial Unicode MS" w:hAnsi="Arial Unicode MS"/>
          <w:bCs/>
          <w:szCs w:val="21"/>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26517E6A" w14:textId="77777777" w:rsidR="00A6605D" w:rsidRDefault="00413D7E">
      <w:pPr>
        <w:numPr>
          <w:ilvl w:val="255"/>
          <w:numId w:val="0"/>
        </w:numPr>
        <w:spacing w:line="360" w:lineRule="auto"/>
        <w:ind w:firstLine="420"/>
        <w:rPr>
          <w:rFonts w:ascii="Arial Unicode MS" w:hAnsi="Arial Unicode MS"/>
          <w:bCs/>
          <w:szCs w:val="21"/>
        </w:rPr>
      </w:pPr>
      <w:r>
        <w:rPr>
          <w:rFonts w:ascii="Arial Unicode MS" w:hAnsi="Arial Unicode MS"/>
          <w:bCs/>
          <w:szCs w:val="21"/>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1F6B75FC" w14:textId="77777777" w:rsidR="00A6605D" w:rsidRDefault="00413D7E">
      <w:pPr>
        <w:numPr>
          <w:ilvl w:val="255"/>
          <w:numId w:val="0"/>
        </w:numPr>
        <w:spacing w:line="360" w:lineRule="auto"/>
        <w:ind w:firstLine="420"/>
        <w:rPr>
          <w:rFonts w:ascii="Arial Unicode MS" w:hAnsi="Arial Unicode MS"/>
          <w:bCs/>
          <w:szCs w:val="21"/>
        </w:rPr>
      </w:pPr>
      <w:r>
        <w:rPr>
          <w:rFonts w:ascii="Arial Unicode MS" w:hAnsi="Arial Unicode MS"/>
          <w:bCs/>
          <w:szCs w:val="21"/>
        </w:rPr>
        <w:t>（三）如经济环境发生重大变化或证券发行人发生影响证券价格的重大事件，使潜在估值调整对前一估值日的基金资产净值的影响在</w:t>
      </w:r>
      <w:r>
        <w:rPr>
          <w:rFonts w:ascii="Arial Unicode MS" w:hAnsi="Arial Unicode MS"/>
          <w:bCs/>
          <w:szCs w:val="21"/>
        </w:rPr>
        <w:t>0.25%</w:t>
      </w:r>
      <w:r>
        <w:rPr>
          <w:rFonts w:ascii="Arial Unicode MS" w:hAnsi="Arial Unicode MS"/>
          <w:bCs/>
          <w:szCs w:val="21"/>
        </w:rPr>
        <w:t>以上的，应对估值进行调整并确定公允价值。</w:t>
      </w:r>
    </w:p>
    <w:p w14:paraId="789A1757"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四</w:t>
      </w:r>
      <w:r>
        <w:rPr>
          <w:rFonts w:ascii="Arial Unicode MS" w:hAnsi="Arial Unicode MS"/>
          <w:b/>
          <w:bCs/>
          <w:szCs w:val="21"/>
        </w:rPr>
        <w:t>、估值方法</w:t>
      </w:r>
    </w:p>
    <w:p w14:paraId="4A7E59CB"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、证券交易所上市的有价证券的估值</w:t>
      </w:r>
    </w:p>
    <w:p w14:paraId="6C479DE1"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）交易所上市交易或挂牌转让的固定收益品种（基金合同另有规定的除外），选取估值日第三方估值机构提供的相应品种对应的估值净价估值，具体估值机构由基金管理人与托管人另行协商约定；</w:t>
      </w:r>
    </w:p>
    <w:p w14:paraId="1280B87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w:t>
      </w:r>
      <w:r>
        <w:rPr>
          <w:rFonts w:ascii="Arial Unicode MS" w:hAnsi="Arial Unicode MS" w:hint="eastAsia"/>
          <w:bCs/>
          <w:szCs w:val="21"/>
        </w:rPr>
        <w:lastRenderedPageBreak/>
        <w:t>下，按成本估值。</w:t>
      </w:r>
    </w:p>
    <w:p w14:paraId="6F31DDFC"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71DF931"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、首次公开发行未上市的债券，采用估值技术确定公允价值，在估值技术难以可靠计量公允价值的情况下，按成本估值；</w:t>
      </w:r>
    </w:p>
    <w:p w14:paraId="03EDB554"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、全国银行间债券市场交易的债券、资产支持证券等固定收益品种，采用估值技术确定公允价值。</w:t>
      </w:r>
    </w:p>
    <w:p w14:paraId="515219E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5</w:t>
      </w:r>
      <w:r>
        <w:rPr>
          <w:rFonts w:ascii="Arial Unicode MS" w:hAnsi="Arial Unicode MS" w:hint="eastAsia"/>
          <w:bCs/>
          <w:szCs w:val="21"/>
        </w:rPr>
        <w:t>、同一债券同时在两个或两个以上市场交易的，按债券所处的市场分别估值。</w:t>
      </w:r>
    </w:p>
    <w:p w14:paraId="55B88A35"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、当发生大额申购或赎回情形时，基金管理人可以采用摆动定价机制，以确保基金估值的公平性。</w:t>
      </w:r>
    </w:p>
    <w:p w14:paraId="239B048C"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7</w:t>
      </w:r>
      <w:r>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0D0A3AE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8</w:t>
      </w:r>
      <w:r>
        <w:rPr>
          <w:rFonts w:ascii="Arial Unicode MS" w:hAnsi="Arial Unicode MS" w:hint="eastAsia"/>
          <w:bCs/>
          <w:szCs w:val="21"/>
        </w:rPr>
        <w:t>、相关法律法规以及监管部门有强制规定的，从其规定。如有新增事项，按国家最新规定估值。</w:t>
      </w:r>
    </w:p>
    <w:p w14:paraId="5C82E47E"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2484AC89"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10DBD9CA"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四、估值程序</w:t>
      </w:r>
    </w:p>
    <w:p w14:paraId="5D3EE1F0"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、基金份额净值是按照每个工作日闭市后，基金资产净值除以当日基金份额的余额数量计算，精确到</w:t>
      </w:r>
      <w:r>
        <w:rPr>
          <w:rFonts w:ascii="Arial Unicode MS" w:hAnsi="Arial Unicode MS" w:hint="eastAsia"/>
          <w:bCs/>
          <w:szCs w:val="21"/>
        </w:rPr>
        <w:t>0.00</w:t>
      </w:r>
      <w:r>
        <w:rPr>
          <w:rFonts w:ascii="Arial Unicode MS" w:hAnsi="Arial Unicode MS"/>
          <w:bCs/>
          <w:szCs w:val="21"/>
        </w:rPr>
        <w:t>0</w:t>
      </w:r>
      <w:r>
        <w:rPr>
          <w:rFonts w:ascii="Arial Unicode MS" w:hAnsi="Arial Unicode MS" w:hint="eastAsia"/>
          <w:bCs/>
          <w:szCs w:val="21"/>
        </w:rPr>
        <w:t>1</w:t>
      </w:r>
      <w:r>
        <w:rPr>
          <w:rFonts w:ascii="Arial Unicode MS" w:hAnsi="Arial Unicode MS" w:hint="eastAsia"/>
          <w:bCs/>
          <w:szCs w:val="21"/>
        </w:rPr>
        <w:t>元，小数点后第</w:t>
      </w:r>
      <w:r>
        <w:rPr>
          <w:rFonts w:ascii="Arial Unicode MS" w:hAnsi="Arial Unicode MS"/>
          <w:bCs/>
          <w:szCs w:val="21"/>
        </w:rPr>
        <w:t>5</w:t>
      </w:r>
      <w:r>
        <w:rPr>
          <w:rFonts w:ascii="Arial Unicode MS" w:hAnsi="Arial Unicode MS" w:hint="eastAsia"/>
          <w:bCs/>
          <w:szCs w:val="21"/>
        </w:rPr>
        <w:t>位四舍五入。基金管理人可以设立大额赎回情形下的净值精度应急调整机制。国家另有规定的，从其规定。</w:t>
      </w:r>
    </w:p>
    <w:p w14:paraId="506E9FEF"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基金管理人应每个工作日计算基金资产净值及基金份额净值，并按规定进行公告。</w:t>
      </w:r>
    </w:p>
    <w:p w14:paraId="3EFA754E"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应每个工作日对基金资产估值。但基金管理人根据法律法规或基金合同的规定暂停估值时除外。基金管理人每个工作日对基金资产估值后，将基金份额净值结果发送基金托管人，经基金托管人复核无误后，由基金管理人按约定对外公布。</w:t>
      </w:r>
    </w:p>
    <w:p w14:paraId="2973173D"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lastRenderedPageBreak/>
        <w:t>五、估值错误的处理</w:t>
      </w:r>
    </w:p>
    <w:p w14:paraId="3F4F5A33"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基金管理人和基金托管人将采取必要、适当、合理的措施确保基金资产估值的准确性、及时性。当基金份额净值小数点后</w:t>
      </w:r>
      <w:r>
        <w:rPr>
          <w:rFonts w:ascii="Arial Unicode MS" w:hAnsi="Arial Unicode MS"/>
          <w:bCs/>
          <w:szCs w:val="21"/>
        </w:rPr>
        <w:t>4</w:t>
      </w:r>
      <w:r>
        <w:rPr>
          <w:rFonts w:ascii="Arial Unicode MS" w:hAnsi="Arial Unicode MS" w:hint="eastAsia"/>
          <w:bCs/>
          <w:szCs w:val="21"/>
        </w:rPr>
        <w:t>位以内</w:t>
      </w:r>
      <w:r>
        <w:rPr>
          <w:rFonts w:ascii="Arial Unicode MS" w:hAnsi="Arial Unicode MS" w:hint="eastAsia"/>
          <w:bCs/>
          <w:szCs w:val="21"/>
        </w:rPr>
        <w:t>(</w:t>
      </w:r>
      <w:r>
        <w:rPr>
          <w:rFonts w:ascii="Arial Unicode MS" w:hAnsi="Arial Unicode MS" w:hint="eastAsia"/>
          <w:bCs/>
          <w:szCs w:val="21"/>
        </w:rPr>
        <w:t>含第</w:t>
      </w:r>
      <w:r>
        <w:rPr>
          <w:rFonts w:ascii="Arial Unicode MS" w:hAnsi="Arial Unicode MS"/>
          <w:bCs/>
          <w:szCs w:val="21"/>
        </w:rPr>
        <w:t>4</w:t>
      </w:r>
      <w:r>
        <w:rPr>
          <w:rFonts w:ascii="Arial Unicode MS" w:hAnsi="Arial Unicode MS" w:hint="eastAsia"/>
          <w:bCs/>
          <w:szCs w:val="21"/>
        </w:rPr>
        <w:t>位</w:t>
      </w:r>
      <w:r>
        <w:rPr>
          <w:rFonts w:ascii="Arial Unicode MS" w:hAnsi="Arial Unicode MS" w:hint="eastAsia"/>
          <w:bCs/>
          <w:szCs w:val="21"/>
        </w:rPr>
        <w:t>)</w:t>
      </w:r>
      <w:r>
        <w:rPr>
          <w:rFonts w:ascii="Arial Unicode MS" w:hAnsi="Arial Unicode MS" w:hint="eastAsia"/>
          <w:bCs/>
          <w:szCs w:val="21"/>
        </w:rPr>
        <w:t>发生估值错误时，视为基金份额净值错误。</w:t>
      </w:r>
    </w:p>
    <w:p w14:paraId="6244249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基金合同的当事人应按照以下约定处理：</w:t>
      </w:r>
    </w:p>
    <w:p w14:paraId="6B3D0C1F"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、估值错误类型</w:t>
      </w:r>
    </w:p>
    <w:p w14:paraId="2006FBD9"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hint="eastAsia"/>
          <w:bCs/>
          <w:szCs w:val="21"/>
        </w:rPr>
        <w:t>(</w:t>
      </w:r>
      <w:r>
        <w:rPr>
          <w:rFonts w:ascii="Arial Unicode MS" w:hAnsi="Arial Unicode MS" w:hint="eastAsia"/>
          <w:bCs/>
          <w:szCs w:val="21"/>
        </w:rPr>
        <w:t>“受损方”</w:t>
      </w:r>
      <w:r>
        <w:rPr>
          <w:rFonts w:ascii="Arial Unicode MS" w:hAnsi="Arial Unicode MS" w:hint="eastAsia"/>
          <w:bCs/>
          <w:szCs w:val="21"/>
        </w:rPr>
        <w:t>)</w:t>
      </w:r>
      <w:r>
        <w:rPr>
          <w:rFonts w:ascii="Arial Unicode MS" w:hAnsi="Arial Unicode MS" w:hint="eastAsia"/>
          <w:bCs/>
          <w:szCs w:val="21"/>
        </w:rPr>
        <w:t>的直接损失按下述“估值错误处理原则”给予赔偿，承担赔偿责任。</w:t>
      </w:r>
    </w:p>
    <w:p w14:paraId="46F86D9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上述估值错误的主要类型包括但不限于：资料申报差错、数据传输差错、数据计算差错、系统故障差错、下达指令差错等。对于因技术原因引起的差错，若系同行业现有技术水平不能预见、不能避免、不能克服，则属不可抗力，因不可抗力原因出现差错的当事人不对其他当事人承担赔偿责任。</w:t>
      </w:r>
    </w:p>
    <w:p w14:paraId="43918882"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、估值错误处理原则</w:t>
      </w:r>
    </w:p>
    <w:p w14:paraId="412EBBB8"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8E4492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）估值错误的责任方对有关当事人的直接损失负责，不对间接损失负责，并且仅对估值错误的有关直接当事人负责，不对第三方负责。</w:t>
      </w:r>
    </w:p>
    <w:p w14:paraId="28D81A31"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ascii="Arial Unicode MS" w:hAnsi="Arial Unicode MS" w:hint="eastAsia"/>
          <w:bCs/>
          <w:szCs w:val="21"/>
        </w:rPr>
        <w:t>(</w:t>
      </w:r>
      <w:r>
        <w:rPr>
          <w:rFonts w:ascii="Arial Unicode MS" w:hAnsi="Arial Unicode MS" w:hint="eastAsia"/>
          <w:bCs/>
          <w:szCs w:val="21"/>
        </w:rPr>
        <w:t>“受损方”</w:t>
      </w:r>
      <w:r>
        <w:rPr>
          <w:rFonts w:ascii="Arial Unicode MS" w:hAnsi="Arial Unicode MS" w:hint="eastAsia"/>
          <w:bCs/>
          <w:szCs w:val="21"/>
        </w:rPr>
        <w:t>)</w:t>
      </w:r>
      <w:r>
        <w:rPr>
          <w:rFonts w:ascii="Arial Unicode MS" w:hAnsi="Arial Unicode MS" w:hint="eastAsia"/>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5719149"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）估值错误调整采用尽量恢复至假设未发生估值错误的正确情形的方式。</w:t>
      </w:r>
    </w:p>
    <w:p w14:paraId="70DF5BEF"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、估值错误处理程序</w:t>
      </w:r>
    </w:p>
    <w:p w14:paraId="43D6C56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估值错误被发现后，有关的当事人应当及时进行处理，处理的程序如下：</w:t>
      </w:r>
    </w:p>
    <w:p w14:paraId="2160CC21"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）查明估值错误发生的原因，列明所有的当事人，并根据估值错误发生的原因确定估值错误的责任方；</w:t>
      </w:r>
    </w:p>
    <w:p w14:paraId="1983C630"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）根据估值错误处理原则或当事人协商的方法对因估值错误造成的损失进行评估；</w:t>
      </w:r>
    </w:p>
    <w:p w14:paraId="6F56DBC1"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）根据估值错误处理原则或当事人协商的方法由估值错误的责任方进行更正和赔偿损失；</w:t>
      </w:r>
    </w:p>
    <w:p w14:paraId="72395D6B"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）根据估值错误处理的方法，需要修改基金登记机构交易数据的，由基金登记机构进行更正，并就估值错误的更正向有关当事人进行确认。</w:t>
      </w:r>
    </w:p>
    <w:p w14:paraId="1DC1B7B3"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、基金份额净值估值错误处理的方法如下：</w:t>
      </w:r>
    </w:p>
    <w:p w14:paraId="2BB1222C"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）基金份额净值计算出现错误时，基金管理人应当立即予以纠正，通报基金托管人，并采取合理的措施防止损失进一步扩大。</w:t>
      </w:r>
    </w:p>
    <w:p w14:paraId="4578CB26"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）错误偏差达到基金份额净值的</w:t>
      </w:r>
      <w:r>
        <w:rPr>
          <w:rFonts w:ascii="Arial Unicode MS" w:hAnsi="Arial Unicode MS" w:hint="eastAsia"/>
          <w:bCs/>
          <w:szCs w:val="21"/>
        </w:rPr>
        <w:t>0.25%</w:t>
      </w:r>
      <w:r>
        <w:rPr>
          <w:rFonts w:ascii="Arial Unicode MS" w:hAnsi="Arial Unicode MS" w:hint="eastAsia"/>
          <w:bCs/>
          <w:szCs w:val="21"/>
        </w:rPr>
        <w:t>时，基金管理人应当通报基金托管人并报中国证监会备案；错误偏差达到基金份额净值的</w:t>
      </w:r>
      <w:r>
        <w:rPr>
          <w:rFonts w:ascii="Arial Unicode MS" w:hAnsi="Arial Unicode MS" w:hint="eastAsia"/>
          <w:bCs/>
          <w:szCs w:val="21"/>
        </w:rPr>
        <w:t>0.5%</w:t>
      </w:r>
      <w:r>
        <w:rPr>
          <w:rFonts w:ascii="Arial Unicode MS" w:hAnsi="Arial Unicode MS" w:hint="eastAsia"/>
          <w:bCs/>
          <w:szCs w:val="21"/>
        </w:rPr>
        <w:t>时，基金管理人应当公告，并报中国证监会备案。</w:t>
      </w:r>
    </w:p>
    <w:p w14:paraId="4616507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）前述内容如法律法规或监管机关另有规定的，从其规定处理。</w:t>
      </w:r>
    </w:p>
    <w:p w14:paraId="611AA386"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六、暂停估值的情形</w:t>
      </w:r>
    </w:p>
    <w:p w14:paraId="56003CE5"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、基金投资所涉及的证券交易市场遇法定节假日或因其他原因暂停营业时；</w:t>
      </w:r>
    </w:p>
    <w:p w14:paraId="622D08A3"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、因不可抗力致使基金管理人、基金托管人无法准确评估基金资产价值时；</w:t>
      </w:r>
    </w:p>
    <w:p w14:paraId="74B1412F"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、当特定资产占前一估值日基金资产净值</w:t>
      </w:r>
      <w:r>
        <w:rPr>
          <w:rFonts w:ascii="Arial Unicode MS" w:hAnsi="Arial Unicode MS" w:hint="eastAsia"/>
          <w:bCs/>
          <w:szCs w:val="21"/>
        </w:rPr>
        <w:t>50%</w:t>
      </w:r>
      <w:r>
        <w:rPr>
          <w:rFonts w:ascii="Arial Unicode MS" w:hAnsi="Arial Unicode MS" w:hint="eastAsia"/>
          <w:bCs/>
          <w:szCs w:val="21"/>
        </w:rPr>
        <w:t>以上的，经与基金托管人协商一致的，基金管理人应当暂停基金估值；</w:t>
      </w:r>
    </w:p>
    <w:p w14:paraId="4F1E9E76"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、中国证监会和基金合同认定的其它情形。</w:t>
      </w:r>
    </w:p>
    <w:p w14:paraId="64B1EE68"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七、基金净值的确认</w:t>
      </w:r>
    </w:p>
    <w:p w14:paraId="1913E7F2"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按约定予以公布。</w:t>
      </w:r>
    </w:p>
    <w:p w14:paraId="2BB5F26D"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八</w:t>
      </w:r>
      <w:r>
        <w:rPr>
          <w:rFonts w:ascii="Arial Unicode MS" w:hAnsi="Arial Unicode MS"/>
          <w:b/>
          <w:bCs/>
          <w:szCs w:val="21"/>
        </w:rPr>
        <w:t>、</w:t>
      </w:r>
      <w:r>
        <w:rPr>
          <w:rFonts w:ascii="Arial Unicode MS" w:hAnsi="Arial Unicode MS" w:hint="eastAsia"/>
          <w:b/>
          <w:bCs/>
          <w:szCs w:val="21"/>
        </w:rPr>
        <w:t>特殊情况的处理方法</w:t>
      </w:r>
    </w:p>
    <w:p w14:paraId="7E220C52"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、基金管理人或基金托管人按估值方法的第</w:t>
      </w:r>
      <w:r>
        <w:rPr>
          <w:rFonts w:ascii="Arial Unicode MS" w:hAnsi="Arial Unicode MS"/>
          <w:bCs/>
          <w:szCs w:val="21"/>
        </w:rPr>
        <w:t>7</w:t>
      </w:r>
      <w:r>
        <w:rPr>
          <w:rFonts w:ascii="Arial Unicode MS" w:hAnsi="Arial Unicode MS" w:hint="eastAsia"/>
          <w:bCs/>
          <w:szCs w:val="21"/>
        </w:rPr>
        <w:t>项进行估值时，所造成的误差不作为基金资产估值错误处理。</w:t>
      </w:r>
    </w:p>
    <w:p w14:paraId="7B3FA5F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2</w:t>
      </w:r>
      <w:r>
        <w:rPr>
          <w:rFonts w:ascii="Arial Unicode MS" w:hAnsi="Arial Unicode MS" w:hint="eastAsia"/>
          <w:bCs/>
          <w:szCs w:val="21"/>
        </w:rPr>
        <w:t>、由于不可抗力原因，或由于证券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bookmarkStart w:id="77" w:name="_Toc317088149"/>
      <w:bookmarkStart w:id="78" w:name="_Toc317088546"/>
      <w:bookmarkStart w:id="79" w:name="_Toc335232700"/>
      <w:bookmarkStart w:id="80" w:name="_Toc320887651"/>
    </w:p>
    <w:p w14:paraId="53CFD305"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九、实施侧袋机制期间的基金资产估值</w:t>
      </w:r>
    </w:p>
    <w:p w14:paraId="66DF473F" w14:textId="77777777" w:rsidR="00A6605D" w:rsidRDefault="00413D7E">
      <w:pPr>
        <w:spacing w:line="360" w:lineRule="auto"/>
        <w:ind w:firstLine="420"/>
        <w:rPr>
          <w:rFonts w:ascii="Arial Unicode MS" w:hAnsi="Arial Unicode MS"/>
        </w:rPr>
      </w:pPr>
      <w:r>
        <w:rPr>
          <w:rFonts w:ascii="Arial Unicode MS" w:hAnsi="Arial Unicode MS" w:hint="eastAsia"/>
          <w:bCs/>
          <w:szCs w:val="21"/>
        </w:rPr>
        <w:t>本基金实施侧袋机制的，应根据本部分的约定对主袋账户资产进行估值并披露主袋账户的基金净值信息，暂停披露侧袋账户的基金份额净值。</w:t>
      </w:r>
    </w:p>
    <w:p w14:paraId="1EBD3353" w14:textId="77777777" w:rsidR="00A6605D" w:rsidRDefault="00A6605D">
      <w:pPr>
        <w:spacing w:line="360" w:lineRule="auto"/>
        <w:rPr>
          <w:rFonts w:ascii="Arial Unicode MS" w:hAnsi="Arial Unicode MS"/>
        </w:rPr>
      </w:pPr>
    </w:p>
    <w:p w14:paraId="5B66BF28" w14:textId="77777777" w:rsidR="00A6605D" w:rsidRDefault="00A6605D">
      <w:pPr>
        <w:spacing w:line="360" w:lineRule="auto"/>
        <w:rPr>
          <w:rFonts w:ascii="Arial Unicode MS" w:hAnsi="Arial Unicode MS"/>
        </w:rPr>
      </w:pPr>
    </w:p>
    <w:p w14:paraId="0FC050BA" w14:textId="77777777" w:rsidR="00A6605D" w:rsidRDefault="00A6605D">
      <w:pPr>
        <w:spacing w:line="360" w:lineRule="auto"/>
        <w:rPr>
          <w:rFonts w:ascii="Arial Unicode MS" w:hAnsi="Arial Unicode MS"/>
        </w:rPr>
      </w:pPr>
    </w:p>
    <w:p w14:paraId="5FE5B853" w14:textId="77777777" w:rsidR="00A6605D" w:rsidRDefault="00A6605D">
      <w:pPr>
        <w:spacing w:line="360" w:lineRule="auto"/>
        <w:rPr>
          <w:rFonts w:ascii="Arial Unicode MS" w:hAnsi="Arial Unicode MS"/>
        </w:rPr>
      </w:pPr>
    </w:p>
    <w:p w14:paraId="0ADD304E" w14:textId="77777777" w:rsidR="00A6605D" w:rsidRDefault="00A6605D">
      <w:pPr>
        <w:spacing w:line="360" w:lineRule="auto"/>
        <w:rPr>
          <w:rFonts w:ascii="Arial Unicode MS" w:hAnsi="Arial Unicode MS"/>
        </w:rPr>
      </w:pPr>
    </w:p>
    <w:p w14:paraId="6292E63E" w14:textId="77777777" w:rsidR="00A6605D" w:rsidRDefault="00413D7E">
      <w:pPr>
        <w:widowControl/>
        <w:jc w:val="left"/>
        <w:rPr>
          <w:rFonts w:ascii="Arial Unicode MS" w:hAnsi="Arial Unicode MS"/>
        </w:rPr>
      </w:pPr>
      <w:r>
        <w:rPr>
          <w:rFonts w:ascii="Arial Unicode MS" w:hAnsi="Arial Unicode MS"/>
        </w:rPr>
        <w:br w:type="page"/>
      </w:r>
    </w:p>
    <w:p w14:paraId="3897C46C" w14:textId="77777777" w:rsidR="00A6605D" w:rsidRDefault="00413D7E">
      <w:pPr>
        <w:pStyle w:val="11"/>
        <w:snapToGrid w:val="0"/>
        <w:spacing w:before="0" w:after="0" w:line="360" w:lineRule="auto"/>
        <w:rPr>
          <w:rFonts w:ascii="Arial Unicode MS" w:eastAsia="宋体" w:hAnsi="Arial Unicode MS" w:cs="Arial"/>
          <w:b/>
          <w:bCs/>
          <w:sz w:val="28"/>
          <w:szCs w:val="28"/>
        </w:rPr>
      </w:pPr>
      <w:bookmarkStart w:id="81" w:name="_Toc63676447"/>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二</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75"/>
      <w:r>
        <w:rPr>
          <w:rFonts w:ascii="Arial Unicode MS" w:eastAsia="宋体" w:hAnsi="Arial Unicode MS" w:cs="Arial"/>
          <w:b/>
          <w:bCs/>
          <w:sz w:val="28"/>
          <w:szCs w:val="28"/>
        </w:rPr>
        <w:t>基金的收益分配</w:t>
      </w:r>
      <w:bookmarkEnd w:id="76"/>
      <w:bookmarkEnd w:id="77"/>
      <w:bookmarkEnd w:id="78"/>
      <w:bookmarkEnd w:id="79"/>
      <w:bookmarkEnd w:id="80"/>
      <w:bookmarkEnd w:id="81"/>
    </w:p>
    <w:p w14:paraId="31572C4A" w14:textId="77777777" w:rsidR="00A6605D" w:rsidRDefault="00A6605D"/>
    <w:p w14:paraId="784AF08A"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一、基金利润的构成</w:t>
      </w:r>
    </w:p>
    <w:p w14:paraId="6DFAE048"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基金利润指基金利息收入、投资收益、公允价值变动收益和其他收入扣除相关费用后的余额，基金已实现收益指基金利润减去公允价值变动收益后的余额。</w:t>
      </w:r>
    </w:p>
    <w:p w14:paraId="4C7B17A0"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二、基金可供分配利润</w:t>
      </w:r>
    </w:p>
    <w:p w14:paraId="29463D80"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基金可供分配利润指截至收益分配基准日基金未分配利润与未分配利润中已实现收益的孰低数。</w:t>
      </w:r>
    </w:p>
    <w:p w14:paraId="06B23251"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三</w:t>
      </w:r>
      <w:r>
        <w:rPr>
          <w:rFonts w:ascii="Arial Unicode MS" w:hAnsi="Arial Unicode MS"/>
          <w:b/>
          <w:bCs/>
          <w:szCs w:val="21"/>
        </w:rPr>
        <w:t>、基金收益分配原则</w:t>
      </w:r>
    </w:p>
    <w:p w14:paraId="7D410698"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、在符合有关基金分红条件的前提下，基金管理人可以根据实际情况进行收益分配；</w:t>
      </w:r>
    </w:p>
    <w:p w14:paraId="42A6E5C3" w14:textId="77777777" w:rsidR="00A6605D" w:rsidRDefault="00413D7E">
      <w:pPr>
        <w:adjustRightInd w:val="0"/>
        <w:snapToGrid w:val="0"/>
        <w:spacing w:line="360" w:lineRule="auto"/>
        <w:ind w:firstLineChars="200" w:firstLine="420"/>
        <w:rPr>
          <w:rFonts w:ascii="Arial Unicode MS" w:hAnsi="Arial Unicode MS"/>
          <w:bCs/>
          <w:kern w:val="0"/>
          <w:szCs w:val="21"/>
        </w:rPr>
      </w:pPr>
      <w:r>
        <w:rPr>
          <w:rFonts w:ascii="Arial Unicode MS" w:hAnsi="Arial Unicode MS" w:hint="eastAsia"/>
          <w:bCs/>
          <w:szCs w:val="21"/>
        </w:rPr>
        <w:t>2</w:t>
      </w:r>
      <w:r>
        <w:rPr>
          <w:rFonts w:ascii="Arial Unicode MS" w:hAnsi="Arial Unicode MS" w:hint="eastAsia"/>
          <w:bCs/>
          <w:szCs w:val="21"/>
        </w:rPr>
        <w:t>、</w:t>
      </w:r>
      <w:r>
        <w:rPr>
          <w:rFonts w:ascii="Arial Unicode MS" w:hAnsi="Arial Unicode MS" w:hint="eastAsia"/>
          <w:bCs/>
          <w:kern w:val="0"/>
          <w:szCs w:val="21"/>
        </w:rPr>
        <w:t>本基金收益分配方式分两种：现金分红与红利再投资，投资者可选择现金红利或将现金红利自动转为基金份额进行再投资；若投资者不选择，本基金默认的收益分配方式是现金分红；</w:t>
      </w:r>
    </w:p>
    <w:p w14:paraId="17C93D1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3</w:t>
      </w:r>
      <w:r>
        <w:rPr>
          <w:rFonts w:ascii="Arial Unicode MS" w:hAnsi="Arial Unicode MS" w:hint="eastAsia"/>
          <w:bCs/>
          <w:szCs w:val="21"/>
        </w:rPr>
        <w:t>、基金收益分配后基金份额净值不能低于面值，即基金收益分配基准日的基金份额净值减去每单位基金份额收益分配金额后不能低于面值；</w:t>
      </w:r>
    </w:p>
    <w:p w14:paraId="1E394744"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4</w:t>
      </w:r>
      <w:r>
        <w:rPr>
          <w:rFonts w:ascii="Arial Unicode MS" w:hAnsi="Arial Unicode MS" w:hint="eastAsia"/>
          <w:bCs/>
          <w:szCs w:val="21"/>
        </w:rPr>
        <w:t>、每一基金份额享有同等分配权；</w:t>
      </w:r>
    </w:p>
    <w:p w14:paraId="166FC01E"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5</w:t>
      </w:r>
      <w:r>
        <w:rPr>
          <w:rFonts w:ascii="Arial Unicode MS" w:hAnsi="Arial Unicode MS" w:hint="eastAsia"/>
          <w:bCs/>
          <w:szCs w:val="21"/>
        </w:rPr>
        <w:t>、法律法规或监管机关另有规定的，从其规定。</w:t>
      </w:r>
    </w:p>
    <w:p w14:paraId="5829EC2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5B558948"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四</w:t>
      </w:r>
      <w:r>
        <w:rPr>
          <w:rFonts w:ascii="Arial Unicode MS" w:hAnsi="Arial Unicode MS"/>
          <w:b/>
          <w:bCs/>
          <w:szCs w:val="21"/>
        </w:rPr>
        <w:t>、收益分配方案</w:t>
      </w:r>
    </w:p>
    <w:p w14:paraId="7B806552"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07BBF6A6"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五、收益分配方案的确定、公告与实施</w:t>
      </w:r>
    </w:p>
    <w:p w14:paraId="50F1FB85"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本基金收益分配方案由基金管理人拟定，并由基金托管人复核，依据相关规定在规定媒介公告。</w:t>
      </w:r>
    </w:p>
    <w:p w14:paraId="6E4B0683"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六、基金收益分配中发生的费用</w:t>
      </w:r>
    </w:p>
    <w:p w14:paraId="4F45D0B1"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收益分配时所发生的银行转账或其他手续费用由投资者自行承担。当投资者的现金红利小于一定金额，不足以支付银行转账或其他手续费用时，基金登记机构可将基金份额持有人的现金红利自动转为基金份额。红利再投资的计算方法，依照《业务规则》执行。</w:t>
      </w:r>
    </w:p>
    <w:p w14:paraId="4463EEF1" w14:textId="77777777" w:rsidR="00A6605D" w:rsidRDefault="00413D7E">
      <w:pPr>
        <w:spacing w:line="360" w:lineRule="auto"/>
        <w:ind w:firstLineChars="200" w:firstLine="422"/>
        <w:rPr>
          <w:rFonts w:ascii="Arial Unicode MS" w:hAnsi="Arial Unicode MS"/>
          <w:b/>
          <w:bCs/>
          <w:szCs w:val="21"/>
        </w:rPr>
      </w:pPr>
      <w:bookmarkStart w:id="82" w:name="_Toc317088547"/>
      <w:bookmarkStart w:id="83" w:name="_Toc147463128"/>
      <w:bookmarkStart w:id="84" w:name="_Toc21073401"/>
      <w:bookmarkStart w:id="85" w:name="_Toc320887652"/>
      <w:bookmarkStart w:id="86" w:name="_Toc317088150"/>
      <w:bookmarkStart w:id="87" w:name="_Toc214873602"/>
      <w:bookmarkStart w:id="88" w:name="_Toc335232701"/>
      <w:bookmarkStart w:id="89" w:name="_Toc12357181"/>
      <w:r>
        <w:rPr>
          <w:rFonts w:ascii="Arial Unicode MS" w:hAnsi="Arial Unicode MS" w:hint="eastAsia"/>
          <w:b/>
          <w:bCs/>
          <w:szCs w:val="21"/>
        </w:rPr>
        <w:t>七、实施侧袋机制期间的收益分配</w:t>
      </w:r>
      <w:r>
        <w:rPr>
          <w:rFonts w:ascii="Arial Unicode MS" w:hAnsi="Arial Unicode MS"/>
          <w:b/>
          <w:bCs/>
          <w:szCs w:val="21"/>
        </w:rPr>
        <w:t xml:space="preserve"> </w:t>
      </w:r>
    </w:p>
    <w:p w14:paraId="48D268D2" w14:textId="77777777" w:rsidR="00A6605D" w:rsidRDefault="00413D7E">
      <w:pPr>
        <w:spacing w:line="360" w:lineRule="auto"/>
        <w:ind w:right="420" w:firstLineChars="200" w:firstLine="420"/>
        <w:rPr>
          <w:rFonts w:ascii="Arial Unicode MS" w:hAnsi="Arial Unicode MS"/>
          <w:bCs/>
          <w:szCs w:val="21"/>
        </w:rPr>
      </w:pPr>
      <w:r>
        <w:rPr>
          <w:rFonts w:ascii="Arial Unicode MS" w:hAnsi="Arial Unicode MS" w:hint="eastAsia"/>
          <w:bCs/>
          <w:szCs w:val="21"/>
        </w:rPr>
        <w:t>本基金实施侧袋机制的，侧袋账户不进行收益分配，详见招募说明书的规定。</w:t>
      </w:r>
    </w:p>
    <w:p w14:paraId="4B0C0EE3" w14:textId="77777777" w:rsidR="00A6605D" w:rsidRDefault="00A6605D">
      <w:pPr>
        <w:snapToGrid w:val="0"/>
        <w:spacing w:line="360" w:lineRule="auto"/>
        <w:ind w:firstLineChars="200" w:firstLine="420"/>
        <w:rPr>
          <w:rFonts w:ascii="Arial Unicode MS" w:hAnsi="Arial Unicode MS"/>
          <w:bCs/>
          <w:szCs w:val="21"/>
        </w:rPr>
        <w:sectPr w:rsidR="00A6605D">
          <w:pgSz w:w="11906" w:h="16838"/>
          <w:pgMar w:top="1440" w:right="1800" w:bottom="1440" w:left="1800" w:header="851" w:footer="992" w:gutter="0"/>
          <w:cols w:space="720"/>
          <w:titlePg/>
          <w:docGrid w:linePitch="312"/>
        </w:sectPr>
      </w:pPr>
    </w:p>
    <w:p w14:paraId="28A40910" w14:textId="77777777" w:rsidR="00A6605D" w:rsidRDefault="00413D7E">
      <w:pPr>
        <w:pStyle w:val="11"/>
        <w:snapToGrid w:val="0"/>
        <w:spacing w:before="0" w:after="0" w:line="360" w:lineRule="auto"/>
        <w:rPr>
          <w:rFonts w:ascii="Arial Unicode MS" w:eastAsia="宋体" w:hAnsi="Arial Unicode MS" w:cs="Arial"/>
          <w:b/>
          <w:bCs/>
          <w:sz w:val="28"/>
          <w:szCs w:val="28"/>
        </w:rPr>
      </w:pPr>
      <w:bookmarkStart w:id="90" w:name="_Toc63676448"/>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基金费用与税收</w:t>
      </w:r>
      <w:bookmarkEnd w:id="82"/>
      <w:bookmarkEnd w:id="83"/>
      <w:bookmarkEnd w:id="84"/>
      <w:bookmarkEnd w:id="85"/>
      <w:bookmarkEnd w:id="86"/>
      <w:bookmarkEnd w:id="87"/>
      <w:bookmarkEnd w:id="88"/>
      <w:bookmarkEnd w:id="89"/>
      <w:bookmarkEnd w:id="90"/>
    </w:p>
    <w:p w14:paraId="37FC622F" w14:textId="77777777" w:rsidR="00A6605D" w:rsidRDefault="00A6605D"/>
    <w:p w14:paraId="684F87D4"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一、基金费用的种类</w:t>
      </w:r>
    </w:p>
    <w:p w14:paraId="4E1AB94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、基金管理人的管理费；</w:t>
      </w:r>
    </w:p>
    <w:p w14:paraId="72432D96"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、基金托管人的托管费；</w:t>
      </w:r>
    </w:p>
    <w:p w14:paraId="1638CE4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、《基金合同》生效后与基金相关的信息披露费用；</w:t>
      </w:r>
    </w:p>
    <w:p w14:paraId="1C4F2EB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、《基金合同》生效后与基金相关的会计师费、律师费、诉讼费和仲裁费；</w:t>
      </w:r>
    </w:p>
    <w:p w14:paraId="24C04560"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、基金份额持有人大会费用；</w:t>
      </w:r>
    </w:p>
    <w:p w14:paraId="7F32495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、基金的证券交易费用；</w:t>
      </w:r>
    </w:p>
    <w:p w14:paraId="47357EA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、基金的银行汇划费用；</w:t>
      </w:r>
    </w:p>
    <w:p w14:paraId="6A48AEE6"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8</w:t>
      </w:r>
      <w:r>
        <w:rPr>
          <w:rFonts w:ascii="Arial Unicode MS" w:hAnsi="Arial Unicode MS" w:hint="eastAsia"/>
          <w:bCs/>
          <w:szCs w:val="21"/>
        </w:rPr>
        <w:t>、基金的开户费用、账户维护费用；</w:t>
      </w:r>
    </w:p>
    <w:p w14:paraId="016A8C6B"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9</w:t>
      </w:r>
      <w:r>
        <w:rPr>
          <w:rFonts w:ascii="Arial Unicode MS" w:hAnsi="Arial Unicode MS" w:hint="eastAsia"/>
          <w:bCs/>
          <w:szCs w:val="21"/>
        </w:rPr>
        <w:t>、按照国家有关规定和《基金合同》约定，可以在基金财产中列支的其他费用。</w:t>
      </w:r>
    </w:p>
    <w:p w14:paraId="6F9996B2"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二、基金费用计提方法、计提标准和支付方式</w:t>
      </w:r>
    </w:p>
    <w:p w14:paraId="723722D9"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、基金管理人的管理费</w:t>
      </w:r>
    </w:p>
    <w:p w14:paraId="4840D1B2"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本基金的管理费按前一日基金资产净值的</w:t>
      </w:r>
      <w:r>
        <w:rPr>
          <w:rFonts w:ascii="Arial Unicode MS" w:hAnsi="Arial Unicode MS" w:hint="eastAsia"/>
          <w:bCs/>
          <w:szCs w:val="21"/>
        </w:rPr>
        <w:t>0.</w:t>
      </w:r>
      <w:r>
        <w:rPr>
          <w:rFonts w:ascii="Arial Unicode MS" w:hAnsi="Arial Unicode MS"/>
          <w:bCs/>
          <w:szCs w:val="21"/>
        </w:rPr>
        <w:t>3</w:t>
      </w:r>
      <w:r>
        <w:rPr>
          <w:rFonts w:ascii="Arial Unicode MS" w:hAnsi="Arial Unicode MS" w:hint="eastAsia"/>
          <w:bCs/>
          <w:szCs w:val="21"/>
        </w:rPr>
        <w:t>0%</w:t>
      </w:r>
      <w:r>
        <w:rPr>
          <w:rFonts w:ascii="Arial Unicode MS" w:hAnsi="Arial Unicode MS" w:hint="eastAsia"/>
          <w:bCs/>
          <w:szCs w:val="21"/>
        </w:rPr>
        <w:t>年费率计提。管理费的计算方法如下：</w:t>
      </w:r>
    </w:p>
    <w:p w14:paraId="79B98508"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w:t>
      </w:r>
      <w:r>
        <w:rPr>
          <w:rFonts w:ascii="Arial Unicode MS" w:hAnsi="Arial Unicode MS" w:hint="eastAsia"/>
          <w:bCs/>
          <w:szCs w:val="21"/>
        </w:rPr>
        <w:t>E</w:t>
      </w:r>
      <w:r>
        <w:rPr>
          <w:rFonts w:ascii="Arial Unicode MS" w:hAnsi="Arial Unicode MS" w:hint="eastAsia"/>
          <w:bCs/>
          <w:szCs w:val="21"/>
        </w:rPr>
        <w:t>×</w:t>
      </w:r>
      <w:r>
        <w:rPr>
          <w:rFonts w:ascii="Arial Unicode MS" w:hAnsi="Arial Unicode MS" w:hint="eastAsia"/>
          <w:bCs/>
          <w:szCs w:val="21"/>
        </w:rPr>
        <w:t>0.</w:t>
      </w:r>
      <w:r>
        <w:rPr>
          <w:rFonts w:ascii="Arial Unicode MS" w:hAnsi="Arial Unicode MS"/>
          <w:bCs/>
          <w:szCs w:val="21"/>
        </w:rPr>
        <w:t>3</w:t>
      </w:r>
      <w:r>
        <w:rPr>
          <w:rFonts w:ascii="Arial Unicode MS" w:hAnsi="Arial Unicode MS" w:hint="eastAsia"/>
          <w:bCs/>
          <w:szCs w:val="21"/>
        </w:rPr>
        <w:t>0%</w:t>
      </w:r>
      <w:r>
        <w:rPr>
          <w:rFonts w:ascii="Arial Unicode MS" w:hAnsi="Arial Unicode MS" w:hint="eastAsia"/>
          <w:bCs/>
          <w:szCs w:val="21"/>
        </w:rPr>
        <w:t>÷当年天数</w:t>
      </w:r>
    </w:p>
    <w:p w14:paraId="5D318F45"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为每日应计提的基金管理费</w:t>
      </w:r>
    </w:p>
    <w:p w14:paraId="51524493"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E</w:t>
      </w:r>
      <w:r>
        <w:rPr>
          <w:rFonts w:ascii="Arial Unicode MS" w:hAnsi="Arial Unicode MS" w:hint="eastAsia"/>
          <w:bCs/>
          <w:szCs w:val="21"/>
        </w:rPr>
        <w:t>为前一日的基金资产净值</w:t>
      </w:r>
    </w:p>
    <w:p w14:paraId="5C1D9491"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基金管理费每日计算，逐日累计至每月月末，按月支付，由基金托管人根据与基金管理人核对一致的财务数据，自动在月初</w:t>
      </w:r>
      <w:r>
        <w:rPr>
          <w:rFonts w:ascii="Arial Unicode MS" w:hAnsi="Arial Unicode MS" w:hint="eastAsia"/>
          <w:bCs/>
          <w:szCs w:val="21"/>
        </w:rPr>
        <w:t>5</w:t>
      </w:r>
      <w:r>
        <w:rPr>
          <w:rFonts w:ascii="Arial Unicode MS" w:hAnsi="Arial Unicode MS" w:hint="eastAsia"/>
          <w:bCs/>
          <w:szCs w:val="21"/>
        </w:rPr>
        <w:t>个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75D95E5B"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、基金托管人的托管费</w:t>
      </w:r>
    </w:p>
    <w:p w14:paraId="2F05C78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本基金的托管费按前一日基金资产净值的</w:t>
      </w:r>
      <w:r>
        <w:rPr>
          <w:rFonts w:ascii="Arial Unicode MS" w:hAnsi="Arial Unicode MS" w:hint="eastAsia"/>
          <w:bCs/>
          <w:szCs w:val="21"/>
        </w:rPr>
        <w:t>0.10%</w:t>
      </w:r>
      <w:r>
        <w:rPr>
          <w:rFonts w:ascii="Arial Unicode MS" w:hAnsi="Arial Unicode MS" w:hint="eastAsia"/>
          <w:bCs/>
          <w:szCs w:val="21"/>
        </w:rPr>
        <w:t>的年费率计提。托管费的计算方法如下：</w:t>
      </w:r>
    </w:p>
    <w:p w14:paraId="0BC4C3F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w:t>
      </w:r>
      <w:r>
        <w:rPr>
          <w:rFonts w:ascii="Arial Unicode MS" w:hAnsi="Arial Unicode MS" w:hint="eastAsia"/>
          <w:bCs/>
          <w:szCs w:val="21"/>
        </w:rPr>
        <w:t>E</w:t>
      </w:r>
      <w:r>
        <w:rPr>
          <w:rFonts w:ascii="Arial Unicode MS" w:hAnsi="Arial Unicode MS" w:hint="eastAsia"/>
          <w:bCs/>
          <w:szCs w:val="21"/>
        </w:rPr>
        <w:t>×</w:t>
      </w:r>
      <w:r>
        <w:rPr>
          <w:rFonts w:ascii="Arial Unicode MS" w:hAnsi="Arial Unicode MS" w:hint="eastAsia"/>
          <w:bCs/>
          <w:szCs w:val="21"/>
        </w:rPr>
        <w:t>0.10%</w:t>
      </w:r>
      <w:r>
        <w:rPr>
          <w:rFonts w:ascii="Arial Unicode MS" w:hAnsi="Arial Unicode MS" w:hint="eastAsia"/>
          <w:bCs/>
          <w:szCs w:val="21"/>
        </w:rPr>
        <w:t>÷当年天数</w:t>
      </w:r>
    </w:p>
    <w:p w14:paraId="169F85FF"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为每日应计提的基金托管费</w:t>
      </w:r>
    </w:p>
    <w:p w14:paraId="00E44D40"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E</w:t>
      </w:r>
      <w:r>
        <w:rPr>
          <w:rFonts w:ascii="Arial Unicode MS" w:hAnsi="Arial Unicode MS" w:hint="eastAsia"/>
          <w:bCs/>
          <w:szCs w:val="21"/>
        </w:rPr>
        <w:t>为前一日的基金资产净值</w:t>
      </w:r>
    </w:p>
    <w:p w14:paraId="517439E9"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基金托管费每日计算，逐日累计至每月月末，按月支付，由基金托管人根据与基金管理人核对一致的财务数据，自动在月初</w:t>
      </w:r>
      <w:r>
        <w:rPr>
          <w:rFonts w:ascii="Arial Unicode MS" w:hAnsi="Arial Unicode MS" w:hint="eastAsia"/>
          <w:bCs/>
          <w:szCs w:val="21"/>
        </w:rPr>
        <w:t>5</w:t>
      </w:r>
      <w:r>
        <w:rPr>
          <w:rFonts w:ascii="Arial Unicode MS" w:hAnsi="Arial Unicode MS" w:hint="eastAsia"/>
          <w:bCs/>
          <w:szCs w:val="21"/>
        </w:rPr>
        <w:t>个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72DE792F"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上述“一、基金费用的种类中第</w:t>
      </w:r>
      <w:r>
        <w:rPr>
          <w:rFonts w:ascii="Arial Unicode MS" w:hAnsi="Arial Unicode MS" w:hint="eastAsia"/>
          <w:bCs/>
          <w:szCs w:val="21"/>
        </w:rPr>
        <w:t>3</w:t>
      </w: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项费用”，根据有关法规及相应协议规定，按费用实际支出金额列入当期费用，由基金托管人从基金财产中支付。</w:t>
      </w:r>
    </w:p>
    <w:p w14:paraId="5BDBE7B3"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三、不列入基金费用的项目</w:t>
      </w:r>
    </w:p>
    <w:p w14:paraId="1E549FF6"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下列费用不列入基金费用：</w:t>
      </w:r>
    </w:p>
    <w:p w14:paraId="2F89635B"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、基金管理人和基金托管人因未履行或未完全履行义务导致的费用支出或基金财产的损失；</w:t>
      </w:r>
    </w:p>
    <w:p w14:paraId="44B55C5F"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、基金管理人和基金托管人处理与基金运作无关的事项发生的费用；</w:t>
      </w:r>
    </w:p>
    <w:p w14:paraId="7CA578D5"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、《基金合同》生效前的相关费用；</w:t>
      </w:r>
    </w:p>
    <w:p w14:paraId="731978C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、其他根据相关法律法规及中国证监会的有关规定不得列入基金费用的项目。</w:t>
      </w:r>
    </w:p>
    <w:p w14:paraId="333BCF80"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四、实施侧袋机制期间的基金费用</w:t>
      </w:r>
    </w:p>
    <w:p w14:paraId="18942D8E"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本基金实施侧袋机制的，与侧袋账户有关的费用可以从侧袋账户中列支，但应待侧袋账户资产变现后方可列支。侧袋账户资产不收取管理费，其他费用详见招募说明书“侧袋机制”部分的规定。</w:t>
      </w:r>
    </w:p>
    <w:p w14:paraId="07A46214"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五</w:t>
      </w:r>
      <w:r>
        <w:rPr>
          <w:rFonts w:ascii="Arial Unicode MS" w:hAnsi="Arial Unicode MS"/>
          <w:b/>
          <w:bCs/>
          <w:szCs w:val="21"/>
        </w:rPr>
        <w:t>、基金税收</w:t>
      </w:r>
    </w:p>
    <w:p w14:paraId="4853434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本基金运作过程中涉及的各纳税主体，其纳税义务按国家税收法律、法规执行。</w:t>
      </w:r>
      <w:r>
        <w:rPr>
          <w:rFonts w:ascii="Arial Unicode MS" w:hAnsi="Arial Unicode MS" w:hint="eastAsia"/>
          <w:bCs/>
          <w:szCs w:val="21"/>
        </w:rPr>
        <w:t>基金财产投资的相关税收，由基金份额持有人承担，基金管理人或者其他扣缴义务人按照国家有关税收征收的规定代扣代缴。</w:t>
      </w:r>
    </w:p>
    <w:p w14:paraId="3D49B6FE" w14:textId="77777777" w:rsidR="00A6605D" w:rsidRDefault="00A6605D">
      <w:pPr>
        <w:spacing w:line="360" w:lineRule="auto"/>
        <w:ind w:firstLineChars="200" w:firstLine="420"/>
        <w:rPr>
          <w:rFonts w:ascii="Arial Unicode MS" w:hAnsi="Arial Unicode MS"/>
          <w:bCs/>
          <w:szCs w:val="21"/>
        </w:rPr>
      </w:pPr>
    </w:p>
    <w:p w14:paraId="4FFDF5D4" w14:textId="77777777" w:rsidR="00A6605D" w:rsidRDefault="00A6605D">
      <w:pPr>
        <w:spacing w:line="360" w:lineRule="auto"/>
        <w:ind w:firstLineChars="200" w:firstLine="420"/>
        <w:rPr>
          <w:rFonts w:ascii="Arial Unicode MS" w:hAnsi="Arial Unicode MS"/>
          <w:bCs/>
          <w:szCs w:val="21"/>
        </w:rPr>
      </w:pPr>
    </w:p>
    <w:p w14:paraId="5CCCB1C3" w14:textId="77777777" w:rsidR="00A6605D" w:rsidRDefault="00A6605D">
      <w:pPr>
        <w:spacing w:line="360" w:lineRule="auto"/>
        <w:ind w:firstLineChars="200" w:firstLine="420"/>
        <w:rPr>
          <w:rFonts w:ascii="Arial Unicode MS" w:hAnsi="Arial Unicode MS"/>
          <w:bCs/>
          <w:szCs w:val="21"/>
        </w:rPr>
      </w:pPr>
    </w:p>
    <w:p w14:paraId="33CC6753" w14:textId="77777777" w:rsidR="00A6605D" w:rsidRDefault="00A6605D">
      <w:pPr>
        <w:spacing w:line="360" w:lineRule="auto"/>
        <w:ind w:firstLineChars="200" w:firstLine="420"/>
        <w:rPr>
          <w:rFonts w:ascii="Arial Unicode MS" w:hAnsi="Arial Unicode MS"/>
          <w:bCs/>
          <w:szCs w:val="21"/>
        </w:rPr>
      </w:pPr>
    </w:p>
    <w:p w14:paraId="43A49AB1" w14:textId="77777777" w:rsidR="00A6605D" w:rsidRDefault="00A6605D">
      <w:pPr>
        <w:spacing w:line="360" w:lineRule="auto"/>
        <w:ind w:firstLineChars="200" w:firstLine="420"/>
        <w:rPr>
          <w:rFonts w:ascii="Arial Unicode MS" w:hAnsi="Arial Unicode MS"/>
          <w:bCs/>
          <w:szCs w:val="21"/>
        </w:rPr>
      </w:pPr>
    </w:p>
    <w:p w14:paraId="1CCF5357" w14:textId="77777777" w:rsidR="00A6605D" w:rsidRDefault="00A6605D">
      <w:pPr>
        <w:spacing w:line="360" w:lineRule="auto"/>
        <w:ind w:firstLineChars="200" w:firstLine="420"/>
        <w:rPr>
          <w:rFonts w:ascii="Arial Unicode MS" w:hAnsi="Arial Unicode MS"/>
          <w:bCs/>
          <w:szCs w:val="21"/>
        </w:rPr>
      </w:pPr>
    </w:p>
    <w:p w14:paraId="58BCFEAE" w14:textId="77777777" w:rsidR="00A6605D" w:rsidRDefault="00A6605D">
      <w:pPr>
        <w:spacing w:line="360" w:lineRule="auto"/>
        <w:ind w:firstLineChars="200" w:firstLine="420"/>
        <w:rPr>
          <w:rFonts w:ascii="Arial Unicode MS" w:hAnsi="Arial Unicode MS"/>
          <w:bCs/>
          <w:szCs w:val="21"/>
        </w:rPr>
      </w:pPr>
    </w:p>
    <w:p w14:paraId="65833D63" w14:textId="77777777" w:rsidR="00A6605D" w:rsidRDefault="00A6605D">
      <w:pPr>
        <w:spacing w:line="360" w:lineRule="auto"/>
        <w:ind w:firstLineChars="200" w:firstLine="420"/>
        <w:rPr>
          <w:rFonts w:ascii="Arial Unicode MS" w:hAnsi="Arial Unicode MS"/>
          <w:bCs/>
          <w:szCs w:val="21"/>
        </w:rPr>
      </w:pPr>
    </w:p>
    <w:p w14:paraId="76D6F98B" w14:textId="77777777" w:rsidR="00A6605D" w:rsidRDefault="00413D7E">
      <w:pPr>
        <w:pStyle w:val="11"/>
        <w:snapToGrid w:val="0"/>
        <w:spacing w:before="0" w:after="0" w:line="360" w:lineRule="auto"/>
        <w:ind w:firstLine="422"/>
        <w:rPr>
          <w:rFonts w:ascii="Arial Unicode MS" w:eastAsia="宋体" w:hAnsi="Arial Unicode MS" w:cs="Arial"/>
          <w:b/>
          <w:bCs/>
          <w:sz w:val="28"/>
          <w:szCs w:val="28"/>
        </w:rPr>
      </w:pPr>
      <w:bookmarkStart w:id="91" w:name="_Hlt88827255"/>
      <w:bookmarkStart w:id="92" w:name="_Toc335232702"/>
      <w:bookmarkStart w:id="93" w:name="_Toc317088151"/>
      <w:bookmarkStart w:id="94" w:name="_Toc320887653"/>
      <w:bookmarkStart w:id="95" w:name="_Toc63676449"/>
      <w:bookmarkStart w:id="96" w:name="_Toc214873603"/>
      <w:bookmarkStart w:id="97" w:name="_Toc317088548"/>
      <w:bookmarkEnd w:id="91"/>
      <w:r>
        <w:rPr>
          <w:rFonts w:ascii="Arial Unicode MS" w:eastAsia="宋体" w:hAnsi="Arial Unicode MS" w:cs="Arial"/>
          <w:b/>
          <w:bCs/>
          <w:sz w:val="28"/>
          <w:szCs w:val="28"/>
        </w:rPr>
        <w:t>第十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基金的会计与审计</w:t>
      </w:r>
      <w:bookmarkEnd w:id="92"/>
      <w:bookmarkEnd w:id="93"/>
      <w:bookmarkEnd w:id="94"/>
      <w:bookmarkEnd w:id="95"/>
      <w:bookmarkEnd w:id="96"/>
      <w:bookmarkEnd w:id="97"/>
    </w:p>
    <w:p w14:paraId="30304FFE" w14:textId="77777777" w:rsidR="00A6605D" w:rsidRDefault="00A6605D"/>
    <w:p w14:paraId="48799EE9" w14:textId="77777777" w:rsidR="00A6605D" w:rsidRDefault="00413D7E">
      <w:pPr>
        <w:spacing w:line="360" w:lineRule="auto"/>
        <w:ind w:firstLineChars="200" w:firstLine="422"/>
        <w:rPr>
          <w:rFonts w:ascii="Arial Unicode MS" w:hAnsi="Arial Unicode MS"/>
          <w:b/>
          <w:bCs/>
          <w:szCs w:val="21"/>
        </w:rPr>
      </w:pPr>
      <w:bookmarkStart w:id="98" w:name="_Toc79978642"/>
      <w:bookmarkStart w:id="99" w:name="_Toc214873604"/>
      <w:r>
        <w:rPr>
          <w:rFonts w:ascii="Arial Unicode MS" w:hAnsi="Arial Unicode MS"/>
          <w:b/>
          <w:bCs/>
          <w:szCs w:val="21"/>
        </w:rPr>
        <w:t>一、基金会计政策</w:t>
      </w:r>
    </w:p>
    <w:p w14:paraId="7CD2301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1</w:t>
      </w:r>
      <w:r>
        <w:rPr>
          <w:rFonts w:ascii="Arial Unicode MS" w:hAnsi="Arial Unicode MS"/>
          <w:bCs/>
          <w:szCs w:val="21"/>
        </w:rPr>
        <w:t>、基金管理人为本基金的基金会计责任方；</w:t>
      </w:r>
    </w:p>
    <w:p w14:paraId="268C3F05"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2</w:t>
      </w:r>
      <w:r>
        <w:rPr>
          <w:rFonts w:ascii="Arial Unicode MS" w:hAnsi="Arial Unicode MS"/>
          <w:bCs/>
          <w:szCs w:val="21"/>
        </w:rPr>
        <w:t>、基金的会计年度为公历年度的</w:t>
      </w:r>
      <w:r>
        <w:rPr>
          <w:rFonts w:ascii="Arial Unicode MS" w:hAnsi="Arial Unicode MS"/>
          <w:bCs/>
          <w:szCs w:val="21"/>
        </w:rPr>
        <w:t>1</w:t>
      </w:r>
      <w:r>
        <w:rPr>
          <w:rFonts w:ascii="Arial Unicode MS" w:hAnsi="Arial Unicode MS"/>
          <w:bCs/>
          <w:szCs w:val="21"/>
        </w:rPr>
        <w:t>月</w:t>
      </w:r>
      <w:r>
        <w:rPr>
          <w:rFonts w:ascii="Arial Unicode MS" w:hAnsi="Arial Unicode MS"/>
          <w:bCs/>
          <w:szCs w:val="21"/>
        </w:rPr>
        <w:t>1</w:t>
      </w:r>
      <w:r>
        <w:rPr>
          <w:rFonts w:ascii="Arial Unicode MS" w:hAnsi="Arial Unicode MS"/>
          <w:bCs/>
          <w:szCs w:val="21"/>
        </w:rPr>
        <w:t>日至</w:t>
      </w:r>
      <w:r>
        <w:rPr>
          <w:rFonts w:ascii="Arial Unicode MS" w:hAnsi="Arial Unicode MS"/>
          <w:bCs/>
          <w:szCs w:val="21"/>
        </w:rPr>
        <w:t>12</w:t>
      </w:r>
      <w:r>
        <w:rPr>
          <w:rFonts w:ascii="Arial Unicode MS" w:hAnsi="Arial Unicode MS"/>
          <w:bCs/>
          <w:szCs w:val="21"/>
        </w:rPr>
        <w:t>月</w:t>
      </w:r>
      <w:r>
        <w:rPr>
          <w:rFonts w:ascii="Arial Unicode MS" w:hAnsi="Arial Unicode MS"/>
          <w:bCs/>
          <w:szCs w:val="21"/>
        </w:rPr>
        <w:t>31</w:t>
      </w:r>
      <w:r>
        <w:rPr>
          <w:rFonts w:ascii="Arial Unicode MS" w:hAnsi="Arial Unicode MS"/>
          <w:bCs/>
          <w:szCs w:val="21"/>
        </w:rPr>
        <w:t>日；基金首次募集的会计年度按如下原则：如果《基金合同》生效少于</w:t>
      </w:r>
      <w:r>
        <w:rPr>
          <w:rFonts w:ascii="Arial Unicode MS" w:hAnsi="Arial Unicode MS"/>
          <w:bCs/>
          <w:szCs w:val="21"/>
        </w:rPr>
        <w:t>2</w:t>
      </w:r>
      <w:r>
        <w:rPr>
          <w:rFonts w:ascii="Arial Unicode MS" w:hAnsi="Arial Unicode MS"/>
          <w:bCs/>
          <w:szCs w:val="21"/>
        </w:rPr>
        <w:t>个月，可以并入下一个会计年度</w:t>
      </w:r>
      <w:r>
        <w:rPr>
          <w:rFonts w:ascii="Arial Unicode MS" w:hAnsi="Arial Unicode MS" w:hint="eastAsia"/>
          <w:bCs/>
          <w:szCs w:val="21"/>
        </w:rPr>
        <w:t>披露</w:t>
      </w:r>
      <w:r>
        <w:rPr>
          <w:rFonts w:ascii="Arial Unicode MS" w:hAnsi="Arial Unicode MS"/>
          <w:bCs/>
          <w:szCs w:val="21"/>
        </w:rPr>
        <w:t>；</w:t>
      </w:r>
    </w:p>
    <w:p w14:paraId="6D5A7A1B"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3</w:t>
      </w:r>
      <w:r>
        <w:rPr>
          <w:rFonts w:ascii="Arial Unicode MS" w:hAnsi="Arial Unicode MS"/>
          <w:bCs/>
          <w:szCs w:val="21"/>
        </w:rPr>
        <w:t>、基金核算以人民币为记账本位币，以人民币元为记账单位；</w:t>
      </w:r>
    </w:p>
    <w:p w14:paraId="430B4F1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4</w:t>
      </w:r>
      <w:r>
        <w:rPr>
          <w:rFonts w:ascii="Arial Unicode MS" w:hAnsi="Arial Unicode MS"/>
          <w:bCs/>
          <w:szCs w:val="21"/>
        </w:rPr>
        <w:t>、会计制度执行国家有关会计制度；</w:t>
      </w:r>
    </w:p>
    <w:p w14:paraId="23E66480"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5</w:t>
      </w:r>
      <w:r>
        <w:rPr>
          <w:rFonts w:ascii="Arial Unicode MS" w:hAnsi="Arial Unicode MS"/>
          <w:bCs/>
          <w:szCs w:val="21"/>
        </w:rPr>
        <w:t>、本基金独立建账、独立核算；</w:t>
      </w:r>
    </w:p>
    <w:p w14:paraId="58AA43FC"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6</w:t>
      </w:r>
      <w:r>
        <w:rPr>
          <w:rFonts w:ascii="Arial Unicode MS" w:hAnsi="Arial Unicode MS"/>
          <w:bCs/>
          <w:szCs w:val="21"/>
        </w:rPr>
        <w:t>、基金管理人及基金托管人各自保留完整的会计账目、凭证并进行日常的会计核算，按照有关规定编制基金会计报表；</w:t>
      </w:r>
    </w:p>
    <w:p w14:paraId="16FF1150"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7</w:t>
      </w:r>
      <w:r>
        <w:rPr>
          <w:rFonts w:ascii="Arial Unicode MS" w:hAnsi="Arial Unicode MS"/>
          <w:bCs/>
          <w:szCs w:val="21"/>
        </w:rPr>
        <w:t>、基金托管人每月与基金管理人就基金的会计核算、报表编制等进行核对并以书面方式确认。</w:t>
      </w:r>
    </w:p>
    <w:p w14:paraId="5247D9B7"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二、基金的年度审计</w:t>
      </w:r>
    </w:p>
    <w:p w14:paraId="29782F6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1</w:t>
      </w:r>
      <w:r>
        <w:rPr>
          <w:rFonts w:ascii="Arial Unicode MS" w:hAnsi="Arial Unicode MS"/>
          <w:bCs/>
          <w:szCs w:val="21"/>
        </w:rPr>
        <w:t>、基金管理人聘请与基金管理人、基金托管人相互独立的</w:t>
      </w:r>
      <w:r>
        <w:rPr>
          <w:rFonts w:ascii="Arial Unicode MS" w:hAnsi="Arial Unicode MS" w:hint="eastAsia"/>
          <w:bCs/>
          <w:szCs w:val="21"/>
        </w:rPr>
        <w:t>符合《中华人民共和国证券法》规定</w:t>
      </w:r>
      <w:r>
        <w:rPr>
          <w:rFonts w:ascii="Arial Unicode MS" w:hAnsi="Arial Unicode MS"/>
          <w:bCs/>
          <w:szCs w:val="21"/>
        </w:rPr>
        <w:t>的会计师事务所及其注册会计师对本基金的年度财务报表进行审计。</w:t>
      </w:r>
    </w:p>
    <w:p w14:paraId="02BF47CE"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2</w:t>
      </w:r>
      <w:r>
        <w:rPr>
          <w:rFonts w:ascii="Arial Unicode MS" w:hAnsi="Arial Unicode MS"/>
          <w:bCs/>
          <w:szCs w:val="21"/>
        </w:rPr>
        <w:t>、会计师事务所更换经办注册会计师，应事先征得基金管理人同意。</w:t>
      </w:r>
    </w:p>
    <w:p w14:paraId="7F3264F3"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3</w:t>
      </w:r>
      <w:r>
        <w:rPr>
          <w:rFonts w:ascii="Arial Unicode MS" w:hAnsi="Arial Unicode MS"/>
          <w:bCs/>
          <w:szCs w:val="21"/>
        </w:rPr>
        <w:t>、</w:t>
      </w:r>
      <w:bookmarkStart w:id="100" w:name="_Hlt4221115"/>
      <w:bookmarkEnd w:id="100"/>
      <w:r>
        <w:rPr>
          <w:rFonts w:ascii="Arial Unicode MS" w:hAnsi="Arial Unicode MS"/>
          <w:bCs/>
          <w:szCs w:val="21"/>
        </w:rPr>
        <w:t>基金管理人认为有充足理由更换会计师事务所，须通报基金托管人。更换会计师事务所需在</w:t>
      </w:r>
      <w:r>
        <w:rPr>
          <w:rFonts w:ascii="Arial Unicode MS" w:hAnsi="Arial Unicode MS"/>
          <w:bCs/>
          <w:szCs w:val="21"/>
        </w:rPr>
        <w:t>2</w:t>
      </w:r>
      <w:r>
        <w:rPr>
          <w:rFonts w:ascii="Arial Unicode MS" w:hAnsi="Arial Unicode MS"/>
          <w:bCs/>
          <w:szCs w:val="21"/>
        </w:rPr>
        <w:t>日内在</w:t>
      </w:r>
      <w:r>
        <w:rPr>
          <w:rFonts w:ascii="Arial Unicode MS" w:hAnsi="Arial Unicode MS" w:hint="eastAsia"/>
          <w:bCs/>
          <w:szCs w:val="21"/>
        </w:rPr>
        <w:t>规定媒介</w:t>
      </w:r>
      <w:r>
        <w:rPr>
          <w:rFonts w:ascii="Arial Unicode MS" w:hAnsi="Arial Unicode MS"/>
          <w:bCs/>
          <w:szCs w:val="21"/>
        </w:rPr>
        <w:t>公告。</w:t>
      </w:r>
    </w:p>
    <w:p w14:paraId="4B57CA8C" w14:textId="77777777" w:rsidR="00A6605D" w:rsidRDefault="00A6605D">
      <w:pPr>
        <w:spacing w:line="360" w:lineRule="auto"/>
        <w:ind w:firstLineChars="200" w:firstLine="420"/>
        <w:rPr>
          <w:rFonts w:ascii="Arial Unicode MS" w:hAnsi="Arial Unicode MS"/>
          <w:bCs/>
          <w:szCs w:val="21"/>
        </w:rPr>
      </w:pPr>
    </w:p>
    <w:p w14:paraId="0202289E" w14:textId="77777777" w:rsidR="00A6605D" w:rsidRDefault="00A6605D">
      <w:pPr>
        <w:spacing w:line="360" w:lineRule="auto"/>
        <w:ind w:firstLineChars="200" w:firstLine="420"/>
        <w:rPr>
          <w:rFonts w:ascii="Arial Unicode MS" w:hAnsi="Arial Unicode MS"/>
          <w:bCs/>
          <w:szCs w:val="21"/>
        </w:rPr>
      </w:pPr>
    </w:p>
    <w:p w14:paraId="27DCDB04" w14:textId="77777777" w:rsidR="00A6605D" w:rsidRDefault="00A6605D">
      <w:pPr>
        <w:spacing w:line="360" w:lineRule="auto"/>
        <w:ind w:firstLineChars="200" w:firstLine="420"/>
        <w:rPr>
          <w:rFonts w:ascii="Arial Unicode MS" w:hAnsi="Arial Unicode MS"/>
          <w:bCs/>
          <w:szCs w:val="21"/>
        </w:rPr>
      </w:pPr>
    </w:p>
    <w:p w14:paraId="5ECAE2F9" w14:textId="77777777" w:rsidR="00A6605D" w:rsidRDefault="00A6605D">
      <w:pPr>
        <w:spacing w:line="360" w:lineRule="auto"/>
        <w:ind w:firstLineChars="200" w:firstLine="420"/>
        <w:rPr>
          <w:rFonts w:ascii="Arial Unicode MS" w:hAnsi="Arial Unicode MS"/>
          <w:bCs/>
          <w:szCs w:val="21"/>
        </w:rPr>
      </w:pPr>
    </w:p>
    <w:p w14:paraId="287255FB" w14:textId="77777777" w:rsidR="00A6605D" w:rsidRDefault="00A6605D">
      <w:pPr>
        <w:spacing w:line="360" w:lineRule="auto"/>
        <w:ind w:firstLineChars="200" w:firstLine="420"/>
        <w:rPr>
          <w:rFonts w:ascii="Arial Unicode MS" w:hAnsi="Arial Unicode MS"/>
          <w:bCs/>
          <w:szCs w:val="21"/>
        </w:rPr>
      </w:pPr>
    </w:p>
    <w:p w14:paraId="45594AC3" w14:textId="77777777" w:rsidR="00A6605D" w:rsidRDefault="00413D7E">
      <w:pPr>
        <w:widowControl/>
        <w:jc w:val="left"/>
        <w:rPr>
          <w:rFonts w:ascii="Arial Unicode MS" w:hAnsi="Arial Unicode MS"/>
          <w:bCs/>
          <w:szCs w:val="21"/>
        </w:rPr>
      </w:pPr>
      <w:r>
        <w:rPr>
          <w:rFonts w:ascii="Arial Unicode MS" w:hAnsi="Arial Unicode MS"/>
          <w:bCs/>
          <w:szCs w:val="21"/>
        </w:rPr>
        <w:br w:type="page"/>
      </w:r>
    </w:p>
    <w:p w14:paraId="0D95E6BF" w14:textId="77777777" w:rsidR="00A6605D" w:rsidRDefault="00413D7E">
      <w:pPr>
        <w:pStyle w:val="11"/>
        <w:snapToGrid w:val="0"/>
        <w:spacing w:before="0" w:after="0" w:line="360" w:lineRule="auto"/>
        <w:rPr>
          <w:rFonts w:ascii="Arial Unicode MS" w:eastAsia="宋体" w:hAnsi="Arial Unicode MS"/>
          <w:b/>
          <w:sz w:val="28"/>
          <w:szCs w:val="28"/>
        </w:rPr>
      </w:pPr>
      <w:bookmarkStart w:id="101" w:name="_Toc63676450"/>
      <w:bookmarkStart w:id="102" w:name="_Toc317088549"/>
      <w:bookmarkStart w:id="103" w:name="_Toc317088152"/>
      <w:bookmarkStart w:id="104" w:name="_Toc320887654"/>
      <w:bookmarkStart w:id="105" w:name="_Toc335232703"/>
      <w:r>
        <w:rPr>
          <w:rFonts w:ascii="Arial Unicode MS" w:eastAsia="宋体" w:hAnsi="Arial Unicode MS"/>
          <w:b/>
          <w:sz w:val="28"/>
          <w:szCs w:val="28"/>
        </w:rPr>
        <w:lastRenderedPageBreak/>
        <w:t>第十</w:t>
      </w:r>
      <w:r>
        <w:rPr>
          <w:rFonts w:ascii="Arial Unicode MS" w:eastAsia="宋体" w:hAnsi="Arial Unicode MS" w:hint="eastAsia"/>
          <w:b/>
          <w:sz w:val="28"/>
          <w:szCs w:val="28"/>
        </w:rPr>
        <w:t>五</w:t>
      </w:r>
      <w:r>
        <w:rPr>
          <w:rFonts w:ascii="Arial Unicode MS" w:eastAsia="宋体" w:hAnsi="Arial Unicode MS"/>
          <w:b/>
          <w:sz w:val="28"/>
          <w:szCs w:val="28"/>
        </w:rPr>
        <w:t>部分</w:t>
      </w:r>
      <w:r>
        <w:rPr>
          <w:rFonts w:ascii="Arial Unicode MS" w:eastAsia="宋体" w:hAnsi="Arial Unicode MS"/>
          <w:b/>
          <w:sz w:val="28"/>
          <w:szCs w:val="28"/>
        </w:rPr>
        <w:t xml:space="preserve">  </w:t>
      </w:r>
      <w:r>
        <w:rPr>
          <w:rFonts w:ascii="Arial Unicode MS" w:eastAsia="宋体" w:hAnsi="Arial Unicode MS"/>
          <w:b/>
          <w:sz w:val="28"/>
          <w:szCs w:val="28"/>
        </w:rPr>
        <w:t>基金的信息披露</w:t>
      </w:r>
      <w:bookmarkEnd w:id="101"/>
      <w:bookmarkEnd w:id="102"/>
      <w:bookmarkEnd w:id="103"/>
      <w:bookmarkEnd w:id="104"/>
      <w:bookmarkEnd w:id="105"/>
    </w:p>
    <w:p w14:paraId="4AC1E0F0" w14:textId="77777777" w:rsidR="00A6605D" w:rsidRDefault="00A6605D"/>
    <w:p w14:paraId="0ADF2FD5"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一、本基金的信息披露应符合《基金法》、《运作办法》、《信息披露办法》、《基金合同》及其他有关规定。</w:t>
      </w:r>
    </w:p>
    <w:p w14:paraId="2F3AAD49"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二、信息披露义务人</w:t>
      </w:r>
    </w:p>
    <w:p w14:paraId="7916981E"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本基金信息披露义务人包括基金管理人、基金托管人、召集基金份额持有人大会的基金份额持有人等法律法规和中国证监会规定的自然人、法人和非法人组织。</w:t>
      </w:r>
    </w:p>
    <w:p w14:paraId="72D6A57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本基金信息披露义务人以保护基金份额持有人利益为根本出发点，按照法律法规和中国证监会的规定披露基金信息，并保证所披露信息的真实性、准确性、完整性、及时性、简明性和易得性。</w:t>
      </w:r>
    </w:p>
    <w:p w14:paraId="2F97B083"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应当在中国证监会规定时间内，将应予披露的基金信息通过符合中国证监会规定条件的全国性报刊（以下简称“规定报刊”）及《信息披露办法》规定的互联网网站（以下简称“规定网站”）等媒介披露，并保证基金投资者能够按照《基金合同》约定的时间和方式查阅或者复制公开披露的信息资料。</w:t>
      </w:r>
    </w:p>
    <w:p w14:paraId="695B4E0E"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三、本基金信息披露义务人承诺公开披露的基金信息，不得有下列行为：</w:t>
      </w:r>
    </w:p>
    <w:p w14:paraId="6ECE5F53"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、虚假记载、误导性陈述或者重大遗漏；</w:t>
      </w:r>
    </w:p>
    <w:p w14:paraId="7E2BF719"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、对证券投资业绩进行预测；</w:t>
      </w:r>
    </w:p>
    <w:p w14:paraId="77B37556"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、违规承诺收益或者承担损失；</w:t>
      </w:r>
    </w:p>
    <w:p w14:paraId="3AA95CC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、诋毁其他基金管理人、基金托管人或者基金销售机构；</w:t>
      </w:r>
    </w:p>
    <w:p w14:paraId="0E5A085B"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、登载任何自然人、法人或者非法人组织的祝贺性、恭维性或推荐性的文字；</w:t>
      </w:r>
    </w:p>
    <w:p w14:paraId="2EFF4368"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、中国证监会禁止的其他行为。</w:t>
      </w:r>
    </w:p>
    <w:p w14:paraId="11C9B70A"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四、本基金公开披露的信息应采用中文文本。如同时采用外文文本的，基金信息披露义务人应保证不同文本的内容一致。不同文本之间发生歧义的，以中文文本为准。</w:t>
      </w:r>
    </w:p>
    <w:p w14:paraId="027FAE56"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本基金公开披露的信息采用阿拉伯数字；除特别说明外，货币单位为人民币元。</w:t>
      </w:r>
    </w:p>
    <w:p w14:paraId="774FD974"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五、公开披露的基金信息</w:t>
      </w:r>
    </w:p>
    <w:p w14:paraId="4D562A88"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公开披露的基金信息包括：</w:t>
      </w:r>
    </w:p>
    <w:p w14:paraId="7DAA89D4"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（一）基金招募说明书、《基金合同》、基金托管协议、基金产品资料概要</w:t>
      </w:r>
    </w:p>
    <w:p w14:paraId="127695D6"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、《基金合同》是界定《基金合同》当事人的各项权利、义务关系，明确基金份额持有人大会召开的规则及具体程序，说明基金产品的特性等涉及基金投资者重大利益的事项的法律文件。</w:t>
      </w:r>
    </w:p>
    <w:p w14:paraId="6A5EE41E"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、基金招募说明书应当最大限度地披露影响基金投资者决策的全部事项，说明基金认</w:t>
      </w:r>
      <w:r>
        <w:rPr>
          <w:rFonts w:ascii="Arial Unicode MS" w:hAnsi="Arial Unicode MS" w:cs="Arial" w:hint="eastAsia"/>
          <w:bCs/>
          <w:szCs w:val="21"/>
        </w:rPr>
        <w:lastRenderedPageBreak/>
        <w:t>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Pr>
          <w:rFonts w:ascii="Arial Unicode MS" w:hAnsi="Arial Unicode MS" w:hint="eastAsia"/>
          <w:bCs/>
          <w:szCs w:val="21"/>
        </w:rPr>
        <w:t>规定</w:t>
      </w:r>
      <w:r>
        <w:rPr>
          <w:rFonts w:ascii="Arial Unicode MS" w:hAnsi="Arial Unicode MS" w:cs="Arial" w:hint="eastAsia"/>
          <w:bCs/>
          <w:szCs w:val="21"/>
        </w:rPr>
        <w:t>网站上；基金招募说明书其他信息发生变更的，基金管理人至少每年更新一次。基金终止运作的，基金管理人不再更新基金招募说明书。</w:t>
      </w:r>
    </w:p>
    <w:p w14:paraId="556247A3"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、基金托管协议是界定基金托管人和基金管理人在基金财产保管及基金运作监督等活动中的权利、义务关系的法律文件。</w:t>
      </w:r>
    </w:p>
    <w:p w14:paraId="366311E8"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Pr>
          <w:rFonts w:ascii="Arial Unicode MS" w:hAnsi="Arial Unicode MS" w:hint="eastAsia"/>
          <w:bCs/>
          <w:szCs w:val="21"/>
        </w:rPr>
        <w:t>规定</w:t>
      </w:r>
      <w:r>
        <w:rPr>
          <w:rFonts w:ascii="Arial Unicode MS" w:hAnsi="Arial Unicode MS" w:cs="Arial" w:hint="eastAsia"/>
          <w:bCs/>
          <w:szCs w:val="21"/>
        </w:rPr>
        <w:t>网站及基金销售机构网站或营业网点；基金产品资料概要其他信息发生变更的，基金管理人至少每年更新一次。基金终止运作的，基金管理人不再更新基金产品资料概要。</w:t>
      </w:r>
    </w:p>
    <w:p w14:paraId="11B2B505"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0FD73C17"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（二）基金份额发售公告</w:t>
      </w:r>
    </w:p>
    <w:p w14:paraId="4F28E578"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基金管理人应当就基金份额发售的具体事宜编制基金份额发售公告，并在披露招募说明书的当日登载于指定媒介上。</w:t>
      </w:r>
    </w:p>
    <w:p w14:paraId="6EF7FF63"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（三）《基金合同》生效公告</w:t>
      </w:r>
    </w:p>
    <w:p w14:paraId="3B0D6E27"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基金管理人应当在收到中国证监会确认文件的次日在指定媒介上登载《基金合同》生效公告。</w:t>
      </w:r>
    </w:p>
    <w:p w14:paraId="0D47AB4F"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（四）基金净值信息</w:t>
      </w:r>
    </w:p>
    <w:p w14:paraId="1183A0B6"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《基金合同》生效后，在开始办理基金份额申购或者赎回前，基金管理人应当至少每周在</w:t>
      </w:r>
      <w:r>
        <w:rPr>
          <w:rFonts w:ascii="Arial Unicode MS" w:hAnsi="Arial Unicode MS" w:hint="eastAsia"/>
          <w:bCs/>
          <w:szCs w:val="21"/>
        </w:rPr>
        <w:t>规定</w:t>
      </w:r>
      <w:r>
        <w:rPr>
          <w:rFonts w:ascii="Arial Unicode MS" w:hAnsi="Arial Unicode MS" w:cs="Arial" w:hint="eastAsia"/>
          <w:bCs/>
          <w:szCs w:val="21"/>
        </w:rPr>
        <w:t>网站披露一次基金份额净值和基金份额累计净值。</w:t>
      </w:r>
    </w:p>
    <w:p w14:paraId="01B923A3"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在开始办理基金份额申购或者赎回后，基金管理人应当在不晚于每个开放日的次日，通过其</w:t>
      </w:r>
      <w:r>
        <w:rPr>
          <w:rFonts w:ascii="Arial Unicode MS" w:hAnsi="Arial Unicode MS" w:hint="eastAsia"/>
          <w:bCs/>
          <w:szCs w:val="21"/>
        </w:rPr>
        <w:t>规定</w:t>
      </w:r>
      <w:r>
        <w:rPr>
          <w:rFonts w:ascii="Arial Unicode MS" w:hAnsi="Arial Unicode MS" w:cs="Arial" w:hint="eastAsia"/>
          <w:bCs/>
          <w:szCs w:val="21"/>
        </w:rPr>
        <w:t>网站、基金销售机构网站或营业网点披露开放日的基金份额净值和基金份额累计净值。</w:t>
      </w:r>
    </w:p>
    <w:p w14:paraId="3698DC90"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基金管理人应在不晚于半年度和年度最后一日的次日，在</w:t>
      </w:r>
      <w:r>
        <w:rPr>
          <w:rFonts w:ascii="Arial Unicode MS" w:hAnsi="Arial Unicode MS" w:hint="eastAsia"/>
          <w:bCs/>
          <w:szCs w:val="21"/>
        </w:rPr>
        <w:t>规定</w:t>
      </w:r>
      <w:r>
        <w:rPr>
          <w:rFonts w:ascii="Arial Unicode MS" w:hAnsi="Arial Unicode MS" w:cs="Arial" w:hint="eastAsia"/>
          <w:bCs/>
          <w:szCs w:val="21"/>
        </w:rPr>
        <w:t>网站披露半年度和年度最后一日的基金份额净值和基金份额累计净值。</w:t>
      </w:r>
    </w:p>
    <w:p w14:paraId="21524A9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（五）基金份额申购、赎回价格</w:t>
      </w:r>
    </w:p>
    <w:p w14:paraId="6D038DB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基金管理人应当在《基金合同》、招募说明书等信息披露文件上载明基金份额申购、赎</w:t>
      </w:r>
      <w:r>
        <w:rPr>
          <w:rFonts w:ascii="Arial Unicode MS" w:hAnsi="Arial Unicode MS" w:cs="Arial" w:hint="eastAsia"/>
          <w:bCs/>
          <w:szCs w:val="21"/>
        </w:rPr>
        <w:lastRenderedPageBreak/>
        <w:t>回价格的计算方式及有关申购、赎回费率，并保证投资者能够在基金销售机构网站或营业网点查阅或者复制前述信息库资料。</w:t>
      </w:r>
    </w:p>
    <w:p w14:paraId="3C618F89"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（六）基金定期报告，包括基金年度报告、基金中期报告和基金季度报告</w:t>
      </w:r>
    </w:p>
    <w:p w14:paraId="05CC48A0"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基金管理人应当在每年结束之日起三个月内，编制完成基金年度报告，将年度报告登载在</w:t>
      </w:r>
      <w:r>
        <w:rPr>
          <w:rFonts w:ascii="Arial Unicode MS" w:hAnsi="Arial Unicode MS" w:hint="eastAsia"/>
          <w:bCs/>
          <w:szCs w:val="21"/>
        </w:rPr>
        <w:t>规定</w:t>
      </w:r>
      <w:r>
        <w:rPr>
          <w:rFonts w:ascii="Arial Unicode MS" w:hAnsi="Arial Unicode MS" w:cs="Arial" w:hint="eastAsia"/>
          <w:bCs/>
          <w:szCs w:val="21"/>
        </w:rPr>
        <w:t>网站上，将年度报告提示性公告登载在</w:t>
      </w:r>
      <w:r>
        <w:rPr>
          <w:rFonts w:ascii="Arial Unicode MS" w:hAnsi="Arial Unicode MS" w:hint="eastAsia"/>
          <w:bCs/>
          <w:szCs w:val="21"/>
        </w:rPr>
        <w:t>规定</w:t>
      </w:r>
      <w:r>
        <w:rPr>
          <w:rFonts w:ascii="Arial Unicode MS" w:hAnsi="Arial Unicode MS" w:cs="Arial" w:hint="eastAsia"/>
          <w:bCs/>
          <w:szCs w:val="21"/>
        </w:rPr>
        <w:t>报刊上。基金年度报告中的财务会计报告应当经过符合《中华人民共和国证券法》规定的会计师事务所审计。</w:t>
      </w:r>
    </w:p>
    <w:p w14:paraId="090ACB0A"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基金管理人应当在上半年结束之日起两个月内，编制完成基金中期报告，将中期报告登载在</w:t>
      </w:r>
      <w:r>
        <w:rPr>
          <w:rFonts w:ascii="Arial Unicode MS" w:hAnsi="Arial Unicode MS" w:hint="eastAsia"/>
          <w:bCs/>
          <w:szCs w:val="21"/>
        </w:rPr>
        <w:t>规定</w:t>
      </w:r>
      <w:r>
        <w:rPr>
          <w:rFonts w:ascii="Arial Unicode MS" w:hAnsi="Arial Unicode MS" w:cs="Arial" w:hint="eastAsia"/>
          <w:bCs/>
          <w:szCs w:val="21"/>
        </w:rPr>
        <w:t>网站上，并将中期报告提示性公告登载在</w:t>
      </w:r>
      <w:r>
        <w:rPr>
          <w:rFonts w:ascii="Arial Unicode MS" w:hAnsi="Arial Unicode MS" w:hint="eastAsia"/>
          <w:bCs/>
          <w:szCs w:val="21"/>
        </w:rPr>
        <w:t>规定</w:t>
      </w:r>
      <w:r>
        <w:rPr>
          <w:rFonts w:ascii="Arial Unicode MS" w:hAnsi="Arial Unicode MS" w:cs="Arial" w:hint="eastAsia"/>
          <w:bCs/>
          <w:szCs w:val="21"/>
        </w:rPr>
        <w:t>报刊上。</w:t>
      </w:r>
    </w:p>
    <w:p w14:paraId="7E1BF8D9"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基金管理人应当在每个季度结束之日起</w:t>
      </w:r>
      <w:r>
        <w:rPr>
          <w:rFonts w:ascii="Arial Unicode MS" w:hAnsi="Arial Unicode MS" w:cs="Arial" w:hint="eastAsia"/>
          <w:bCs/>
          <w:szCs w:val="21"/>
        </w:rPr>
        <w:t>15</w:t>
      </w:r>
      <w:r>
        <w:rPr>
          <w:rFonts w:ascii="Arial Unicode MS" w:hAnsi="Arial Unicode MS" w:cs="Arial" w:hint="eastAsia"/>
          <w:bCs/>
          <w:szCs w:val="21"/>
        </w:rPr>
        <w:t>个工作日内，编制完成基金季度报告，将季度报告登载在</w:t>
      </w:r>
      <w:r>
        <w:rPr>
          <w:rFonts w:ascii="Arial Unicode MS" w:hAnsi="Arial Unicode MS" w:hint="eastAsia"/>
          <w:bCs/>
          <w:szCs w:val="21"/>
        </w:rPr>
        <w:t>规定</w:t>
      </w:r>
      <w:r>
        <w:rPr>
          <w:rFonts w:ascii="Arial Unicode MS" w:hAnsi="Arial Unicode MS" w:cs="Arial" w:hint="eastAsia"/>
          <w:bCs/>
          <w:szCs w:val="21"/>
        </w:rPr>
        <w:t>网站上，并将季度报告提示性公告登载在</w:t>
      </w:r>
      <w:r>
        <w:rPr>
          <w:rFonts w:ascii="Arial Unicode MS" w:hAnsi="Arial Unicode MS" w:hint="eastAsia"/>
          <w:bCs/>
          <w:szCs w:val="21"/>
        </w:rPr>
        <w:t>规定</w:t>
      </w:r>
      <w:r>
        <w:rPr>
          <w:rFonts w:ascii="Arial Unicode MS" w:hAnsi="Arial Unicode MS" w:cs="Arial" w:hint="eastAsia"/>
          <w:bCs/>
          <w:szCs w:val="21"/>
        </w:rPr>
        <w:t>报刊上。</w:t>
      </w:r>
    </w:p>
    <w:p w14:paraId="1226A235"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《基金合同》生效不足</w:t>
      </w:r>
      <w:r>
        <w:rPr>
          <w:rFonts w:ascii="Arial Unicode MS" w:hAnsi="Arial Unicode MS" w:cs="Arial" w:hint="eastAsia"/>
          <w:bCs/>
          <w:szCs w:val="21"/>
        </w:rPr>
        <w:t>2</w:t>
      </w:r>
      <w:r>
        <w:rPr>
          <w:rFonts w:ascii="Arial Unicode MS" w:hAnsi="Arial Unicode MS" w:cs="Arial" w:hint="eastAsia"/>
          <w:bCs/>
          <w:szCs w:val="21"/>
        </w:rPr>
        <w:t>个月的，基金管理人可以不编制当期季度报告、中期报告或者年度报告。</w:t>
      </w:r>
    </w:p>
    <w:p w14:paraId="6F298B04"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如报告期内出现单一投资者持有基金份额达到或超过基金总份额</w:t>
      </w:r>
      <w:r>
        <w:rPr>
          <w:rFonts w:ascii="Arial Unicode MS" w:hAnsi="Arial Unicode MS" w:cs="Arial" w:hint="eastAsia"/>
          <w:bCs/>
          <w:szCs w:val="21"/>
        </w:rPr>
        <w:t>20%</w:t>
      </w:r>
      <w:r>
        <w:rPr>
          <w:rFonts w:ascii="Arial Unicode MS" w:hAnsi="Arial Unicode MS" w:cs="Arial" w:hint="eastAsia"/>
          <w:bCs/>
          <w:szCs w:val="21"/>
        </w:rPr>
        <w:t>的情形</w:t>
      </w:r>
      <w:r>
        <w:rPr>
          <w:rFonts w:ascii="Arial Unicode MS" w:hAnsi="Arial Unicode MS" w:cs="Arial" w:hint="eastAsia"/>
          <w:bCs/>
          <w:szCs w:val="21"/>
        </w:rPr>
        <w:t xml:space="preserve">, </w:t>
      </w:r>
      <w:r>
        <w:rPr>
          <w:rFonts w:ascii="Arial Unicode MS" w:hAnsi="Arial Unicode MS" w:cs="Arial" w:hint="eastAsia"/>
          <w:bCs/>
          <w:szCs w:val="21"/>
        </w:rPr>
        <w:t>为保障其他投资者利益</w:t>
      </w:r>
      <w:r>
        <w:rPr>
          <w:rFonts w:ascii="Arial Unicode MS" w:hAnsi="Arial Unicode MS" w:cs="Arial" w:hint="eastAsia"/>
          <w:bCs/>
          <w:szCs w:val="21"/>
        </w:rPr>
        <w:t xml:space="preserve">, </w:t>
      </w:r>
      <w:r>
        <w:rPr>
          <w:rFonts w:ascii="Arial Unicode MS" w:hAnsi="Arial Unicode MS" w:cs="Arial" w:hint="eastAsia"/>
          <w:bCs/>
          <w:szCs w:val="21"/>
        </w:rPr>
        <w:t>基金管理人至少应当在定期报告“影响投资者决策的其他重要信息”项下披露该投资者的类别、报告期末持有份额及占比、报告期内持有份额变化情况及本基金的特有风险，中国证监会认定的特殊情形除外。</w:t>
      </w:r>
    </w:p>
    <w:p w14:paraId="27C70866"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本基金持续运作过程中，应当在基金年度报告和中期报告中披露基金组合资产情况及其流动性风险分析等。</w:t>
      </w:r>
    </w:p>
    <w:p w14:paraId="1999F2EB"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（七）临时报告</w:t>
      </w:r>
    </w:p>
    <w:p w14:paraId="4208EE3F"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本基金发生重大事件，有关信息披露义务人应在</w:t>
      </w:r>
      <w:r>
        <w:rPr>
          <w:rFonts w:ascii="Arial Unicode MS" w:hAnsi="Arial Unicode MS" w:cs="Arial" w:hint="eastAsia"/>
          <w:bCs/>
          <w:szCs w:val="21"/>
        </w:rPr>
        <w:t>2</w:t>
      </w:r>
      <w:r>
        <w:rPr>
          <w:rFonts w:ascii="Arial Unicode MS" w:hAnsi="Arial Unicode MS" w:cs="Arial" w:hint="eastAsia"/>
          <w:bCs/>
          <w:szCs w:val="21"/>
        </w:rPr>
        <w:t>日内编制临时报告书，并登载在</w:t>
      </w:r>
      <w:r>
        <w:rPr>
          <w:rFonts w:ascii="Arial Unicode MS" w:hAnsi="Arial Unicode MS" w:hint="eastAsia"/>
          <w:bCs/>
          <w:szCs w:val="21"/>
        </w:rPr>
        <w:t>规定</w:t>
      </w:r>
      <w:r>
        <w:rPr>
          <w:rFonts w:ascii="Arial Unicode MS" w:hAnsi="Arial Unicode MS" w:cs="Arial" w:hint="eastAsia"/>
          <w:bCs/>
          <w:szCs w:val="21"/>
        </w:rPr>
        <w:t>报刊和</w:t>
      </w:r>
      <w:r>
        <w:rPr>
          <w:rFonts w:ascii="Arial Unicode MS" w:hAnsi="Arial Unicode MS" w:hint="eastAsia"/>
          <w:bCs/>
          <w:szCs w:val="21"/>
        </w:rPr>
        <w:t>规定</w:t>
      </w:r>
      <w:r>
        <w:rPr>
          <w:rFonts w:ascii="Arial Unicode MS" w:hAnsi="Arial Unicode MS" w:cs="Arial" w:hint="eastAsia"/>
          <w:bCs/>
          <w:szCs w:val="21"/>
        </w:rPr>
        <w:t>网站上。</w:t>
      </w:r>
    </w:p>
    <w:p w14:paraId="6BA8CEA9"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前款所称重大事件，是指可能对基金份额持有人权益或者基金份额的价格产生重大影响的下列事件：</w:t>
      </w:r>
    </w:p>
    <w:p w14:paraId="460D1930"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、基金份额持有人大会的召开及决定的事项；</w:t>
      </w:r>
    </w:p>
    <w:p w14:paraId="7F8C2093"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、基金合同终止、基金清算；</w:t>
      </w:r>
    </w:p>
    <w:p w14:paraId="3DCA94F3"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、转换基金运作方式、基金合并；</w:t>
      </w:r>
    </w:p>
    <w:p w14:paraId="1FC0F756"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、更换基金管理人、基金托管人、基金份额登记机构，基金改聘会计师事务所；</w:t>
      </w:r>
    </w:p>
    <w:p w14:paraId="48DD558A"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、基金管理人委托基金服务机构代为办理基金的份额登记、核算、估值等事项，基金托管人委托基金服务机构代为办理基金的核算、估值、复核等事项；</w:t>
      </w:r>
    </w:p>
    <w:p w14:paraId="6E276AEB"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、基金管理人、基金托管人的法定名称、住所发生变更；</w:t>
      </w:r>
    </w:p>
    <w:p w14:paraId="793DA6C3"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7</w:t>
      </w:r>
      <w:r>
        <w:rPr>
          <w:rFonts w:ascii="Arial Unicode MS" w:hAnsi="Arial Unicode MS" w:cs="Arial" w:hint="eastAsia"/>
          <w:bCs/>
          <w:szCs w:val="21"/>
        </w:rPr>
        <w:t>、基金管理人变更持有百分之五以上股权的股东、基金管理人的实际控制人变更；</w:t>
      </w:r>
    </w:p>
    <w:p w14:paraId="4D338E89"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、基金募集期延长或提前结束募集；</w:t>
      </w:r>
    </w:p>
    <w:p w14:paraId="4DEFF5CF"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、基金管理人的高级管理人员、基金经理和基金托管人专门基金托管部门负责人发生变动；</w:t>
      </w:r>
    </w:p>
    <w:p w14:paraId="09B5F074"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10</w:t>
      </w:r>
      <w:r>
        <w:rPr>
          <w:rFonts w:ascii="Arial Unicode MS" w:hAnsi="Arial Unicode MS" w:cs="Arial" w:hint="eastAsia"/>
          <w:bCs/>
          <w:szCs w:val="21"/>
        </w:rPr>
        <w:t>、基金管理人的董事在最近</w:t>
      </w:r>
      <w:r>
        <w:rPr>
          <w:rFonts w:ascii="Arial Unicode MS" w:hAnsi="Arial Unicode MS" w:cs="Arial" w:hint="eastAsia"/>
          <w:bCs/>
          <w:szCs w:val="21"/>
        </w:rPr>
        <w:t>12</w:t>
      </w:r>
      <w:r>
        <w:rPr>
          <w:rFonts w:ascii="Arial Unicode MS" w:hAnsi="Arial Unicode MS" w:cs="Arial" w:hint="eastAsia"/>
          <w:bCs/>
          <w:szCs w:val="21"/>
        </w:rPr>
        <w:t>个月内变更超过百分之五十，基金管理人、基金托管人专门基金托管部门的主要业务人员在最近</w:t>
      </w:r>
      <w:r>
        <w:rPr>
          <w:rFonts w:ascii="Arial Unicode MS" w:hAnsi="Arial Unicode MS" w:cs="Arial" w:hint="eastAsia"/>
          <w:bCs/>
          <w:szCs w:val="21"/>
        </w:rPr>
        <w:t>12</w:t>
      </w:r>
      <w:r>
        <w:rPr>
          <w:rFonts w:ascii="Arial Unicode MS" w:hAnsi="Arial Unicode MS" w:cs="Arial" w:hint="eastAsia"/>
          <w:bCs/>
          <w:szCs w:val="21"/>
        </w:rPr>
        <w:t>个月内，变动超过百分之三十；</w:t>
      </w:r>
    </w:p>
    <w:p w14:paraId="23D634FC"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11</w:t>
      </w:r>
      <w:r>
        <w:rPr>
          <w:rFonts w:ascii="Arial Unicode MS" w:hAnsi="Arial Unicode MS" w:cs="Arial" w:hint="eastAsia"/>
          <w:bCs/>
          <w:szCs w:val="21"/>
        </w:rPr>
        <w:t>、涉及基金财产、基金管理业务、基金托管业务的诉讼或仲裁；</w:t>
      </w:r>
    </w:p>
    <w:p w14:paraId="6BBB6CC7"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12</w:t>
      </w:r>
      <w:r>
        <w:rPr>
          <w:rFonts w:ascii="Arial Unicode MS" w:hAnsi="Arial Unicode MS" w:cs="Arial" w:hint="eastAsia"/>
          <w:bCs/>
          <w:szCs w:val="21"/>
        </w:rPr>
        <w:t>、基金管理人或其高级管理人员、基金经理因基金管理业务相关行为受到重大行政处罚、刑事处罚，基金托管人或其专门基金托管部门负责人因基金托管业务相关行为受到重大行政处罚、刑事处罚；</w:t>
      </w:r>
    </w:p>
    <w:p w14:paraId="10490834"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13</w:t>
      </w:r>
      <w:r>
        <w:rPr>
          <w:rFonts w:ascii="Arial Unicode MS" w:hAnsi="Arial Unicode MS" w:cs="Arial" w:hint="eastAsia"/>
          <w:bCs/>
          <w:szCs w:val="21"/>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5CCC7ABF"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14</w:t>
      </w:r>
      <w:r>
        <w:rPr>
          <w:rFonts w:ascii="Arial Unicode MS" w:hAnsi="Arial Unicode MS" w:cs="Arial" w:hint="eastAsia"/>
          <w:bCs/>
          <w:szCs w:val="21"/>
        </w:rPr>
        <w:t>、基金收益分配事项；</w:t>
      </w:r>
    </w:p>
    <w:p w14:paraId="2B8DD2A5"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15</w:t>
      </w:r>
      <w:r>
        <w:rPr>
          <w:rFonts w:ascii="Arial Unicode MS" w:hAnsi="Arial Unicode MS" w:cs="Arial" w:hint="eastAsia"/>
          <w:bCs/>
          <w:szCs w:val="21"/>
        </w:rPr>
        <w:t>、管理费、托管费、申购费、赎回费等费用计提标准、计提方式和费率发生变更；</w:t>
      </w:r>
    </w:p>
    <w:p w14:paraId="7AD6D4F0"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16</w:t>
      </w:r>
      <w:r>
        <w:rPr>
          <w:rFonts w:ascii="Arial Unicode MS" w:hAnsi="Arial Unicode MS" w:cs="Arial" w:hint="eastAsia"/>
          <w:bCs/>
          <w:szCs w:val="21"/>
        </w:rPr>
        <w:t>、基金份额净值计价错误达基金份额净值百分之零点五；</w:t>
      </w:r>
    </w:p>
    <w:p w14:paraId="1EB3E297"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17</w:t>
      </w:r>
      <w:r>
        <w:rPr>
          <w:rFonts w:ascii="Arial Unicode MS" w:hAnsi="Arial Unicode MS" w:cs="Arial" w:hint="eastAsia"/>
          <w:bCs/>
          <w:szCs w:val="21"/>
        </w:rPr>
        <w:t>、本基金开始办理申购、赎回；</w:t>
      </w:r>
    </w:p>
    <w:p w14:paraId="760887CE"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18</w:t>
      </w:r>
      <w:r>
        <w:rPr>
          <w:rFonts w:ascii="Arial Unicode MS" w:hAnsi="Arial Unicode MS" w:cs="Arial" w:hint="eastAsia"/>
          <w:bCs/>
          <w:szCs w:val="21"/>
        </w:rPr>
        <w:t>、本基金暂定接受申购、赎回申请或重新接受申购、赎回申请；</w:t>
      </w:r>
    </w:p>
    <w:p w14:paraId="404ED895"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19</w:t>
      </w:r>
      <w:r>
        <w:rPr>
          <w:rFonts w:ascii="Arial Unicode MS" w:hAnsi="Arial Unicode MS" w:cs="Arial" w:hint="eastAsia"/>
          <w:bCs/>
          <w:szCs w:val="21"/>
        </w:rPr>
        <w:t>、调整基金份额类别的设置；</w:t>
      </w:r>
    </w:p>
    <w:p w14:paraId="2BD79197"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bCs/>
          <w:szCs w:val="21"/>
        </w:rPr>
        <w:t>0</w:t>
      </w:r>
      <w:r>
        <w:rPr>
          <w:rFonts w:ascii="Arial Unicode MS" w:hAnsi="Arial Unicode MS" w:cs="Arial" w:hint="eastAsia"/>
          <w:bCs/>
          <w:szCs w:val="21"/>
        </w:rPr>
        <w:t>、基金推出新业务或服务；</w:t>
      </w:r>
    </w:p>
    <w:p w14:paraId="07F90FF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21</w:t>
      </w:r>
      <w:r>
        <w:rPr>
          <w:rFonts w:ascii="Arial Unicode MS" w:hAnsi="Arial Unicode MS" w:cs="Arial" w:hint="eastAsia"/>
          <w:bCs/>
          <w:szCs w:val="21"/>
        </w:rPr>
        <w:t>、本基金发生巨额赎回并延期办理；</w:t>
      </w:r>
    </w:p>
    <w:p w14:paraId="78E57254"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22</w:t>
      </w:r>
      <w:r>
        <w:rPr>
          <w:rFonts w:ascii="Arial Unicode MS" w:hAnsi="Arial Unicode MS" w:cs="Arial" w:hint="eastAsia"/>
          <w:bCs/>
          <w:szCs w:val="21"/>
        </w:rPr>
        <w:t>、本基金连续发生巨额赎回并暂停接受赎回申请或延缓支付赎回款项；</w:t>
      </w:r>
    </w:p>
    <w:p w14:paraId="1560024B"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bCs/>
          <w:szCs w:val="21"/>
        </w:rPr>
        <w:t>3</w:t>
      </w:r>
      <w:r>
        <w:rPr>
          <w:rFonts w:ascii="Arial Unicode MS" w:hAnsi="Arial Unicode MS" w:cs="Arial" w:hint="eastAsia"/>
          <w:bCs/>
          <w:szCs w:val="21"/>
        </w:rPr>
        <w:t>、基金信息披露义务人认为可能对基金份额持有人权益或者基金份额的价格产生重大影响的其他事项或中国证监会规定的其他事项。</w:t>
      </w:r>
    </w:p>
    <w:p w14:paraId="1F44C1C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（八）澄清公告</w:t>
      </w:r>
    </w:p>
    <w:p w14:paraId="2BCBA50C"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w:t>
      </w:r>
    </w:p>
    <w:p w14:paraId="3E879374"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（九）清算报告</w:t>
      </w:r>
    </w:p>
    <w:p w14:paraId="723097AA"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基金合同终止的，基金管理人应当依法组织基金财产清算小组对基金财产进行清算并作出清算报告。基金财产清算小组应当将清算报告登载在</w:t>
      </w:r>
      <w:r>
        <w:rPr>
          <w:rFonts w:ascii="Arial Unicode MS" w:hAnsi="Arial Unicode MS" w:hint="eastAsia"/>
          <w:bCs/>
          <w:szCs w:val="21"/>
        </w:rPr>
        <w:t>规定</w:t>
      </w:r>
      <w:r>
        <w:rPr>
          <w:rFonts w:ascii="Arial Unicode MS" w:hAnsi="Arial Unicode MS" w:cs="Arial" w:hint="eastAsia"/>
          <w:bCs/>
          <w:szCs w:val="21"/>
        </w:rPr>
        <w:t>网站上，并将清算报告提示性公告登载在</w:t>
      </w:r>
      <w:r>
        <w:rPr>
          <w:rFonts w:ascii="Arial Unicode MS" w:hAnsi="Arial Unicode MS" w:hint="eastAsia"/>
          <w:bCs/>
          <w:szCs w:val="21"/>
        </w:rPr>
        <w:t>规定</w:t>
      </w:r>
      <w:r>
        <w:rPr>
          <w:rFonts w:ascii="Arial Unicode MS" w:hAnsi="Arial Unicode MS" w:cs="Arial" w:hint="eastAsia"/>
          <w:bCs/>
          <w:szCs w:val="21"/>
        </w:rPr>
        <w:t>报刊上。</w:t>
      </w:r>
    </w:p>
    <w:p w14:paraId="4D373C6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（十）基金份额持有人大会决议</w:t>
      </w:r>
    </w:p>
    <w:p w14:paraId="5B145D88"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基金份额持有人大会决定的事项，应当依法报中国证监会备案，并予以公告。</w:t>
      </w:r>
    </w:p>
    <w:p w14:paraId="375513C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（十一）资产支持证券的投资情况</w:t>
      </w:r>
    </w:p>
    <w:p w14:paraId="55E3BBC9"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投资资产支持证券，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ascii="Arial Unicode MS" w:hAnsi="Arial Unicode MS" w:cs="Arial" w:hint="eastAsia"/>
          <w:bCs/>
          <w:szCs w:val="21"/>
        </w:rPr>
        <w:t>10</w:t>
      </w:r>
      <w:r>
        <w:rPr>
          <w:rFonts w:ascii="Arial Unicode MS" w:hAnsi="Arial Unicode MS" w:cs="Arial" w:hint="eastAsia"/>
          <w:bCs/>
          <w:szCs w:val="21"/>
        </w:rPr>
        <w:t>名资产支持证券明细。</w:t>
      </w:r>
    </w:p>
    <w:p w14:paraId="1CA804B5"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（十二）实施侧袋机制期间的信息披露</w:t>
      </w:r>
      <w:r>
        <w:rPr>
          <w:rFonts w:ascii="Arial Unicode MS" w:hAnsi="Arial Unicode MS" w:cs="Arial" w:hint="eastAsia"/>
          <w:bCs/>
          <w:szCs w:val="21"/>
        </w:rPr>
        <w:t xml:space="preserve"> </w:t>
      </w:r>
    </w:p>
    <w:p w14:paraId="74C962C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本基金实施侧袋机制的，相关信息披露义务人应当根据法律法规、基金合同和招募说明书的规定进行信息披露，详见招募说明书“侧袋机制”部分的规定。</w:t>
      </w:r>
    </w:p>
    <w:p w14:paraId="6CE04483"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（十三）中国证监会规定的其他信息。</w:t>
      </w:r>
    </w:p>
    <w:p w14:paraId="72B1411C"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六、信息披露事务管理</w:t>
      </w:r>
    </w:p>
    <w:p w14:paraId="151BC231"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基金管理人、基金托管人应当建立健全信息披露管理制度，指定专门部门及高级管理人员负责管理信息披露事务。</w:t>
      </w:r>
    </w:p>
    <w:p w14:paraId="64F57E6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基金信息披露义务人公开披露基金信息，应当符合中国证监会相关基金信息披露内容与格式准则等法规的规定。</w:t>
      </w:r>
    </w:p>
    <w:p w14:paraId="38FE525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托管人应当按照相关法律法规、中国证监会的规定和基金合同的约定，对基金管理人编制的基金资产净值、基金份额净值、基金份额申购赎回价格、基金定期报告、更新的招募说明书、基金产品资料概要、基金清算报告等公开披露的相关基金信息进行复核、审查，并向基金管理人进行书面或电子确认。</w:t>
      </w:r>
    </w:p>
    <w:p w14:paraId="0FAA8EAF"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基金管理人、基金托管人应当在</w:t>
      </w:r>
      <w:r>
        <w:rPr>
          <w:rFonts w:ascii="Arial Unicode MS" w:hAnsi="Arial Unicode MS" w:hint="eastAsia"/>
          <w:bCs/>
          <w:szCs w:val="21"/>
        </w:rPr>
        <w:t>规定</w:t>
      </w:r>
      <w:r>
        <w:rPr>
          <w:rFonts w:ascii="Arial Unicode MS" w:hAnsi="Arial Unicode MS" w:cs="Arial" w:hint="eastAsia"/>
          <w:bCs/>
          <w:szCs w:val="21"/>
        </w:rPr>
        <w:t>报刊中选择一家报刊披露本基金信息。基金管理人、基金托管人应当向中国证监会基金电子披露网站报送拟披露的基金信息，并保证相关报送信息的真实、准确、完整、及时。</w:t>
      </w:r>
    </w:p>
    <w:p w14:paraId="1D307B56"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基金管理人、基金托管人除依法在</w:t>
      </w:r>
      <w:r>
        <w:rPr>
          <w:rFonts w:ascii="Arial Unicode MS" w:hAnsi="Arial Unicode MS" w:hint="eastAsia"/>
          <w:bCs/>
          <w:szCs w:val="21"/>
        </w:rPr>
        <w:t>规定</w:t>
      </w:r>
      <w:r>
        <w:rPr>
          <w:rFonts w:ascii="Arial Unicode MS" w:hAnsi="Arial Unicode MS" w:cs="Arial" w:hint="eastAsia"/>
          <w:bCs/>
          <w:szCs w:val="21"/>
        </w:rPr>
        <w:t>媒介上披露信息外，还可以根据需要在其他公共媒介披露信息，但是其他公共媒介不得早于</w:t>
      </w:r>
      <w:r>
        <w:rPr>
          <w:rFonts w:ascii="Arial Unicode MS" w:hAnsi="Arial Unicode MS" w:hint="eastAsia"/>
          <w:bCs/>
          <w:szCs w:val="21"/>
        </w:rPr>
        <w:t>规定</w:t>
      </w:r>
      <w:r>
        <w:rPr>
          <w:rFonts w:ascii="Arial Unicode MS" w:hAnsi="Arial Unicode MS" w:cs="Arial" w:hint="eastAsia"/>
          <w:bCs/>
          <w:szCs w:val="21"/>
        </w:rPr>
        <w:t>媒介披露信息，并且在不同媒介上披露同一信息的内容应当一致。</w:t>
      </w:r>
    </w:p>
    <w:p w14:paraId="67F848B7"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3B0A7058"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为基金信息披露义务人公开披露的基金信息出具审计报告、法律意见书的专业机构，应当制作工作底稿，并将相关档案至少保存到《基金合同》终止后</w:t>
      </w:r>
      <w:r>
        <w:rPr>
          <w:rFonts w:ascii="Arial Unicode MS" w:hAnsi="Arial Unicode MS" w:cs="Arial" w:hint="eastAsia"/>
          <w:bCs/>
          <w:szCs w:val="21"/>
        </w:rPr>
        <w:t>10</w:t>
      </w:r>
      <w:r>
        <w:rPr>
          <w:rFonts w:ascii="Arial Unicode MS" w:hAnsi="Arial Unicode MS" w:cs="Arial" w:hint="eastAsia"/>
          <w:bCs/>
          <w:szCs w:val="21"/>
        </w:rPr>
        <w:t>年。</w:t>
      </w:r>
    </w:p>
    <w:p w14:paraId="1A84ADF9"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七、信息披露文件的存放与查阅</w:t>
      </w:r>
    </w:p>
    <w:p w14:paraId="6F12E04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依法必须披露的信息发布后，基金管理人、基金托管人应当按照相关法律法规规定将信息置备于公司住所，供社会公众查阅、复制。</w:t>
      </w:r>
    </w:p>
    <w:p w14:paraId="4233E8A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八、暂停或延迟披露基金信息的情形</w:t>
      </w:r>
    </w:p>
    <w:p w14:paraId="5C7214AE"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不可抗力；</w:t>
      </w:r>
    </w:p>
    <w:p w14:paraId="1F903D44"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发生《基金合同》约定的暂停估值的情形；</w:t>
      </w:r>
    </w:p>
    <w:p w14:paraId="7B8B1C50"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法律法规、《基金合同》或中国证监会规定的情况。</w:t>
      </w:r>
    </w:p>
    <w:p w14:paraId="22CA1543" w14:textId="77777777" w:rsidR="00A6605D" w:rsidRDefault="00413D7E">
      <w:pPr>
        <w:widowControl/>
        <w:jc w:val="left"/>
      </w:pPr>
      <w:bookmarkStart w:id="106" w:name="_Toc317088550"/>
      <w:bookmarkStart w:id="107" w:name="_Toc335232704"/>
      <w:bookmarkStart w:id="108" w:name="_Toc320887655"/>
      <w:bookmarkStart w:id="109" w:name="_Toc12357178"/>
      <w:bookmarkStart w:id="110" w:name="_Toc317088153"/>
      <w:bookmarkStart w:id="111" w:name="_Toc147463125"/>
      <w:bookmarkStart w:id="112" w:name="_Toc214873605"/>
      <w:bookmarkStart w:id="113" w:name="_Toc21073398"/>
      <w:bookmarkEnd w:id="98"/>
      <w:bookmarkEnd w:id="99"/>
      <w:r>
        <w:br w:type="page"/>
      </w:r>
    </w:p>
    <w:p w14:paraId="3D9E69E8" w14:textId="77777777" w:rsidR="00A6605D" w:rsidRDefault="00413D7E">
      <w:pPr>
        <w:pStyle w:val="11"/>
        <w:snapToGrid w:val="0"/>
        <w:spacing w:before="0" w:after="0" w:line="360" w:lineRule="auto"/>
        <w:rPr>
          <w:rFonts w:ascii="Arial Unicode MS" w:eastAsia="宋体" w:hAnsi="Arial Unicode MS" w:cs="Arial"/>
          <w:b/>
          <w:bCs/>
          <w:sz w:val="28"/>
          <w:szCs w:val="28"/>
        </w:rPr>
      </w:pPr>
      <w:bookmarkStart w:id="114" w:name="_Toc61453056"/>
      <w:bookmarkStart w:id="115" w:name="_Toc63676451"/>
      <w:r>
        <w:rPr>
          <w:rFonts w:ascii="Arial Unicode MS" w:eastAsia="宋体" w:hAnsi="Arial Unicode MS" w:cs="Arial" w:hint="eastAsia"/>
          <w:b/>
          <w:bCs/>
          <w:sz w:val="28"/>
          <w:szCs w:val="28"/>
        </w:rPr>
        <w:lastRenderedPageBreak/>
        <w:t>第十六部分</w:t>
      </w:r>
      <w:r>
        <w:rPr>
          <w:rFonts w:ascii="Arial Unicode MS" w:eastAsia="宋体" w:hAnsi="Arial Unicode MS" w:cs="Arial" w:hint="eastAsia"/>
          <w:b/>
          <w:bCs/>
          <w:sz w:val="28"/>
          <w:szCs w:val="28"/>
        </w:rPr>
        <w:t xml:space="preserve">  </w:t>
      </w:r>
      <w:r>
        <w:rPr>
          <w:rFonts w:ascii="Arial Unicode MS" w:eastAsia="宋体" w:hAnsi="Arial Unicode MS" w:cs="Arial" w:hint="eastAsia"/>
          <w:b/>
          <w:bCs/>
          <w:sz w:val="28"/>
          <w:szCs w:val="28"/>
        </w:rPr>
        <w:t>侧袋机制</w:t>
      </w:r>
      <w:bookmarkEnd w:id="114"/>
      <w:bookmarkEnd w:id="115"/>
    </w:p>
    <w:p w14:paraId="0151B676" w14:textId="77777777" w:rsidR="00A6605D" w:rsidRDefault="00A6605D"/>
    <w:p w14:paraId="36D183CA"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一、侧袋机制的实施条件</w:t>
      </w:r>
    </w:p>
    <w:p w14:paraId="1EB9BBB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56625C67"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基金管理人应当在启用侧袋机制后及时发布临时公告，并及时聘请侧袋机制启用日发表意见且符合《中华人民共和国证券法》规定的会计师事务所进行审计并披露专项审计意见。</w:t>
      </w:r>
    </w:p>
    <w:p w14:paraId="167FB2DD"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二、实施侧袋机制期间基金份额的申购与赎回</w:t>
      </w:r>
    </w:p>
    <w:p w14:paraId="3BFD7ACA"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065C5B3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实施侧袋机制期间，基金管理人应对侧袋账户份额实行独立管理，主袋账户沿用原基金代码，侧袋账户使用独立的基金代码。基金管理人不办理侧袋账户份额的申购、赎回和转换；同时，基金管理人按照基金合同和招募说明书的约定办理主袋账户份额的赎回，并根据主袋账户运作情况确定是否暂停申购，具体事项届时将由基金管理人在相关公告中规定。</w:t>
      </w:r>
    </w:p>
    <w:p w14:paraId="20234F67"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基金管理人应按照主袋账户的份额净值办理主袋账户份额的申购和赎回。本招募说明书“基金份额的申购与赎回”部分的申购、赎回规定适用于主袋账户份额。巨额赎回按照单个开放日内主袋账户份额净赎回申请超过前一开放日的主袋账户总份额的</w:t>
      </w:r>
      <w:r>
        <w:rPr>
          <w:rFonts w:ascii="Arial Unicode MS" w:hAnsi="Arial Unicode MS" w:cs="Arial"/>
          <w:bCs/>
          <w:szCs w:val="21"/>
        </w:rPr>
        <w:t>1</w:t>
      </w:r>
      <w:r>
        <w:rPr>
          <w:rFonts w:ascii="Arial Unicode MS" w:hAnsi="Arial Unicode MS" w:cs="Arial" w:hint="eastAsia"/>
          <w:bCs/>
          <w:szCs w:val="21"/>
        </w:rPr>
        <w:t>0%</w:t>
      </w:r>
      <w:r>
        <w:rPr>
          <w:rFonts w:ascii="Arial Unicode MS" w:hAnsi="Arial Unicode MS" w:cs="Arial" w:hint="eastAsia"/>
          <w:bCs/>
          <w:szCs w:val="21"/>
        </w:rPr>
        <w:t>认定。</w:t>
      </w:r>
    </w:p>
    <w:p w14:paraId="05A9EBC7"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三、实施侧袋机制期间的基金投资及业绩</w:t>
      </w:r>
    </w:p>
    <w:p w14:paraId="62C6DE19"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024356C1"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基金管理人原则上应当在侧袋机制启用后</w:t>
      </w:r>
      <w:r>
        <w:rPr>
          <w:rFonts w:ascii="Arial Unicode MS" w:hAnsi="Arial Unicode MS" w:cs="Arial" w:hint="eastAsia"/>
          <w:bCs/>
          <w:szCs w:val="21"/>
        </w:rPr>
        <w:t>20</w:t>
      </w:r>
      <w:r>
        <w:rPr>
          <w:rFonts w:ascii="Arial Unicode MS" w:hAnsi="Arial Unicode MS" w:cs="Arial" w:hint="eastAsia"/>
          <w:bCs/>
          <w:szCs w:val="21"/>
        </w:rPr>
        <w:t>个交易日内完成对主袋账户投资组合的调整，因资产流动性受限等中国证监会规定的情形除外。</w:t>
      </w:r>
    </w:p>
    <w:p w14:paraId="6C63CC47"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基金管理人不得在侧袋账户中进行除特定资产处置变现以外的其他投资操作。</w:t>
      </w:r>
    </w:p>
    <w:p w14:paraId="4BA0B967"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机制实施期间，基金管理人、基金服务机构在计算基金业绩相关指标时仅考虑主袋账户资产，分割侧袋账户资产导致的基金净资产减少在计算基金业绩相关指标时按投资损失处理。基金管理人、基金服务机构在展示基金业绩时，应当就前述情况进行充分的解释说明，避免引起投资者误解。</w:t>
      </w:r>
    </w:p>
    <w:p w14:paraId="6FF58DB1"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四、实施侧袋机制期间的基金估值与会计核算</w:t>
      </w:r>
    </w:p>
    <w:p w14:paraId="3A49A10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本基金实施侧袋机制的，基金管理人和基金托管人应对主袋账户资产进行估值并披露主</w:t>
      </w:r>
      <w:r>
        <w:rPr>
          <w:rFonts w:ascii="Arial Unicode MS" w:hAnsi="Arial Unicode MS" w:cs="Arial" w:hint="eastAsia"/>
          <w:bCs/>
          <w:szCs w:val="21"/>
        </w:rPr>
        <w:lastRenderedPageBreak/>
        <w:t>袋账户的基金净值信息，暂停披露侧袋账户的基金净值信息。侧袋机制实施期间，基金管理人应对侧袋账户单独设置账套，实行独立核算。如果本基金同时存在多个侧袋账户，不同侧袋账户应分开进行核算。侧袋账户的会计核算应符合《企业会计准则》的相关要求。</w:t>
      </w:r>
    </w:p>
    <w:p w14:paraId="35B29E2C" w14:textId="77777777" w:rsidR="00A6605D" w:rsidRDefault="00413D7E">
      <w:pPr>
        <w:snapToGrid w:val="0"/>
        <w:spacing w:line="360" w:lineRule="auto"/>
        <w:ind w:firstLineChars="200" w:firstLine="422"/>
        <w:rPr>
          <w:rFonts w:ascii="Arial Unicode MS" w:hAnsi="Arial Unicode MS" w:cs="Arial"/>
          <w:bCs/>
          <w:szCs w:val="21"/>
        </w:rPr>
      </w:pPr>
      <w:r>
        <w:rPr>
          <w:rFonts w:ascii="Arial Unicode MS" w:hAnsi="Arial Unicode MS" w:cs="Arial" w:hint="eastAsia"/>
          <w:b/>
          <w:bCs/>
          <w:szCs w:val="21"/>
        </w:rPr>
        <w:t>五、实施侧袋机制期间的基金费用</w:t>
      </w:r>
    </w:p>
    <w:p w14:paraId="206ACCA9"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实施侧袋机制的，主袋账户的管理费和托管费按主袋账户基金资产净值作为基数计提；与侧袋账户有关的费用可从侧袋账户中列支，但应待侧袋账户资产变现后方可列支，有关费用可酌情收取或减免，但不得收取管理费，其他费用详见相关公告的规定。因启用侧袋机制产生的咨询、审计费用等由基金管理人承担。</w:t>
      </w:r>
    </w:p>
    <w:p w14:paraId="3C3A3E98"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六、侧袋账户中特定资产的处置变现和支付</w:t>
      </w:r>
    </w:p>
    <w:p w14:paraId="218026D6"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特定资产以可出售、可转让、恢复交易等方式恢复流动性后，基金管理人应当按照基金份额持有人利益最大化原则，采取将特定资产予以处置变现等方式，及时向侧袋账户份额持有人支付对应变现款项。</w:t>
      </w:r>
    </w:p>
    <w:p w14:paraId="4C5E9C8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64A70CFA"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侧袋账户资产全部完成变现并终止侧袋机制后，基金管理人应及时聘请符合《中华人民共和国证券法》规定的会计师事务所进行审计并披露专项审计意见。</w:t>
      </w:r>
    </w:p>
    <w:p w14:paraId="77A9C648"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侧袋账户资产完全清算后，基金管理人应注销侧袋账户。</w:t>
      </w:r>
    </w:p>
    <w:p w14:paraId="4728B4D6"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七、侧袋机制的信息披露</w:t>
      </w:r>
    </w:p>
    <w:p w14:paraId="7FAE592B"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、临时公告</w:t>
      </w:r>
    </w:p>
    <w:p w14:paraId="5E9FC83F"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在启用侧袋机制、处置特定资产、终止侧袋机制以及发生其他可能对投资者利益产生重大影响的事项后基金管理人应及时发布临时公告。</w:t>
      </w:r>
    </w:p>
    <w:p w14:paraId="32D1FC05"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、基金净值信息</w:t>
      </w:r>
    </w:p>
    <w:p w14:paraId="3CBE0B35"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基金管理人应按照招募说明书“基金的信息披露”部分规定的基金净值信息披露方式和频率披露主袋账户份额的基金份额净值和基金份额累计净值。实施侧袋机制期间，本基金暂停披露侧袋账户的基金净值信息。</w:t>
      </w:r>
    </w:p>
    <w:p w14:paraId="61C0BD5A"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、定期报告</w:t>
      </w:r>
    </w:p>
    <w:p w14:paraId="3A2D2260"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机制实施期间，基金管理人应当在基金定期报告中披露报告期内侧袋账户相关信息，基金定期报告中的基金会计报表仅需针对主袋账户进行编制。侧袋账户相关信息在定期报告中单独进行披露。会计师事务所对基金年度报告进行审计时，应对报告期内基金侧袋机制运行相关的会计核算和年度报告披露，执行适当程序并发表审计意见。</w:t>
      </w:r>
    </w:p>
    <w:p w14:paraId="708CA04D"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八、本部分关于侧袋机制的相关规定，凡是直接引用法律法规的部分，如将来法律法规修改导致相关内容被取消或变更的，或将来法律法规或监管规则针对侧袋机制的内容有</w:t>
      </w:r>
      <w:r>
        <w:rPr>
          <w:rFonts w:ascii="Arial Unicode MS" w:hAnsi="Arial Unicode MS" w:cs="Arial" w:hint="eastAsia"/>
          <w:b/>
          <w:bCs/>
          <w:szCs w:val="21"/>
        </w:rPr>
        <w:lastRenderedPageBreak/>
        <w:t>进一步规定的，基金管理人经与基金托管人协商一致并履行适当程序后，在对基金份额持有人利益无实质性不利影响的前提下，可直接对本部分内容进行修改和调整，无需召开基金份额持有人大会审议。</w:t>
      </w:r>
    </w:p>
    <w:p w14:paraId="5DEEAB99" w14:textId="77777777" w:rsidR="00A6605D" w:rsidRDefault="00A6605D">
      <w:pPr>
        <w:snapToGrid w:val="0"/>
        <w:spacing w:line="360" w:lineRule="auto"/>
        <w:ind w:firstLineChars="200" w:firstLine="420"/>
        <w:rPr>
          <w:rFonts w:ascii="Arial Unicode MS" w:hAnsi="Arial Unicode MS" w:cs="Arial"/>
          <w:bCs/>
          <w:szCs w:val="21"/>
        </w:rPr>
      </w:pPr>
    </w:p>
    <w:p w14:paraId="2839EFB7" w14:textId="77777777" w:rsidR="00A6605D" w:rsidRDefault="00A6605D"/>
    <w:p w14:paraId="51ADFEDE" w14:textId="77777777" w:rsidR="00A6605D" w:rsidRDefault="00A6605D"/>
    <w:p w14:paraId="1B177E1E" w14:textId="77777777" w:rsidR="00A6605D" w:rsidRDefault="00A6605D"/>
    <w:p w14:paraId="6F4DF4DA" w14:textId="77777777" w:rsidR="00A6605D" w:rsidRDefault="00A6605D"/>
    <w:p w14:paraId="1CB732A1" w14:textId="77777777" w:rsidR="00A6605D" w:rsidRDefault="00A6605D"/>
    <w:p w14:paraId="3B1DFF77" w14:textId="77777777" w:rsidR="00A6605D" w:rsidRDefault="00A6605D"/>
    <w:p w14:paraId="08DE3BD2" w14:textId="77777777" w:rsidR="00A6605D" w:rsidRDefault="00A6605D"/>
    <w:p w14:paraId="50A9949F" w14:textId="77777777" w:rsidR="00A6605D" w:rsidRDefault="00A6605D"/>
    <w:p w14:paraId="14B76D7C" w14:textId="77777777" w:rsidR="00A6605D" w:rsidRDefault="00A6605D"/>
    <w:p w14:paraId="5BEFD9BB" w14:textId="77777777" w:rsidR="00A6605D" w:rsidRDefault="00A6605D"/>
    <w:p w14:paraId="1B80B0CE" w14:textId="77777777" w:rsidR="00A6605D" w:rsidRDefault="00A6605D"/>
    <w:p w14:paraId="330B8875" w14:textId="77777777" w:rsidR="00A6605D" w:rsidRDefault="00A6605D"/>
    <w:p w14:paraId="5C7EBE21" w14:textId="77777777" w:rsidR="00A6605D" w:rsidRDefault="00A6605D"/>
    <w:p w14:paraId="0550D8BA" w14:textId="77777777" w:rsidR="00A6605D" w:rsidRDefault="00A6605D"/>
    <w:p w14:paraId="0996F7CB" w14:textId="77777777" w:rsidR="00A6605D" w:rsidRDefault="00A6605D"/>
    <w:p w14:paraId="7FACDE44" w14:textId="77777777" w:rsidR="00A6605D" w:rsidRDefault="00A6605D"/>
    <w:p w14:paraId="25D7C766" w14:textId="77777777" w:rsidR="00A6605D" w:rsidRDefault="00A6605D"/>
    <w:p w14:paraId="62094EB9" w14:textId="77777777" w:rsidR="00A6605D" w:rsidRDefault="00A6605D"/>
    <w:p w14:paraId="1A1DF1AA" w14:textId="77777777" w:rsidR="00A6605D" w:rsidRDefault="00A6605D"/>
    <w:p w14:paraId="09CCD42A" w14:textId="77777777" w:rsidR="00A6605D" w:rsidRDefault="00A6605D"/>
    <w:p w14:paraId="11F3F4BA" w14:textId="77777777" w:rsidR="00A6605D" w:rsidRDefault="00A6605D"/>
    <w:p w14:paraId="57003027" w14:textId="77777777" w:rsidR="00A6605D" w:rsidRDefault="00A6605D"/>
    <w:p w14:paraId="3D4424EE" w14:textId="77777777" w:rsidR="00A6605D" w:rsidRDefault="00A6605D"/>
    <w:p w14:paraId="7A49935A" w14:textId="77777777" w:rsidR="00A6605D" w:rsidRDefault="00A6605D"/>
    <w:p w14:paraId="73A6DC2D" w14:textId="77777777" w:rsidR="00A6605D" w:rsidRDefault="00A6605D"/>
    <w:p w14:paraId="6359AD8C" w14:textId="77777777" w:rsidR="00A6605D" w:rsidRDefault="00A6605D"/>
    <w:p w14:paraId="0263AFCD" w14:textId="77777777" w:rsidR="00A6605D" w:rsidRDefault="00A6605D"/>
    <w:p w14:paraId="455BFA14" w14:textId="77777777" w:rsidR="00A6605D" w:rsidRDefault="00A6605D"/>
    <w:p w14:paraId="7495AA5B" w14:textId="77777777" w:rsidR="00A6605D" w:rsidRDefault="00A6605D"/>
    <w:p w14:paraId="2CB554C7" w14:textId="77777777" w:rsidR="00A6605D" w:rsidRDefault="00A6605D"/>
    <w:p w14:paraId="4382298A" w14:textId="77777777" w:rsidR="00A6605D" w:rsidRDefault="00A6605D"/>
    <w:p w14:paraId="73806567" w14:textId="77777777" w:rsidR="00A6605D" w:rsidRDefault="00A6605D"/>
    <w:p w14:paraId="1FBF0B31" w14:textId="77777777" w:rsidR="00A6605D" w:rsidRDefault="00A6605D"/>
    <w:p w14:paraId="7F1D2A7E" w14:textId="77777777" w:rsidR="00A6605D" w:rsidRDefault="00A6605D"/>
    <w:p w14:paraId="1CF41FDB" w14:textId="77777777" w:rsidR="00A6605D" w:rsidRDefault="00A6605D"/>
    <w:p w14:paraId="5C76E69B" w14:textId="77777777" w:rsidR="00A6605D" w:rsidRDefault="00A6605D"/>
    <w:p w14:paraId="58799E2D" w14:textId="77777777" w:rsidR="00A6605D" w:rsidRDefault="00A6605D"/>
    <w:p w14:paraId="4CB60455" w14:textId="77777777" w:rsidR="00A6605D" w:rsidRDefault="00A6605D"/>
    <w:p w14:paraId="7DD0FE80" w14:textId="77777777" w:rsidR="00A6605D" w:rsidRDefault="00A6605D"/>
    <w:p w14:paraId="55C07B98" w14:textId="77777777" w:rsidR="00A6605D" w:rsidRDefault="00413D7E">
      <w:pPr>
        <w:widowControl/>
        <w:jc w:val="left"/>
      </w:pPr>
      <w:r>
        <w:br w:type="page"/>
      </w:r>
    </w:p>
    <w:p w14:paraId="5452633D" w14:textId="77777777" w:rsidR="00A6605D" w:rsidRDefault="00413D7E">
      <w:pPr>
        <w:pStyle w:val="11"/>
        <w:snapToGrid w:val="0"/>
        <w:spacing w:before="0" w:after="0" w:line="360" w:lineRule="auto"/>
        <w:rPr>
          <w:rFonts w:ascii="Arial Unicode MS" w:eastAsia="宋体" w:hAnsi="Arial Unicode MS"/>
          <w:b/>
          <w:sz w:val="28"/>
          <w:szCs w:val="28"/>
        </w:rPr>
      </w:pPr>
      <w:bookmarkStart w:id="116" w:name="_Toc63676452"/>
      <w:r>
        <w:rPr>
          <w:rFonts w:ascii="Arial Unicode MS" w:eastAsia="宋体" w:hAnsi="Arial Unicode MS" w:cs="Arial"/>
          <w:b/>
          <w:bCs/>
          <w:sz w:val="28"/>
          <w:szCs w:val="28"/>
        </w:rPr>
        <w:lastRenderedPageBreak/>
        <w:t>第</w:t>
      </w:r>
      <w:r>
        <w:rPr>
          <w:rFonts w:ascii="Arial Unicode MS" w:eastAsia="宋体" w:hAnsi="Arial Unicode MS"/>
          <w:b/>
          <w:sz w:val="28"/>
          <w:szCs w:val="28"/>
        </w:rPr>
        <w:t>十</w:t>
      </w:r>
      <w:r>
        <w:rPr>
          <w:rFonts w:ascii="Arial Unicode MS" w:eastAsia="宋体" w:hAnsi="Arial Unicode MS" w:hint="eastAsia"/>
          <w:b/>
          <w:sz w:val="28"/>
          <w:szCs w:val="28"/>
        </w:rPr>
        <w:t>七</w:t>
      </w:r>
      <w:r>
        <w:rPr>
          <w:rFonts w:ascii="Arial Unicode MS" w:eastAsia="宋体" w:hAnsi="Arial Unicode MS"/>
          <w:b/>
          <w:sz w:val="28"/>
          <w:szCs w:val="28"/>
        </w:rPr>
        <w:t>部分</w:t>
      </w:r>
      <w:r>
        <w:rPr>
          <w:rFonts w:ascii="Arial Unicode MS" w:eastAsia="宋体" w:hAnsi="Arial Unicode MS"/>
          <w:b/>
          <w:sz w:val="28"/>
          <w:szCs w:val="28"/>
        </w:rPr>
        <w:t xml:space="preserve">  </w:t>
      </w:r>
      <w:r>
        <w:rPr>
          <w:rFonts w:ascii="Arial Unicode MS" w:eastAsia="宋体" w:hAnsi="Arial Unicode MS"/>
          <w:b/>
          <w:sz w:val="28"/>
          <w:szCs w:val="28"/>
        </w:rPr>
        <w:t>风险揭示</w:t>
      </w:r>
      <w:bookmarkEnd w:id="106"/>
      <w:bookmarkEnd w:id="107"/>
      <w:bookmarkEnd w:id="108"/>
      <w:bookmarkEnd w:id="109"/>
      <w:bookmarkEnd w:id="110"/>
      <w:bookmarkEnd w:id="111"/>
      <w:bookmarkEnd w:id="112"/>
      <w:bookmarkEnd w:id="113"/>
      <w:bookmarkEnd w:id="116"/>
    </w:p>
    <w:p w14:paraId="77B60003" w14:textId="77777777" w:rsidR="00A6605D" w:rsidRDefault="00A6605D"/>
    <w:p w14:paraId="1C2B5FAA" w14:textId="77777777" w:rsidR="00A6605D" w:rsidRDefault="00413D7E">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一、投资于本基金的主要风险</w:t>
      </w:r>
    </w:p>
    <w:p w14:paraId="4701B7E0"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投资于本基金的主要风险有：</w:t>
      </w:r>
    </w:p>
    <w:p w14:paraId="27F7F247"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、市场风险</w:t>
      </w:r>
    </w:p>
    <w:p w14:paraId="6E1668D4"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证券市场价格受到各种因素的影响，导致基金收益水平变化而产生风险，主要包括：</w:t>
      </w:r>
    </w:p>
    <w:p w14:paraId="6CC08174"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）政策风险。因国家宏观政策（如货币政策、财政政策、行业政策、地区发展政策等）发生变化，导致市场价格波动而产生风险。</w:t>
      </w:r>
    </w:p>
    <w:p w14:paraId="30332379"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34E494D3"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）利率风险。金融市场利率的波动会导致证券市场价格和收益率的变动。</w:t>
      </w:r>
    </w:p>
    <w:p w14:paraId="402E4183"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）通货膨胀风险。如果发生通货膨胀，基金投资于证券所获得的收益可能会被通货膨胀抵消，从而影响基金资产的保值增值。</w:t>
      </w:r>
    </w:p>
    <w:p w14:paraId="499416C8"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513AC87A"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、信用风险</w:t>
      </w:r>
    </w:p>
    <w:p w14:paraId="5729D7A5"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7B42C149"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、流动性风险</w:t>
      </w:r>
    </w:p>
    <w:p w14:paraId="4AFE0062"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0D619AFA" w14:textId="77777777" w:rsidR="00A6605D" w:rsidRDefault="00413D7E">
      <w:pPr>
        <w:pStyle w:val="aff2"/>
        <w:numPr>
          <w:ilvl w:val="0"/>
          <w:numId w:val="6"/>
        </w:numPr>
        <w:adjustRightInd w:val="0"/>
        <w:snapToGrid w:val="0"/>
        <w:ind w:firstLineChars="0"/>
        <w:rPr>
          <w:rFonts w:ascii="Arial Unicode MS" w:hAnsi="Arial Unicode MS"/>
          <w:bCs w:val="0"/>
        </w:rPr>
      </w:pPr>
      <w:r>
        <w:rPr>
          <w:rFonts w:ascii="Arial Unicode MS" w:hAnsi="Arial Unicode MS" w:hint="eastAsia"/>
        </w:rPr>
        <w:t>本基金的申购、赎回安排</w:t>
      </w:r>
    </w:p>
    <w:p w14:paraId="74832775"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投资人具体请参见基金合同“第六部分</w:t>
      </w:r>
      <w:r>
        <w:rPr>
          <w:rFonts w:ascii="Arial Unicode MS" w:hAnsi="Arial Unicode MS" w:cs="Arial" w:hint="eastAsia"/>
          <w:bCs/>
          <w:szCs w:val="21"/>
        </w:rPr>
        <w:t xml:space="preserve"> </w:t>
      </w:r>
      <w:r>
        <w:rPr>
          <w:rFonts w:ascii="Arial Unicode MS" w:hAnsi="Arial Unicode MS" w:cs="Arial" w:hint="eastAsia"/>
          <w:bCs/>
          <w:szCs w:val="21"/>
        </w:rPr>
        <w:t>基金份额的申购与赎回”和本招募说明书“第八部分</w:t>
      </w:r>
      <w:r>
        <w:rPr>
          <w:rFonts w:ascii="Arial Unicode MS" w:hAnsi="Arial Unicode MS" w:cs="Arial" w:hint="eastAsia"/>
          <w:bCs/>
          <w:szCs w:val="21"/>
        </w:rPr>
        <w:t xml:space="preserve"> </w:t>
      </w:r>
      <w:r>
        <w:rPr>
          <w:rFonts w:ascii="Arial Unicode MS" w:hAnsi="Arial Unicode MS" w:cs="Arial" w:hint="eastAsia"/>
          <w:bCs/>
          <w:szCs w:val="21"/>
        </w:rPr>
        <w:t>基金份额的申购与赎回”，详细了解本基金的申购以及赎回安排。</w:t>
      </w:r>
    </w:p>
    <w:p w14:paraId="668DAE02"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本基金发生流动性风险时，基金管理人可以综合利用备用的流动性风险管理工具以减少或应对基金的流动性风险，投资者可能面临赎回申请被暂停接受或延期办理、赎回款项被延缓支付、被收取短期赎回费、基金估值被暂停、基金采用摆动定价等风险。投资者应该了解自身的流动性偏好，并评估是否与本基金的流动性风险匹配。</w:t>
      </w:r>
    </w:p>
    <w:p w14:paraId="64598254" w14:textId="77777777" w:rsidR="00A6605D" w:rsidRDefault="00413D7E">
      <w:pPr>
        <w:pStyle w:val="aff2"/>
        <w:numPr>
          <w:ilvl w:val="0"/>
          <w:numId w:val="6"/>
        </w:numPr>
        <w:adjustRightInd w:val="0"/>
        <w:snapToGrid w:val="0"/>
        <w:ind w:firstLineChars="0"/>
        <w:rPr>
          <w:rFonts w:ascii="Arial Unicode MS" w:hAnsi="Arial Unicode MS"/>
          <w:bCs w:val="0"/>
        </w:rPr>
      </w:pPr>
      <w:r>
        <w:rPr>
          <w:rFonts w:ascii="Arial Unicode MS" w:hAnsi="Arial Unicode MS" w:hint="eastAsia"/>
        </w:rPr>
        <w:t>拟投资市场、行业及资产的流动性风险评估</w:t>
      </w:r>
    </w:p>
    <w:p w14:paraId="58E9B72B"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本基金主要投资于债券、货币市场工具等具有良好流动性的金融工具，资本市场成交活</w:t>
      </w:r>
      <w:r>
        <w:rPr>
          <w:rFonts w:ascii="Arial Unicode MS" w:hAnsi="Arial Unicode MS" w:cs="Arial" w:hint="eastAsia"/>
          <w:bCs/>
          <w:szCs w:val="21"/>
        </w:rPr>
        <w:lastRenderedPageBreak/>
        <w:t>跃程度、基金持仓资产的变现能力以及投资者的申购</w:t>
      </w:r>
      <w:r>
        <w:rPr>
          <w:rFonts w:ascii="Arial Unicode MS" w:hAnsi="Arial Unicode MS" w:cs="Arial" w:hint="eastAsia"/>
          <w:bCs/>
          <w:szCs w:val="21"/>
        </w:rPr>
        <w:t>/</w:t>
      </w:r>
      <w:r>
        <w:rPr>
          <w:rFonts w:ascii="Arial Unicode MS" w:hAnsi="Arial Unicode MS" w:cs="Arial" w:hint="eastAsia"/>
          <w:bCs/>
          <w:szCs w:val="21"/>
        </w:rPr>
        <w:t>赎回行为将对本基金所面临的流动性风险产生直接影响。资本市场成交量低迷、基金持仓集中度过高、基金资产变现能力下降、单一基金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14:paraId="1924C09E"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）巨额赎回情形下的流动性风险管理措施</w:t>
      </w:r>
      <w:r>
        <w:rPr>
          <w:rFonts w:ascii="Arial Unicode MS" w:hAnsi="Arial Unicode MS" w:cs="Arial" w:hint="eastAsia"/>
          <w:bCs/>
          <w:szCs w:val="21"/>
        </w:rPr>
        <w:t xml:space="preserve"> </w:t>
      </w:r>
    </w:p>
    <w:p w14:paraId="31FE38A1"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00CF3A0E"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上述各类流动性风险管理工具包括但不限于：</w:t>
      </w:r>
      <w:r>
        <w:rPr>
          <w:rFonts w:ascii="Arial Unicode MS" w:hAnsi="Arial Unicode MS" w:cs="Arial" w:hint="eastAsia"/>
          <w:bCs/>
          <w:szCs w:val="21"/>
        </w:rPr>
        <w:t xml:space="preserve"> 1</w:t>
      </w:r>
      <w:r>
        <w:rPr>
          <w:rFonts w:ascii="Arial Unicode MS" w:hAnsi="Arial Unicode MS" w:cs="Arial" w:hint="eastAsia"/>
          <w:bCs/>
          <w:szCs w:val="21"/>
        </w:rPr>
        <w:t>、</w:t>
      </w:r>
      <w:r>
        <w:rPr>
          <w:rFonts w:ascii="Arial Unicode MS" w:hAnsi="Arial Unicode MS" w:cs="Arial" w:hint="eastAsia"/>
          <w:bCs/>
          <w:szCs w:val="21"/>
        </w:rPr>
        <w:t xml:space="preserve"> </w:t>
      </w:r>
      <w:r>
        <w:rPr>
          <w:rFonts w:ascii="Arial Unicode MS" w:hAnsi="Arial Unicode MS" w:cs="Arial" w:hint="eastAsia"/>
          <w:bCs/>
          <w:szCs w:val="21"/>
        </w:rPr>
        <w:t>延期办理巨额赎回申请；</w:t>
      </w:r>
      <w:r>
        <w:rPr>
          <w:rFonts w:ascii="Arial Unicode MS" w:hAnsi="Arial Unicode MS" w:cs="Arial" w:hint="eastAsia"/>
          <w:bCs/>
          <w:szCs w:val="21"/>
        </w:rPr>
        <w:t xml:space="preserve"> 2</w:t>
      </w:r>
      <w:r>
        <w:rPr>
          <w:rFonts w:ascii="Arial Unicode MS" w:hAnsi="Arial Unicode MS" w:cs="Arial" w:hint="eastAsia"/>
          <w:bCs/>
          <w:szCs w:val="21"/>
        </w:rPr>
        <w:t>、暂停接受赎回申请；</w:t>
      </w:r>
      <w:r>
        <w:rPr>
          <w:rFonts w:ascii="Arial Unicode MS" w:hAnsi="Arial Unicode MS" w:cs="Arial" w:hint="eastAsia"/>
          <w:bCs/>
          <w:szCs w:val="21"/>
        </w:rPr>
        <w:t>3</w:t>
      </w:r>
      <w:r>
        <w:rPr>
          <w:rFonts w:ascii="Arial Unicode MS" w:hAnsi="Arial Unicode MS" w:cs="Arial" w:hint="eastAsia"/>
          <w:bCs/>
          <w:szCs w:val="21"/>
        </w:rPr>
        <w:t>、延缓支付赎回款项；</w:t>
      </w:r>
      <w:r>
        <w:rPr>
          <w:rFonts w:ascii="Arial Unicode MS" w:hAnsi="Arial Unicode MS" w:cs="Arial" w:hint="eastAsia"/>
          <w:bCs/>
          <w:szCs w:val="21"/>
        </w:rPr>
        <w:t>4</w:t>
      </w:r>
      <w:r>
        <w:rPr>
          <w:rFonts w:ascii="Arial Unicode MS" w:hAnsi="Arial Unicode MS" w:cs="Arial" w:hint="eastAsia"/>
          <w:bCs/>
          <w:szCs w:val="21"/>
        </w:rPr>
        <w:t>、收取短期赎回费；</w:t>
      </w:r>
      <w:r>
        <w:rPr>
          <w:rFonts w:ascii="Arial Unicode MS" w:hAnsi="Arial Unicode MS" w:cs="Arial" w:hint="eastAsia"/>
          <w:bCs/>
          <w:szCs w:val="21"/>
        </w:rPr>
        <w:t>5</w:t>
      </w:r>
      <w:r>
        <w:rPr>
          <w:rFonts w:ascii="Arial Unicode MS" w:hAnsi="Arial Unicode MS" w:cs="Arial" w:hint="eastAsia"/>
          <w:bCs/>
          <w:szCs w:val="21"/>
        </w:rPr>
        <w:t>、暂停基金估值；</w:t>
      </w:r>
      <w:r>
        <w:rPr>
          <w:rFonts w:ascii="Arial Unicode MS" w:hAnsi="Arial Unicode MS" w:cs="Arial" w:hint="eastAsia"/>
          <w:bCs/>
          <w:szCs w:val="21"/>
        </w:rPr>
        <w:t xml:space="preserve"> 6</w:t>
      </w:r>
      <w:r>
        <w:rPr>
          <w:rFonts w:ascii="Arial Unicode MS" w:hAnsi="Arial Unicode MS" w:cs="Arial" w:hint="eastAsia"/>
          <w:bCs/>
          <w:szCs w:val="21"/>
        </w:rPr>
        <w:t>、中国证监会认定的其他措施。</w:t>
      </w:r>
    </w:p>
    <w:p w14:paraId="28F2DC17"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在采用上述流动性风险管理工具时，</w:t>
      </w:r>
      <w:r>
        <w:rPr>
          <w:rFonts w:ascii="Arial Unicode MS" w:hAnsi="Arial Unicode MS" w:cs="Arial" w:hint="eastAsia"/>
          <w:bCs/>
          <w:szCs w:val="21"/>
        </w:rPr>
        <w:t xml:space="preserve"> </w:t>
      </w:r>
      <w:r>
        <w:rPr>
          <w:rFonts w:ascii="Arial Unicode MS" w:hAnsi="Arial Unicode MS" w:cs="Arial" w:hint="eastAsia"/>
          <w:bCs/>
          <w:szCs w:val="21"/>
        </w:rPr>
        <w:t>基金管理人严格遵守法律法规及基金合同的约定，确保相关工具实施的及时、有序、透明及公平。</w:t>
      </w:r>
    </w:p>
    <w:p w14:paraId="07F23042"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）实施备用的流动性风险管理工具的情形、程序及对投资者的潜在影响</w:t>
      </w:r>
    </w:p>
    <w:p w14:paraId="7132010B"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）实施备用流动性风险管理工具的情形：在本基金发生巨额赎回的情形下，本基金管理人将实施备用流动性风险管理工具。</w:t>
      </w:r>
    </w:p>
    <w:p w14:paraId="265EF9DF"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24A4AD6A"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）实施备用流动性风险管理工具对投资者的影响：在实施备用流动性风险管理工具的情形下，可能会导致本基金份额持有人的部分或全部赎回申请被确认失败或者被收取短期赎回费。</w:t>
      </w:r>
    </w:p>
    <w:p w14:paraId="5C9D8755"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）实施侧袋机制对投资者的影响</w:t>
      </w:r>
    </w:p>
    <w:p w14:paraId="225DC131"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w:t>
      </w:r>
      <w:r>
        <w:rPr>
          <w:rFonts w:ascii="Arial Unicode MS" w:hAnsi="Arial Unicode MS" w:cs="Arial" w:hint="eastAsia"/>
          <w:bCs/>
          <w:szCs w:val="21"/>
        </w:rPr>
        <w:lastRenderedPageBreak/>
        <w:t>换，仅主袋账户份额按规定开放赎回，因此启用侧袋机制时持有基金份额的持有人将在启用侧袋机制后同时拥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01C92B34"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实施侧袋机制期间，基金管理人计算各项投资运作指标和基金业绩指标时以主袋账户资产为基准，不反映侧袋账户特定资产的真实价值及变化情况。本基金不披露侧袋账户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1D8B186C"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基金管理人将根据主袋账户运作情况合理确定申购政策，因此实施侧袋机制后主袋账户份额存在暂停申购的可能。</w:t>
      </w:r>
    </w:p>
    <w:p w14:paraId="7C34B95B"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、操作风险</w:t>
      </w:r>
    </w:p>
    <w:p w14:paraId="0DB7CBE7"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Pr>
          <w:rFonts w:ascii="Arial Unicode MS" w:hAnsi="Arial Unicode MS" w:cs="Arial" w:hint="eastAsia"/>
          <w:bCs/>
          <w:szCs w:val="21"/>
        </w:rPr>
        <w:t>IT</w:t>
      </w:r>
      <w:r>
        <w:rPr>
          <w:rFonts w:ascii="Arial Unicode MS" w:hAnsi="Arial Unicode MS" w:cs="Arial" w:hint="eastAsia"/>
          <w:bCs/>
          <w:szCs w:val="21"/>
        </w:rPr>
        <w:t>系统故障等风险。</w:t>
      </w:r>
    </w:p>
    <w:p w14:paraId="5F160980"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、管理风险</w:t>
      </w:r>
    </w:p>
    <w:p w14:paraId="6B775042"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5B4EEF3B"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、合规风险</w:t>
      </w:r>
    </w:p>
    <w:p w14:paraId="7E3CA2FD"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合规风险指基金管理或运作过程中，违反国家法律、法规的规定，或者违反《基金合同》有关规定的风险。</w:t>
      </w:r>
    </w:p>
    <w:p w14:paraId="7745CE13"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、本基金的特有风险</w:t>
      </w:r>
    </w:p>
    <w:p w14:paraId="4BFFAD02" w14:textId="77777777" w:rsidR="00A6605D" w:rsidRDefault="00413D7E">
      <w:pPr>
        <w:adjustRightInd w:val="0"/>
        <w:snapToGrid w:val="0"/>
        <w:spacing w:line="360" w:lineRule="auto"/>
        <w:ind w:firstLineChars="200" w:firstLine="420"/>
        <w:rPr>
          <w:rFonts w:ascii="Arial Unicode MS" w:hAnsi="Arial Unicode MS"/>
          <w:szCs w:val="21"/>
        </w:rPr>
      </w:pPr>
      <w:r>
        <w:rPr>
          <w:rFonts w:ascii="Arial Unicode MS" w:hAnsi="Arial Unicode MS" w:hint="eastAsia"/>
          <w:szCs w:val="21"/>
        </w:rPr>
        <w:t>本基金为债券型基金，债券的投资比例不低于基金资产的</w:t>
      </w:r>
      <w:r>
        <w:rPr>
          <w:rFonts w:ascii="Arial Unicode MS" w:hAnsi="Arial Unicode MS" w:hint="eastAsia"/>
          <w:szCs w:val="21"/>
        </w:rPr>
        <w:t>80</w:t>
      </w:r>
      <w:r>
        <w:rPr>
          <w:rFonts w:ascii="Arial Unicode MS" w:hAnsi="Arial Unicode MS" w:hint="eastAsia"/>
          <w:szCs w:val="21"/>
        </w:rPr>
        <w:t>％，该类债券的特定风险即成为本基金及投资者主要面对的特定投资风险。债券的投资收益会受到宏观经济、政府产业政策、货币政策、市场需求变化、行业波动等因素的影响，可能存在所选投资标的的成长性与市场一致预期不符而造成个券价格表现低于预期的风险。</w:t>
      </w:r>
    </w:p>
    <w:p w14:paraId="2A9CF42E" w14:textId="77777777" w:rsidR="00A6605D" w:rsidRDefault="00413D7E">
      <w:pPr>
        <w:adjustRightInd w:val="0"/>
        <w:snapToGrid w:val="0"/>
        <w:spacing w:line="360" w:lineRule="auto"/>
        <w:ind w:firstLineChars="200" w:firstLine="420"/>
        <w:rPr>
          <w:rFonts w:ascii="Arial Unicode MS" w:hAnsi="Arial Unicode MS"/>
          <w:szCs w:val="21"/>
        </w:rPr>
      </w:pPr>
      <w:r>
        <w:rPr>
          <w:rFonts w:ascii="Arial Unicode MS" w:hAnsi="Arial Unicode MS" w:hint="eastAsia"/>
          <w:szCs w:val="21"/>
        </w:rPr>
        <w:t>本基金投资资产支持证券，资产支持证券（</w:t>
      </w:r>
      <w:r>
        <w:rPr>
          <w:rFonts w:ascii="Arial Unicode MS" w:hAnsi="Arial Unicode MS" w:hint="eastAsia"/>
          <w:szCs w:val="21"/>
        </w:rPr>
        <w:t>ABS</w:t>
      </w:r>
      <w:r>
        <w:rPr>
          <w:rFonts w:ascii="Arial Unicode MS" w:hAnsi="Arial Unicode MS" w:hint="eastAsia"/>
          <w:szCs w:val="21"/>
        </w:rPr>
        <w:t>）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w:t>
      </w:r>
      <w:r>
        <w:rPr>
          <w:rFonts w:ascii="Arial Unicode MS" w:hAnsi="Arial Unicode MS" w:hint="eastAsia"/>
          <w:szCs w:val="21"/>
        </w:rPr>
        <w:lastRenderedPageBreak/>
        <w:t>的流动性风险等。</w:t>
      </w:r>
    </w:p>
    <w:p w14:paraId="62504301" w14:textId="77777777" w:rsidR="00A6605D" w:rsidRDefault="00413D7E">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二、声明</w:t>
      </w:r>
    </w:p>
    <w:p w14:paraId="3C276357"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、投资者投资于本基金，须自行承担投资风险；</w:t>
      </w:r>
    </w:p>
    <w:p w14:paraId="4E1AE29C"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、除基金管理人直接办理本基金的销售外，本基金还可以通过基金代销机构代理销售，基金管理人与基金代销机构都不能保证其收益或本金安全。</w:t>
      </w:r>
    </w:p>
    <w:p w14:paraId="78746AFC" w14:textId="77777777" w:rsidR="00A6605D" w:rsidRDefault="00A6605D">
      <w:pPr>
        <w:spacing w:line="360" w:lineRule="auto"/>
        <w:rPr>
          <w:rFonts w:ascii="Arial Unicode MS" w:hAnsi="Arial Unicode MS"/>
        </w:rPr>
      </w:pPr>
      <w:bookmarkStart w:id="117" w:name="_Toc524923235"/>
      <w:bookmarkStart w:id="118" w:name="_Toc520693803"/>
      <w:bookmarkStart w:id="119" w:name="_Toc520693901"/>
      <w:bookmarkStart w:id="120" w:name="_Toc454717524"/>
      <w:bookmarkStart w:id="121" w:name="_Toc335232705"/>
      <w:bookmarkStart w:id="122" w:name="_Toc320887656"/>
      <w:bookmarkStart w:id="123" w:name="_Toc214873606"/>
      <w:bookmarkStart w:id="124" w:name="_Toc317088551"/>
      <w:bookmarkStart w:id="125" w:name="_Toc317088154"/>
    </w:p>
    <w:p w14:paraId="25395077" w14:textId="77777777" w:rsidR="00A6605D" w:rsidRDefault="00A6605D">
      <w:pPr>
        <w:spacing w:line="360" w:lineRule="auto"/>
        <w:rPr>
          <w:rFonts w:ascii="Arial Unicode MS" w:hAnsi="Arial Unicode MS"/>
        </w:rPr>
      </w:pPr>
    </w:p>
    <w:p w14:paraId="22D0B615" w14:textId="77777777" w:rsidR="00A6605D" w:rsidRDefault="00A6605D">
      <w:pPr>
        <w:spacing w:line="360" w:lineRule="auto"/>
        <w:rPr>
          <w:rFonts w:ascii="Arial Unicode MS" w:hAnsi="Arial Unicode MS"/>
        </w:rPr>
      </w:pPr>
    </w:p>
    <w:p w14:paraId="3BE5F6BB" w14:textId="77777777" w:rsidR="00A6605D" w:rsidRDefault="00A6605D">
      <w:pPr>
        <w:spacing w:line="360" w:lineRule="auto"/>
        <w:rPr>
          <w:rFonts w:ascii="Arial Unicode MS" w:hAnsi="Arial Unicode MS"/>
        </w:rPr>
      </w:pPr>
    </w:p>
    <w:p w14:paraId="00373922" w14:textId="77777777" w:rsidR="00A6605D" w:rsidRDefault="00A6605D">
      <w:pPr>
        <w:spacing w:line="360" w:lineRule="auto"/>
        <w:rPr>
          <w:rFonts w:ascii="Arial Unicode MS" w:hAnsi="Arial Unicode MS"/>
        </w:rPr>
      </w:pPr>
    </w:p>
    <w:p w14:paraId="61976E9E" w14:textId="77777777" w:rsidR="00A6605D" w:rsidRDefault="00A6605D">
      <w:pPr>
        <w:spacing w:line="360" w:lineRule="auto"/>
        <w:rPr>
          <w:rFonts w:ascii="Arial Unicode MS" w:hAnsi="Arial Unicode MS"/>
        </w:rPr>
      </w:pPr>
    </w:p>
    <w:p w14:paraId="097B961E" w14:textId="77777777" w:rsidR="00A6605D" w:rsidRDefault="00A6605D">
      <w:pPr>
        <w:spacing w:line="360" w:lineRule="auto"/>
        <w:rPr>
          <w:rFonts w:ascii="Arial Unicode MS" w:hAnsi="Arial Unicode MS"/>
        </w:rPr>
      </w:pPr>
    </w:p>
    <w:p w14:paraId="653AC248" w14:textId="77777777" w:rsidR="00A6605D" w:rsidRDefault="00413D7E">
      <w:pPr>
        <w:widowControl/>
        <w:jc w:val="left"/>
        <w:rPr>
          <w:rFonts w:ascii="Arial Unicode MS" w:hAnsi="Arial Unicode MS"/>
        </w:rPr>
      </w:pPr>
      <w:r>
        <w:rPr>
          <w:rFonts w:ascii="Arial Unicode MS" w:hAnsi="Arial Unicode MS"/>
        </w:rPr>
        <w:br w:type="page"/>
      </w:r>
    </w:p>
    <w:p w14:paraId="1A3C25A4" w14:textId="77777777" w:rsidR="00A6605D" w:rsidRDefault="00413D7E">
      <w:pPr>
        <w:pStyle w:val="11"/>
        <w:snapToGrid w:val="0"/>
        <w:spacing w:before="0" w:after="0" w:line="360" w:lineRule="auto"/>
        <w:rPr>
          <w:rFonts w:ascii="Arial Unicode MS" w:eastAsia="宋体" w:hAnsi="Arial Unicode MS" w:cs="Arial"/>
          <w:b/>
          <w:bCs/>
          <w:sz w:val="28"/>
          <w:szCs w:val="28"/>
        </w:rPr>
      </w:pPr>
      <w:bookmarkStart w:id="126" w:name="_Toc63676453"/>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17"/>
      <w:bookmarkEnd w:id="118"/>
      <w:bookmarkEnd w:id="119"/>
      <w:bookmarkEnd w:id="120"/>
      <w:r>
        <w:rPr>
          <w:rFonts w:ascii="Arial Unicode MS" w:eastAsia="宋体" w:hAnsi="Arial Unicode MS" w:cs="Arial"/>
          <w:b/>
          <w:bCs/>
          <w:sz w:val="28"/>
          <w:szCs w:val="28"/>
        </w:rPr>
        <w:t>基金合同的变更、终止与基金财产的清算</w:t>
      </w:r>
      <w:bookmarkEnd w:id="121"/>
      <w:bookmarkEnd w:id="122"/>
      <w:bookmarkEnd w:id="123"/>
      <w:bookmarkEnd w:id="124"/>
      <w:bookmarkEnd w:id="125"/>
      <w:bookmarkEnd w:id="126"/>
    </w:p>
    <w:p w14:paraId="107CC41F" w14:textId="77777777" w:rsidR="00A6605D" w:rsidRDefault="00A6605D"/>
    <w:p w14:paraId="1D7C8DF0" w14:textId="77777777" w:rsidR="00A6605D" w:rsidRDefault="00413D7E">
      <w:pPr>
        <w:snapToGrid w:val="0"/>
        <w:spacing w:line="360" w:lineRule="auto"/>
        <w:ind w:firstLineChars="200" w:firstLine="422"/>
        <w:rPr>
          <w:rFonts w:ascii="Arial Unicode MS" w:hAnsi="Arial Unicode MS" w:cs="Arial"/>
          <w:b/>
          <w:szCs w:val="21"/>
        </w:rPr>
      </w:pPr>
      <w:bookmarkStart w:id="127" w:name="_Toc79392639"/>
      <w:r>
        <w:rPr>
          <w:rFonts w:ascii="Arial Unicode MS" w:hAnsi="Arial Unicode MS" w:cs="Arial" w:hint="eastAsia"/>
          <w:b/>
          <w:szCs w:val="21"/>
        </w:rPr>
        <w:t>一、《基金合同》的变更</w:t>
      </w:r>
    </w:p>
    <w:p w14:paraId="4E5DFE43"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变更基金合同涉及法律法规规定或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06F03486"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、关于《基金合同》变更的基金份额持有人大会决议自生效后方可执行，并自决议生效后两日内在规定媒介公告。</w:t>
      </w:r>
    </w:p>
    <w:p w14:paraId="481BA689"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二、《基金合同》的终止事由</w:t>
      </w:r>
    </w:p>
    <w:p w14:paraId="67D0B5E7"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有下列情形之一的，经履行相关程序后，《基金合同》应当终止：</w:t>
      </w:r>
    </w:p>
    <w:p w14:paraId="4CDF3A7B"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、基金份额持有人大会决定终止的；</w:t>
      </w:r>
    </w:p>
    <w:p w14:paraId="2AD3592D"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、基金管理人、基金托管人职责终止，在</w:t>
      </w:r>
      <w:r>
        <w:rPr>
          <w:rFonts w:ascii="Arial Unicode MS" w:hAnsi="Arial Unicode MS" w:cs="Arial" w:hint="eastAsia"/>
          <w:szCs w:val="21"/>
        </w:rPr>
        <w:t>6</w:t>
      </w:r>
      <w:r>
        <w:rPr>
          <w:rFonts w:ascii="Arial Unicode MS" w:hAnsi="Arial Unicode MS" w:cs="Arial" w:hint="eastAsia"/>
          <w:szCs w:val="21"/>
        </w:rPr>
        <w:t>个月内没有新基金管理人、新基金托管人承接的；</w:t>
      </w:r>
    </w:p>
    <w:p w14:paraId="0910DAAF"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、《基金合同》约定的其他情形；</w:t>
      </w:r>
    </w:p>
    <w:p w14:paraId="66A21C0D"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、相关法律法规和中国证监会规定的其他情况。</w:t>
      </w:r>
    </w:p>
    <w:p w14:paraId="741B0C91"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三、基金财产的清算</w:t>
      </w:r>
    </w:p>
    <w:p w14:paraId="4CBDFB74"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、基金财产清算小组：自出现基金合同终止事由之日起</w:t>
      </w:r>
      <w:r>
        <w:rPr>
          <w:rFonts w:ascii="Arial Unicode MS" w:hAnsi="Arial Unicode MS" w:cs="Arial" w:hint="eastAsia"/>
          <w:szCs w:val="21"/>
        </w:rPr>
        <w:t>30</w:t>
      </w:r>
      <w:r>
        <w:rPr>
          <w:rFonts w:ascii="Arial Unicode MS" w:hAnsi="Arial Unicode MS" w:cs="Arial" w:hint="eastAsia"/>
          <w:szCs w:val="21"/>
        </w:rPr>
        <w:t>个工作日内成立清算小组，基金管理人组织基金财产清算小组并在中国证监会的监督下进行基金清算。</w:t>
      </w:r>
    </w:p>
    <w:p w14:paraId="2F6476D2"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、基金财产清算小组组成：基金财产清算小组成员由基金管理人、基金托管人、具有证券、期货相关业务资格的注册会计师、律师以及中国证监会指定的人员组成。基金财产清算小组可以聘用必要的工作人员。</w:t>
      </w:r>
    </w:p>
    <w:p w14:paraId="3C2F1C6C"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766235AB"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、基金财产清算程序：</w:t>
      </w:r>
    </w:p>
    <w:p w14:paraId="30B1EA8A"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）《基金合同》终止情形出现时，由基金财产清算小组统一接管基金；</w:t>
      </w:r>
    </w:p>
    <w:p w14:paraId="347F8F11"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）对基金财产和债权债务进行清理和确认；</w:t>
      </w:r>
    </w:p>
    <w:p w14:paraId="1CA05E56"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）对基金财产进行估值和变现；</w:t>
      </w:r>
    </w:p>
    <w:p w14:paraId="4F4FD6F1"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）制作清算报告；</w:t>
      </w:r>
    </w:p>
    <w:p w14:paraId="44F5C340"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w:t>
      </w:r>
      <w:r>
        <w:rPr>
          <w:rFonts w:ascii="Arial Unicode MS" w:hAnsi="Arial Unicode MS" w:cs="Arial" w:hint="eastAsia"/>
          <w:szCs w:val="21"/>
        </w:rPr>
        <w:t>5</w:t>
      </w:r>
      <w:r>
        <w:rPr>
          <w:rFonts w:ascii="Arial Unicode MS" w:hAnsi="Arial Unicode MS" w:cs="Arial" w:hint="eastAsia"/>
          <w:szCs w:val="21"/>
        </w:rPr>
        <w:t>）聘请具有证券、期货相关业务资格的会计师事务所对清算报告进行外部审计，聘请律师事务所对清算报告出具法律意见书；</w:t>
      </w:r>
    </w:p>
    <w:p w14:paraId="23505714"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）将清算报告报中国证监会备案并公告；</w:t>
      </w:r>
    </w:p>
    <w:p w14:paraId="5C295229"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）对基金剩余财产进行分配。</w:t>
      </w:r>
    </w:p>
    <w:p w14:paraId="3841DC11"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、基金财产清算的期限为</w:t>
      </w:r>
      <w:r>
        <w:rPr>
          <w:rFonts w:ascii="Arial Unicode MS" w:hAnsi="Arial Unicode MS" w:cs="Arial" w:hint="eastAsia"/>
          <w:szCs w:val="21"/>
        </w:rPr>
        <w:t>6</w:t>
      </w:r>
      <w:r>
        <w:rPr>
          <w:rFonts w:ascii="Arial Unicode MS" w:hAnsi="Arial Unicode MS" w:cs="Arial" w:hint="eastAsia"/>
          <w:szCs w:val="21"/>
        </w:rPr>
        <w:t>个月，但因本基金所持证券的流动性受到限制而不能及时变现的，清算期限相应顺延。</w:t>
      </w:r>
    </w:p>
    <w:p w14:paraId="51A4449A"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四、清算费用</w:t>
      </w:r>
    </w:p>
    <w:p w14:paraId="25E8AC47"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6A25DB95"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五、基金财产清算剩余资产的分配</w:t>
      </w:r>
    </w:p>
    <w:p w14:paraId="4965E162"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648448E9"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六、基金财产清算的公告</w:t>
      </w:r>
    </w:p>
    <w:p w14:paraId="41EE0A74"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w:t>
      </w:r>
      <w:r>
        <w:rPr>
          <w:rFonts w:ascii="Arial Unicode MS" w:hAnsi="Arial Unicode MS" w:cs="Arial" w:hint="eastAsia"/>
          <w:szCs w:val="21"/>
        </w:rPr>
        <w:t>5</w:t>
      </w:r>
      <w:r>
        <w:rPr>
          <w:rFonts w:ascii="Arial Unicode MS" w:hAnsi="Arial Unicode MS" w:cs="Arial" w:hint="eastAsia"/>
          <w:szCs w:val="21"/>
        </w:rPr>
        <w:t>个工作日内由基金财产清算小组进行公告，基金财产清算小组应当将清算报告登载在规定网站上，并将清算报告提示性公告登载在规定报刊上。</w:t>
      </w:r>
    </w:p>
    <w:p w14:paraId="6413EEFD"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七、基金财产清算账册及文件的保存</w:t>
      </w:r>
    </w:p>
    <w:p w14:paraId="6BC43A7F"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基金财产清算账册及有关文件由基金托管人保存不低于法律法规规定的最低期限。</w:t>
      </w:r>
    </w:p>
    <w:p w14:paraId="62050B20" w14:textId="77777777" w:rsidR="00A6605D" w:rsidRDefault="00A6605D">
      <w:pPr>
        <w:snapToGrid w:val="0"/>
        <w:spacing w:line="360" w:lineRule="auto"/>
        <w:ind w:firstLineChars="200" w:firstLine="422"/>
        <w:rPr>
          <w:rFonts w:ascii="Arial Unicode MS" w:hAnsi="Arial Unicode MS" w:cs="Arial"/>
          <w:b/>
          <w:szCs w:val="21"/>
        </w:rPr>
      </w:pPr>
    </w:p>
    <w:p w14:paraId="7688C787" w14:textId="77777777" w:rsidR="00A6605D" w:rsidRDefault="00A6605D">
      <w:pPr>
        <w:snapToGrid w:val="0"/>
        <w:spacing w:line="360" w:lineRule="auto"/>
        <w:ind w:firstLineChars="200" w:firstLine="422"/>
        <w:rPr>
          <w:rFonts w:ascii="Arial Unicode MS" w:hAnsi="Arial Unicode MS" w:cs="Arial"/>
          <w:b/>
          <w:szCs w:val="21"/>
        </w:rPr>
      </w:pPr>
    </w:p>
    <w:p w14:paraId="785B7E60" w14:textId="77777777" w:rsidR="00A6605D" w:rsidRDefault="00A6605D">
      <w:pPr>
        <w:snapToGrid w:val="0"/>
        <w:spacing w:line="360" w:lineRule="auto"/>
        <w:ind w:firstLineChars="200" w:firstLine="422"/>
        <w:rPr>
          <w:rFonts w:ascii="Arial Unicode MS" w:hAnsi="Arial Unicode MS" w:cs="Arial"/>
          <w:b/>
          <w:szCs w:val="21"/>
        </w:rPr>
      </w:pPr>
    </w:p>
    <w:p w14:paraId="690C1E49" w14:textId="77777777" w:rsidR="00A6605D" w:rsidRDefault="00A6605D">
      <w:pPr>
        <w:snapToGrid w:val="0"/>
        <w:spacing w:line="360" w:lineRule="auto"/>
        <w:ind w:firstLineChars="200" w:firstLine="422"/>
        <w:rPr>
          <w:rFonts w:ascii="Arial Unicode MS" w:hAnsi="Arial Unicode MS" w:cs="Arial"/>
          <w:b/>
          <w:szCs w:val="21"/>
        </w:rPr>
      </w:pPr>
    </w:p>
    <w:p w14:paraId="10F2C8A3" w14:textId="77777777" w:rsidR="00A6605D" w:rsidRDefault="00A6605D">
      <w:pPr>
        <w:snapToGrid w:val="0"/>
        <w:spacing w:line="360" w:lineRule="auto"/>
        <w:ind w:firstLineChars="200" w:firstLine="422"/>
        <w:rPr>
          <w:rFonts w:ascii="Arial Unicode MS" w:hAnsi="Arial Unicode MS" w:cs="Arial"/>
          <w:b/>
          <w:szCs w:val="21"/>
        </w:rPr>
      </w:pPr>
    </w:p>
    <w:p w14:paraId="4D07E131" w14:textId="77777777" w:rsidR="00A6605D" w:rsidRDefault="00A6605D">
      <w:pPr>
        <w:snapToGrid w:val="0"/>
        <w:spacing w:line="360" w:lineRule="auto"/>
        <w:ind w:firstLineChars="200" w:firstLine="422"/>
        <w:rPr>
          <w:rFonts w:ascii="Arial Unicode MS" w:hAnsi="Arial Unicode MS" w:cs="Arial"/>
          <w:b/>
          <w:szCs w:val="21"/>
        </w:rPr>
      </w:pPr>
    </w:p>
    <w:p w14:paraId="4256F5AF" w14:textId="77777777" w:rsidR="00A6605D" w:rsidRDefault="00A6605D">
      <w:pPr>
        <w:snapToGrid w:val="0"/>
        <w:spacing w:line="360" w:lineRule="auto"/>
        <w:ind w:firstLineChars="200" w:firstLine="422"/>
        <w:rPr>
          <w:rFonts w:ascii="Arial Unicode MS" w:hAnsi="Arial Unicode MS" w:cs="Arial"/>
          <w:b/>
          <w:szCs w:val="21"/>
        </w:rPr>
      </w:pPr>
    </w:p>
    <w:p w14:paraId="1D1C0F19" w14:textId="77777777" w:rsidR="00A6605D" w:rsidRDefault="00A6605D">
      <w:pPr>
        <w:snapToGrid w:val="0"/>
        <w:spacing w:line="360" w:lineRule="auto"/>
        <w:ind w:firstLineChars="200" w:firstLine="422"/>
        <w:rPr>
          <w:rFonts w:ascii="Arial Unicode MS" w:hAnsi="Arial Unicode MS" w:cs="Arial"/>
          <w:b/>
          <w:szCs w:val="21"/>
        </w:rPr>
      </w:pPr>
    </w:p>
    <w:p w14:paraId="587BE15C" w14:textId="77777777" w:rsidR="00A6605D" w:rsidRDefault="00A6605D">
      <w:pPr>
        <w:snapToGrid w:val="0"/>
        <w:spacing w:line="360" w:lineRule="auto"/>
        <w:ind w:firstLineChars="200" w:firstLine="422"/>
        <w:rPr>
          <w:rFonts w:ascii="Arial Unicode MS" w:hAnsi="Arial Unicode MS" w:cs="Arial"/>
          <w:b/>
          <w:szCs w:val="21"/>
        </w:rPr>
      </w:pPr>
    </w:p>
    <w:p w14:paraId="238177DE" w14:textId="77777777" w:rsidR="00A6605D" w:rsidRDefault="00413D7E">
      <w:pPr>
        <w:pStyle w:val="11"/>
        <w:snapToGrid w:val="0"/>
        <w:spacing w:before="0" w:after="0" w:line="360" w:lineRule="auto"/>
        <w:ind w:firstLineChars="150" w:firstLine="422"/>
        <w:rPr>
          <w:rFonts w:ascii="Arial Unicode MS" w:eastAsia="宋体" w:hAnsi="Arial Unicode MS" w:cs="Arial"/>
          <w:b/>
          <w:bCs/>
          <w:sz w:val="28"/>
          <w:szCs w:val="28"/>
        </w:rPr>
      </w:pPr>
      <w:bookmarkStart w:id="128" w:name="_Toc317088552"/>
      <w:bookmarkStart w:id="129" w:name="_Toc63676454"/>
      <w:bookmarkStart w:id="130" w:name="_Toc320887657"/>
      <w:bookmarkStart w:id="131" w:name="_Toc214873607"/>
      <w:bookmarkStart w:id="132" w:name="_Toc335232706"/>
      <w:bookmarkStart w:id="133" w:name="_Toc317088155"/>
      <w:bookmarkEnd w:id="127"/>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十九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基金合同的内容摘要</w:t>
      </w:r>
      <w:bookmarkEnd w:id="128"/>
      <w:bookmarkEnd w:id="129"/>
      <w:bookmarkEnd w:id="130"/>
      <w:bookmarkEnd w:id="131"/>
      <w:bookmarkEnd w:id="132"/>
      <w:bookmarkEnd w:id="133"/>
    </w:p>
    <w:p w14:paraId="38E03346" w14:textId="77777777" w:rsidR="00A6605D" w:rsidRDefault="00A6605D">
      <w:pPr>
        <w:ind w:firstLine="315"/>
      </w:pPr>
    </w:p>
    <w:p w14:paraId="0C1BE40B" w14:textId="77777777" w:rsidR="00A6605D" w:rsidRDefault="00413D7E">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一、基金份额持有人、基金管理人和基金托管人的权利、义务</w:t>
      </w:r>
    </w:p>
    <w:p w14:paraId="250824C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（一）基金管理人的权利与义务</w:t>
      </w:r>
    </w:p>
    <w:p w14:paraId="4477DBA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、根据《基金法》、《运作办法》及其他有关规定，基金管理人的权利包括但不限于：</w:t>
      </w:r>
    </w:p>
    <w:p w14:paraId="45319A9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）依法募集资金；</w:t>
      </w:r>
    </w:p>
    <w:p w14:paraId="1B034F7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）自《基金合同》生效之日起，根据法律法规和《基金合同》独立运用并管理基金财产；</w:t>
      </w:r>
    </w:p>
    <w:p w14:paraId="690B86A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）依照《基金合同》收取基金管理费以及法律法规规定或中国证监会批准的其他费用；</w:t>
      </w:r>
    </w:p>
    <w:p w14:paraId="7A3A98E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）销售基金份额；</w:t>
      </w:r>
    </w:p>
    <w:p w14:paraId="3507B72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）按照规定召集基金份额持有人大会；</w:t>
      </w:r>
    </w:p>
    <w:p w14:paraId="0409E45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）依据《基金合同》及有关法律规定监督基金托管人，如认为基金托管人违反了《基金合同》及国家有关法律规定，应呈报中国证监会和其他监管部门，并采取必要措施保护基金投资者的利益；</w:t>
      </w:r>
    </w:p>
    <w:p w14:paraId="0A8934D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）在基金托管人更换时，提名新的基金托管人；</w:t>
      </w:r>
    </w:p>
    <w:p w14:paraId="4CBD238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）选择、更换基金销售机构，对基金销售机构的相关行为进行监督和处理；</w:t>
      </w:r>
    </w:p>
    <w:p w14:paraId="0F07C7F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）担任或委托其他符合条件的机构担任基金登记机构办理基金登记业务并获得《基金合同》规定的费用；</w:t>
      </w:r>
    </w:p>
    <w:p w14:paraId="388ECF6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）依据《基金合同》及有关法律规定决定基金收益的分配方案；</w:t>
      </w:r>
      <w:r>
        <w:rPr>
          <w:rFonts w:ascii="Arial Unicode MS" w:hAnsi="Arial Unicode MS" w:hint="eastAsia"/>
          <w:bCs/>
          <w:szCs w:val="21"/>
        </w:rPr>
        <w:tab/>
      </w:r>
    </w:p>
    <w:p w14:paraId="59B7949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）在《基金合同》约定的范围内，拒绝或暂停受理申购与赎回申请；</w:t>
      </w:r>
    </w:p>
    <w:p w14:paraId="72CCF79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）依照法律法规为基金的利益对被投资公司行使股东权利，为基金的利益行使因基金财产投资于证券所产生的权利；</w:t>
      </w:r>
      <w:r>
        <w:rPr>
          <w:rFonts w:ascii="Arial Unicode MS" w:hAnsi="Arial Unicode MS" w:hint="eastAsia"/>
          <w:bCs/>
          <w:szCs w:val="21"/>
        </w:rPr>
        <w:tab/>
      </w:r>
    </w:p>
    <w:p w14:paraId="3C44452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）在法律法规允许的前提下，为基金的利益依法为基金进行融资；</w:t>
      </w:r>
    </w:p>
    <w:p w14:paraId="221E0AF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）以基金管理人的名义，代表基金份额持有人的利益行使诉讼权利或者实施其他法律行为；</w:t>
      </w:r>
      <w:r>
        <w:rPr>
          <w:rFonts w:ascii="Arial Unicode MS" w:hAnsi="Arial Unicode MS" w:hint="eastAsia"/>
          <w:bCs/>
          <w:szCs w:val="21"/>
        </w:rPr>
        <w:tab/>
      </w:r>
    </w:p>
    <w:p w14:paraId="7596793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）选择、更换律师事务所、会计师事务所、证券经纪商或其他为基金提供服务的外部机构；</w:t>
      </w:r>
      <w:r>
        <w:rPr>
          <w:rFonts w:ascii="Arial Unicode MS" w:hAnsi="Arial Unicode MS" w:hint="eastAsia"/>
          <w:bCs/>
          <w:szCs w:val="21"/>
        </w:rPr>
        <w:tab/>
      </w:r>
    </w:p>
    <w:p w14:paraId="28B63A7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16</w:t>
      </w:r>
      <w:r>
        <w:rPr>
          <w:rFonts w:ascii="Arial Unicode MS" w:hAnsi="Arial Unicode MS" w:hint="eastAsia"/>
          <w:bCs/>
          <w:szCs w:val="21"/>
        </w:rPr>
        <w:t>）在符合有关法律、法规的前提下，制订和调整有关基金申购、赎回、转换和非交易过户等业务规则；</w:t>
      </w:r>
    </w:p>
    <w:p w14:paraId="71EE5D5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）法律法规及中国证监会规定的和《基金合同》约定的其他权利。</w:t>
      </w:r>
      <w:r>
        <w:rPr>
          <w:rFonts w:ascii="Arial Unicode MS" w:hAnsi="Arial Unicode MS" w:hint="eastAsia"/>
          <w:bCs/>
          <w:szCs w:val="21"/>
        </w:rPr>
        <w:t>2</w:t>
      </w:r>
      <w:r>
        <w:rPr>
          <w:rFonts w:ascii="Arial Unicode MS" w:hAnsi="Arial Unicode MS" w:hint="eastAsia"/>
          <w:bCs/>
          <w:szCs w:val="21"/>
        </w:rPr>
        <w:t>、根据《基金法》、《运作办法》及其他有关规定，基金管理人的义务包括但不限于：</w:t>
      </w:r>
    </w:p>
    <w:p w14:paraId="6080D36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）依法募集资金，办理或者委托经中国证监会认定的其他机构代为办理基金份额的申购、赎回和登记事宜；</w:t>
      </w:r>
    </w:p>
    <w:p w14:paraId="493C45E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）办理基金备案手续；</w:t>
      </w:r>
    </w:p>
    <w:p w14:paraId="285397E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）自《基金合同》生效之日起，以诚实信用、谨慎勤勉的原则管理和运用基金财产；</w:t>
      </w:r>
    </w:p>
    <w:p w14:paraId="29F8181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）配备足够的具有专业资格的人员进行基金投资分析、决策，以专业化的经营方式管理和运作基金财产；</w:t>
      </w:r>
    </w:p>
    <w:p w14:paraId="2DC2198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0A59453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）除依据《基金法》、《基金合同》及其他有关规定外，不得利用基金财产为自己及任何第三人谋取利益，不得委托第三人运作基金财产；</w:t>
      </w:r>
    </w:p>
    <w:p w14:paraId="1DC09F7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）依法接受基金托管人的监督；</w:t>
      </w:r>
    </w:p>
    <w:p w14:paraId="01B2DF0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）采取适当合理的措施使计算基金份额认购、申购、赎回和注销价格的方法符合《基金合同》等法律文件的规定，按有关规定计算并公告基金净值信息，确定基金份额申购、赎回的价格；</w:t>
      </w:r>
    </w:p>
    <w:p w14:paraId="4622722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）进行基金会计核算并编制基金财务会计报告；</w:t>
      </w:r>
    </w:p>
    <w:p w14:paraId="3282D40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）编制季度报告、中期报告和年度报告；</w:t>
      </w:r>
    </w:p>
    <w:p w14:paraId="600D23C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）严格按照《基金法》、《基金合同》及其他有关规定，履行信息披露及报告义务；</w:t>
      </w:r>
    </w:p>
    <w:p w14:paraId="7322603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w:t>
      </w:r>
    </w:p>
    <w:p w14:paraId="08D1C61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）按《基金合同》的约定确定基金收益分配方案，及时向基金份额持有人分配基金收益；</w:t>
      </w:r>
    </w:p>
    <w:p w14:paraId="72A85AE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）按规定受理申购与赎回申请，及时、足额支付赎回款项；</w:t>
      </w:r>
    </w:p>
    <w:p w14:paraId="3FB4633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）依据《基金法》、《基金合同》及其他有关规定召集基金份额持有人大会或配合</w:t>
      </w:r>
      <w:r>
        <w:rPr>
          <w:rFonts w:ascii="Arial Unicode MS" w:hAnsi="Arial Unicode MS" w:hint="eastAsia"/>
          <w:bCs/>
          <w:szCs w:val="21"/>
        </w:rPr>
        <w:lastRenderedPageBreak/>
        <w:t>基金托管人、基金份额持有人依法召集基金份额持有人大会；</w:t>
      </w:r>
    </w:p>
    <w:p w14:paraId="064F861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）按规定保存基金财产管理业务活动的会计账册、报表、记录和其他相关资料</w:t>
      </w:r>
      <w:r>
        <w:rPr>
          <w:rFonts w:ascii="Arial Unicode MS" w:hAnsi="Arial Unicode MS" w:hint="eastAsia"/>
          <w:bCs/>
          <w:szCs w:val="21"/>
        </w:rPr>
        <w:t>15</w:t>
      </w:r>
      <w:r>
        <w:rPr>
          <w:rFonts w:ascii="Arial Unicode MS" w:hAnsi="Arial Unicode MS" w:hint="eastAsia"/>
          <w:bCs/>
          <w:szCs w:val="21"/>
        </w:rPr>
        <w:t>年以上；</w:t>
      </w:r>
    </w:p>
    <w:p w14:paraId="33D8921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668BBB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18</w:t>
      </w:r>
      <w:r>
        <w:rPr>
          <w:rFonts w:ascii="Arial Unicode MS" w:hAnsi="Arial Unicode MS" w:hint="eastAsia"/>
          <w:bCs/>
          <w:szCs w:val="21"/>
        </w:rPr>
        <w:t>）组织并参加基金财产清算小组，参与基金财产的保管、清理、估价、变现和分配；</w:t>
      </w:r>
    </w:p>
    <w:p w14:paraId="4AF5588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19</w:t>
      </w:r>
      <w:r>
        <w:rPr>
          <w:rFonts w:ascii="Arial Unicode MS" w:hAnsi="Arial Unicode MS" w:hint="eastAsia"/>
          <w:bCs/>
          <w:szCs w:val="21"/>
        </w:rPr>
        <w:t>）面临解散、依法被撤销或者被依法宣告破产时，及时报告中国证监会并通知基金托管人；</w:t>
      </w:r>
    </w:p>
    <w:p w14:paraId="4151399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20</w:t>
      </w:r>
      <w:r>
        <w:rPr>
          <w:rFonts w:ascii="Arial Unicode MS" w:hAnsi="Arial Unicode MS" w:hint="eastAsia"/>
          <w:bCs/>
          <w:szCs w:val="21"/>
        </w:rPr>
        <w:t>）因违反《基金合同》导致基金财产的损失或损害基金份额持有人合法权益时，应当承担赔偿责任，其赔偿责任不因其退任而免除；</w:t>
      </w:r>
    </w:p>
    <w:p w14:paraId="641AF87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21</w:t>
      </w:r>
      <w:r>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79BB10A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22</w:t>
      </w:r>
      <w:r>
        <w:rPr>
          <w:rFonts w:ascii="Arial Unicode MS" w:hAnsi="Arial Unicode MS" w:hint="eastAsia"/>
          <w:bCs/>
          <w:szCs w:val="21"/>
        </w:rPr>
        <w:t>）当基金管理人将其义务委托第三方处理时，应当对第三方处理有关基金事务的行为承担责任；</w:t>
      </w:r>
    </w:p>
    <w:p w14:paraId="187A903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23</w:t>
      </w:r>
      <w:r>
        <w:rPr>
          <w:rFonts w:ascii="Arial Unicode MS" w:hAnsi="Arial Unicode MS" w:hint="eastAsia"/>
          <w:bCs/>
          <w:szCs w:val="21"/>
        </w:rPr>
        <w:t>）以基金管理人名义，代表基金份额持有人利益行使诉讼权利或实施其他法律行为；</w:t>
      </w:r>
      <w:r>
        <w:rPr>
          <w:rFonts w:ascii="Arial Unicode MS" w:hAnsi="Arial Unicode MS" w:hint="eastAsia"/>
          <w:bCs/>
          <w:szCs w:val="21"/>
        </w:rPr>
        <w:tab/>
      </w:r>
    </w:p>
    <w:p w14:paraId="30FB54A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24</w:t>
      </w:r>
      <w:r>
        <w:rPr>
          <w:rFonts w:ascii="Arial Unicode MS" w:hAnsi="Arial Unicode MS"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hint="eastAsia"/>
          <w:bCs/>
          <w:szCs w:val="21"/>
        </w:rPr>
        <w:t>30</w:t>
      </w:r>
      <w:r>
        <w:rPr>
          <w:rFonts w:ascii="Arial Unicode MS" w:hAnsi="Arial Unicode MS" w:hint="eastAsia"/>
          <w:bCs/>
          <w:szCs w:val="21"/>
        </w:rPr>
        <w:t>日内退还基金认购人；</w:t>
      </w:r>
    </w:p>
    <w:p w14:paraId="34EAD61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25</w:t>
      </w:r>
      <w:r>
        <w:rPr>
          <w:rFonts w:ascii="Arial Unicode MS" w:hAnsi="Arial Unicode MS" w:hint="eastAsia"/>
          <w:bCs/>
          <w:szCs w:val="21"/>
        </w:rPr>
        <w:t>）执行生效的基金份额持有人大会的决议；</w:t>
      </w:r>
    </w:p>
    <w:p w14:paraId="302336C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26</w:t>
      </w:r>
      <w:r>
        <w:rPr>
          <w:rFonts w:ascii="Arial Unicode MS" w:hAnsi="Arial Unicode MS" w:hint="eastAsia"/>
          <w:bCs/>
          <w:szCs w:val="21"/>
        </w:rPr>
        <w:t>）建立并保存基金份额持有人名册；</w:t>
      </w:r>
    </w:p>
    <w:p w14:paraId="51F81EC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27</w:t>
      </w:r>
      <w:r>
        <w:rPr>
          <w:rFonts w:ascii="Arial Unicode MS" w:hAnsi="Arial Unicode MS" w:hint="eastAsia"/>
          <w:bCs/>
          <w:szCs w:val="21"/>
        </w:rPr>
        <w:t>）法律法规及中国证监会规定的和《基金合同》约定的其他义务。</w:t>
      </w:r>
    </w:p>
    <w:p w14:paraId="36C230A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（二）</w:t>
      </w:r>
      <w:r>
        <w:rPr>
          <w:rFonts w:ascii="Arial Unicode MS" w:hAnsi="Arial Unicode MS" w:hint="eastAsia"/>
          <w:bCs/>
          <w:szCs w:val="21"/>
        </w:rPr>
        <w:tab/>
      </w:r>
      <w:r>
        <w:rPr>
          <w:rFonts w:ascii="Arial Unicode MS" w:hAnsi="Arial Unicode MS" w:hint="eastAsia"/>
          <w:bCs/>
          <w:szCs w:val="21"/>
        </w:rPr>
        <w:t>基金托管人的权利与义务</w:t>
      </w:r>
    </w:p>
    <w:p w14:paraId="52D2625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、根据《基金法》、《运作办法》及其他有关规定，基金托管人的权利包括但不限于：</w:t>
      </w:r>
    </w:p>
    <w:p w14:paraId="6C14A436"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w:t>
      </w:r>
      <w:r>
        <w:rPr>
          <w:rFonts w:ascii="Arial Unicode MS" w:hAnsi="Arial Unicode MS"/>
          <w:bCs/>
          <w:szCs w:val="21"/>
        </w:rPr>
        <w:t>）自《基金合同》生效之日起，依法律法规和《基金合同》的规定安全保管基金财产；</w:t>
      </w:r>
    </w:p>
    <w:p w14:paraId="6EEC9351"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lastRenderedPageBreak/>
        <w:t>（</w:t>
      </w:r>
      <w:r>
        <w:rPr>
          <w:rFonts w:ascii="Arial Unicode MS" w:hAnsi="Arial Unicode MS"/>
          <w:bCs/>
          <w:szCs w:val="21"/>
        </w:rPr>
        <w:t>2</w:t>
      </w:r>
      <w:r>
        <w:rPr>
          <w:rFonts w:ascii="Arial Unicode MS" w:hAnsi="Arial Unicode MS"/>
          <w:bCs/>
          <w:szCs w:val="21"/>
        </w:rPr>
        <w:t>）依《基金合同》约定获得基金托管费以及法律法规规定或监管部门批准的其他费用；</w:t>
      </w:r>
    </w:p>
    <w:p w14:paraId="04DC7341"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3</w:t>
      </w:r>
      <w:r>
        <w:rPr>
          <w:rFonts w:ascii="Arial Unicode MS" w:hAnsi="Arial Unicode MS"/>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83E3C96"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4</w:t>
      </w:r>
      <w:r>
        <w:rPr>
          <w:rFonts w:ascii="Arial Unicode MS" w:hAnsi="Arial Unicode MS"/>
          <w:bCs/>
          <w:szCs w:val="21"/>
        </w:rPr>
        <w:t>）根据相关市场规则，为基金开设</w:t>
      </w:r>
      <w:r>
        <w:rPr>
          <w:rFonts w:ascii="Arial Unicode MS" w:hAnsi="Arial Unicode MS" w:hint="eastAsia"/>
          <w:bCs/>
          <w:szCs w:val="21"/>
        </w:rPr>
        <w:t>资金账户、</w:t>
      </w:r>
      <w:r>
        <w:rPr>
          <w:rFonts w:ascii="Arial Unicode MS" w:hAnsi="Arial Unicode MS"/>
          <w:bCs/>
          <w:szCs w:val="21"/>
        </w:rPr>
        <w:t>证券</w:t>
      </w:r>
      <w:r>
        <w:rPr>
          <w:rFonts w:ascii="Arial Unicode MS" w:hAnsi="Arial Unicode MS" w:hint="eastAsia"/>
          <w:bCs/>
          <w:szCs w:val="21"/>
        </w:rPr>
        <w:t>账户等投资所需账户，</w:t>
      </w:r>
      <w:r>
        <w:rPr>
          <w:rFonts w:ascii="Arial Unicode MS" w:hAnsi="Arial Unicode MS"/>
          <w:bCs/>
          <w:szCs w:val="21"/>
        </w:rPr>
        <w:t>为基金办理证券交易资金清算</w:t>
      </w:r>
      <w:r>
        <w:rPr>
          <w:rFonts w:ascii="Arial Unicode MS" w:hAnsi="Arial Unicode MS" w:hint="eastAsia"/>
          <w:bCs/>
          <w:szCs w:val="21"/>
        </w:rPr>
        <w:t>；</w:t>
      </w:r>
    </w:p>
    <w:p w14:paraId="26A71445"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5</w:t>
      </w:r>
      <w:r>
        <w:rPr>
          <w:rFonts w:ascii="Arial Unicode MS" w:hAnsi="Arial Unicode MS"/>
          <w:bCs/>
          <w:szCs w:val="21"/>
        </w:rPr>
        <w:t>）提议召开或召集基金份额持有人大会；</w:t>
      </w:r>
    </w:p>
    <w:p w14:paraId="72C1635F"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6</w:t>
      </w:r>
      <w:r>
        <w:rPr>
          <w:rFonts w:ascii="Arial Unicode MS" w:hAnsi="Arial Unicode MS"/>
          <w:bCs/>
          <w:szCs w:val="21"/>
        </w:rPr>
        <w:t>）在基金管理人更换时，提名新的基金管理人；</w:t>
      </w:r>
    </w:p>
    <w:p w14:paraId="000E1838"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7</w:t>
      </w:r>
      <w:r>
        <w:rPr>
          <w:rFonts w:ascii="Arial Unicode MS" w:hAnsi="Arial Unicode MS"/>
          <w:bCs/>
          <w:szCs w:val="21"/>
        </w:rPr>
        <w:t>）</w:t>
      </w:r>
      <w:r>
        <w:rPr>
          <w:rFonts w:ascii="Arial Unicode MS" w:hAnsi="Arial Unicode MS" w:hint="eastAsia"/>
          <w:bCs/>
          <w:szCs w:val="21"/>
        </w:rPr>
        <w:t>法律法规及中国证监会规定的和《基金合同》约定的其他</w:t>
      </w:r>
      <w:r>
        <w:rPr>
          <w:rFonts w:ascii="Arial Unicode MS" w:hAnsi="Arial Unicode MS"/>
          <w:bCs/>
          <w:szCs w:val="21"/>
        </w:rPr>
        <w:t>权利。</w:t>
      </w:r>
    </w:p>
    <w:p w14:paraId="37C3D49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、根据《基金法》、《运作办法》及其他有关规定，基金托管人的义务包括但不限于：</w:t>
      </w:r>
    </w:p>
    <w:p w14:paraId="6EC074A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）以诚实信用、勤勉尽责的原则持有并安全保管基金财产；</w:t>
      </w:r>
    </w:p>
    <w:p w14:paraId="6849496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）设立专门的基金托管部门，具有符合要求的营业场所，配备足够的、合格的熟悉基金托管业务的专职人员，负责基金财产托管事宜；</w:t>
      </w:r>
    </w:p>
    <w:p w14:paraId="5E91903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15676B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）除依据《基金法》、《基金合同》及其他有关规定外，不得利用基金财产为自己及任何第三人谋取利益，不得委托第三人托管基金财产；</w:t>
      </w:r>
    </w:p>
    <w:p w14:paraId="3D15BB3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）保管由基金管理人代表基金签订的与基金有关的重大合同及有关凭证；</w:t>
      </w:r>
    </w:p>
    <w:p w14:paraId="05BC6B0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）按规定开设基金财产的资金账户、证券账户等投资所需账户，按照《基金合同》的约定，根据基金管理人的投资指令，及时办理清算、交割事宜；</w:t>
      </w:r>
    </w:p>
    <w:p w14:paraId="2861AB0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）保守基金商业秘密，除《基金法》、《基金合同》及其他有关规定另有规定外，在基金信息公开披露前予以保密，不得向他人泄露；</w:t>
      </w:r>
    </w:p>
    <w:p w14:paraId="45EBF99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）复核、审查基金管理人计算的基金资产净值、基金份额净值、基金份额申购、赎回价格；</w:t>
      </w:r>
    </w:p>
    <w:p w14:paraId="08D24CC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）办理与基金托管业务活动有关的信息披露事项；</w:t>
      </w:r>
    </w:p>
    <w:p w14:paraId="06D92A7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10</w:t>
      </w:r>
      <w:r>
        <w:rPr>
          <w:rFonts w:ascii="Arial Unicode MS" w:hAnsi="Arial Unicode MS" w:hint="eastAsia"/>
          <w:bCs/>
          <w:szCs w:val="21"/>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543FEB5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）保存基金托管业务活动的记录、账册、报表和其他相关资料不低于法律法规规定的最低期限；</w:t>
      </w:r>
    </w:p>
    <w:p w14:paraId="3333E14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）建立并保存基金份额持有人名册；</w:t>
      </w:r>
    </w:p>
    <w:p w14:paraId="6855A8D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）按规定制作相关账册并与基金管理人核对；</w:t>
      </w:r>
    </w:p>
    <w:p w14:paraId="393A663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）依据基金管理人的指令或有关规定向基金份额持有人支付基金收益和赎回款项；</w:t>
      </w:r>
    </w:p>
    <w:p w14:paraId="106F40D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1717462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）按照法律法规和《基金合同》的规定监督基金管理人的投资运作；</w:t>
      </w:r>
    </w:p>
    <w:p w14:paraId="72EC36E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）参加基金财产清算小组，参与基金财产的保管、清理、估价、变现和分配；</w:t>
      </w:r>
    </w:p>
    <w:p w14:paraId="6B029D0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18</w:t>
      </w:r>
      <w:r>
        <w:rPr>
          <w:rFonts w:ascii="Arial Unicode MS" w:hAnsi="Arial Unicode MS" w:hint="eastAsia"/>
          <w:bCs/>
          <w:szCs w:val="21"/>
        </w:rPr>
        <w:t>）面临解散、依法被撤销或者被依法宣告破产时，及时报告中国证监会和银行监管机构，并通知基金管理人；</w:t>
      </w:r>
    </w:p>
    <w:p w14:paraId="5E4FB57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19</w:t>
      </w:r>
      <w:r>
        <w:rPr>
          <w:rFonts w:ascii="Arial Unicode MS" w:hAnsi="Arial Unicode MS" w:hint="eastAsia"/>
          <w:bCs/>
          <w:szCs w:val="21"/>
        </w:rPr>
        <w:t>）因违反《基金合同》导致基金财产损失时，应承担赔偿责任，其赔偿责任不因其退任而免除；</w:t>
      </w:r>
    </w:p>
    <w:p w14:paraId="32F27E6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20</w:t>
      </w:r>
      <w:r>
        <w:rPr>
          <w:rFonts w:ascii="Arial Unicode MS" w:hAnsi="Arial Unicode MS" w:hint="eastAsia"/>
          <w:bCs/>
          <w:szCs w:val="21"/>
        </w:rPr>
        <w:t>）监督基金管理人按法律法规和《基金合同》规定履行自己的义务，基金管理人因违反《基金合同》造成基金财产损失时，应为基金份额持有人利益向基金管理人追偿；</w:t>
      </w:r>
    </w:p>
    <w:p w14:paraId="1BE8619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21</w:t>
      </w:r>
      <w:r>
        <w:rPr>
          <w:rFonts w:ascii="Arial Unicode MS" w:hAnsi="Arial Unicode MS" w:hint="eastAsia"/>
          <w:bCs/>
          <w:szCs w:val="21"/>
        </w:rPr>
        <w:t>）执行生效的基金份额持有人大会的决议；</w:t>
      </w:r>
    </w:p>
    <w:p w14:paraId="3CF53A8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22</w:t>
      </w:r>
      <w:r>
        <w:rPr>
          <w:rFonts w:ascii="Arial Unicode MS" w:hAnsi="Arial Unicode MS" w:hint="eastAsia"/>
          <w:bCs/>
          <w:szCs w:val="21"/>
        </w:rPr>
        <w:t>）法律法规及中国证监会规定的和《基金合同》约定的其他义务。</w:t>
      </w:r>
    </w:p>
    <w:p w14:paraId="26D2D78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（三）基金份额持有人的权利和义务</w:t>
      </w:r>
    </w:p>
    <w:p w14:paraId="01A366B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每份基金份额具有同等的合法权益。</w:t>
      </w:r>
    </w:p>
    <w:p w14:paraId="74A8E41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、根据《基金法》、《运作办法》及其他有关规定，基金份额持有人的权利包括但不限于：</w:t>
      </w:r>
    </w:p>
    <w:p w14:paraId="0E43C74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）分享基金财产收益；</w:t>
      </w:r>
    </w:p>
    <w:p w14:paraId="59411B0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）参与分配清算后的剩余基金财产；</w:t>
      </w:r>
    </w:p>
    <w:p w14:paraId="31B7B24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）依法转让或申请赎回其持有的基金份额；</w:t>
      </w:r>
    </w:p>
    <w:p w14:paraId="6F3EADC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）按照规定要求召开基金份额持有人大会或者召集基金份额持有人大会；</w:t>
      </w:r>
    </w:p>
    <w:p w14:paraId="529E55C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5</w:t>
      </w:r>
      <w:r>
        <w:rPr>
          <w:rFonts w:ascii="Arial Unicode MS" w:hAnsi="Arial Unicode MS" w:hint="eastAsia"/>
          <w:bCs/>
          <w:szCs w:val="21"/>
        </w:rPr>
        <w:t>）出席或者委派代表出席基金份额持有人大会，对基金份额持有人大会审议事项行使表决权；</w:t>
      </w:r>
    </w:p>
    <w:p w14:paraId="1F4EB2D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）查阅或者复制公开披露的基金信息资料；</w:t>
      </w:r>
    </w:p>
    <w:p w14:paraId="2930281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）监督基金管理人的投资运作；</w:t>
      </w:r>
    </w:p>
    <w:p w14:paraId="377DE9F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）对基金管理人、基金托管人、基金服务机构损害其合法权益的行为依法提起诉讼或仲裁；</w:t>
      </w:r>
    </w:p>
    <w:p w14:paraId="7485A81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）法律法规及中国证监会规定的和《基金合同》约定的其他权利。</w:t>
      </w:r>
    </w:p>
    <w:p w14:paraId="468F0BE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、根据《基金法》、《运作办法》及其他有关规定，基金份额持有人的义务包括但不限于：</w:t>
      </w:r>
    </w:p>
    <w:p w14:paraId="78C916C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）认真阅读并遵守《基金合同》、招募说明书等信息披露文件；</w:t>
      </w:r>
    </w:p>
    <w:p w14:paraId="557CADE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）了解所投资基金产品，了解自身风险承受能力，自主判断基金的投资价值，自主做出投资决策，自行承担投资风险；</w:t>
      </w:r>
    </w:p>
    <w:p w14:paraId="2B288BC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）关注基金信息披露，及时行使权利和履行义务；</w:t>
      </w:r>
    </w:p>
    <w:p w14:paraId="4D880E3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）缴纳基金认购、申购款项及法律法规和《基金合同》所规定的费用；</w:t>
      </w:r>
    </w:p>
    <w:p w14:paraId="7797210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）在其持有的基金份额范围内，承担基金亏损或者《基金合同》终止的有限责任；</w:t>
      </w:r>
    </w:p>
    <w:p w14:paraId="7BDB3F2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）不从事任何有损基金及其他《基金合同》当事人合法权益的活动；</w:t>
      </w:r>
    </w:p>
    <w:p w14:paraId="251339D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）执行生效的基金份额持有人大会的决议；</w:t>
      </w:r>
    </w:p>
    <w:p w14:paraId="6D9F22F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）返还在基金交易过程中因任何原因获得的不当得利；</w:t>
      </w:r>
    </w:p>
    <w:p w14:paraId="0D0CE4C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）法律法规及中国证监会规定的和《基金合同》约定的其他义务。</w:t>
      </w:r>
    </w:p>
    <w:p w14:paraId="42B15CC4" w14:textId="77777777" w:rsidR="00A6605D" w:rsidRDefault="00413D7E">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二、基金份额持有人大会召集、议事及表决的程序和规则</w:t>
      </w:r>
    </w:p>
    <w:p w14:paraId="2940A71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w:t>
      </w:r>
    </w:p>
    <w:p w14:paraId="3056052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本基金份额持有人大会不设日常机构。</w:t>
      </w:r>
    </w:p>
    <w:p w14:paraId="6F116C8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（一）召开事由</w:t>
      </w:r>
    </w:p>
    <w:p w14:paraId="0A7E824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、当出现或需要决定下列事由之一的，应当召开基金份额持有人大会：</w:t>
      </w:r>
    </w:p>
    <w:p w14:paraId="325930B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）终止《基金合同》；</w:t>
      </w:r>
    </w:p>
    <w:p w14:paraId="22AEC28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）更换基金管理人；</w:t>
      </w:r>
    </w:p>
    <w:p w14:paraId="2569C46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）更换基金托管人；</w:t>
      </w:r>
    </w:p>
    <w:p w14:paraId="659FA96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4</w:t>
      </w:r>
      <w:r>
        <w:rPr>
          <w:rFonts w:ascii="Arial Unicode MS" w:hAnsi="Arial Unicode MS" w:hint="eastAsia"/>
          <w:bCs/>
          <w:szCs w:val="21"/>
        </w:rPr>
        <w:t>）转换基金运作方式；</w:t>
      </w:r>
    </w:p>
    <w:p w14:paraId="3933EC4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）调整基金管理人、基金托管人的报酬标准，但根据法律法规的要求调整该等报酬标准的除外；</w:t>
      </w:r>
    </w:p>
    <w:p w14:paraId="17FB46C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）变更基金类别；</w:t>
      </w:r>
    </w:p>
    <w:p w14:paraId="1DD790AC"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hint="eastAsia"/>
          <w:bCs/>
          <w:szCs w:val="21"/>
        </w:rPr>
        <w:t>7</w:t>
      </w:r>
      <w:r>
        <w:rPr>
          <w:rFonts w:ascii="Arial Unicode MS" w:hAnsi="Arial Unicode MS"/>
          <w:bCs/>
          <w:szCs w:val="21"/>
        </w:rPr>
        <w:t>）本基金与其他基金的合并；</w:t>
      </w:r>
    </w:p>
    <w:p w14:paraId="71D5CF6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8</w:t>
      </w:r>
      <w:r>
        <w:rPr>
          <w:rFonts w:ascii="Arial Unicode MS" w:hAnsi="Arial Unicode MS"/>
          <w:bCs/>
          <w:szCs w:val="21"/>
        </w:rPr>
        <w:t>）变更基金投资目标、范围或策略；</w:t>
      </w:r>
    </w:p>
    <w:p w14:paraId="32838A99"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9</w:t>
      </w:r>
      <w:r>
        <w:rPr>
          <w:rFonts w:ascii="Arial Unicode MS" w:hAnsi="Arial Unicode MS"/>
          <w:bCs/>
          <w:szCs w:val="21"/>
        </w:rPr>
        <w:t>）变更基金份额持有人大会程序；</w:t>
      </w:r>
    </w:p>
    <w:p w14:paraId="7B68EF1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10</w:t>
      </w:r>
      <w:r>
        <w:rPr>
          <w:rFonts w:ascii="Arial Unicode MS" w:hAnsi="Arial Unicode MS"/>
          <w:bCs/>
          <w:szCs w:val="21"/>
        </w:rPr>
        <w:t>）基金管理人或基金托管人要求召开基金份额持有人大会；</w:t>
      </w:r>
    </w:p>
    <w:p w14:paraId="03AA1C15"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11</w:t>
      </w:r>
      <w:r>
        <w:rPr>
          <w:rFonts w:ascii="Arial Unicode MS" w:hAnsi="Arial Unicode MS"/>
          <w:bCs/>
          <w:szCs w:val="21"/>
        </w:rPr>
        <w:t>）单独或合计持有本基金总份额</w:t>
      </w:r>
      <w:r>
        <w:rPr>
          <w:rFonts w:ascii="Arial Unicode MS" w:hAnsi="Arial Unicode MS"/>
          <w:bCs/>
          <w:szCs w:val="21"/>
        </w:rPr>
        <w:t>10%</w:t>
      </w:r>
      <w:r>
        <w:rPr>
          <w:rFonts w:ascii="Arial Unicode MS" w:hAnsi="Arial Unicode MS"/>
          <w:bCs/>
          <w:szCs w:val="21"/>
        </w:rPr>
        <w:t>以上（含</w:t>
      </w:r>
      <w:r>
        <w:rPr>
          <w:rFonts w:ascii="Arial Unicode MS" w:hAnsi="Arial Unicode MS"/>
          <w:bCs/>
          <w:szCs w:val="21"/>
        </w:rPr>
        <w:t>10%</w:t>
      </w:r>
      <w:r>
        <w:rPr>
          <w:rFonts w:ascii="Arial Unicode MS" w:hAnsi="Arial Unicode MS"/>
          <w:bCs/>
          <w:szCs w:val="21"/>
        </w:rPr>
        <w:t>）基金份额的基金份额持有人（以基金管理人收到提议当日的基金份额计算，下同）就同一事项书面要求召开基金份额持有人大会；</w:t>
      </w:r>
    </w:p>
    <w:p w14:paraId="3003FE83"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12</w:t>
      </w:r>
      <w:r>
        <w:rPr>
          <w:rFonts w:ascii="Arial Unicode MS" w:hAnsi="Arial Unicode MS"/>
          <w:bCs/>
          <w:szCs w:val="21"/>
        </w:rPr>
        <w:t>）对基金</w:t>
      </w:r>
      <w:r>
        <w:rPr>
          <w:rFonts w:ascii="Arial Unicode MS" w:hAnsi="Arial Unicode MS" w:hint="eastAsia"/>
          <w:bCs/>
          <w:szCs w:val="21"/>
        </w:rPr>
        <w:t>合同</w:t>
      </w:r>
      <w:r>
        <w:rPr>
          <w:rFonts w:ascii="Arial Unicode MS" w:hAnsi="Arial Unicode MS"/>
          <w:bCs/>
          <w:szCs w:val="21"/>
        </w:rPr>
        <w:t>当事人权利和义务产生重大影响的其他事项；</w:t>
      </w:r>
    </w:p>
    <w:p w14:paraId="2447B9D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13</w:t>
      </w:r>
      <w:r>
        <w:rPr>
          <w:rFonts w:ascii="Arial Unicode MS" w:hAnsi="Arial Unicode MS"/>
          <w:bCs/>
          <w:szCs w:val="21"/>
        </w:rPr>
        <w:t>）法律法规、《基金合同》或中国证监会规定的其他应当召开基金份额持有人大会的事项。</w:t>
      </w:r>
    </w:p>
    <w:p w14:paraId="6EB217B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、在法律法规规定和《基金合同》约定的范围内且对基金份额持有人利益无实质性不利影响的前提下，以下情况可由基金管理人和基金托管人协商后修改，不需召开基金份额持有人大会：</w:t>
      </w:r>
    </w:p>
    <w:p w14:paraId="4143DB4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）调低除基金管理费、基金托管费以外的其他应由基金承担的费用；</w:t>
      </w:r>
    </w:p>
    <w:p w14:paraId="63404E4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）法律法规要求增加的基金费用的收取；</w:t>
      </w:r>
    </w:p>
    <w:p w14:paraId="3507833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）在法律法规和《基金合同》规定的范围内调整本基金的申购费率、调低赎回费率或在对现有基金份额持有人利益无实质性不利影响的前提下变更收费方式；</w:t>
      </w:r>
    </w:p>
    <w:p w14:paraId="7C426A4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）因相应的法律法规发生变动而应当对《基金合同》进行修改；</w:t>
      </w:r>
    </w:p>
    <w:p w14:paraId="1AF47C6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）对《基金合同》的修改对基金份额持有人利益无实质性不利影响或修改不涉及《基金合同》当事人权利义务关系发生重大变化；</w:t>
      </w:r>
    </w:p>
    <w:p w14:paraId="3054C43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）按照法律法规和《基金合同》规定不需召开基金份额持有人大会的以外的其他情形。</w:t>
      </w:r>
    </w:p>
    <w:p w14:paraId="3EF7910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（二）会议召集人及召集方式</w:t>
      </w:r>
    </w:p>
    <w:p w14:paraId="3A836B5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、除法律法规规定或《基金合同》另有约定外，基金份额持有人大会由基金管理人召</w:t>
      </w:r>
      <w:r>
        <w:rPr>
          <w:rFonts w:ascii="Arial Unicode MS" w:hAnsi="Arial Unicode MS" w:hint="eastAsia"/>
          <w:bCs/>
          <w:szCs w:val="21"/>
        </w:rPr>
        <w:lastRenderedPageBreak/>
        <w:t>集。</w:t>
      </w:r>
    </w:p>
    <w:p w14:paraId="5EBAED5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、基金管理人未按规定召集或不能召集时，由基金托管人召集。</w:t>
      </w:r>
    </w:p>
    <w:p w14:paraId="442FBD3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、基金托管人认为有必要召开基金份额持有人大会的，应当向基金管理人提出书面提议。基金管理人应当自收到书面提议之日起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日内决定是否召集，并书面告知基金托管人。基金管理人决定召集的，应当自出具书面决定之日起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日内召开；基金管理人决定不召集，基金托管人仍认为有必要召开的，应当由基金托管人自行召集，并自出具书面决定之日起</w:t>
      </w:r>
      <w:r>
        <w:rPr>
          <w:rFonts w:ascii="Arial Unicode MS" w:hAnsi="Arial Unicode MS" w:hint="eastAsia"/>
          <w:bCs/>
          <w:szCs w:val="21"/>
        </w:rPr>
        <w:t>60</w:t>
      </w:r>
      <w:r>
        <w:rPr>
          <w:rFonts w:ascii="Arial Unicode MS" w:hAnsi="Arial Unicode MS" w:hint="eastAsia"/>
          <w:bCs/>
          <w:szCs w:val="21"/>
        </w:rPr>
        <w:t>日内召开并告知基金管理人，基金管理人应当配合。</w:t>
      </w:r>
    </w:p>
    <w:p w14:paraId="767A603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日内决定是否召集，并书面告知提出提议的基金份额持有人代表和基金托管人。基金管理人决定召集的，应当自出具书面决定之日起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日内召开；基金管理人决定不召集，代表基金份额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）的基金份额持有人仍认为有必要召开的，应当向基金托管人提出书面提议。基金托管人应当自收到书面提议之日起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日内决定是否召集，并书面告知提出提议的基金份额持有人代表和基金管理人；基金托管人决定召集的，应当自出具书面决定之日起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日内召开并告知基金管理人，基金管理人应当配合。</w:t>
      </w:r>
    </w:p>
    <w:p w14:paraId="4FCAD0A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）的基金份额持有人就同一事项要求召开基金份额持有人大会，而基金管理人、基金托管人都不召集的，单独或合计代表基金份额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）的基金份额持有人有权自行召集，并至少提前</w:t>
      </w:r>
      <w:r>
        <w:rPr>
          <w:rFonts w:ascii="Arial Unicode MS" w:hAnsi="Arial Unicode MS" w:hint="eastAsia"/>
          <w:bCs/>
          <w:szCs w:val="21"/>
        </w:rPr>
        <w:t>30</w:t>
      </w:r>
      <w:r>
        <w:rPr>
          <w:rFonts w:ascii="Arial Unicode MS" w:hAnsi="Arial Unicode MS" w:hint="eastAsia"/>
          <w:bCs/>
          <w:szCs w:val="21"/>
        </w:rPr>
        <w:t>日报中国证监会备案。基金份额持有人依法自行召集基金份额持有人大会的，基金管理人、基金托管人应当配合，不得阻碍、干扰。</w:t>
      </w:r>
    </w:p>
    <w:p w14:paraId="32B3CEC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、基金份额持有人会议的召集人负责选择确定开会时间、地点、方式和权益登记日。</w:t>
      </w:r>
    </w:p>
    <w:p w14:paraId="37101A3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（三）召开基金份额持有人大会的通知时间、通知内容、通知方式</w:t>
      </w:r>
    </w:p>
    <w:p w14:paraId="7FCA376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、召开基金份额持有人大会，召集人应于会议召开前</w:t>
      </w:r>
      <w:r>
        <w:rPr>
          <w:rFonts w:ascii="Arial Unicode MS" w:hAnsi="Arial Unicode MS" w:hint="eastAsia"/>
          <w:bCs/>
          <w:szCs w:val="21"/>
        </w:rPr>
        <w:t>30</w:t>
      </w:r>
      <w:r>
        <w:rPr>
          <w:rFonts w:ascii="Arial Unicode MS" w:hAnsi="Arial Unicode MS" w:hint="eastAsia"/>
          <w:bCs/>
          <w:szCs w:val="21"/>
        </w:rPr>
        <w:t>日，依据有关规定进行公告。基金份额持有人大会通知应至少载明以下内容：</w:t>
      </w:r>
    </w:p>
    <w:p w14:paraId="0BBC1D3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）会议召开的时间、地点和会议形式；</w:t>
      </w:r>
    </w:p>
    <w:p w14:paraId="4AB9CD2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）会议拟审议的事项、议事程序和表决方式；</w:t>
      </w:r>
    </w:p>
    <w:p w14:paraId="55011D6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）有权出席基金份额持有人大会的基金份额持有人的权益登记日；</w:t>
      </w:r>
    </w:p>
    <w:p w14:paraId="26D1BB0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4</w:t>
      </w:r>
      <w:r>
        <w:rPr>
          <w:rFonts w:ascii="Arial Unicode MS" w:hAnsi="Arial Unicode MS" w:hint="eastAsia"/>
          <w:bCs/>
          <w:szCs w:val="21"/>
        </w:rPr>
        <w:t>）授权委托证明的内容要求（包括但不限于代理人身份，代理权限和代理有效期限等）、送达时间和地点；</w:t>
      </w:r>
    </w:p>
    <w:p w14:paraId="5700E7B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）会务常设联系人姓名及联系电话；</w:t>
      </w:r>
    </w:p>
    <w:p w14:paraId="58C7229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）出席会议者必须准备的文件和必须履行的手续；</w:t>
      </w:r>
    </w:p>
    <w:p w14:paraId="6A86C80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）召集人需要通知的其他事项。</w:t>
      </w:r>
    </w:p>
    <w:p w14:paraId="4FB4B83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630B0F1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3A4F80C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（四）基金份额持有人出席会议的方式</w:t>
      </w:r>
    </w:p>
    <w:p w14:paraId="170D64A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基金份额持有人大会可通过现场开会方式、通讯开会方式或法律法规及监管机关允许的其他方式召开，会议的召开方式由会议召集人确定。</w:t>
      </w:r>
    </w:p>
    <w:p w14:paraId="77DB6A9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3795938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0049660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1ADB048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、通讯开会。通讯开会系指基金份额持有人将其对表决事项的投票以书面形式或基金</w:t>
      </w:r>
      <w:r>
        <w:rPr>
          <w:rFonts w:ascii="Arial Unicode MS" w:hAnsi="Arial Unicode MS" w:hint="eastAsia"/>
          <w:bCs/>
          <w:szCs w:val="21"/>
        </w:rPr>
        <w:lastRenderedPageBreak/>
        <w:t>合同约定的其他方式在表决截至日以前送达至召集人指定的地址。通讯开会应以书面方式或基金合同约定的其他方式进行表决。</w:t>
      </w:r>
    </w:p>
    <w:p w14:paraId="5F49E33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在同时符合以下条件时，通讯开会的方式视为有效：</w:t>
      </w:r>
    </w:p>
    <w:p w14:paraId="309FCA3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）会议召集人按《基金合同》约定公布会议通知后，在</w:t>
      </w:r>
      <w:r>
        <w:rPr>
          <w:rFonts w:ascii="Arial Unicode MS" w:hAnsi="Arial Unicode MS" w:hint="eastAsia"/>
          <w:bCs/>
          <w:szCs w:val="21"/>
        </w:rPr>
        <w:t>2</w:t>
      </w:r>
      <w:r>
        <w:rPr>
          <w:rFonts w:ascii="Arial Unicode MS" w:hAnsi="Arial Unicode MS" w:hint="eastAsia"/>
          <w:bCs/>
          <w:szCs w:val="21"/>
        </w:rPr>
        <w:t>个工作日内连续公布相关提示性公告；</w:t>
      </w:r>
    </w:p>
    <w:p w14:paraId="7D1C9FA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4E24B78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个月以内，就原定审议事项重新召集基金份额持有人大会。重新召集的基金份额持有人大会应当有代表三分之一以上（含三分之一）基金份额的持有人直接出具书面意见或授权他人代表出具书面意见；</w:t>
      </w:r>
    </w:p>
    <w:p w14:paraId="71A2BB4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）上述第（</w:t>
      </w:r>
      <w:r>
        <w:rPr>
          <w:rFonts w:ascii="Arial Unicode MS" w:hAnsi="Arial Unicode MS" w:hint="eastAsia"/>
          <w:bCs/>
          <w:szCs w:val="21"/>
        </w:rPr>
        <w:t>3</w:t>
      </w:r>
      <w:r>
        <w:rPr>
          <w:rFonts w:ascii="Arial Unicode MS" w:hAnsi="Arial Unicode MS" w:hint="eastAsia"/>
          <w:bCs/>
          <w:szCs w:val="21"/>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0AF81DF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6BA3428E" w14:textId="77777777" w:rsidR="00A6605D" w:rsidRDefault="00413D7E">
      <w:pPr>
        <w:autoSpaceDE w:val="0"/>
        <w:autoSpaceDN w:val="0"/>
        <w:adjustRightInd w:val="0"/>
        <w:spacing w:line="360" w:lineRule="auto"/>
        <w:ind w:firstLineChars="150" w:firstLine="315"/>
        <w:jc w:val="left"/>
        <w:rPr>
          <w:rFonts w:ascii="Arial Unicode MS" w:hAnsi="Arial Unicode MS"/>
          <w:bCs/>
          <w:szCs w:val="21"/>
        </w:rPr>
      </w:pPr>
      <w:r>
        <w:rPr>
          <w:rFonts w:ascii="Arial Unicode MS" w:hAnsi="Arial Unicode MS" w:hint="eastAsia"/>
          <w:bCs/>
          <w:szCs w:val="21"/>
        </w:rPr>
        <w:t>（五）议事内容与程序</w:t>
      </w:r>
    </w:p>
    <w:p w14:paraId="713D450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、议事内容及提案权</w:t>
      </w:r>
    </w:p>
    <w:p w14:paraId="568D4EA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60EDF9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基金份额持有人大会的召集人发出召集会议的通知后，对原有提案的修改应当在基金份</w:t>
      </w:r>
      <w:r>
        <w:rPr>
          <w:rFonts w:ascii="Arial Unicode MS" w:hAnsi="Arial Unicode MS" w:hint="eastAsia"/>
          <w:bCs/>
          <w:szCs w:val="21"/>
        </w:rPr>
        <w:lastRenderedPageBreak/>
        <w:t>额持有人大会召开前及时公告。</w:t>
      </w:r>
    </w:p>
    <w:p w14:paraId="03A480E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基金份额持有人大会不得对未事先公告的议事内容进行表决。</w:t>
      </w:r>
    </w:p>
    <w:p w14:paraId="58F281C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、议事程序</w:t>
      </w:r>
    </w:p>
    <w:p w14:paraId="6A6970E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）现场开会</w:t>
      </w:r>
    </w:p>
    <w:p w14:paraId="6A1E38C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2475B7E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会议召集人应当制作出席会议人员的签名册。签名册载明参加会议人员姓名（或单位名称）、身份证明文件号码、持有或代表有表决权的基金份额、委托人姓名（或单位名称）和联系方式等事项。</w:t>
      </w:r>
    </w:p>
    <w:p w14:paraId="531C47C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）通讯开会</w:t>
      </w:r>
    </w:p>
    <w:p w14:paraId="7EFA354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在通讯开会的情况下，首先由召集人提前</w:t>
      </w:r>
      <w:r>
        <w:rPr>
          <w:rFonts w:ascii="Arial Unicode MS" w:hAnsi="Arial Unicode MS" w:hint="eastAsia"/>
          <w:bCs/>
          <w:szCs w:val="21"/>
        </w:rPr>
        <w:t>30</w:t>
      </w:r>
      <w:r>
        <w:rPr>
          <w:rFonts w:ascii="Arial Unicode MS" w:hAnsi="Arial Unicode MS" w:hint="eastAsia"/>
          <w:bCs/>
          <w:szCs w:val="21"/>
        </w:rPr>
        <w:t>日公布提案，在所通知的表决截止日期后</w:t>
      </w:r>
      <w:r>
        <w:rPr>
          <w:rFonts w:ascii="Arial Unicode MS" w:hAnsi="Arial Unicode MS" w:hint="eastAsia"/>
          <w:bCs/>
          <w:szCs w:val="21"/>
        </w:rPr>
        <w:t>2</w:t>
      </w:r>
      <w:r>
        <w:rPr>
          <w:rFonts w:ascii="Arial Unicode MS" w:hAnsi="Arial Unicode MS" w:hint="eastAsia"/>
          <w:bCs/>
          <w:szCs w:val="21"/>
        </w:rPr>
        <w:t>个工作日内在公证机关监督下由召集人统计全部有效表决，在公证机关监督下形成决议。</w:t>
      </w:r>
    </w:p>
    <w:p w14:paraId="5FDA76B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（六）表决</w:t>
      </w:r>
    </w:p>
    <w:p w14:paraId="5B089AC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基金份额持有人所持每份基金份额有一票表决权。</w:t>
      </w:r>
    </w:p>
    <w:p w14:paraId="74259CE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基金份额持有人大会决议分为一般决议和特别决议：</w:t>
      </w:r>
    </w:p>
    <w:p w14:paraId="62012BF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、一般决议，一般决议须经参加大会的基金份额持有人或其代理人所持表决权的二分之一以上（含二分之一）通过方为有效；除下列第</w:t>
      </w:r>
      <w:r>
        <w:rPr>
          <w:rFonts w:ascii="Arial Unicode MS" w:hAnsi="Arial Unicode MS" w:hint="eastAsia"/>
          <w:bCs/>
          <w:szCs w:val="21"/>
        </w:rPr>
        <w:t>2</w:t>
      </w:r>
      <w:r>
        <w:rPr>
          <w:rFonts w:ascii="Arial Unicode MS" w:hAnsi="Arial Unicode MS" w:hint="eastAsia"/>
          <w:bCs/>
          <w:szCs w:val="21"/>
        </w:rPr>
        <w:t>项所规定的须以特别决议通过事项以外的其他事项均以一般决议的方式通过。</w:t>
      </w:r>
    </w:p>
    <w:p w14:paraId="6201CCF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7A223A0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基金份额持有人大会决定的事项，应当依法报中国证监会备案，并予以公告。</w:t>
      </w:r>
    </w:p>
    <w:p w14:paraId="0E195E9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基金份额持有人大会采取记名方式进行投票表决。</w:t>
      </w:r>
    </w:p>
    <w:p w14:paraId="7E4E68F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采取通讯方式进行表决时，除非在计票时监督员及公证机关均认为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211CFE8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基金份额持有人大会的各项提案或同一项提案内并列的各项议题应当分开审议、逐项表决。</w:t>
      </w:r>
    </w:p>
    <w:p w14:paraId="705E642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（七）计票</w:t>
      </w:r>
    </w:p>
    <w:p w14:paraId="703417F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、现场开会</w:t>
      </w:r>
    </w:p>
    <w:p w14:paraId="1988076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12915FA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）监票人应当在基金份额持有人表决后立即进行清点并由大会主持人当场公布计票结果。</w:t>
      </w:r>
    </w:p>
    <w:p w14:paraId="6E0E491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35174B5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）计票过程应由公证机关予以公证，基金管理人或基金托管人拒不出席大会的，不影响计票的效力。</w:t>
      </w:r>
    </w:p>
    <w:p w14:paraId="59B1AA1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、通讯开会</w:t>
      </w:r>
    </w:p>
    <w:p w14:paraId="0FD7D0C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657175F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（八）生效与公告</w:t>
      </w:r>
    </w:p>
    <w:p w14:paraId="4CC7D22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基金份额持有人大会的决议，召集人应当自通过之日起</w:t>
      </w:r>
      <w:r>
        <w:rPr>
          <w:rFonts w:ascii="Arial Unicode MS" w:hAnsi="Arial Unicode MS" w:hint="eastAsia"/>
          <w:bCs/>
          <w:szCs w:val="21"/>
        </w:rPr>
        <w:t>5</w:t>
      </w:r>
      <w:r>
        <w:rPr>
          <w:rFonts w:ascii="Arial Unicode MS" w:hAnsi="Arial Unicode MS" w:hint="eastAsia"/>
          <w:bCs/>
          <w:szCs w:val="21"/>
        </w:rPr>
        <w:t>日内报中国证监会备案。</w:t>
      </w:r>
    </w:p>
    <w:p w14:paraId="28D7312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基金份额持有人大会的决议自表决通过之日起生效。</w:t>
      </w:r>
    </w:p>
    <w:p w14:paraId="6285D4C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基金份额持有人大会决议自生效之日起</w:t>
      </w:r>
      <w:r>
        <w:rPr>
          <w:rFonts w:ascii="Arial Unicode MS" w:hAnsi="Arial Unicode MS" w:hint="eastAsia"/>
          <w:bCs/>
          <w:szCs w:val="21"/>
        </w:rPr>
        <w:t>2</w:t>
      </w:r>
      <w:r>
        <w:rPr>
          <w:rFonts w:ascii="Arial Unicode MS" w:hAnsi="Arial Unicode MS" w:hint="eastAsia"/>
          <w:bCs/>
          <w:szCs w:val="21"/>
        </w:rPr>
        <w:t>日内在规定媒介上公告。如果采用通讯方式进行表决，在公告基金份额持有人大会决议时，必须将公证书全文、公证机构、公证员姓名等一同公告。</w:t>
      </w:r>
    </w:p>
    <w:p w14:paraId="43418D5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基金管理人、基金托管人和基金份额持有人应当执行生效的基金份额持有人大会的决议。生效的基金份额持有人大会决议对全体基金份额持有人、基金管理人、基金托管人均有约束力。</w:t>
      </w:r>
    </w:p>
    <w:p w14:paraId="44D75C4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（九）实施侧袋机制期间基金份额持有人大会的特殊约定</w:t>
      </w:r>
    </w:p>
    <w:p w14:paraId="14FAFEC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7C0E12D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、基金份额持有人行使提议权、召集权、提名权所需单独或合计代表相关基金份额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w:t>
      </w:r>
    </w:p>
    <w:p w14:paraId="42F541B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、现场开会的到会者在权益登记日代表的基金份额不少于本基金在权益登记日相关基金份额的二分之一（含二分之一）；</w:t>
      </w:r>
    </w:p>
    <w:p w14:paraId="55E7805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、通讯开会的直接出具表决意见或授权他人代表出具表决意见的基金份额持有人所持有的基金份额不小于在权益登记日相关基金份额的二分之一（含二分之一）；</w:t>
      </w:r>
    </w:p>
    <w:p w14:paraId="2D34836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、在参与基金份额持有人大会投票的基金份额持有人所持有的基金份额小于在权益登记日相关基金份额的二分之一、召集人在原公告的基金份额持有人大会召开时间的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个月以内就原定审议事项重新召集的基金份额持有人大会应当有代表三分之一以上（含三分之一）相关基金份额的持有人参与或授权他人参与基金份额持有人大会投票；</w:t>
      </w:r>
    </w:p>
    <w:p w14:paraId="52A18D1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、现场开会由出席大会的基金份额持有人和代理人所持表决权的</w:t>
      </w:r>
      <w:r>
        <w:rPr>
          <w:rFonts w:ascii="Arial Unicode MS" w:hAnsi="Arial Unicode MS" w:hint="eastAsia"/>
          <w:bCs/>
          <w:szCs w:val="21"/>
        </w:rPr>
        <w:t>50%</w:t>
      </w:r>
      <w:r>
        <w:rPr>
          <w:rFonts w:ascii="Arial Unicode MS" w:hAnsi="Arial Unicode MS" w:hint="eastAsia"/>
          <w:bCs/>
          <w:szCs w:val="21"/>
        </w:rPr>
        <w:t>以上（含</w:t>
      </w:r>
      <w:r>
        <w:rPr>
          <w:rFonts w:ascii="Arial Unicode MS" w:hAnsi="Arial Unicode MS" w:hint="eastAsia"/>
          <w:bCs/>
          <w:szCs w:val="21"/>
        </w:rPr>
        <w:t>50%</w:t>
      </w:r>
      <w:r>
        <w:rPr>
          <w:rFonts w:ascii="Arial Unicode MS" w:hAnsi="Arial Unicode MS" w:hint="eastAsia"/>
          <w:bCs/>
          <w:szCs w:val="21"/>
        </w:rPr>
        <w:t>）选举产生一名基金份额持有人作为该次基金份额持有人大会的主持人；</w:t>
      </w:r>
    </w:p>
    <w:p w14:paraId="1AAE653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、一般决议须经参加大会的基金份额持有人或其代理人所持表决权的二分之一以上（含二分之一）通过；</w:t>
      </w:r>
    </w:p>
    <w:p w14:paraId="2F6D380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、特别决议应当经参加大会的基金份额持有人或其代理人所持表决权的三分之二以上（含三分之二）通过。</w:t>
      </w:r>
    </w:p>
    <w:p w14:paraId="0C0C6BD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同一主侧袋账户内的每份基金份额具有平等的表决权。</w:t>
      </w:r>
    </w:p>
    <w:p w14:paraId="53911EF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十）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015EEFF6" w14:textId="77777777" w:rsidR="00A6605D" w:rsidRDefault="00413D7E">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三、基金合同解除和终止的事由、程序以及基金财产清算方式</w:t>
      </w:r>
    </w:p>
    <w:p w14:paraId="3228633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（一）《基金合同》的变更</w:t>
      </w:r>
    </w:p>
    <w:p w14:paraId="5274282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、变更基金合同涉及法律法规规定或本基金合同约定应经基金份额持有人大会决议通过的事项的，应召开基金份额持有人大会决议通过。对于法律法规规定和基金合同约定可不</w:t>
      </w:r>
      <w:r>
        <w:rPr>
          <w:rFonts w:ascii="Arial Unicode MS" w:hAnsi="Arial Unicode MS" w:hint="eastAsia"/>
          <w:bCs/>
          <w:szCs w:val="21"/>
        </w:rPr>
        <w:lastRenderedPageBreak/>
        <w:t>经基金份额持有人大会决议通过的事项，由基金管理人和基金托管人同意后变更并公告，并报中国证监会备案。</w:t>
      </w:r>
    </w:p>
    <w:p w14:paraId="4D3625D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、关于《基金合同》变更的基金份额持有人大会决议自生效后方可执行，并自决议生效后两日内在规定媒介公告。</w:t>
      </w:r>
    </w:p>
    <w:p w14:paraId="3156A96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（二）《基金合同》的终止事由</w:t>
      </w:r>
    </w:p>
    <w:p w14:paraId="64ACED3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有下列情形之一的，经履行相关程序后，《基金合同》应当终止：</w:t>
      </w:r>
    </w:p>
    <w:p w14:paraId="591638C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、基金份额持有人大会决定终止的；</w:t>
      </w:r>
    </w:p>
    <w:p w14:paraId="448D925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、基金管理人、基金托管人职责终止，在</w:t>
      </w:r>
      <w:r>
        <w:rPr>
          <w:rFonts w:ascii="Arial Unicode MS" w:hAnsi="Arial Unicode MS" w:hint="eastAsia"/>
          <w:bCs/>
          <w:szCs w:val="21"/>
        </w:rPr>
        <w:t>6</w:t>
      </w:r>
      <w:r>
        <w:rPr>
          <w:rFonts w:ascii="Arial Unicode MS" w:hAnsi="Arial Unicode MS" w:hint="eastAsia"/>
          <w:bCs/>
          <w:szCs w:val="21"/>
        </w:rPr>
        <w:t>个月内没有新基金管理人、新基金托管人承接的；</w:t>
      </w:r>
    </w:p>
    <w:p w14:paraId="0634289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、《基金合同》约定的其他情形；</w:t>
      </w:r>
    </w:p>
    <w:p w14:paraId="1A04FA0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、相关法律法规和中国证监会规定的其他情况。</w:t>
      </w:r>
    </w:p>
    <w:p w14:paraId="4BF9811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（三）基金财产的清算</w:t>
      </w:r>
    </w:p>
    <w:p w14:paraId="3DDB1EC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、基金财产清算小组：自出现基金合同终止事由之日起</w:t>
      </w:r>
      <w:r>
        <w:rPr>
          <w:rFonts w:ascii="Arial Unicode MS" w:hAnsi="Arial Unicode MS" w:hint="eastAsia"/>
          <w:bCs/>
          <w:szCs w:val="21"/>
        </w:rPr>
        <w:t>30</w:t>
      </w:r>
      <w:r>
        <w:rPr>
          <w:rFonts w:ascii="Arial Unicode MS" w:hAnsi="Arial Unicode MS" w:hint="eastAsia"/>
          <w:bCs/>
          <w:szCs w:val="21"/>
        </w:rPr>
        <w:t>个工作日内成立清算小组，基金管理人组织基金财产清算小组并在中国证监会的监督下进行基金清算。</w:t>
      </w:r>
    </w:p>
    <w:p w14:paraId="1A39CCE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、基金财产清算小组组成：基金财产清算小组成员由基金管理人、基金托管人、具有证券、</w:t>
      </w:r>
      <w:r>
        <w:rPr>
          <w:rFonts w:ascii="Arial Unicode MS" w:hAnsi="Arial Unicode MS"/>
          <w:bCs/>
          <w:szCs w:val="21"/>
        </w:rPr>
        <w:t>期货</w:t>
      </w:r>
      <w:r>
        <w:rPr>
          <w:rFonts w:ascii="Arial Unicode MS" w:hAnsi="Arial Unicode MS" w:hint="eastAsia"/>
          <w:bCs/>
          <w:szCs w:val="21"/>
        </w:rPr>
        <w:t>相关业务资格的注册会计师、律师以及中国证监会指定的人员组成。基金财产清算小组可以聘用必要的工作人员。</w:t>
      </w:r>
    </w:p>
    <w:p w14:paraId="3676B4B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14:paraId="0300124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、基金财产清算程序：</w:t>
      </w:r>
    </w:p>
    <w:p w14:paraId="34C8CA1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）《基金合同》终止情形出现时，由基金财产清算小组统一接管基金；</w:t>
      </w:r>
    </w:p>
    <w:p w14:paraId="15FD879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）对基金财产和债权债务进行清理和确认；</w:t>
      </w:r>
    </w:p>
    <w:p w14:paraId="3A483F7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）对基金财产进行估值和变现；</w:t>
      </w:r>
    </w:p>
    <w:p w14:paraId="00B6AEB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）制作清算报告；</w:t>
      </w:r>
    </w:p>
    <w:p w14:paraId="7B5A569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）聘请具有证券、</w:t>
      </w:r>
      <w:r>
        <w:rPr>
          <w:rFonts w:ascii="Arial Unicode MS" w:hAnsi="Arial Unicode MS"/>
          <w:bCs/>
          <w:szCs w:val="21"/>
        </w:rPr>
        <w:t>期货</w:t>
      </w:r>
      <w:r>
        <w:rPr>
          <w:rFonts w:ascii="Arial Unicode MS" w:hAnsi="Arial Unicode MS" w:hint="eastAsia"/>
          <w:bCs/>
          <w:szCs w:val="21"/>
        </w:rPr>
        <w:t>相关业务资格的会计师事务所对清算报告进行外部审计，聘请律师事务所对清算报告出具法律意见书；</w:t>
      </w:r>
    </w:p>
    <w:p w14:paraId="53B88EB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）将清算报告报中国证监会备案并公告；</w:t>
      </w:r>
    </w:p>
    <w:p w14:paraId="6A48AA5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）对基金剩余财产进行分配。</w:t>
      </w:r>
    </w:p>
    <w:p w14:paraId="00BCE3D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5</w:t>
      </w:r>
      <w:r>
        <w:rPr>
          <w:rFonts w:ascii="Arial Unicode MS" w:hAnsi="Arial Unicode MS" w:hint="eastAsia"/>
          <w:bCs/>
          <w:szCs w:val="21"/>
        </w:rPr>
        <w:t>、基金财产清算的期限为</w:t>
      </w:r>
      <w:r>
        <w:rPr>
          <w:rFonts w:ascii="Arial Unicode MS" w:hAnsi="Arial Unicode MS" w:hint="eastAsia"/>
          <w:bCs/>
          <w:szCs w:val="21"/>
        </w:rPr>
        <w:t>6</w:t>
      </w:r>
      <w:r>
        <w:rPr>
          <w:rFonts w:ascii="Arial Unicode MS" w:hAnsi="Arial Unicode MS" w:hint="eastAsia"/>
          <w:bCs/>
          <w:szCs w:val="21"/>
        </w:rPr>
        <w:t>个月，但因本基金所持证券的流动性受到限制而不能及时变现的，清算期限相应顺延。</w:t>
      </w:r>
    </w:p>
    <w:p w14:paraId="697C929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（四）清算费用</w:t>
      </w:r>
    </w:p>
    <w:p w14:paraId="6B1026C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14:paraId="65ADBFD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（五）基金财产清算剩余资产的分配</w:t>
      </w:r>
    </w:p>
    <w:p w14:paraId="55A5A9F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依据基金财产清算的分配方案，将基金财产清算后的全部剩余资产扣除基金财产清算费用、交纳所欠税款并清偿基金债务后，按基金份额持有人持有的基金份额比例进行分配。</w:t>
      </w:r>
    </w:p>
    <w:p w14:paraId="4F775E0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（六）基金财产清算的公告</w:t>
      </w:r>
    </w:p>
    <w:p w14:paraId="315EE37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w:t>
      </w:r>
      <w:r>
        <w:rPr>
          <w:rFonts w:ascii="Arial Unicode MS" w:hAnsi="Arial Unicode MS" w:hint="eastAsia"/>
          <w:bCs/>
          <w:szCs w:val="21"/>
        </w:rPr>
        <w:t>5</w:t>
      </w:r>
      <w:r>
        <w:rPr>
          <w:rFonts w:ascii="Arial Unicode MS" w:hAnsi="Arial Unicode MS" w:hint="eastAsia"/>
          <w:bCs/>
          <w:szCs w:val="21"/>
        </w:rPr>
        <w:t>个工作日内由基金财产清算小组进行公告，基金财产清算小组应当将清算报告登载在规定网站上，并将清算报告提示性公告登载在规定报刊上。</w:t>
      </w:r>
    </w:p>
    <w:p w14:paraId="204963E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（七）基金财产清算账册及文件的保存</w:t>
      </w:r>
    </w:p>
    <w:p w14:paraId="3A89C78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基金财产清算账册及有关文件由基金托管人保存不低于法律法规规定的最低期限。</w:t>
      </w:r>
    </w:p>
    <w:p w14:paraId="52B7FACE" w14:textId="77777777" w:rsidR="00A6605D" w:rsidRDefault="00413D7E">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四、争议解决方式</w:t>
      </w:r>
    </w:p>
    <w:p w14:paraId="771D813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各方当事人同意，因《基金合同》而产生的或与《基金合同》有关的一切争议，如不愿或者不能通过协商、调解解决的，任何一方均有权将争议提交中国国际经济贸易仲裁委员会，按照该会届时有效的仲裁规则进行仲裁。仲裁地点为北京市。仲裁裁决是终局的，对各方当事人均有约束力。仲裁费用由败诉方承担。</w:t>
      </w:r>
    </w:p>
    <w:p w14:paraId="41F3B0D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《基金合同》适用中华人民共和国法律及其解释。</w:t>
      </w:r>
    </w:p>
    <w:p w14:paraId="3CD3097C" w14:textId="77777777" w:rsidR="00A6605D" w:rsidRDefault="00413D7E">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五、基金合同存放地和投资人取得基金合同的方式</w:t>
      </w:r>
    </w:p>
    <w:p w14:paraId="071F9F6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《基金合同》可印制成册，供投资者在基金管理人、基金托管人、销售机构的办公场所和营业场所查阅。</w:t>
      </w:r>
    </w:p>
    <w:p w14:paraId="63342071" w14:textId="77777777" w:rsidR="00A6605D" w:rsidRDefault="00A6605D">
      <w:pPr>
        <w:autoSpaceDE w:val="0"/>
        <w:autoSpaceDN w:val="0"/>
        <w:adjustRightInd w:val="0"/>
        <w:spacing w:line="360" w:lineRule="auto"/>
        <w:ind w:firstLineChars="200" w:firstLine="480"/>
        <w:jc w:val="right"/>
        <w:rPr>
          <w:rFonts w:ascii="Arial Unicode MS" w:hAnsi="Arial Unicode MS"/>
          <w:bCs/>
          <w:sz w:val="24"/>
        </w:rPr>
      </w:pPr>
    </w:p>
    <w:p w14:paraId="61CD74F4" w14:textId="77777777" w:rsidR="00A6605D" w:rsidRDefault="00A6605D">
      <w:pPr>
        <w:autoSpaceDE w:val="0"/>
        <w:autoSpaceDN w:val="0"/>
        <w:adjustRightInd w:val="0"/>
        <w:spacing w:line="360" w:lineRule="auto"/>
        <w:jc w:val="left"/>
        <w:rPr>
          <w:rFonts w:ascii="Arial Unicode MS" w:hAnsi="Arial Unicode MS"/>
          <w:bCs/>
        </w:rPr>
      </w:pPr>
    </w:p>
    <w:p w14:paraId="220C8FAE" w14:textId="77777777" w:rsidR="00A6605D" w:rsidRDefault="00A6605D">
      <w:pPr>
        <w:pStyle w:val="11"/>
        <w:snapToGrid w:val="0"/>
        <w:spacing w:before="0" w:after="0" w:line="360" w:lineRule="auto"/>
        <w:ind w:firstLineChars="150" w:firstLine="422"/>
        <w:rPr>
          <w:rFonts w:ascii="Arial Unicode MS" w:eastAsia="宋体" w:hAnsi="Arial Unicode MS" w:cs="Arial"/>
          <w:b/>
          <w:bCs/>
          <w:sz w:val="28"/>
          <w:szCs w:val="28"/>
        </w:rPr>
        <w:sectPr w:rsidR="00A6605D">
          <w:pgSz w:w="11906" w:h="16838"/>
          <w:pgMar w:top="1440" w:right="1800" w:bottom="1440" w:left="1800" w:header="851" w:footer="992" w:gutter="0"/>
          <w:cols w:space="720"/>
          <w:titlePg/>
          <w:docGrid w:linePitch="312"/>
        </w:sectPr>
      </w:pPr>
      <w:bookmarkStart w:id="134" w:name="_Toc317088553"/>
      <w:bookmarkStart w:id="135" w:name="_Toc317088156"/>
      <w:bookmarkStart w:id="136" w:name="_Toc214873614"/>
      <w:bookmarkStart w:id="137" w:name="_Toc320887658"/>
      <w:bookmarkStart w:id="138" w:name="_Toc335232707"/>
    </w:p>
    <w:p w14:paraId="56F0D449" w14:textId="77777777" w:rsidR="00A6605D" w:rsidRDefault="00413D7E">
      <w:pPr>
        <w:pStyle w:val="11"/>
        <w:snapToGrid w:val="0"/>
        <w:spacing w:before="0" w:after="0" w:line="360" w:lineRule="auto"/>
        <w:ind w:firstLineChars="150" w:firstLine="422"/>
        <w:rPr>
          <w:rFonts w:ascii="Arial Unicode MS" w:eastAsia="宋体" w:hAnsi="Arial Unicode MS" w:cs="Arial"/>
          <w:b/>
          <w:bCs/>
          <w:sz w:val="28"/>
          <w:szCs w:val="28"/>
        </w:rPr>
      </w:pPr>
      <w:bookmarkStart w:id="139" w:name="_Toc63676455"/>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二十</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基金托管协议的内容摘要</w:t>
      </w:r>
      <w:bookmarkEnd w:id="134"/>
      <w:bookmarkEnd w:id="135"/>
      <w:bookmarkEnd w:id="136"/>
      <w:bookmarkEnd w:id="137"/>
      <w:bookmarkEnd w:id="138"/>
      <w:bookmarkEnd w:id="139"/>
    </w:p>
    <w:p w14:paraId="700CD8B2" w14:textId="77777777" w:rsidR="00A6605D" w:rsidRDefault="00A6605D">
      <w:pPr>
        <w:ind w:firstLine="315"/>
      </w:pPr>
    </w:p>
    <w:p w14:paraId="37E21F3F" w14:textId="77777777" w:rsidR="00A6605D" w:rsidRDefault="00413D7E">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一、托管协议当事人</w:t>
      </w:r>
    </w:p>
    <w:p w14:paraId="78D59404" w14:textId="77777777" w:rsidR="00A6605D" w:rsidRDefault="00413D7E">
      <w:pPr>
        <w:adjustRightInd w:val="0"/>
        <w:snapToGrid w:val="0"/>
        <w:spacing w:line="360" w:lineRule="auto"/>
        <w:ind w:firstLineChars="200" w:firstLine="420"/>
        <w:rPr>
          <w:rFonts w:ascii="Arial Unicode MS" w:hAnsi="Arial Unicode MS" w:cs="Arial"/>
          <w:kern w:val="0"/>
          <w:szCs w:val="21"/>
        </w:rPr>
      </w:pPr>
      <w:bookmarkStart w:id="140" w:name="_Toc22454433"/>
      <w:bookmarkStart w:id="141" w:name="_Toc77662992"/>
      <w:r>
        <w:rPr>
          <w:rFonts w:ascii="Arial Unicode MS" w:hAnsi="Arial Unicode MS" w:cs="Arial"/>
          <w:kern w:val="0"/>
          <w:szCs w:val="21"/>
        </w:rPr>
        <w:t>（一）基金管理人</w:t>
      </w:r>
      <w:bookmarkEnd w:id="140"/>
      <w:bookmarkEnd w:id="141"/>
    </w:p>
    <w:p w14:paraId="349C5F61"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14:paraId="6E03E4E0"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p>
    <w:p w14:paraId="26706102"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p>
    <w:p w14:paraId="4046587A"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邮政编码：</w:t>
      </w:r>
      <w:r>
        <w:rPr>
          <w:rFonts w:ascii="Arial Unicode MS" w:hAnsi="Arial Unicode MS" w:cs="Arial" w:hint="eastAsia"/>
          <w:kern w:val="0"/>
          <w:szCs w:val="21"/>
        </w:rPr>
        <w:t>518038</w:t>
      </w:r>
    </w:p>
    <w:p w14:paraId="65BD167C"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法定代表人：杨小舟</w:t>
      </w:r>
    </w:p>
    <w:p w14:paraId="22148EE8"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成立日期：</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14:paraId="09BB176D"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批准设立机关及批准设立文号：中国证券监督管理委员会、证监许可</w:t>
      </w:r>
      <w:r>
        <w:rPr>
          <w:rFonts w:ascii="Arial Unicode MS" w:hAnsi="Arial Unicode MS" w:cs="Arial" w:hint="eastAsia"/>
          <w:kern w:val="0"/>
          <w:szCs w:val="21"/>
        </w:rPr>
        <w:t>[2015]3118</w:t>
      </w:r>
      <w:r>
        <w:rPr>
          <w:rFonts w:ascii="Arial Unicode MS" w:hAnsi="Arial Unicode MS" w:cs="Arial" w:hint="eastAsia"/>
          <w:kern w:val="0"/>
          <w:szCs w:val="21"/>
        </w:rPr>
        <w:t>号</w:t>
      </w:r>
    </w:p>
    <w:p w14:paraId="697E6C7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组织形式：有限责任公司</w:t>
      </w:r>
    </w:p>
    <w:p w14:paraId="3213F01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 xml:space="preserve"> 2</w:t>
      </w:r>
      <w:r>
        <w:rPr>
          <w:rFonts w:ascii="Arial Unicode MS" w:hAnsi="Arial Unicode MS" w:cs="Arial" w:hint="eastAsia"/>
          <w:kern w:val="0"/>
          <w:szCs w:val="21"/>
        </w:rPr>
        <w:t>亿元人民币</w:t>
      </w:r>
    </w:p>
    <w:p w14:paraId="41EE7A8C"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存续期间：永续经营</w:t>
      </w:r>
    </w:p>
    <w:p w14:paraId="74E01EAE"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经营范围：基金募集、基金销售、资产管理、特定客户资产管理和中国证监会许可的其他业务</w:t>
      </w:r>
    </w:p>
    <w:p w14:paraId="5505E089" w14:textId="77777777" w:rsidR="00A6605D" w:rsidRDefault="00413D7E">
      <w:pPr>
        <w:adjustRightInd w:val="0"/>
        <w:snapToGrid w:val="0"/>
        <w:spacing w:line="360" w:lineRule="auto"/>
        <w:ind w:firstLineChars="200" w:firstLine="420"/>
        <w:rPr>
          <w:rFonts w:ascii="Arial Unicode MS" w:hAnsi="Arial Unicode MS" w:cs="Arial"/>
          <w:kern w:val="0"/>
          <w:szCs w:val="21"/>
        </w:rPr>
      </w:pPr>
      <w:bookmarkStart w:id="142" w:name="_Toc77662993"/>
      <w:bookmarkStart w:id="143" w:name="_Toc22454434"/>
      <w:r>
        <w:rPr>
          <w:rFonts w:ascii="Arial Unicode MS" w:hAnsi="Arial Unicode MS" w:cs="Arial"/>
          <w:kern w:val="0"/>
          <w:szCs w:val="21"/>
        </w:rPr>
        <w:t>（二）基金托管人</w:t>
      </w:r>
      <w:bookmarkEnd w:id="142"/>
      <w:bookmarkEnd w:id="143"/>
    </w:p>
    <w:p w14:paraId="5D83D430"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名称：中国建设银行股份有限公司</w:t>
      </w:r>
      <w:r>
        <w:rPr>
          <w:rFonts w:ascii="Arial Unicode MS" w:hAnsi="Arial Unicode MS" w:cs="Arial" w:hint="eastAsia"/>
          <w:kern w:val="0"/>
          <w:szCs w:val="21"/>
        </w:rPr>
        <w:t>(</w:t>
      </w:r>
      <w:r>
        <w:rPr>
          <w:rFonts w:ascii="Arial Unicode MS" w:hAnsi="Arial Unicode MS" w:cs="Arial" w:hint="eastAsia"/>
          <w:kern w:val="0"/>
          <w:szCs w:val="21"/>
        </w:rPr>
        <w:t>简称：中国建设银行</w:t>
      </w:r>
      <w:r>
        <w:rPr>
          <w:rFonts w:ascii="Arial Unicode MS" w:hAnsi="Arial Unicode MS" w:cs="Arial" w:hint="eastAsia"/>
          <w:kern w:val="0"/>
          <w:szCs w:val="21"/>
        </w:rPr>
        <w:t>)</w:t>
      </w:r>
    </w:p>
    <w:p w14:paraId="25702F46"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住所：北京市西城区金融大街</w:t>
      </w:r>
      <w:r>
        <w:rPr>
          <w:rFonts w:ascii="Arial Unicode MS" w:hAnsi="Arial Unicode MS" w:cs="Arial" w:hint="eastAsia"/>
          <w:kern w:val="0"/>
          <w:szCs w:val="21"/>
        </w:rPr>
        <w:t>25</w:t>
      </w:r>
      <w:r>
        <w:rPr>
          <w:rFonts w:ascii="Arial Unicode MS" w:hAnsi="Arial Unicode MS" w:cs="Arial" w:hint="eastAsia"/>
          <w:kern w:val="0"/>
          <w:szCs w:val="21"/>
        </w:rPr>
        <w:t>号</w:t>
      </w:r>
    </w:p>
    <w:p w14:paraId="5BD2513E"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办公地址：北京市西城区闹市口大街</w:t>
      </w:r>
      <w:r>
        <w:rPr>
          <w:rFonts w:ascii="Arial Unicode MS" w:hAnsi="Arial Unicode MS" w:cs="Arial" w:hint="eastAsia"/>
          <w:kern w:val="0"/>
          <w:szCs w:val="21"/>
        </w:rPr>
        <w:t>1</w:t>
      </w:r>
      <w:r>
        <w:rPr>
          <w:rFonts w:ascii="Arial Unicode MS" w:hAnsi="Arial Unicode MS" w:cs="Arial" w:hint="eastAsia"/>
          <w:kern w:val="0"/>
          <w:szCs w:val="21"/>
        </w:rPr>
        <w:t>号院</w:t>
      </w:r>
      <w:r>
        <w:rPr>
          <w:rFonts w:ascii="Arial Unicode MS" w:hAnsi="Arial Unicode MS" w:cs="Arial" w:hint="eastAsia"/>
          <w:kern w:val="0"/>
          <w:szCs w:val="21"/>
        </w:rPr>
        <w:t>1</w:t>
      </w:r>
      <w:r>
        <w:rPr>
          <w:rFonts w:ascii="Arial Unicode MS" w:hAnsi="Arial Unicode MS" w:cs="Arial" w:hint="eastAsia"/>
          <w:kern w:val="0"/>
          <w:szCs w:val="21"/>
        </w:rPr>
        <w:t>号楼</w:t>
      </w:r>
    </w:p>
    <w:p w14:paraId="2E8395EF"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邮政编码：</w:t>
      </w:r>
      <w:r>
        <w:rPr>
          <w:rFonts w:ascii="Arial Unicode MS" w:hAnsi="Arial Unicode MS" w:cs="Arial" w:hint="eastAsia"/>
          <w:kern w:val="0"/>
          <w:szCs w:val="21"/>
        </w:rPr>
        <w:t>100033</w:t>
      </w:r>
    </w:p>
    <w:p w14:paraId="091BC692"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法定代表人：田国立</w:t>
      </w:r>
    </w:p>
    <w:p w14:paraId="099D933A"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成立日期：</w:t>
      </w:r>
      <w:r>
        <w:rPr>
          <w:rFonts w:ascii="Arial Unicode MS" w:hAnsi="Arial Unicode MS" w:cs="Arial" w:hint="eastAsia"/>
          <w:kern w:val="0"/>
          <w:szCs w:val="21"/>
        </w:rPr>
        <w:t>2004</w:t>
      </w:r>
      <w:r>
        <w:rPr>
          <w:rFonts w:ascii="Arial Unicode MS" w:hAnsi="Arial Unicode MS" w:cs="Arial" w:hint="eastAsia"/>
          <w:kern w:val="0"/>
          <w:szCs w:val="21"/>
        </w:rPr>
        <w:t>年</w:t>
      </w:r>
      <w:r>
        <w:rPr>
          <w:rFonts w:ascii="Arial Unicode MS" w:hAnsi="Arial Unicode MS" w:cs="Arial" w:hint="eastAsia"/>
          <w:kern w:val="0"/>
          <w:szCs w:val="21"/>
        </w:rPr>
        <w:t>09</w:t>
      </w:r>
      <w:r>
        <w:rPr>
          <w:rFonts w:ascii="Arial Unicode MS" w:hAnsi="Arial Unicode MS" w:cs="Arial" w:hint="eastAsia"/>
          <w:kern w:val="0"/>
          <w:szCs w:val="21"/>
        </w:rPr>
        <w:t>月</w:t>
      </w:r>
      <w:r>
        <w:rPr>
          <w:rFonts w:ascii="Arial Unicode MS" w:hAnsi="Arial Unicode MS" w:cs="Arial" w:hint="eastAsia"/>
          <w:kern w:val="0"/>
          <w:szCs w:val="21"/>
        </w:rPr>
        <w:t>17</w:t>
      </w:r>
      <w:r>
        <w:rPr>
          <w:rFonts w:ascii="Arial Unicode MS" w:hAnsi="Arial Unicode MS" w:cs="Arial" w:hint="eastAsia"/>
          <w:kern w:val="0"/>
          <w:szCs w:val="21"/>
        </w:rPr>
        <w:t>日</w:t>
      </w:r>
    </w:p>
    <w:p w14:paraId="7D25D6C8"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基金托管业务批准文号：中国证监会证监基字</w:t>
      </w:r>
      <w:r>
        <w:rPr>
          <w:rFonts w:ascii="Arial Unicode MS" w:hAnsi="Arial Unicode MS" w:cs="Arial" w:hint="eastAsia"/>
          <w:kern w:val="0"/>
          <w:szCs w:val="21"/>
        </w:rPr>
        <w:t>[1998]12</w:t>
      </w:r>
      <w:r>
        <w:rPr>
          <w:rFonts w:ascii="Arial Unicode MS" w:hAnsi="Arial Unicode MS" w:cs="Arial" w:hint="eastAsia"/>
          <w:kern w:val="0"/>
          <w:szCs w:val="21"/>
        </w:rPr>
        <w:t>号</w:t>
      </w:r>
    </w:p>
    <w:p w14:paraId="2FADB822"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组织形式：股份有限公司</w:t>
      </w:r>
    </w:p>
    <w:p w14:paraId="367DC565"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注册资本：贰仟伍佰亿壹仟零玖拾柒万柒仟肆佰捌拾陆元整</w:t>
      </w:r>
    </w:p>
    <w:p w14:paraId="120A93C1"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存续期间：持续经营</w:t>
      </w:r>
    </w:p>
    <w:p w14:paraId="3AD30158"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营范围：吸收公众存款；发放短期、中期、长期贷款；办理国内外结算；办理票据承兑与贴现；发行金融债券；代理发行、代理兑付、承销政府债券；买卖政府债券、金融债券；从事同业拆借；买卖、代理买卖外汇；从事银行卡业务；提供信用证服务及担保；代理收付</w:t>
      </w:r>
      <w:r>
        <w:rPr>
          <w:rFonts w:ascii="Arial Unicode MS" w:hAnsi="Arial Unicode MS" w:cs="Arial" w:hint="eastAsia"/>
          <w:kern w:val="0"/>
          <w:szCs w:val="21"/>
        </w:rPr>
        <w:lastRenderedPageBreak/>
        <w:t>款项及代理保险业务；提供保管箱服务；经中国银行业监督管理机构等监管部门批准的其他业务。</w:t>
      </w:r>
    </w:p>
    <w:p w14:paraId="4BE76994" w14:textId="77777777" w:rsidR="00A6605D" w:rsidRDefault="00413D7E">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二、基金托管人对基金管理人的业务监督和核查</w:t>
      </w:r>
    </w:p>
    <w:p w14:paraId="07CA401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7509665A"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投资范围主要为具有良好流动性的金融工具，包括国债、金融债、企业债、公司债、央行票据、中期票据、短期融资券、资产支持证券、次级债、可分离交易可转债的纯债部分、债券回购、银行存款等法律法规或中国证监会允许基金投资的其他金融工具（但须符合中国证监会的相关规定）。</w:t>
      </w:r>
    </w:p>
    <w:p w14:paraId="04A88D26"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本基金不投资于股票和权证，也不投资于可转换债券（可分离交易可转债的纯债部分除外）、可交换债券。</w:t>
      </w:r>
    </w:p>
    <w:p w14:paraId="513BA76C"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基金的投资组合比例为：本基金对债券的投资比例不低于基金资产的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％；本基金持有现金或者到期日在一年以内的政府债券投资比例不低于基金资产净值的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w:t>
      </w:r>
    </w:p>
    <w:p w14:paraId="7892B20C"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如法律法规或监管机构以后允许基金投资的其他品种，基金管理人在履行适当程序后，可以将其纳入投资范围。</w:t>
      </w:r>
    </w:p>
    <w:p w14:paraId="2EC57211"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（二）基金托管人根据有关法律法规的规定及《基金合同》的约定，对基金投资、融资比例进行监督。基金托管人按下述比例和调整期限进行监督：</w:t>
      </w:r>
    </w:p>
    <w:p w14:paraId="67B5CBD1"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w:t>
      </w:r>
    </w:p>
    <w:p w14:paraId="4459025E"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）本基金持有现金或者到期日在一年以内的政府债券投资比例合计不低于基金资产净值的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w:t>
      </w:r>
    </w:p>
    <w:p w14:paraId="25BCAA24"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）本基金持有一家公司发行的证券，其市值不超过基金资产净值的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51D7E053"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）本基金管理人管理且由本基金托管人托管的全部基金持有一家公司发行的证券，不超过该证券的</w:t>
      </w:r>
      <w:r>
        <w:rPr>
          <w:rFonts w:ascii="Arial Unicode MS" w:hAnsi="Arial Unicode MS" w:cs="Arial" w:hint="eastAsia"/>
          <w:kern w:val="0"/>
          <w:szCs w:val="21"/>
        </w:rPr>
        <w:t>10</w:t>
      </w:r>
      <w:r>
        <w:rPr>
          <w:rFonts w:ascii="Arial Unicode MS" w:hAnsi="Arial Unicode MS" w:cs="Arial" w:hint="eastAsia"/>
          <w:kern w:val="0"/>
          <w:szCs w:val="21"/>
        </w:rPr>
        <w:t>％；</w:t>
      </w:r>
    </w:p>
    <w:p w14:paraId="61C5A14C"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）本基金进入全国银行间同业市场进行债券回购的资金余额不得超过基金资产净值的</w:t>
      </w:r>
      <w:r>
        <w:rPr>
          <w:rFonts w:ascii="Arial Unicode MS" w:hAnsi="Arial Unicode MS" w:cs="Arial" w:hint="eastAsia"/>
          <w:kern w:val="0"/>
          <w:szCs w:val="21"/>
        </w:rPr>
        <w:t>40%</w:t>
      </w:r>
      <w:r>
        <w:rPr>
          <w:rFonts w:ascii="Arial Unicode MS" w:hAnsi="Arial Unicode MS" w:cs="Arial" w:hint="eastAsia"/>
          <w:kern w:val="0"/>
          <w:szCs w:val="21"/>
        </w:rPr>
        <w:t>；在全国银行间同业市场中的债券回购最长期限为</w:t>
      </w:r>
      <w:r>
        <w:rPr>
          <w:rFonts w:ascii="Arial Unicode MS" w:hAnsi="Arial Unicode MS" w:cs="Arial" w:hint="eastAsia"/>
          <w:kern w:val="0"/>
          <w:szCs w:val="21"/>
        </w:rPr>
        <w:t>1</w:t>
      </w:r>
      <w:r>
        <w:rPr>
          <w:rFonts w:ascii="Arial Unicode MS" w:hAnsi="Arial Unicode MS" w:cs="Arial" w:hint="eastAsia"/>
          <w:kern w:val="0"/>
          <w:szCs w:val="21"/>
        </w:rPr>
        <w:t>年，债券回购到期后不展期；</w:t>
      </w:r>
    </w:p>
    <w:p w14:paraId="75C9D5F2"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）本基金投资于同一原始权益人的各类资产支持证券的比例，不得超过基金资产净</w:t>
      </w:r>
      <w:r>
        <w:rPr>
          <w:rFonts w:ascii="Arial Unicode MS" w:hAnsi="Arial Unicode MS" w:cs="Arial" w:hint="eastAsia"/>
          <w:kern w:val="0"/>
          <w:szCs w:val="21"/>
        </w:rPr>
        <w:lastRenderedPageBreak/>
        <w:t>值的</w:t>
      </w:r>
      <w:r>
        <w:rPr>
          <w:rFonts w:ascii="Arial Unicode MS" w:hAnsi="Arial Unicode MS" w:cs="Arial" w:hint="eastAsia"/>
          <w:kern w:val="0"/>
          <w:szCs w:val="21"/>
        </w:rPr>
        <w:t>10</w:t>
      </w:r>
      <w:r>
        <w:rPr>
          <w:rFonts w:ascii="Arial Unicode MS" w:hAnsi="Arial Unicode MS" w:cs="Arial" w:hint="eastAsia"/>
          <w:kern w:val="0"/>
          <w:szCs w:val="21"/>
        </w:rPr>
        <w:t>％；</w:t>
      </w:r>
    </w:p>
    <w:p w14:paraId="5B218FFC"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）本基金持有的全部资产支持证券，其市值不得超过基金资产净值的</w:t>
      </w:r>
      <w:r>
        <w:rPr>
          <w:rFonts w:ascii="Arial Unicode MS" w:hAnsi="Arial Unicode MS" w:cs="Arial" w:hint="eastAsia"/>
          <w:kern w:val="0"/>
          <w:szCs w:val="21"/>
        </w:rPr>
        <w:t>20</w:t>
      </w:r>
      <w:r>
        <w:rPr>
          <w:rFonts w:ascii="Arial Unicode MS" w:hAnsi="Arial Unicode MS" w:cs="Arial" w:hint="eastAsia"/>
          <w:kern w:val="0"/>
          <w:szCs w:val="21"/>
        </w:rPr>
        <w:t>％；</w:t>
      </w:r>
    </w:p>
    <w:p w14:paraId="319DA61E"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）本基金持有的同一</w:t>
      </w:r>
      <w:r>
        <w:rPr>
          <w:rFonts w:ascii="Arial Unicode MS" w:hAnsi="Arial Unicode MS" w:cs="Arial" w:hint="eastAsia"/>
          <w:kern w:val="0"/>
          <w:szCs w:val="21"/>
        </w:rPr>
        <w:t>(</w:t>
      </w:r>
      <w:r>
        <w:rPr>
          <w:rFonts w:ascii="Arial Unicode MS" w:hAnsi="Arial Unicode MS" w:cs="Arial" w:hint="eastAsia"/>
          <w:kern w:val="0"/>
          <w:szCs w:val="21"/>
        </w:rPr>
        <w:t>指同一信用级别</w:t>
      </w:r>
      <w:r>
        <w:rPr>
          <w:rFonts w:ascii="Arial Unicode MS" w:hAnsi="Arial Unicode MS" w:cs="Arial" w:hint="eastAsia"/>
          <w:kern w:val="0"/>
          <w:szCs w:val="21"/>
        </w:rPr>
        <w:t>)</w:t>
      </w:r>
      <w:r>
        <w:rPr>
          <w:rFonts w:ascii="Arial Unicode MS" w:hAnsi="Arial Unicode MS" w:cs="Arial" w:hint="eastAsia"/>
          <w:kern w:val="0"/>
          <w:szCs w:val="21"/>
        </w:rPr>
        <w:t>资产支持证券的比例，不得超过该资产支持证券规模的</w:t>
      </w:r>
      <w:r>
        <w:rPr>
          <w:rFonts w:ascii="Arial Unicode MS" w:hAnsi="Arial Unicode MS" w:cs="Arial" w:hint="eastAsia"/>
          <w:kern w:val="0"/>
          <w:szCs w:val="21"/>
        </w:rPr>
        <w:t>10</w:t>
      </w:r>
      <w:r>
        <w:rPr>
          <w:rFonts w:ascii="Arial Unicode MS" w:hAnsi="Arial Unicode MS" w:cs="Arial" w:hint="eastAsia"/>
          <w:kern w:val="0"/>
          <w:szCs w:val="21"/>
        </w:rPr>
        <w:t>％；</w:t>
      </w:r>
    </w:p>
    <w:p w14:paraId="07FA9223"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）本基金管理人管理且由本基金托管人托管的全部基金投资于同一原始权益人的各类资产支持证券，不得超过其各类资产支持证券合计规模的</w:t>
      </w:r>
      <w:r>
        <w:rPr>
          <w:rFonts w:ascii="Arial Unicode MS" w:hAnsi="Arial Unicode MS" w:cs="Arial" w:hint="eastAsia"/>
          <w:kern w:val="0"/>
          <w:szCs w:val="21"/>
        </w:rPr>
        <w:t>10</w:t>
      </w:r>
      <w:r>
        <w:rPr>
          <w:rFonts w:ascii="Arial Unicode MS" w:hAnsi="Arial Unicode MS" w:cs="Arial" w:hint="eastAsia"/>
          <w:kern w:val="0"/>
          <w:szCs w:val="21"/>
        </w:rPr>
        <w:t>％；</w:t>
      </w:r>
    </w:p>
    <w:p w14:paraId="32C4F5E6"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）本基金应投资于信用级别评级为</w:t>
      </w:r>
      <w:r>
        <w:rPr>
          <w:rFonts w:ascii="Arial Unicode MS" w:hAnsi="Arial Unicode MS" w:cs="Arial" w:hint="eastAsia"/>
          <w:kern w:val="0"/>
          <w:szCs w:val="21"/>
        </w:rPr>
        <w:t>BBB</w:t>
      </w:r>
      <w:r>
        <w:rPr>
          <w:rFonts w:ascii="Arial Unicode MS" w:hAnsi="Arial Unicode MS" w:cs="Arial" w:hint="eastAsia"/>
          <w:kern w:val="0"/>
          <w:szCs w:val="21"/>
        </w:rPr>
        <w:t>以上</w:t>
      </w:r>
      <w:r>
        <w:rPr>
          <w:rFonts w:ascii="Arial Unicode MS" w:hAnsi="Arial Unicode MS" w:cs="Arial" w:hint="eastAsia"/>
          <w:kern w:val="0"/>
          <w:szCs w:val="21"/>
        </w:rPr>
        <w:t>(</w:t>
      </w:r>
      <w:r>
        <w:rPr>
          <w:rFonts w:ascii="Arial Unicode MS" w:hAnsi="Arial Unicode MS" w:cs="Arial" w:hint="eastAsia"/>
          <w:kern w:val="0"/>
          <w:szCs w:val="21"/>
        </w:rPr>
        <w:t>含</w:t>
      </w:r>
      <w:r>
        <w:rPr>
          <w:rFonts w:ascii="Arial Unicode MS" w:hAnsi="Arial Unicode MS" w:cs="Arial" w:hint="eastAsia"/>
          <w:kern w:val="0"/>
          <w:szCs w:val="21"/>
        </w:rPr>
        <w:t>BBB)</w:t>
      </w:r>
      <w:r>
        <w:rPr>
          <w:rFonts w:ascii="Arial Unicode MS" w:hAnsi="Arial Unicode MS" w:cs="Arial" w:hint="eastAsia"/>
          <w:kern w:val="0"/>
          <w:szCs w:val="21"/>
        </w:rPr>
        <w:t>的资产支持证券。基金持有资产支持证券期间，如果其信用等级下降、不再符合投资标准，应在评级报告发布之日起</w:t>
      </w:r>
      <w:r>
        <w:rPr>
          <w:rFonts w:ascii="Arial Unicode MS" w:hAnsi="Arial Unicode MS" w:cs="Arial" w:hint="eastAsia"/>
          <w:kern w:val="0"/>
          <w:szCs w:val="21"/>
        </w:rPr>
        <w:t>3</w:t>
      </w:r>
      <w:r>
        <w:rPr>
          <w:rFonts w:ascii="Arial Unicode MS" w:hAnsi="Arial Unicode MS" w:cs="Arial" w:hint="eastAsia"/>
          <w:kern w:val="0"/>
          <w:szCs w:val="21"/>
        </w:rPr>
        <w:t>个月内予以全部卖出；</w:t>
      </w:r>
    </w:p>
    <w:p w14:paraId="491A4056"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p>
    <w:p w14:paraId="0F22FD89"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kern w:val="0"/>
          <w:szCs w:val="21"/>
        </w:rPr>
        <w:t>2</w:t>
      </w:r>
      <w:r>
        <w:rPr>
          <w:rFonts w:ascii="Arial Unicode MS" w:hAnsi="Arial Unicode MS" w:cs="Arial" w:hint="eastAsia"/>
          <w:kern w:val="0"/>
          <w:szCs w:val="21"/>
        </w:rPr>
        <w:t>）本基金主动投资于流动性受限资产的市值合计不得超过基金资产净值的</w:t>
      </w:r>
      <w:r>
        <w:rPr>
          <w:rFonts w:ascii="Arial Unicode MS" w:hAnsi="Arial Unicode MS" w:cs="Arial" w:hint="eastAsia"/>
          <w:kern w:val="0"/>
          <w:szCs w:val="21"/>
        </w:rPr>
        <w:t>15%</w:t>
      </w:r>
      <w:r>
        <w:rPr>
          <w:rFonts w:ascii="Arial Unicode MS" w:hAnsi="Arial Unicode MS" w:cs="Arial" w:hint="eastAsia"/>
          <w:kern w:val="0"/>
          <w:szCs w:val="21"/>
        </w:rPr>
        <w:t>；</w:t>
      </w:r>
    </w:p>
    <w:p w14:paraId="4C651F86"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p>
    <w:p w14:paraId="5E773EB4"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kern w:val="0"/>
          <w:szCs w:val="21"/>
        </w:rPr>
        <w:t>3</w:t>
      </w:r>
      <w:r>
        <w:rPr>
          <w:rFonts w:ascii="Arial Unicode MS" w:hAnsi="Arial Unicode MS" w:cs="Arial" w:hint="eastAsia"/>
          <w:kern w:val="0"/>
          <w:szCs w:val="21"/>
        </w:rPr>
        <w:t>）法律法规及中国证监会规定的和《基金合同》约定的其他投资限制。</w:t>
      </w:r>
    </w:p>
    <w:p w14:paraId="1FAD763B"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除上述第（</w:t>
      </w:r>
      <w:r>
        <w:rPr>
          <w:rFonts w:ascii="Arial Unicode MS" w:hAnsi="Arial Unicode MS" w:cs="Arial" w:hint="eastAsia"/>
          <w:kern w:val="0"/>
          <w:szCs w:val="21"/>
        </w:rPr>
        <w:t>2</w:t>
      </w: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kern w:val="0"/>
          <w:szCs w:val="21"/>
        </w:rPr>
        <w:t>2</w:t>
      </w:r>
      <w:r>
        <w:rPr>
          <w:rFonts w:ascii="Arial Unicode MS" w:hAnsi="Arial Unicode MS" w:cs="Arial" w:hint="eastAsia"/>
          <w:kern w:val="0"/>
          <w:szCs w:val="21"/>
        </w:rPr>
        <w:t>）条外，因证券市场波动、证券发行人合并、基金规模变动等基金管理人之外的因素致使基金投资比例不符合上述规定投资比例的，基金管理人应当在</w:t>
      </w:r>
      <w:r>
        <w:rPr>
          <w:rFonts w:ascii="Arial Unicode MS" w:hAnsi="Arial Unicode MS" w:cs="Arial" w:hint="eastAsia"/>
          <w:kern w:val="0"/>
          <w:szCs w:val="21"/>
        </w:rPr>
        <w:t>10</w:t>
      </w:r>
      <w:r>
        <w:rPr>
          <w:rFonts w:ascii="Arial Unicode MS" w:hAnsi="Arial Unicode MS" w:cs="Arial" w:hint="eastAsia"/>
          <w:kern w:val="0"/>
          <w:szCs w:val="21"/>
        </w:rPr>
        <w:t>个交易日内进行调整，但中国证监会规定的特殊情形除外。法律法规或监管机构另有规定的，从其规定。</w:t>
      </w:r>
    </w:p>
    <w:p w14:paraId="5C9D6C0E"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基金管理人应当自基金合同生效之日起</w:t>
      </w:r>
      <w:r>
        <w:rPr>
          <w:rFonts w:ascii="Arial Unicode MS" w:hAnsi="Arial Unicode MS" w:cs="Arial" w:hint="eastAsia"/>
          <w:kern w:val="0"/>
          <w:szCs w:val="21"/>
        </w:rPr>
        <w:t>6</w:t>
      </w:r>
      <w:r>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1E473EE3"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法律法规或监管部门取消或调整上述限制，如适用于本基金，基金管理人在履行适当程序后，则本基金投资不再受相关限制或按调整后的规定执行。</w:t>
      </w:r>
    </w:p>
    <w:p w14:paraId="2E445039"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（三）基金托管人根据有关法律法规的规定及《基金合同》的约定，对本托管协议第十五条第九款基金投资禁止行为通过事后监督方式进行监督。</w:t>
      </w:r>
    </w:p>
    <w:p w14:paraId="0DC678AC"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的原则，防范利益冲突，相关交易必须事先得到基金托管人的同意，并履行信息披露义务。</w:t>
      </w:r>
    </w:p>
    <w:p w14:paraId="1210096C"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若管理人未提供交易对手名单，则视同可与所有交易对手进行交易）。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Arial Unicode MS" w:hAnsi="Arial Unicode MS" w:cs="Arial" w:hint="eastAsia"/>
          <w:kern w:val="0"/>
          <w:szCs w:val="21"/>
        </w:rPr>
        <w:t>3</w:t>
      </w:r>
      <w:r>
        <w:rPr>
          <w:rFonts w:ascii="Arial Unicode MS" w:hAnsi="Arial Unicode MS" w:cs="Arial" w:hint="eastAsia"/>
          <w:kern w:val="0"/>
          <w:szCs w:val="21"/>
        </w:rPr>
        <w:t>个工作日内与基金托管人协商解决。</w:t>
      </w:r>
    </w:p>
    <w:p w14:paraId="0C462AC9"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7AE41D7C"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1C4C0E4B"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六）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2CCD0A9F"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11D322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八）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w:t>
      </w:r>
      <w:r>
        <w:rPr>
          <w:rFonts w:ascii="Arial Unicode MS" w:hAnsi="Arial Unicode MS" w:cs="Arial" w:hint="eastAsia"/>
          <w:kern w:val="0"/>
          <w:szCs w:val="21"/>
        </w:rPr>
        <w:lastRenderedPageBreak/>
        <w:t>和本托管协议的要求需向中国证监会报送基金监督报告的事项，基金管理人应积极配合提供相关数据资料和制度等。</w:t>
      </w:r>
    </w:p>
    <w:p w14:paraId="6819EB71"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（九）若基金托管人发现基金管理人依据交易程序已经生效的指令违反法律、行政法规和其他有关规定，或者违反《基金合同》约定的，应当立即通知基金管理人，由此造成的损失由基金管理人承担。</w:t>
      </w:r>
    </w:p>
    <w:p w14:paraId="456A2FC2"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15B6F9EC" w14:textId="77777777" w:rsidR="00A6605D" w:rsidRDefault="00413D7E">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三、基金管理人对基金托管人的业务监督、核查</w:t>
      </w:r>
    </w:p>
    <w:p w14:paraId="279EA169" w14:textId="77777777" w:rsidR="00A6605D" w:rsidRDefault="00413D7E">
      <w:pPr>
        <w:adjustRightInd w:val="0"/>
        <w:snapToGrid w:val="0"/>
        <w:spacing w:line="360" w:lineRule="auto"/>
        <w:ind w:firstLineChars="200" w:firstLine="420"/>
        <w:rPr>
          <w:rFonts w:ascii="Arial Unicode MS" w:hAnsi="Arial Unicode MS"/>
          <w:kern w:val="0"/>
        </w:rPr>
      </w:pPr>
      <w:r>
        <w:rPr>
          <w:rFonts w:ascii="Arial Unicode MS" w:hAnsi="Arial Unicode MS" w:hint="eastAsia"/>
          <w:kern w:val="0"/>
        </w:rPr>
        <w:t>（一）基金管理人对基金托管人履行托管职责情况进行核查，核查事项包括基金托管人安全保管基金财产、开设基金财产的资金账户和证券账户、复核基金管理人计算的基金资产净值和基金份额净值、根据基金管理人指令办理清算交收、相关信息披露和监督基金投资运作等行为。</w:t>
      </w:r>
    </w:p>
    <w:p w14:paraId="0BA30859" w14:textId="77777777" w:rsidR="00A6605D" w:rsidRDefault="00413D7E">
      <w:pPr>
        <w:adjustRightInd w:val="0"/>
        <w:snapToGrid w:val="0"/>
        <w:spacing w:line="360" w:lineRule="auto"/>
        <w:ind w:firstLineChars="200" w:firstLine="420"/>
        <w:rPr>
          <w:rFonts w:ascii="Arial Unicode MS" w:hAnsi="Arial Unicode MS"/>
          <w:kern w:val="0"/>
        </w:rPr>
      </w:pPr>
      <w:r>
        <w:rPr>
          <w:rFonts w:ascii="Arial Unicode MS" w:hAnsi="Arial Unicode MS" w:hint="eastAsia"/>
          <w:kern w:val="0"/>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0883F196" w14:textId="77777777" w:rsidR="00A6605D" w:rsidRDefault="00413D7E">
      <w:pPr>
        <w:adjustRightInd w:val="0"/>
        <w:snapToGrid w:val="0"/>
        <w:spacing w:line="360" w:lineRule="auto"/>
        <w:ind w:firstLineChars="200" w:firstLine="420"/>
        <w:rPr>
          <w:rFonts w:ascii="Arial Unicode MS" w:hAnsi="Arial Unicode MS"/>
          <w:kern w:val="0"/>
        </w:rPr>
      </w:pPr>
      <w:r>
        <w:rPr>
          <w:rFonts w:ascii="Arial Unicode MS" w:hAnsi="Arial Unicode MS" w:hint="eastAsia"/>
          <w:kern w:val="0"/>
        </w:rPr>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14:paraId="48D7C442" w14:textId="77777777" w:rsidR="00A6605D" w:rsidRDefault="00413D7E">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四、基金财产的保管</w:t>
      </w:r>
      <w:bookmarkStart w:id="144" w:name="_Toc37159173"/>
      <w:bookmarkStart w:id="145" w:name="_Toc77662997"/>
    </w:p>
    <w:p w14:paraId="1890FDBB"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（一）基金财产保管的原则</w:t>
      </w:r>
    </w:p>
    <w:p w14:paraId="0D62BC0A"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基金财产应独立于基金管理人、基金托管人的固有财产。</w:t>
      </w:r>
    </w:p>
    <w:p w14:paraId="1FD47B97"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基金托管人应安全保管基金财产。</w:t>
      </w:r>
    </w:p>
    <w:p w14:paraId="35960CEC"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基金托管人按照规定开设基金财产的资金账户和证券账户。</w:t>
      </w:r>
    </w:p>
    <w:p w14:paraId="587A94FF"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基金托管人对所托管的不同基金财产分别设置账户，确保基金财产的完整与独立。</w:t>
      </w:r>
    </w:p>
    <w:p w14:paraId="71B2DD9D"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5.</w:t>
      </w:r>
      <w:r>
        <w:rPr>
          <w:rFonts w:ascii="Arial Unicode MS" w:hAnsi="Arial Unicode MS" w:hint="eastAsia"/>
          <w:bCs/>
          <w:szCs w:val="21"/>
        </w:rPr>
        <w:t>基金托管人按照《基金合同》和本协议的约定保管基金财产，如有特殊情况双方可另行协商解决。基金托管人未经基金管理人的指令，不得自行运用、处分、分配本基金的任何资产（不包含基金托管人依据中国证券登记结算有限责任公司结算数据完成场内交易交收、开户银行或交易</w:t>
      </w:r>
      <w:r>
        <w:rPr>
          <w:rFonts w:ascii="Arial Unicode MS" w:hAnsi="Arial Unicode MS" w:hint="eastAsia"/>
          <w:bCs/>
          <w:szCs w:val="21"/>
        </w:rPr>
        <w:t>/</w:t>
      </w:r>
      <w:r>
        <w:rPr>
          <w:rFonts w:ascii="Arial Unicode MS" w:hAnsi="Arial Unicode MS" w:hint="eastAsia"/>
          <w:bCs/>
          <w:szCs w:val="21"/>
        </w:rPr>
        <w:t>登记结算机构扣收交易费、结算费和账户维护费等费用）。</w:t>
      </w:r>
    </w:p>
    <w:p w14:paraId="75ECCE36"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18AFE954"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除依据法律法规和《基金合同》的规定外，基金托管人不得委托第三人托管基金财产。</w:t>
      </w:r>
    </w:p>
    <w:p w14:paraId="2F96EACC"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（二）基金银行账户的开立和管理</w:t>
      </w:r>
    </w:p>
    <w:p w14:paraId="4BBA5F30"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基金托管人可以基金的名义在其营业机构开立基金的银行账户，并根据基金管理人合法合规的指令办理资金收付。本基金的银行预留印鉴由基金托管人保管和使用。</w:t>
      </w:r>
    </w:p>
    <w:p w14:paraId="47E28E6D"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基金银行账户的开立和使用，限于满足开展本基金业务的需要。基金托管人和基金管理人不得假借本基金的名义开立任何其他银行账户；亦不得使用基金的任何账户进行本基金业务以外的活动。</w:t>
      </w:r>
    </w:p>
    <w:p w14:paraId="597ECB34"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基金银行账户的开立和管理应符合银行业监督管理机构的有关规定。</w:t>
      </w:r>
    </w:p>
    <w:p w14:paraId="70468166"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在符合法律法规规定的条件下，基金托管人可以通过基金托管人专用账户办理基金资产的支付。</w:t>
      </w:r>
    </w:p>
    <w:p w14:paraId="5BDF1B64"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管理人应于托管产品清盘后及时完成收益兑付、费用结清及其他应收应付款项资金划转，在确保后续不再发生款项进出后的</w:t>
      </w:r>
      <w:r>
        <w:rPr>
          <w:rFonts w:ascii="Arial Unicode MS" w:hAnsi="Arial Unicode MS" w:hint="eastAsia"/>
          <w:bCs/>
          <w:szCs w:val="21"/>
        </w:rPr>
        <w:t>10</w:t>
      </w:r>
      <w:r>
        <w:rPr>
          <w:rFonts w:ascii="Arial Unicode MS" w:hAnsi="Arial Unicode MS" w:hint="eastAsia"/>
          <w:bCs/>
          <w:szCs w:val="21"/>
        </w:rPr>
        <w:t>个工作日内向托管人发出销户申请。</w:t>
      </w:r>
    </w:p>
    <w:p w14:paraId="192AB68E" w14:textId="77777777" w:rsidR="00A6605D" w:rsidRDefault="00A6605D">
      <w:pPr>
        <w:adjustRightInd w:val="0"/>
        <w:snapToGrid w:val="0"/>
        <w:spacing w:line="360" w:lineRule="auto"/>
        <w:ind w:firstLineChars="200" w:firstLine="420"/>
        <w:rPr>
          <w:rFonts w:ascii="Arial Unicode MS" w:hAnsi="Arial Unicode MS"/>
          <w:bCs/>
          <w:szCs w:val="21"/>
        </w:rPr>
      </w:pPr>
    </w:p>
    <w:p w14:paraId="16AA164B"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（三）基金证券账户和结算备付金账户的开立和管理</w:t>
      </w:r>
    </w:p>
    <w:p w14:paraId="1625F146"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基金托管人在中国证券登记结算有限责任公司为基金开立基金托管人与基金联名的证券账户。</w:t>
      </w:r>
    </w:p>
    <w:p w14:paraId="48A5BC7B"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193CA16A"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基金证券账户的开立和证券账户卡的保管由基金托管人负责，账户资产的管理和运用由基金管理人负责。</w:t>
      </w:r>
    </w:p>
    <w:p w14:paraId="4609141C"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证券账户开户费由基金管理人先行垫付</w:t>
      </w:r>
      <w:r>
        <w:rPr>
          <w:rFonts w:ascii="Arial Unicode MS" w:hAnsi="Arial Unicode MS" w:hint="eastAsia"/>
          <w:bCs/>
          <w:szCs w:val="21"/>
        </w:rPr>
        <w:t>,</w:t>
      </w:r>
      <w:r>
        <w:rPr>
          <w:rFonts w:ascii="Arial Unicode MS" w:hAnsi="Arial Unicode MS" w:hint="eastAsia"/>
          <w:bCs/>
          <w:szCs w:val="21"/>
        </w:rPr>
        <w:t>待托管产品启始运营后</w:t>
      </w:r>
      <w:r>
        <w:rPr>
          <w:rFonts w:ascii="Arial Unicode MS" w:hAnsi="Arial Unicode MS" w:hint="eastAsia"/>
          <w:bCs/>
          <w:szCs w:val="21"/>
        </w:rPr>
        <w:t>,</w:t>
      </w:r>
      <w:r>
        <w:rPr>
          <w:rFonts w:ascii="Arial Unicode MS" w:hAnsi="Arial Unicode MS" w:hint="eastAsia"/>
          <w:bCs/>
          <w:szCs w:val="21"/>
        </w:rPr>
        <w:t>基金管理人可向基金托管人发送划款指令</w:t>
      </w:r>
      <w:r>
        <w:rPr>
          <w:rFonts w:ascii="Arial Unicode MS" w:hAnsi="Arial Unicode MS" w:hint="eastAsia"/>
          <w:bCs/>
          <w:szCs w:val="21"/>
        </w:rPr>
        <w:t>,</w:t>
      </w:r>
      <w:r>
        <w:rPr>
          <w:rFonts w:ascii="Arial Unicode MS" w:hAnsi="Arial Unicode MS" w:hint="eastAsia"/>
          <w:bCs/>
          <w:szCs w:val="21"/>
        </w:rPr>
        <w:t>将代垫开户费从本基金托管资金账户中扣还基金管理人。</w:t>
      </w:r>
    </w:p>
    <w:p w14:paraId="65553D47"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交收资金等的收取按照中国证券登记结算有限责任公司的规定以及基金管理人与基金托管人签署的《托管银行证券资金结算协议》执行。</w:t>
      </w:r>
    </w:p>
    <w:p w14:paraId="121CB519"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账户注销时，由基金管理人依据中国证券登记结算公司相关规定，委托有交易关系的证券公司负责办理。销户完成后，基金管理人需将相关证明提供至基金托管人。账户注销期间如需基金托管人提供配合的，基金托管人应予以配合。</w:t>
      </w:r>
    </w:p>
    <w:p w14:paraId="725C2D90"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若中国证监会或其他监管机构在本托管协议订立日之后允许基金从事其他投资品种的投资业务，涉及相关账户的开立、使用的，若无相关规定，则基金托管人比照上述关于账户开立、使用的规定执行。</w:t>
      </w:r>
    </w:p>
    <w:p w14:paraId="554CD0F7"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（四）债券托管专户的开设和管理</w:t>
      </w:r>
    </w:p>
    <w:p w14:paraId="7EF9840B"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基金合同》生效后，基金管理人负责以基金的名义申请并取得进入全国银行间同业拆借市场的交易资格，并代表基金进行交易；基金托管人根据中国人民银行、银行间市场登记结算机构的有关规定，在银行间市场登记结算机构开立债券托管账户，持有人账户和资金结算账户，并代表基金进行银行间市场债券的结算。基金管理人和基金托管人共同代表基金签订全国银行间债券市场债券回购主协议。</w:t>
      </w:r>
    </w:p>
    <w:p w14:paraId="454BA4EA"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（五）其他账户的开立和管理</w:t>
      </w:r>
    </w:p>
    <w:p w14:paraId="020275DC"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在本托管协议订立日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33702C06"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法律法规等有关规定对相关账户的开立和管理另有规定的，从其规定办理。</w:t>
      </w:r>
    </w:p>
    <w:p w14:paraId="7155B75F"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（六）基金财产投资的有关有价凭证等的保管</w:t>
      </w:r>
    </w:p>
    <w:p w14:paraId="0068BC83"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基金财产投资的有关实物证券、银行存款开户证实书等有价凭证由基金托管人存放于基金托管人的保管库，也可存入中央国债登记结算有限责任公司、中国证券登记结算有限责任公司上海分公司</w:t>
      </w:r>
      <w:r>
        <w:rPr>
          <w:rFonts w:ascii="Arial Unicode MS" w:hAnsi="Arial Unicode MS" w:hint="eastAsia"/>
          <w:bCs/>
          <w:szCs w:val="21"/>
        </w:rPr>
        <w:t>/</w:t>
      </w:r>
      <w:r>
        <w:rPr>
          <w:rFonts w:ascii="Arial Unicode MS" w:hAnsi="Arial Unicode MS" w:hint="eastAsia"/>
          <w:bCs/>
          <w:szCs w:val="21"/>
        </w:rPr>
        <w:t>深圳分公司</w:t>
      </w:r>
      <w:r>
        <w:rPr>
          <w:rFonts w:ascii="Arial Unicode MS" w:hAnsi="Arial Unicode MS" w:hint="eastAsia"/>
          <w:bCs/>
          <w:szCs w:val="21"/>
        </w:rPr>
        <w:t>/</w:t>
      </w:r>
      <w:r>
        <w:rPr>
          <w:rFonts w:ascii="Arial Unicode MS" w:hAnsi="Arial Unicode MS" w:hint="eastAsia"/>
          <w:bCs/>
          <w:szCs w:val="21"/>
        </w:rPr>
        <w:t>北京分公司、银行间市场清算所股份有限公司或票据营业中心的代保管库，保管凭证由基金托管人持有。实物证券、银行定期存款证实书等有价凭证的购买和转让，按基金管理人和基金托管人双方约定办理。基金托管人对由基金托管人以外机构</w:t>
      </w:r>
      <w:r>
        <w:rPr>
          <w:rFonts w:ascii="Arial Unicode MS" w:hAnsi="Arial Unicode MS" w:hint="eastAsia"/>
          <w:bCs/>
          <w:szCs w:val="21"/>
        </w:rPr>
        <w:lastRenderedPageBreak/>
        <w:t>实际有效控制或保管的资产不承担任何责任。</w:t>
      </w:r>
    </w:p>
    <w:p w14:paraId="4D14B0F3"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（七）与基金财产有关的重大合同的保管</w:t>
      </w:r>
    </w:p>
    <w:p w14:paraId="2DD53F6F"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以加密方式将重大合同传真给基金托管人，并在三十个工作日内将正本送达基金托管人处。重大合同的保管期限不低于法律法规规定的最低期限。</w:t>
      </w:r>
    </w:p>
    <w:bookmarkEnd w:id="144"/>
    <w:bookmarkEnd w:id="145"/>
    <w:p w14:paraId="68EF4F6D" w14:textId="77777777" w:rsidR="00A6605D" w:rsidRDefault="00413D7E">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五、</w:t>
      </w:r>
      <w:r>
        <w:rPr>
          <w:rFonts w:ascii="Arial Unicode MS" w:hAnsi="Arial Unicode MS" w:cs="Arial" w:hint="eastAsia"/>
          <w:b/>
          <w:szCs w:val="21"/>
        </w:rPr>
        <w:t>基金资产净值计算和会计核算</w:t>
      </w:r>
      <w:bookmarkStart w:id="146" w:name="_Toc77663017"/>
    </w:p>
    <w:bookmarkEnd w:id="146"/>
    <w:p w14:paraId="3FC6FB17"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（一）基金资产净值的计算、复核与完成的时间及程序</w:t>
      </w:r>
    </w:p>
    <w:p w14:paraId="4F9B69CF"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基金资产净值是指基金资产总值减去负债后的金额。基金份额净值是按照每个交易日闭市后，基金资产净值除以当日基金份额的余额数量计算，精确到</w:t>
      </w:r>
      <w:r>
        <w:rPr>
          <w:rFonts w:ascii="Arial Unicode MS" w:hAnsi="Arial Unicode MS" w:cs="Arial" w:hint="eastAsia"/>
          <w:szCs w:val="21"/>
        </w:rPr>
        <w:t>0.0001</w:t>
      </w:r>
      <w:r>
        <w:rPr>
          <w:rFonts w:ascii="Arial Unicode MS" w:hAnsi="Arial Unicode MS" w:cs="Arial" w:hint="eastAsia"/>
          <w:szCs w:val="21"/>
        </w:rPr>
        <w:t>元，小数点后第五位四舍五入。基金管理人可以设立大额赎回情形下的净值精度应急调整机制。国家另有规定的，从其规定。</w:t>
      </w:r>
    </w:p>
    <w:p w14:paraId="18371CD8"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每个交易日计算基金资产净值及基金份额净值，并按规定公告。</w:t>
      </w:r>
    </w:p>
    <w:p w14:paraId="155A3A80"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41830489"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（二）基金资产估值方法和特殊情形的处理</w:t>
      </w:r>
    </w:p>
    <w:p w14:paraId="5A51D2E9"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估值对象</w:t>
      </w:r>
    </w:p>
    <w:p w14:paraId="10151801"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基金所拥有的债券和银行存款本息、应收款项及其它投资等资产及负债。</w:t>
      </w:r>
    </w:p>
    <w:p w14:paraId="14468C4C"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估值方法</w:t>
      </w:r>
    </w:p>
    <w:p w14:paraId="71810058"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）证券交易所上市的有价证券的估值</w:t>
      </w:r>
    </w:p>
    <w:p w14:paraId="7CF72DC5"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）交易所上市交易或挂牌转让的固定收益品种（基金合同另有规定的除外），选取估值日第三方估值机构提供的相应品种对应的估值净价估值，具体估值机构由基金管理人与托管人另行协商约定；</w:t>
      </w:r>
    </w:p>
    <w:p w14:paraId="31A3DDDF"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）交易所上市不存在活跃市场的有价证券，采用估值技术确定公允价值。交易所上市的资产支持证券，采用估值技术确定公允价值，在估值技术难以可靠计量公允价值的情况下，按成本估值。</w:t>
      </w:r>
    </w:p>
    <w:p w14:paraId="76837EDD"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）对在交易所市场发行未上市或未挂牌转让的债券，对存在活跃市场的情况下，应</w:t>
      </w:r>
      <w:r>
        <w:rPr>
          <w:rFonts w:ascii="Arial Unicode MS" w:hAnsi="Arial Unicode MS" w:cs="Arial" w:hint="eastAsia"/>
          <w:szCs w:val="21"/>
        </w:rPr>
        <w:lastRenderedPageBreak/>
        <w:t>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2DA6CFBC"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）首次公开发行未上市的债券，采用估值技术确定公允价值，在估值技术难以可靠计量公允价值的情况下，按成本估值。</w:t>
      </w:r>
    </w:p>
    <w:p w14:paraId="737C250D"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）全国银行间债券市场交易的债券、资产支持证券等固定收益品种，采用估值技术确定公允价值。</w:t>
      </w:r>
    </w:p>
    <w:p w14:paraId="7CA6680B"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szCs w:val="21"/>
        </w:rPr>
        <w:t>5</w:t>
      </w:r>
      <w:r>
        <w:rPr>
          <w:rFonts w:ascii="Arial Unicode MS" w:hAnsi="Arial Unicode MS" w:cs="Arial" w:hint="eastAsia"/>
          <w:szCs w:val="21"/>
        </w:rPr>
        <w:t>）同一债券同时在两个或两个以上市场交易的，按债券所处的市场分别估值。</w:t>
      </w:r>
    </w:p>
    <w:p w14:paraId="16F265CF"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）当发生大额申购或赎回情形时，基金管理人可以采用摆动定价机制，以确保基金估值的公平性。</w:t>
      </w:r>
    </w:p>
    <w:p w14:paraId="6C387AC2"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szCs w:val="21"/>
        </w:rPr>
        <w:t>7</w:t>
      </w:r>
      <w:r>
        <w:rPr>
          <w:rFonts w:ascii="Arial Unicode MS" w:hAnsi="Arial Unicode MS" w:cs="Arial" w:hint="eastAsia"/>
          <w:szCs w:val="21"/>
        </w:rPr>
        <w:t>）如有确凿证据表明按上述方法进行估值不能客观反映其公允价值的，基金管理人可根据具体情况与基金托管人商定后，按最能反映公允价值的价格估值。</w:t>
      </w:r>
    </w:p>
    <w:p w14:paraId="4DCA4608"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szCs w:val="21"/>
        </w:rPr>
        <w:t>8</w:t>
      </w:r>
      <w:r>
        <w:rPr>
          <w:rFonts w:ascii="Arial Unicode MS" w:hAnsi="Arial Unicode MS" w:cs="Arial" w:hint="eastAsia"/>
          <w:szCs w:val="21"/>
        </w:rPr>
        <w:t>）相关法律法规以及监管部门有强制规定的，从其规定。如有新增事项，按国家最新规定估值。</w:t>
      </w:r>
    </w:p>
    <w:p w14:paraId="63ED8DED"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2B6AA1F4"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基金管理人向基金托管人出具加盖公章的书面说明后，按照基金管理人对基金资产净值的计算结果对外予以公布。</w:t>
      </w:r>
    </w:p>
    <w:p w14:paraId="34D3D3D9"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特殊情形的处理</w:t>
      </w:r>
    </w:p>
    <w:p w14:paraId="3D730D3D"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基金管理人、基金托管人按估值方法的第</w:t>
      </w:r>
      <w:r>
        <w:rPr>
          <w:rFonts w:ascii="Arial Unicode MS" w:hAnsi="Arial Unicode MS" w:cs="Arial" w:hint="eastAsia"/>
          <w:szCs w:val="21"/>
        </w:rPr>
        <w:t>(</w:t>
      </w:r>
      <w:r>
        <w:rPr>
          <w:rFonts w:ascii="Arial Unicode MS" w:hAnsi="Arial Unicode MS" w:cs="Arial"/>
          <w:szCs w:val="21"/>
        </w:rPr>
        <w:t>7</w:t>
      </w:r>
      <w:r>
        <w:rPr>
          <w:rFonts w:ascii="Arial Unicode MS" w:hAnsi="Arial Unicode MS" w:cs="Arial" w:hint="eastAsia"/>
          <w:szCs w:val="21"/>
        </w:rPr>
        <w:t>)</w:t>
      </w:r>
      <w:r>
        <w:rPr>
          <w:rFonts w:ascii="Arial Unicode MS" w:hAnsi="Arial Unicode MS" w:cs="Arial" w:hint="eastAsia"/>
          <w:szCs w:val="21"/>
        </w:rPr>
        <w:t>项进行估值时，所造成的误差不作为基金份额净值错误处理。</w:t>
      </w:r>
    </w:p>
    <w:p w14:paraId="01CFBC19"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（三）基金份额净值错误的处理方式</w:t>
      </w:r>
    </w:p>
    <w:p w14:paraId="196FC3E1"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当基金份额净值小数点后</w:t>
      </w:r>
      <w:r>
        <w:rPr>
          <w:rFonts w:ascii="Arial Unicode MS" w:hAnsi="Arial Unicode MS" w:cs="Arial" w:hint="eastAsia"/>
          <w:szCs w:val="21"/>
        </w:rPr>
        <w:t>4</w:t>
      </w:r>
      <w:r>
        <w:rPr>
          <w:rFonts w:ascii="Arial Unicode MS" w:hAnsi="Arial Unicode MS" w:cs="Arial" w:hint="eastAsia"/>
          <w:szCs w:val="21"/>
        </w:rPr>
        <w:t>位以内</w:t>
      </w:r>
      <w:r>
        <w:rPr>
          <w:rFonts w:ascii="Arial Unicode MS" w:hAnsi="Arial Unicode MS" w:cs="Arial" w:hint="eastAsia"/>
          <w:szCs w:val="21"/>
        </w:rPr>
        <w:t>(</w:t>
      </w:r>
      <w:r>
        <w:rPr>
          <w:rFonts w:ascii="Arial Unicode MS" w:hAnsi="Arial Unicode MS" w:cs="Arial" w:hint="eastAsia"/>
          <w:szCs w:val="21"/>
        </w:rPr>
        <w:t>含第</w:t>
      </w:r>
      <w:r>
        <w:rPr>
          <w:rFonts w:ascii="Arial Unicode MS" w:hAnsi="Arial Unicode MS" w:cs="Arial" w:hint="eastAsia"/>
          <w:szCs w:val="21"/>
        </w:rPr>
        <w:t>4</w:t>
      </w:r>
      <w:r>
        <w:rPr>
          <w:rFonts w:ascii="Arial Unicode MS" w:hAnsi="Arial Unicode MS" w:cs="Arial" w:hint="eastAsia"/>
          <w:szCs w:val="21"/>
        </w:rPr>
        <w:t>位</w:t>
      </w:r>
      <w:r>
        <w:rPr>
          <w:rFonts w:ascii="Arial Unicode MS" w:hAnsi="Arial Unicode MS" w:cs="Arial" w:hint="eastAsia"/>
          <w:szCs w:val="21"/>
        </w:rPr>
        <w:t>)</w:t>
      </w:r>
      <w:r>
        <w:rPr>
          <w:rFonts w:ascii="Arial Unicode MS" w:hAnsi="Arial Unicode MS" w:cs="Arial" w:hint="eastAsia"/>
          <w:szCs w:val="21"/>
        </w:rPr>
        <w:t>发生差错时，视为基金份额净值错误；基金份额净值出现错误时，基金管理人应当立即予以纠正，通报基金托管人，并采取合理的措施防止损失进一步扩大；错误偏差达到基金份额净值的</w:t>
      </w:r>
      <w:r>
        <w:rPr>
          <w:rFonts w:ascii="Arial Unicode MS" w:hAnsi="Arial Unicode MS" w:cs="Arial" w:hint="eastAsia"/>
          <w:szCs w:val="21"/>
        </w:rPr>
        <w:t>0.25%</w:t>
      </w:r>
      <w:r>
        <w:rPr>
          <w:rFonts w:ascii="Arial Unicode MS" w:hAnsi="Arial Unicode MS" w:cs="Arial" w:hint="eastAsia"/>
          <w:szCs w:val="21"/>
        </w:rPr>
        <w:t>时，基金管理人应当通报基金托管人并报中国证监会备案；错误偏差达到基金份额净值的</w:t>
      </w:r>
      <w:r>
        <w:rPr>
          <w:rFonts w:ascii="Arial Unicode MS" w:hAnsi="Arial Unicode MS" w:cs="Arial" w:hint="eastAsia"/>
          <w:szCs w:val="21"/>
        </w:rPr>
        <w:t>0.5%</w:t>
      </w:r>
      <w:r>
        <w:rPr>
          <w:rFonts w:ascii="Arial Unicode MS" w:hAnsi="Arial Unicode MS" w:cs="Arial" w:hint="eastAsia"/>
          <w:szCs w:val="21"/>
        </w:rPr>
        <w:t>时，基金管理人应当公告；当发生净值计算错误时，由基金管理人负责处理，由此给基金份额持有人和基金造成</w:t>
      </w:r>
      <w:r>
        <w:rPr>
          <w:rFonts w:ascii="Arial Unicode MS" w:hAnsi="Arial Unicode MS" w:cs="Arial" w:hint="eastAsia"/>
          <w:szCs w:val="21"/>
        </w:rPr>
        <w:lastRenderedPageBreak/>
        <w:t>损失的，应由基金管理人先行赔付，基金管理人按差错情形，有权向其他当事人追偿。</w:t>
      </w:r>
    </w:p>
    <w:p w14:paraId="6FBA5C70"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14:paraId="5B793364"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53B56329"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若基金管理人计算的基金份额净值已由基金托管人复核确认后公告，而且基金托管人未对计算过程提出疑义或要求基金管理人书面说明，基金份额净值出错且造成基金份额持有人损失的，应根据法律法规的规定对投资者或基金支付赔偿金，就实际向投资者或基金支付的赔偿金额，基金管理人与基金托管人按照管理费和托管费比例各自承担相应的责任。</w:t>
      </w:r>
    </w:p>
    <w:p w14:paraId="70AA01F2"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451989E3"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w:t>
      </w:r>
    </w:p>
    <w:p w14:paraId="7FCBB5BC"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由于证券交易所及登记结算公司发送的数据错误，有关会计制度变化或由于其他不可抗力原因，基金管理人和基金托管人虽然已经采取必要、适当、合理的措施进行检查，但是未能发现该错误而造成的基金份额净值计算错误，基金管理人、基金托管人免除赔偿责任。但基金管理人、基金托管人应积极采取必要的措施减轻或消除由此造成的影响。</w:t>
      </w:r>
    </w:p>
    <w:p w14:paraId="4507D932"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基金管理人和基金托管人由于各自技术系统设置而产生的净值计算尾差，以基金管理人计算结果为准。</w:t>
      </w:r>
    </w:p>
    <w:p w14:paraId="59241C38"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前述内容如法律法规或者监管部门另有规定的，从其规定。如果行业另有通行做法，双方当事人应本着平等和保护基金份额持有人利益的原则进行协商。</w:t>
      </w:r>
    </w:p>
    <w:p w14:paraId="595B6E01"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（四）暂停估值与公告基金份额净值的情形</w:t>
      </w:r>
    </w:p>
    <w:p w14:paraId="2397F827"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基金投资所涉及的证券交易市场遇法定节假日或因其他原因暂停营业时；</w:t>
      </w:r>
    </w:p>
    <w:p w14:paraId="1817B734"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因不可抗力致使基金管理人、基金托管人无法准确评估基金资产价值时；</w:t>
      </w:r>
    </w:p>
    <w:p w14:paraId="60DC00DC"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3</w:t>
      </w:r>
      <w:r>
        <w:rPr>
          <w:rFonts w:ascii="Arial Unicode MS" w:hAnsi="Arial Unicode MS" w:cs="Arial" w:hint="eastAsia"/>
          <w:szCs w:val="21"/>
        </w:rPr>
        <w:t xml:space="preserve">. </w:t>
      </w:r>
      <w:r>
        <w:rPr>
          <w:rFonts w:ascii="Arial Unicode MS" w:hAnsi="Arial Unicode MS" w:cs="Arial" w:hint="eastAsia"/>
          <w:szCs w:val="21"/>
        </w:rPr>
        <w:t>当特定资产占前一估值日基金资产净值</w:t>
      </w:r>
      <w:r>
        <w:rPr>
          <w:rFonts w:ascii="Arial Unicode MS" w:hAnsi="Arial Unicode MS" w:cs="Arial" w:hint="eastAsia"/>
          <w:szCs w:val="21"/>
        </w:rPr>
        <w:t>50%</w:t>
      </w:r>
      <w:r>
        <w:rPr>
          <w:rFonts w:ascii="Arial Unicode MS" w:hAnsi="Arial Unicode MS" w:cs="Arial" w:hint="eastAsia"/>
          <w:szCs w:val="21"/>
        </w:rPr>
        <w:t>以上的，经与基金托管人协商确认后，基金管理人应当暂停接受基金申购申请；</w:t>
      </w:r>
    </w:p>
    <w:p w14:paraId="7319CFE3"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hint="eastAsia"/>
          <w:szCs w:val="21"/>
        </w:rPr>
        <w:t>中国证监会和《基金合同》认定的其他情形。</w:t>
      </w:r>
    </w:p>
    <w:p w14:paraId="40491ABF"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（五）实施侧袋机制期间的基金资产估值</w:t>
      </w:r>
    </w:p>
    <w:p w14:paraId="4F93DEC9"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本基金实施侧袋机制的，应根据本部分的约定对主袋账户资产进行估值并披露主袋账户的基金净值信息，暂停披露侧袋账户份额净值。</w:t>
      </w:r>
    </w:p>
    <w:p w14:paraId="76D6B735"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（五）基金会计制度</w:t>
      </w:r>
    </w:p>
    <w:p w14:paraId="263F6591"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按国家有关部门规定的会计制度执行。</w:t>
      </w:r>
    </w:p>
    <w:p w14:paraId="69282225"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（六）基金账册的建立</w:t>
      </w:r>
    </w:p>
    <w:p w14:paraId="43B2E7AB"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416E591F"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（七）基金财务报表与报告的编制和复核</w:t>
      </w:r>
    </w:p>
    <w:p w14:paraId="415DD779"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财务报表的编制</w:t>
      </w:r>
    </w:p>
    <w:p w14:paraId="4820154C"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基金财务报表由基金管理人编制，基金托管人复核。</w:t>
      </w:r>
    </w:p>
    <w:p w14:paraId="11DDE45F"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报表复核</w:t>
      </w:r>
    </w:p>
    <w:p w14:paraId="088EC93C"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14:paraId="68CAC987"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财务报表的编制与复核时间安排</w:t>
      </w:r>
    </w:p>
    <w:p w14:paraId="46A22BDD"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报表的编制</w:t>
      </w:r>
    </w:p>
    <w:p w14:paraId="5679A5BC"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基金管理人应当在每月结束后</w:t>
      </w:r>
      <w:r>
        <w:rPr>
          <w:rFonts w:ascii="Arial Unicode MS" w:hAnsi="Arial Unicode MS" w:cs="Arial" w:hint="eastAsia"/>
          <w:szCs w:val="21"/>
        </w:rPr>
        <w:t>5</w:t>
      </w:r>
      <w:r>
        <w:rPr>
          <w:rFonts w:ascii="Arial Unicode MS" w:hAnsi="Arial Unicode MS" w:cs="Arial" w:hint="eastAsia"/>
          <w:szCs w:val="21"/>
        </w:rPr>
        <w:t>个工作日内完成月度报表的编制；在每个季度结束之日起</w:t>
      </w:r>
      <w:r>
        <w:rPr>
          <w:rFonts w:ascii="Arial Unicode MS" w:hAnsi="Arial Unicode MS" w:cs="Arial" w:hint="eastAsia"/>
          <w:szCs w:val="21"/>
        </w:rPr>
        <w:t>15</w:t>
      </w:r>
      <w:r>
        <w:rPr>
          <w:rFonts w:ascii="Arial Unicode MS" w:hAnsi="Arial Unicode MS" w:cs="Arial" w:hint="eastAsia"/>
          <w:szCs w:val="21"/>
        </w:rPr>
        <w:t>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13D7FF15"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报表的复核</w:t>
      </w:r>
    </w:p>
    <w:p w14:paraId="60617DAD"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171F46C4"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基金管理人应留足充分的时间，便于基金托管人复核相关报表及报告。</w:t>
      </w:r>
    </w:p>
    <w:p w14:paraId="25EA9CC7"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（八）基金管理人应在编制季度报告、中期报告或者年度报告之前及时向基金托管人提供基金业绩比较基准的基础数据和编制结果。</w:t>
      </w:r>
    </w:p>
    <w:p w14:paraId="348D5463" w14:textId="77777777" w:rsidR="00A6605D" w:rsidRDefault="00413D7E">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六、基金份额持有人名册的保管</w:t>
      </w:r>
    </w:p>
    <w:p w14:paraId="2CEB287E"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基金份额持有人名册至少应包括基金份额持有人的名称和持有的基金份额。基金份额持有人名册由基金注册登记机构根据基金管理人的指令编制和保管，基金管理人和基金托管人</w:t>
      </w:r>
      <w:r>
        <w:rPr>
          <w:rFonts w:ascii="Arial Unicode MS" w:hAnsi="Arial Unicode MS" w:cs="Arial" w:hint="eastAsia"/>
          <w:kern w:val="0"/>
          <w:szCs w:val="21"/>
        </w:rPr>
        <w:lastRenderedPageBreak/>
        <w:t>应分别保管基金份额持有人名册，保存期不低于法律法规规定的最低期限。如不能妥善保管，则按相关法规承担责任。</w:t>
      </w:r>
    </w:p>
    <w:p w14:paraId="547D2B09"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基金托管人要求或编制半年报和年报前，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60E8DA20" w14:textId="77777777" w:rsidR="00A6605D" w:rsidRDefault="00413D7E">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七、争议解决方式</w:t>
      </w:r>
    </w:p>
    <w:p w14:paraId="6004E001"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因本协议产生或与之相关的争议，双方当事人应通过协商、调解解决，协商、调解不能解决的，任何一方均有权将争议提交中国国际经济贸易仲裁委员会，仲裁地点为北京市，按照中国国际经济贸易仲裁委员会届时有效的仲裁规则进行仲裁。仲裁裁决是终局的，对当事人均有约束力，仲裁费用由败诉方承担。</w:t>
      </w:r>
    </w:p>
    <w:p w14:paraId="36127329"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争议处理期间，双方当事人应恪守基金管理人和基金托管人职责，各自继续忠实、勤勉、尽责地履行《基金合同》和本托管协议规定的义务，维护基金份额持有人的合法权益。</w:t>
      </w:r>
    </w:p>
    <w:p w14:paraId="7CD8BBD7"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本协议受中国法律管辖。</w:t>
      </w:r>
    </w:p>
    <w:p w14:paraId="21AB200B" w14:textId="77777777" w:rsidR="00A6605D" w:rsidRDefault="00413D7E">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八、托管协议的</w:t>
      </w:r>
      <w:r>
        <w:rPr>
          <w:rFonts w:ascii="Arial Unicode MS" w:hAnsi="Arial Unicode MS" w:cs="Arial" w:hint="eastAsia"/>
          <w:b/>
          <w:szCs w:val="21"/>
        </w:rPr>
        <w:t>变更、</w:t>
      </w:r>
      <w:r>
        <w:rPr>
          <w:rFonts w:ascii="Arial Unicode MS" w:hAnsi="Arial Unicode MS" w:cs="Arial"/>
          <w:b/>
          <w:szCs w:val="21"/>
        </w:rPr>
        <w:t>终止</w:t>
      </w:r>
      <w:r>
        <w:rPr>
          <w:rFonts w:ascii="Arial Unicode MS" w:hAnsi="Arial Unicode MS" w:cs="Arial" w:hint="eastAsia"/>
          <w:b/>
          <w:szCs w:val="21"/>
        </w:rPr>
        <w:t>与基金财产的清算</w:t>
      </w:r>
    </w:p>
    <w:p w14:paraId="3CF90011" w14:textId="77777777" w:rsidR="00A6605D" w:rsidRDefault="00413D7E">
      <w:pPr>
        <w:adjustRightInd w:val="0"/>
        <w:snapToGrid w:val="0"/>
        <w:spacing w:line="360" w:lineRule="auto"/>
        <w:ind w:firstLineChars="200" w:firstLine="420"/>
        <w:rPr>
          <w:rFonts w:ascii="Arial Unicode MS" w:hAnsi="Arial Unicode MS" w:cs="Arial"/>
          <w:szCs w:val="21"/>
        </w:rPr>
      </w:pPr>
      <w:bookmarkStart w:id="147" w:name="_Toc510842757"/>
      <w:r>
        <w:rPr>
          <w:rFonts w:ascii="Arial Unicode MS" w:hAnsi="Arial Unicode MS" w:cs="Arial" w:hint="eastAsia"/>
          <w:szCs w:val="21"/>
        </w:rPr>
        <w:t>（一）托管协议的变更程序</w:t>
      </w:r>
    </w:p>
    <w:p w14:paraId="37845D40"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本协议双方当事人经协商一致，可以对协议进行修改。修改后的新协议，其内容不得与《基金合同》的规定有任何冲突。基金托管协议的变更报中国证监会备案后生效。</w:t>
      </w:r>
    </w:p>
    <w:p w14:paraId="6BFA2841"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（二）托管协议终止的情形</w:t>
      </w:r>
    </w:p>
    <w:p w14:paraId="76E734CE"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《基金合同》终止；</w:t>
      </w:r>
    </w:p>
    <w:p w14:paraId="1EE1B1F5"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基金托管人解散、依法被撤销、破产或由其他基金托管人接管基金资产；</w:t>
      </w:r>
    </w:p>
    <w:p w14:paraId="5374C5DD"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基金管理人解散、依法被撤销、破产或由其他基金管理人接管基金管理权；</w:t>
      </w:r>
    </w:p>
    <w:p w14:paraId="41D7A286"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发生法律法规或《基金合同》规定的终止事项。</w:t>
      </w:r>
    </w:p>
    <w:p w14:paraId="0882D676"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（三）基金财产的清算</w:t>
      </w:r>
    </w:p>
    <w:p w14:paraId="1E6A0FF0"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基金财产清算小组：自出现《基金合同》终止事由之日起</w:t>
      </w:r>
      <w:r>
        <w:rPr>
          <w:rFonts w:ascii="Arial Unicode MS" w:hAnsi="Arial Unicode MS" w:cs="Arial" w:hint="eastAsia"/>
          <w:szCs w:val="21"/>
        </w:rPr>
        <w:t>30</w:t>
      </w:r>
      <w:r>
        <w:rPr>
          <w:rFonts w:ascii="Arial Unicode MS" w:hAnsi="Arial Unicode MS" w:cs="Arial" w:hint="eastAsia"/>
          <w:szCs w:val="21"/>
        </w:rPr>
        <w:t>个工作日内成立清算小组，基金管理人组织基金财产清算小组并在中国证监会的监督下进行基金清算。</w:t>
      </w:r>
    </w:p>
    <w:p w14:paraId="65F21DF6"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147453EA"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4DC400EA"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基金财产清算程序：</w:t>
      </w:r>
    </w:p>
    <w:p w14:paraId="7363E0BB"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(1)</w:t>
      </w:r>
      <w:r>
        <w:rPr>
          <w:rFonts w:ascii="Arial Unicode MS" w:hAnsi="Arial Unicode MS" w:cs="Arial" w:hint="eastAsia"/>
          <w:szCs w:val="21"/>
        </w:rPr>
        <w:t>《基金合同》终止情形出现时，由基金财产清算小组统一接管基金；</w:t>
      </w:r>
    </w:p>
    <w:p w14:paraId="59B149F6"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对基金财产和债权债务进行清理和确认；</w:t>
      </w:r>
    </w:p>
    <w:p w14:paraId="016F4F18"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对基金财产进行估值和变现；</w:t>
      </w:r>
    </w:p>
    <w:p w14:paraId="2639EE56"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制作清算报告；</w:t>
      </w:r>
    </w:p>
    <w:p w14:paraId="17792FF0"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聘请会计师事务所对清算报告进行外部审计，聘请律师事务所对清算报告出具法律意见书；</w:t>
      </w:r>
    </w:p>
    <w:p w14:paraId="1F30CF3C"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将清算报告报中国证监会备案并公告；</w:t>
      </w:r>
    </w:p>
    <w:p w14:paraId="2E8B061B"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对基金剩余财产进行分配。</w:t>
      </w:r>
    </w:p>
    <w:p w14:paraId="2675F8B6"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基金财产清算的期限为</w:t>
      </w:r>
      <w:r>
        <w:rPr>
          <w:rFonts w:ascii="Arial Unicode MS" w:hAnsi="Arial Unicode MS" w:cs="Arial" w:hint="eastAsia"/>
          <w:szCs w:val="21"/>
        </w:rPr>
        <w:t xml:space="preserve"> 6 </w:t>
      </w:r>
      <w:r>
        <w:rPr>
          <w:rFonts w:ascii="Arial Unicode MS" w:hAnsi="Arial Unicode MS" w:cs="Arial" w:hint="eastAsia"/>
          <w:szCs w:val="21"/>
        </w:rPr>
        <w:t>个月，但因本基金所持证券的流动性受到限制而不能及时变现的，清算期限相应顺延。</w:t>
      </w:r>
    </w:p>
    <w:p w14:paraId="16D33779"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清算费用</w:t>
      </w:r>
    </w:p>
    <w:p w14:paraId="4003D484"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6DFCACF2"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基金财产清算剩余资产的分配：</w:t>
      </w:r>
    </w:p>
    <w:p w14:paraId="1183B21C"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045488C2"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8.</w:t>
      </w:r>
      <w:r>
        <w:rPr>
          <w:rFonts w:ascii="Arial Unicode MS" w:hAnsi="Arial Unicode MS" w:cs="Arial" w:hint="eastAsia"/>
          <w:szCs w:val="21"/>
        </w:rPr>
        <w:t>基金财产清算的公告</w:t>
      </w:r>
    </w:p>
    <w:p w14:paraId="3A0F30E0"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w:t>
      </w:r>
      <w:r>
        <w:rPr>
          <w:rFonts w:ascii="Arial Unicode MS" w:hAnsi="Arial Unicode MS" w:cs="Arial" w:hint="eastAsia"/>
          <w:szCs w:val="21"/>
        </w:rPr>
        <w:t xml:space="preserve">  5 </w:t>
      </w:r>
      <w:r>
        <w:rPr>
          <w:rFonts w:ascii="Arial Unicode MS" w:hAnsi="Arial Unicode MS" w:cs="Arial" w:hint="eastAsia"/>
          <w:szCs w:val="21"/>
        </w:rPr>
        <w:t>个工作日内由基金财产清算小组进行公告，基金财产清算小组应当将清算报告登载在规定网站上，并将清算报告提示性公告登载在规定报刊上。</w:t>
      </w:r>
    </w:p>
    <w:p w14:paraId="73D2D644"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9.</w:t>
      </w:r>
      <w:r>
        <w:rPr>
          <w:rFonts w:ascii="Arial Unicode MS" w:hAnsi="Arial Unicode MS" w:cs="Arial" w:hint="eastAsia"/>
          <w:szCs w:val="21"/>
        </w:rPr>
        <w:t>基金财产清算账册及文件的保存</w:t>
      </w:r>
    </w:p>
    <w:p w14:paraId="7A72E72F"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基金财产清算账册及有关文件由基金托管人保存不低于法律法规规定的最低期限。</w:t>
      </w:r>
    </w:p>
    <w:p w14:paraId="251BF947" w14:textId="77777777" w:rsidR="00A6605D" w:rsidRDefault="00413D7E">
      <w:pPr>
        <w:widowControl/>
        <w:jc w:val="left"/>
        <w:rPr>
          <w:rFonts w:ascii="Arial Unicode MS" w:hAnsi="Arial Unicode MS" w:cs="Arial"/>
          <w:szCs w:val="21"/>
        </w:rPr>
      </w:pPr>
      <w:r>
        <w:rPr>
          <w:rFonts w:ascii="Arial Unicode MS" w:hAnsi="Arial Unicode MS" w:cs="Arial"/>
          <w:szCs w:val="21"/>
        </w:rPr>
        <w:br w:type="page"/>
      </w:r>
    </w:p>
    <w:p w14:paraId="3D36CE5E" w14:textId="77777777" w:rsidR="00A6605D" w:rsidRDefault="00413D7E">
      <w:pPr>
        <w:pStyle w:val="11"/>
        <w:snapToGrid w:val="0"/>
        <w:spacing w:before="0" w:after="0" w:line="360" w:lineRule="auto"/>
        <w:rPr>
          <w:rFonts w:ascii="Arial Unicode MS" w:eastAsia="宋体" w:hAnsi="Arial Unicode MS" w:cs="Arial"/>
          <w:b/>
          <w:bCs/>
          <w:sz w:val="28"/>
          <w:szCs w:val="28"/>
        </w:rPr>
      </w:pPr>
      <w:bookmarkStart w:id="148" w:name="_Toc12357176"/>
      <w:bookmarkStart w:id="149" w:name="_Toc147463123"/>
      <w:bookmarkStart w:id="150" w:name="_Toc21073396"/>
      <w:bookmarkStart w:id="151" w:name="_Toc320887659"/>
      <w:bookmarkStart w:id="152" w:name="_Toc317088165"/>
      <w:bookmarkStart w:id="153" w:name="_Toc63676456"/>
      <w:bookmarkStart w:id="154" w:name="_Toc335232708"/>
      <w:bookmarkStart w:id="155" w:name="_Toc214873621"/>
      <w:bookmarkStart w:id="156" w:name="_Toc317088554"/>
      <w:bookmarkEnd w:id="147"/>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48"/>
      <w:bookmarkEnd w:id="149"/>
      <w:bookmarkEnd w:id="150"/>
      <w:r>
        <w:rPr>
          <w:rFonts w:ascii="Arial Unicode MS" w:eastAsia="宋体" w:hAnsi="Arial Unicode MS" w:cs="Arial"/>
          <w:b/>
          <w:bCs/>
          <w:sz w:val="28"/>
          <w:szCs w:val="28"/>
        </w:rPr>
        <w:t>对基金份额持有人的服务</w:t>
      </w:r>
      <w:bookmarkEnd w:id="151"/>
      <w:bookmarkEnd w:id="152"/>
      <w:bookmarkEnd w:id="153"/>
      <w:bookmarkEnd w:id="154"/>
      <w:bookmarkEnd w:id="155"/>
      <w:bookmarkEnd w:id="156"/>
    </w:p>
    <w:p w14:paraId="7A97C11D" w14:textId="77777777" w:rsidR="00A6605D" w:rsidRDefault="00A6605D"/>
    <w:p w14:paraId="2AD874FD"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基金管理人承诺为基金份额持有人提供一系列服务，基金管理人根据基金份额持有人的需要和市场的变化，有权增加或变更服务项目。主要服务内容如下：</w:t>
      </w:r>
    </w:p>
    <w:p w14:paraId="4D0CE6B3"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（一）电话人工咨询服务</w:t>
      </w:r>
    </w:p>
    <w:p w14:paraId="02FB443D"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7C757827"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（二）自助查询服务</w:t>
      </w:r>
    </w:p>
    <w:p w14:paraId="418F5F84"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投资者可通过基金管理人呼叫中心自动语音系统、基金管理人网上账户查询系统进行账户余额、交易情况、基金净值等信息查询。</w:t>
      </w:r>
    </w:p>
    <w:p w14:paraId="3450125C"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（三）邮件咨询服务</w:t>
      </w:r>
    </w:p>
    <w:p w14:paraId="7EDD313B"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投资者可通过电子邮件的形式向基金管理人提出疑问，针对投资者的问题，基金管理人将设有专员进行及时回复。</w:t>
      </w:r>
    </w:p>
    <w:p w14:paraId="06B68E29"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（四）免费信息订阅服务</w:t>
      </w:r>
    </w:p>
    <w:p w14:paraId="247879C3"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CE3F087"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（五）资料邮寄服务</w:t>
      </w:r>
    </w:p>
    <w:p w14:paraId="0F8F37D9"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基金管理人可免费为基金投资人提供基金持有证明和交易对账单邮寄服务。投资者可根据需要，通过基金管理人网站或客服热线定制、修改或取消该服务。</w:t>
      </w:r>
    </w:p>
    <w:p w14:paraId="045E3A48"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（六）客户投诉受理服务</w:t>
      </w:r>
    </w:p>
    <w:p w14:paraId="2DEE8358"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投资人可以通过客服热线、书信、电子邮件等渠道，对基金管理人和销售机构所提供的服务进行投诉。</w:t>
      </w:r>
    </w:p>
    <w:p w14:paraId="3231A0BC"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对于工作日期间受理的投诉，以“及时回复”为处理原则，对于不能及时回复的投诉，基金管理人承诺在 3 个工作日之内对基金投资人的投诉做出回复。对于非工作日提出的投</w:t>
      </w:r>
      <w:r>
        <w:rPr>
          <w:rFonts w:ascii="宋体" w:hAnsi="宋体" w:hint="eastAsia"/>
          <w:color w:val="000000"/>
          <w:kern w:val="0"/>
          <w:szCs w:val="21"/>
        </w:rPr>
        <w:lastRenderedPageBreak/>
        <w:t>诉，基金管理人将在顺延到下 1 个工作日进行回复。</w:t>
      </w:r>
    </w:p>
    <w:p w14:paraId="34F01700"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 xml:space="preserve">（七）基金管理人联系方式 </w:t>
      </w:r>
    </w:p>
    <w:p w14:paraId="79AF3882"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公司网址： www.furamc.com .cn</w:t>
      </w:r>
    </w:p>
    <w:p w14:paraId="5217C771"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电子信箱：service@furamc.com.cn</w:t>
      </w:r>
    </w:p>
    <w:p w14:paraId="754B0966" w14:textId="77777777"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客服热线：4006855600</w:t>
      </w:r>
    </w:p>
    <w:p w14:paraId="5AB4759B" w14:textId="717BFE2E" w:rsidR="00A6605D" w:rsidRDefault="00413D7E">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客户服务部门地址：</w:t>
      </w:r>
      <w:r>
        <w:rPr>
          <w:rFonts w:ascii="Arial Unicode MS" w:hAnsi="Arial Unicode MS" w:cs="Arial" w:hint="eastAsia"/>
          <w:kern w:val="0"/>
          <w:szCs w:val="21"/>
        </w:rPr>
        <w:t>深圳市福田区八卦四路安吉尔大厦</w:t>
      </w:r>
      <w:r>
        <w:rPr>
          <w:rFonts w:ascii="Arial Unicode MS" w:hAnsi="Arial Unicode MS" w:cs="Arial" w:hint="eastAsia"/>
          <w:kern w:val="0"/>
          <w:szCs w:val="21"/>
        </w:rPr>
        <w:t>24</w:t>
      </w:r>
      <w:r>
        <w:rPr>
          <w:rFonts w:ascii="Arial Unicode MS" w:hAnsi="Arial Unicode MS" w:cs="Arial" w:hint="eastAsia"/>
          <w:kern w:val="0"/>
          <w:szCs w:val="21"/>
        </w:rPr>
        <w:t>层</w:t>
      </w:r>
      <w:r>
        <w:rPr>
          <w:rFonts w:ascii="宋体" w:hAnsi="宋体" w:hint="eastAsia"/>
          <w:color w:val="000000"/>
          <w:kern w:val="0"/>
          <w:szCs w:val="21"/>
        </w:rPr>
        <w:t>，富荣基金管理有限公司客户服务部门（收）</w:t>
      </w:r>
    </w:p>
    <w:p w14:paraId="58109658" w14:textId="77777777" w:rsidR="00A6605D" w:rsidRDefault="00413D7E">
      <w:pPr>
        <w:spacing w:line="360" w:lineRule="auto"/>
        <w:ind w:firstLineChars="202" w:firstLine="424"/>
        <w:rPr>
          <w:rFonts w:ascii="宋体" w:hAnsi="宋体"/>
          <w:color w:val="000000"/>
          <w:kern w:val="0"/>
          <w:szCs w:val="21"/>
        </w:rPr>
      </w:pPr>
      <w:r>
        <w:rPr>
          <w:rFonts w:ascii="宋体" w:hAnsi="宋体" w:hint="eastAsia"/>
          <w:color w:val="000000"/>
          <w:kern w:val="0"/>
          <w:szCs w:val="21"/>
        </w:rPr>
        <w:t>邮编：</w:t>
      </w:r>
      <w:r>
        <w:rPr>
          <w:rFonts w:ascii="宋体" w:hAnsi="宋体"/>
          <w:color w:val="000000"/>
          <w:kern w:val="0"/>
          <w:szCs w:val="21"/>
        </w:rPr>
        <w:t>518038</w:t>
      </w:r>
    </w:p>
    <w:p w14:paraId="0F64A269" w14:textId="77777777" w:rsidR="00A6605D" w:rsidRDefault="00413D7E">
      <w:pPr>
        <w:spacing w:line="360" w:lineRule="auto"/>
        <w:ind w:firstLineChars="202" w:firstLine="424"/>
        <w:rPr>
          <w:rFonts w:ascii="Arial Unicode MS" w:hAnsi="Arial Unicode MS" w:cs="Arial"/>
          <w:kern w:val="0"/>
          <w:szCs w:val="21"/>
        </w:rPr>
        <w:sectPr w:rsidR="00A6605D">
          <w:pgSz w:w="11906" w:h="16838"/>
          <w:pgMar w:top="1440" w:right="1800" w:bottom="1440" w:left="1800" w:header="851" w:footer="992" w:gutter="0"/>
          <w:cols w:space="720"/>
          <w:titlePg/>
          <w:docGrid w:linePitch="312"/>
        </w:sectPr>
      </w:pPr>
      <w:r>
        <w:rPr>
          <w:rFonts w:ascii="Arial Unicode MS" w:hAnsi="Arial Unicode MS" w:cs="Arial" w:hint="eastAsia"/>
          <w:kern w:val="0"/>
          <w:szCs w:val="21"/>
        </w:rPr>
        <w:t>（八）如本招募说明书存在任何您</w:t>
      </w:r>
      <w:r>
        <w:rPr>
          <w:rFonts w:ascii="Arial Unicode MS" w:hAnsi="Arial Unicode MS" w:cs="Arial" w:hint="eastAsia"/>
          <w:kern w:val="0"/>
          <w:szCs w:val="21"/>
        </w:rPr>
        <w:t>/</w:t>
      </w:r>
      <w:r>
        <w:rPr>
          <w:rFonts w:ascii="Arial Unicode MS" w:hAnsi="Arial Unicode MS" w:cs="Arial" w:hint="eastAsia"/>
          <w:kern w:val="0"/>
          <w:szCs w:val="21"/>
        </w:rPr>
        <w:t>贵机构无法理解的内容，请通过上述联系方式联系基金管理人。请确保投资前，您</w:t>
      </w:r>
      <w:r>
        <w:rPr>
          <w:rFonts w:ascii="Arial Unicode MS" w:hAnsi="Arial Unicode MS" w:cs="Arial" w:hint="eastAsia"/>
          <w:kern w:val="0"/>
          <w:szCs w:val="21"/>
        </w:rPr>
        <w:t>/</w:t>
      </w:r>
      <w:r>
        <w:rPr>
          <w:rFonts w:ascii="Arial Unicode MS" w:hAnsi="Arial Unicode MS" w:cs="Arial" w:hint="eastAsia"/>
          <w:kern w:val="0"/>
          <w:szCs w:val="21"/>
        </w:rPr>
        <w:t>贵机构已经全面理解了本招募说明书。</w:t>
      </w:r>
    </w:p>
    <w:p w14:paraId="22B753F6" w14:textId="77777777" w:rsidR="00A6605D" w:rsidRDefault="00413D7E">
      <w:pPr>
        <w:pStyle w:val="11"/>
        <w:spacing w:beforeLines="50" w:before="120" w:after="0" w:line="360" w:lineRule="auto"/>
        <w:ind w:firstLine="420"/>
        <w:rPr>
          <w:rStyle w:val="afe"/>
          <w:rFonts w:eastAsia="宋体" w:hAnsi="宋体"/>
          <w:b/>
          <w:kern w:val="2"/>
          <w:sz w:val="28"/>
          <w:szCs w:val="28"/>
        </w:rPr>
      </w:pPr>
      <w:bookmarkStart w:id="157" w:name="_Toc256666809"/>
      <w:bookmarkStart w:id="158" w:name="_Toc256666929"/>
      <w:bookmarkStart w:id="159" w:name="_Toc63676457"/>
      <w:bookmarkStart w:id="160" w:name="_Toc30359"/>
      <w:bookmarkStart w:id="161" w:name="_Toc482624810"/>
      <w:bookmarkStart w:id="162" w:name="_Toc214873622"/>
      <w:bookmarkStart w:id="163" w:name="_Toc317088555"/>
      <w:bookmarkStart w:id="164" w:name="_Toc317088166"/>
      <w:bookmarkStart w:id="165" w:name="_Toc335232709"/>
      <w:bookmarkStart w:id="166" w:name="_Toc530223198"/>
      <w:bookmarkStart w:id="167" w:name="_Toc320887660"/>
      <w:bookmarkStart w:id="168" w:name="_Toc484165614"/>
      <w:r>
        <w:rPr>
          <w:rFonts w:eastAsia="宋体" w:hAnsi="宋体" w:hint="eastAsia"/>
          <w:b/>
          <w:color w:val="000000"/>
          <w:sz w:val="28"/>
          <w:szCs w:val="28"/>
        </w:rPr>
        <w:lastRenderedPageBreak/>
        <w:t>第二十二部分  其他应披露事项</w:t>
      </w:r>
      <w:bookmarkEnd w:id="157"/>
      <w:bookmarkEnd w:id="158"/>
      <w:bookmarkEnd w:id="159"/>
      <w:bookmarkEnd w:id="160"/>
      <w:bookmarkEnd w:id="161"/>
    </w:p>
    <w:tbl>
      <w:tblPr>
        <w:tblW w:w="850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6379"/>
        <w:gridCol w:w="1417"/>
      </w:tblGrid>
      <w:tr w:rsidR="00A6605D" w14:paraId="79945C2E"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63ADD2A0" w14:textId="77777777" w:rsidR="00A6605D" w:rsidRDefault="00413D7E">
            <w:pPr>
              <w:jc w:val="left"/>
              <w:rPr>
                <w:szCs w:val="21"/>
              </w:rPr>
            </w:pPr>
            <w:r>
              <w:rPr>
                <w:rFonts w:hint="eastAsia"/>
                <w:szCs w:val="21"/>
              </w:rPr>
              <w:t>序号</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1E761FC4" w14:textId="77777777" w:rsidR="00A6605D" w:rsidRDefault="00413D7E">
            <w:pPr>
              <w:jc w:val="left"/>
              <w:rPr>
                <w:szCs w:val="21"/>
              </w:rPr>
            </w:pPr>
            <w:r>
              <w:rPr>
                <w:rFonts w:hint="eastAsia"/>
                <w:szCs w:val="21"/>
              </w:rPr>
              <w:t>公告事项</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4AD5B4D" w14:textId="77777777" w:rsidR="00A6605D" w:rsidRDefault="00413D7E">
            <w:pPr>
              <w:jc w:val="left"/>
              <w:rPr>
                <w:szCs w:val="21"/>
              </w:rPr>
            </w:pPr>
            <w:r>
              <w:rPr>
                <w:rFonts w:hint="eastAsia"/>
                <w:szCs w:val="21"/>
              </w:rPr>
              <w:t>披露日期</w:t>
            </w:r>
          </w:p>
        </w:tc>
      </w:tr>
      <w:tr w:rsidR="00A6605D" w14:paraId="0CF9A914"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4BA14E4A" w14:textId="77777777" w:rsidR="00A6605D" w:rsidRDefault="00413D7E">
            <w:pPr>
              <w:jc w:val="left"/>
              <w:rPr>
                <w:szCs w:val="21"/>
              </w:rPr>
            </w:pPr>
            <w:r>
              <w:rPr>
                <w:rFonts w:hint="eastAsia"/>
                <w:szCs w:val="21"/>
              </w:rPr>
              <w:t>1</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06455736" w14:textId="77777777" w:rsidR="00A6605D" w:rsidRDefault="00413D7E">
            <w:pPr>
              <w:jc w:val="left"/>
              <w:rPr>
                <w:color w:val="000000"/>
                <w:sz w:val="22"/>
                <w:szCs w:val="22"/>
              </w:rPr>
            </w:pPr>
            <w:r>
              <w:rPr>
                <w:rFonts w:hint="eastAsia"/>
                <w:color w:val="000000"/>
                <w:sz w:val="22"/>
                <w:szCs w:val="22"/>
              </w:rPr>
              <w:t>关于富荣富兴纯债债券型证券投资基金由中国建设银行股份有限公司担任临时基金托管人的公告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D2F5C6E" w14:textId="77777777" w:rsidR="00A6605D" w:rsidRDefault="00413D7E">
            <w:pPr>
              <w:jc w:val="left"/>
              <w:rPr>
                <w:color w:val="000000"/>
                <w:sz w:val="22"/>
                <w:szCs w:val="22"/>
              </w:rPr>
            </w:pPr>
            <w:r>
              <w:rPr>
                <w:rFonts w:hint="eastAsia"/>
                <w:color w:val="000000"/>
                <w:sz w:val="22"/>
                <w:szCs w:val="22"/>
              </w:rPr>
              <w:t>2021-02-08</w:t>
            </w:r>
          </w:p>
        </w:tc>
      </w:tr>
      <w:tr w:rsidR="00A6605D" w14:paraId="01FF624C"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60D811D2" w14:textId="77777777" w:rsidR="00A6605D" w:rsidRDefault="00413D7E">
            <w:pPr>
              <w:jc w:val="left"/>
              <w:rPr>
                <w:szCs w:val="21"/>
              </w:rPr>
            </w:pPr>
            <w:r>
              <w:rPr>
                <w:rFonts w:hint="eastAsia"/>
                <w:szCs w:val="21"/>
              </w:rPr>
              <w:t>2</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5C308FE9" w14:textId="77777777" w:rsidR="00A6605D" w:rsidRDefault="00413D7E">
            <w:pPr>
              <w:jc w:val="left"/>
              <w:rPr>
                <w:color w:val="000000"/>
                <w:sz w:val="22"/>
                <w:szCs w:val="22"/>
              </w:rPr>
            </w:pPr>
            <w:r>
              <w:rPr>
                <w:rFonts w:hint="eastAsia"/>
                <w:color w:val="000000"/>
                <w:sz w:val="22"/>
                <w:szCs w:val="22"/>
              </w:rPr>
              <w:t>富荣富兴纯债债券型证券投资基金修改基金合同及招募说明书等法律文件的提示性公告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E0DC9B1" w14:textId="77777777" w:rsidR="00A6605D" w:rsidRDefault="00413D7E">
            <w:pPr>
              <w:jc w:val="left"/>
              <w:rPr>
                <w:color w:val="000000"/>
                <w:sz w:val="22"/>
                <w:szCs w:val="22"/>
              </w:rPr>
            </w:pPr>
            <w:r>
              <w:rPr>
                <w:rFonts w:hint="eastAsia"/>
                <w:color w:val="000000"/>
                <w:sz w:val="22"/>
                <w:szCs w:val="22"/>
              </w:rPr>
              <w:t>2021-02-19</w:t>
            </w:r>
          </w:p>
        </w:tc>
      </w:tr>
      <w:tr w:rsidR="00A6605D" w14:paraId="2199DD5E"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3D6AACAA" w14:textId="77777777" w:rsidR="00A6605D" w:rsidRDefault="00413D7E">
            <w:pPr>
              <w:jc w:val="left"/>
              <w:rPr>
                <w:szCs w:val="21"/>
              </w:rPr>
            </w:pPr>
            <w:r>
              <w:rPr>
                <w:rFonts w:hint="eastAsia"/>
                <w:szCs w:val="21"/>
              </w:rPr>
              <w:t>3</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406ED24C" w14:textId="77777777" w:rsidR="00A6605D" w:rsidRDefault="00413D7E">
            <w:pPr>
              <w:jc w:val="left"/>
              <w:rPr>
                <w:color w:val="000000"/>
                <w:sz w:val="22"/>
                <w:szCs w:val="22"/>
              </w:rPr>
            </w:pPr>
            <w:r>
              <w:rPr>
                <w:rFonts w:hint="eastAsia"/>
                <w:color w:val="000000"/>
                <w:sz w:val="22"/>
                <w:szCs w:val="22"/>
              </w:rPr>
              <w:t>富荣基金管理有限公司基金行业高级管理人员变更公告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6868499" w14:textId="77777777" w:rsidR="00A6605D" w:rsidRDefault="00413D7E">
            <w:pPr>
              <w:jc w:val="left"/>
              <w:rPr>
                <w:color w:val="000000"/>
                <w:sz w:val="22"/>
                <w:szCs w:val="22"/>
              </w:rPr>
            </w:pPr>
            <w:r>
              <w:rPr>
                <w:rFonts w:hint="eastAsia"/>
                <w:color w:val="000000"/>
                <w:sz w:val="22"/>
                <w:szCs w:val="22"/>
              </w:rPr>
              <w:t>2021-03-20</w:t>
            </w:r>
          </w:p>
        </w:tc>
      </w:tr>
      <w:tr w:rsidR="00A6605D" w14:paraId="675BE006"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26CE1553" w14:textId="77777777" w:rsidR="00A6605D" w:rsidRDefault="00413D7E">
            <w:pPr>
              <w:jc w:val="left"/>
              <w:rPr>
                <w:szCs w:val="21"/>
              </w:rPr>
            </w:pPr>
            <w:r>
              <w:rPr>
                <w:rFonts w:hint="eastAsia"/>
                <w:szCs w:val="21"/>
              </w:rPr>
              <w:t>4</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4B14D124" w14:textId="77777777" w:rsidR="00A6605D" w:rsidRDefault="00413D7E">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年年度报告提示性公告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8A8308F" w14:textId="77777777" w:rsidR="00A6605D" w:rsidRDefault="00413D7E">
            <w:pPr>
              <w:jc w:val="left"/>
              <w:rPr>
                <w:color w:val="000000"/>
                <w:sz w:val="22"/>
                <w:szCs w:val="22"/>
              </w:rPr>
            </w:pPr>
            <w:r>
              <w:rPr>
                <w:rFonts w:hint="eastAsia"/>
                <w:color w:val="000000"/>
                <w:sz w:val="22"/>
                <w:szCs w:val="22"/>
              </w:rPr>
              <w:t>2021-03-31</w:t>
            </w:r>
          </w:p>
        </w:tc>
      </w:tr>
      <w:tr w:rsidR="00A6605D" w14:paraId="1ECB65C4"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4AAE2C9B" w14:textId="77777777" w:rsidR="00A6605D" w:rsidRDefault="00413D7E">
            <w:pPr>
              <w:jc w:val="left"/>
              <w:rPr>
                <w:szCs w:val="21"/>
              </w:rPr>
            </w:pPr>
            <w:r>
              <w:rPr>
                <w:rFonts w:hint="eastAsia"/>
                <w:szCs w:val="21"/>
              </w:rPr>
              <w:t>5</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16F21BC4" w14:textId="77777777" w:rsidR="00A6605D" w:rsidRDefault="00413D7E">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年第</w:t>
            </w:r>
            <w:r>
              <w:rPr>
                <w:rFonts w:hint="eastAsia"/>
                <w:color w:val="000000"/>
                <w:sz w:val="22"/>
                <w:szCs w:val="22"/>
              </w:rPr>
              <w:t>1</w:t>
            </w:r>
            <w:r>
              <w:rPr>
                <w:rFonts w:hint="eastAsia"/>
                <w:color w:val="000000"/>
                <w:sz w:val="22"/>
                <w:szCs w:val="22"/>
              </w:rPr>
              <w:t>季度报告提示性公告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11FDF6E" w14:textId="77777777" w:rsidR="00A6605D" w:rsidRDefault="00413D7E">
            <w:pPr>
              <w:jc w:val="left"/>
              <w:rPr>
                <w:color w:val="000000"/>
                <w:sz w:val="22"/>
                <w:szCs w:val="22"/>
              </w:rPr>
            </w:pPr>
            <w:r>
              <w:rPr>
                <w:rFonts w:hint="eastAsia"/>
                <w:color w:val="000000"/>
                <w:sz w:val="22"/>
                <w:szCs w:val="22"/>
              </w:rPr>
              <w:t>2021-04-22</w:t>
            </w:r>
          </w:p>
        </w:tc>
      </w:tr>
      <w:tr w:rsidR="00A6605D" w14:paraId="47E993B7"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7C0BCBC5" w14:textId="77777777" w:rsidR="00A6605D" w:rsidRDefault="00413D7E">
            <w:pPr>
              <w:jc w:val="left"/>
              <w:rPr>
                <w:szCs w:val="21"/>
              </w:rPr>
            </w:pPr>
            <w:r>
              <w:rPr>
                <w:rFonts w:hint="eastAsia"/>
                <w:szCs w:val="21"/>
              </w:rPr>
              <w:t>6</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6B952DEA" w14:textId="77777777" w:rsidR="00A6605D" w:rsidRDefault="00413D7E">
            <w:pPr>
              <w:jc w:val="left"/>
              <w:rPr>
                <w:color w:val="000000"/>
                <w:sz w:val="22"/>
                <w:szCs w:val="22"/>
              </w:rPr>
            </w:pPr>
            <w:r>
              <w:rPr>
                <w:rFonts w:hint="eastAsia"/>
                <w:color w:val="000000"/>
                <w:sz w:val="22"/>
                <w:szCs w:val="22"/>
              </w:rPr>
              <w:t>富荣基金管理有限公司关于提醒投资者防范不法分子假冒本公司名义从事诈骗活动的公告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50F52D5" w14:textId="77777777" w:rsidR="00A6605D" w:rsidRDefault="00413D7E">
            <w:pPr>
              <w:jc w:val="left"/>
              <w:rPr>
                <w:color w:val="000000"/>
                <w:sz w:val="22"/>
                <w:szCs w:val="22"/>
              </w:rPr>
            </w:pPr>
            <w:r>
              <w:rPr>
                <w:rFonts w:hint="eastAsia"/>
                <w:color w:val="000000"/>
                <w:sz w:val="22"/>
                <w:szCs w:val="22"/>
              </w:rPr>
              <w:t>2021-05-06</w:t>
            </w:r>
          </w:p>
        </w:tc>
      </w:tr>
      <w:tr w:rsidR="00A6605D" w14:paraId="1F543D8F"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66D4A141" w14:textId="77777777" w:rsidR="00A6605D" w:rsidRDefault="00413D7E">
            <w:pPr>
              <w:jc w:val="left"/>
              <w:rPr>
                <w:szCs w:val="21"/>
              </w:rPr>
            </w:pPr>
            <w:r>
              <w:rPr>
                <w:rFonts w:hint="eastAsia"/>
                <w:szCs w:val="21"/>
              </w:rPr>
              <w:t>7</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063B2949" w14:textId="77777777" w:rsidR="00A6605D" w:rsidRDefault="00413D7E">
            <w:pPr>
              <w:jc w:val="left"/>
              <w:rPr>
                <w:color w:val="000000"/>
                <w:sz w:val="22"/>
                <w:szCs w:val="22"/>
              </w:rPr>
            </w:pPr>
            <w:r>
              <w:rPr>
                <w:rFonts w:hint="eastAsia"/>
                <w:color w:val="000000"/>
                <w:sz w:val="22"/>
                <w:szCs w:val="22"/>
              </w:rPr>
              <w:t>关于以通讯方式召开富荣富兴纯债债券型证券投资基金基金份额持有人大会的公告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6AB93DD" w14:textId="77777777" w:rsidR="00A6605D" w:rsidRDefault="00413D7E">
            <w:pPr>
              <w:jc w:val="left"/>
              <w:rPr>
                <w:color w:val="000000"/>
                <w:sz w:val="22"/>
                <w:szCs w:val="22"/>
              </w:rPr>
            </w:pPr>
            <w:r>
              <w:rPr>
                <w:rFonts w:hint="eastAsia"/>
                <w:color w:val="000000"/>
                <w:sz w:val="22"/>
                <w:szCs w:val="22"/>
              </w:rPr>
              <w:t>2021-05-11</w:t>
            </w:r>
          </w:p>
        </w:tc>
      </w:tr>
      <w:tr w:rsidR="00A6605D" w14:paraId="0105D263"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7DCA5A3B" w14:textId="77777777" w:rsidR="00A6605D" w:rsidRDefault="00413D7E">
            <w:pPr>
              <w:jc w:val="left"/>
              <w:rPr>
                <w:szCs w:val="21"/>
              </w:rPr>
            </w:pPr>
            <w:r>
              <w:rPr>
                <w:rFonts w:hint="eastAsia"/>
                <w:szCs w:val="21"/>
              </w:rPr>
              <w:t>8</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56F48DFB" w14:textId="77777777" w:rsidR="00A6605D" w:rsidRDefault="00413D7E">
            <w:pPr>
              <w:jc w:val="left"/>
              <w:rPr>
                <w:color w:val="000000"/>
                <w:sz w:val="22"/>
                <w:szCs w:val="22"/>
              </w:rPr>
            </w:pPr>
            <w:r>
              <w:rPr>
                <w:rFonts w:hint="eastAsia"/>
                <w:color w:val="000000"/>
                <w:sz w:val="22"/>
                <w:szCs w:val="22"/>
              </w:rPr>
              <w:t>关于以通讯方式召开富荣富兴纯债债券型证券投资基金基金份额持有人大会的第一次提示性公告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EF7BC75" w14:textId="77777777" w:rsidR="00A6605D" w:rsidRDefault="00413D7E">
            <w:pPr>
              <w:jc w:val="left"/>
              <w:rPr>
                <w:color w:val="000000"/>
                <w:sz w:val="22"/>
                <w:szCs w:val="22"/>
              </w:rPr>
            </w:pPr>
            <w:r>
              <w:rPr>
                <w:rFonts w:hint="eastAsia"/>
                <w:color w:val="000000"/>
                <w:sz w:val="22"/>
                <w:szCs w:val="22"/>
              </w:rPr>
              <w:t>2021-05-12</w:t>
            </w:r>
          </w:p>
        </w:tc>
      </w:tr>
      <w:tr w:rsidR="00A6605D" w14:paraId="6C09813D"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5764D96F" w14:textId="77777777" w:rsidR="00A6605D" w:rsidRDefault="00413D7E">
            <w:pPr>
              <w:jc w:val="left"/>
              <w:rPr>
                <w:szCs w:val="21"/>
              </w:rPr>
            </w:pPr>
            <w:r>
              <w:rPr>
                <w:rFonts w:hint="eastAsia"/>
                <w:szCs w:val="21"/>
              </w:rPr>
              <w:t>9</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52F65D60" w14:textId="77777777" w:rsidR="00A6605D" w:rsidRDefault="00413D7E">
            <w:pPr>
              <w:jc w:val="left"/>
              <w:rPr>
                <w:color w:val="000000"/>
                <w:sz w:val="22"/>
                <w:szCs w:val="22"/>
              </w:rPr>
            </w:pPr>
            <w:r>
              <w:rPr>
                <w:rFonts w:hint="eastAsia"/>
                <w:color w:val="000000"/>
                <w:sz w:val="22"/>
                <w:szCs w:val="22"/>
              </w:rPr>
              <w:t>关于以通讯方式召开富荣富兴纯债债券型证券投资基金基金份额持有人大会的第二次提示性公告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0692050" w14:textId="77777777" w:rsidR="00A6605D" w:rsidRDefault="00413D7E">
            <w:pPr>
              <w:jc w:val="left"/>
              <w:rPr>
                <w:color w:val="000000"/>
                <w:sz w:val="22"/>
                <w:szCs w:val="22"/>
              </w:rPr>
            </w:pPr>
            <w:r>
              <w:rPr>
                <w:rFonts w:hint="eastAsia"/>
                <w:color w:val="000000"/>
                <w:sz w:val="22"/>
                <w:szCs w:val="22"/>
              </w:rPr>
              <w:t>2021-05-13</w:t>
            </w:r>
          </w:p>
        </w:tc>
      </w:tr>
      <w:tr w:rsidR="00A6605D" w14:paraId="2DF96B36"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43AFFBBE" w14:textId="77777777" w:rsidR="00A6605D" w:rsidRDefault="00413D7E">
            <w:pPr>
              <w:jc w:val="left"/>
              <w:rPr>
                <w:szCs w:val="21"/>
              </w:rPr>
            </w:pPr>
            <w:r>
              <w:rPr>
                <w:rFonts w:hint="eastAsia"/>
                <w:szCs w:val="21"/>
              </w:rPr>
              <w:t>1</w:t>
            </w:r>
            <w:r>
              <w:rPr>
                <w:szCs w:val="21"/>
              </w:rPr>
              <w:t>0</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51598828" w14:textId="77777777" w:rsidR="00A6605D" w:rsidRDefault="00413D7E">
            <w:pPr>
              <w:jc w:val="left"/>
              <w:rPr>
                <w:color w:val="000000"/>
                <w:sz w:val="22"/>
                <w:szCs w:val="22"/>
              </w:rPr>
            </w:pPr>
            <w:r>
              <w:rPr>
                <w:rFonts w:hint="eastAsia"/>
                <w:color w:val="000000"/>
                <w:sz w:val="22"/>
                <w:szCs w:val="22"/>
              </w:rPr>
              <w:t>富荣基金管理有限公司关于旗下部分公开募集证券投资基金更新招募说明书及产品资料概要的提示性公告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2C94217" w14:textId="77777777" w:rsidR="00A6605D" w:rsidRDefault="00413D7E">
            <w:pPr>
              <w:jc w:val="left"/>
              <w:rPr>
                <w:color w:val="000000"/>
                <w:sz w:val="22"/>
                <w:szCs w:val="22"/>
              </w:rPr>
            </w:pPr>
            <w:r>
              <w:rPr>
                <w:rFonts w:hint="eastAsia"/>
                <w:color w:val="000000"/>
                <w:sz w:val="22"/>
                <w:szCs w:val="22"/>
              </w:rPr>
              <w:t>2021-05-21</w:t>
            </w:r>
          </w:p>
        </w:tc>
      </w:tr>
      <w:tr w:rsidR="00A6605D" w14:paraId="5100A401"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5492BE06" w14:textId="77777777" w:rsidR="00A6605D" w:rsidRDefault="00413D7E">
            <w:pPr>
              <w:jc w:val="left"/>
              <w:rPr>
                <w:szCs w:val="21"/>
              </w:rPr>
            </w:pPr>
            <w:r>
              <w:rPr>
                <w:rFonts w:hint="eastAsia"/>
                <w:szCs w:val="21"/>
              </w:rPr>
              <w:t>1</w:t>
            </w:r>
            <w:r>
              <w:rPr>
                <w:szCs w:val="21"/>
              </w:rPr>
              <w:t>1</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1C90C9FE" w14:textId="77777777" w:rsidR="00A6605D" w:rsidRDefault="00413D7E">
            <w:pPr>
              <w:jc w:val="left"/>
              <w:rPr>
                <w:color w:val="000000"/>
                <w:sz w:val="22"/>
                <w:szCs w:val="22"/>
              </w:rPr>
            </w:pPr>
            <w:r>
              <w:rPr>
                <w:rFonts w:hint="eastAsia"/>
                <w:color w:val="000000"/>
                <w:sz w:val="22"/>
                <w:szCs w:val="22"/>
              </w:rPr>
              <w:t>富荣基金管理有限公司关于旗下部分基金新增财咨道信息技术有限公司为销售机构并开通基金定期定额投资业务和基金转换业务的公告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9A1D8A1" w14:textId="77777777" w:rsidR="00A6605D" w:rsidRDefault="00413D7E">
            <w:pPr>
              <w:jc w:val="left"/>
              <w:rPr>
                <w:color w:val="000000"/>
                <w:sz w:val="22"/>
                <w:szCs w:val="22"/>
              </w:rPr>
            </w:pPr>
            <w:r>
              <w:rPr>
                <w:rFonts w:hint="eastAsia"/>
                <w:color w:val="000000"/>
                <w:sz w:val="22"/>
                <w:szCs w:val="22"/>
              </w:rPr>
              <w:t>2021-05-26</w:t>
            </w:r>
          </w:p>
        </w:tc>
      </w:tr>
      <w:tr w:rsidR="00A6605D" w14:paraId="7557D753"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20A09C99" w14:textId="77777777" w:rsidR="00A6605D" w:rsidRDefault="00413D7E">
            <w:pPr>
              <w:jc w:val="left"/>
              <w:rPr>
                <w:szCs w:val="21"/>
              </w:rPr>
            </w:pPr>
            <w:r>
              <w:rPr>
                <w:rFonts w:hint="eastAsia"/>
                <w:szCs w:val="21"/>
              </w:rPr>
              <w:t>1</w:t>
            </w:r>
            <w:r>
              <w:rPr>
                <w:szCs w:val="21"/>
              </w:rPr>
              <w:t>2</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4CA45214" w14:textId="77777777" w:rsidR="00A6605D" w:rsidRDefault="00413D7E">
            <w:pPr>
              <w:jc w:val="left"/>
              <w:rPr>
                <w:color w:val="000000"/>
                <w:sz w:val="22"/>
                <w:szCs w:val="22"/>
              </w:rPr>
            </w:pPr>
            <w:r>
              <w:rPr>
                <w:rFonts w:hint="eastAsia"/>
                <w:color w:val="000000"/>
                <w:sz w:val="22"/>
                <w:szCs w:val="22"/>
              </w:rPr>
              <w:t>富荣基金管理有限公司关于旗下部分基金参加财咨道信息技术有限公司基金申购及定期定额投资申购费率优惠活动的公告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6EDA175" w14:textId="77777777" w:rsidR="00A6605D" w:rsidRDefault="00413D7E">
            <w:pPr>
              <w:jc w:val="left"/>
              <w:rPr>
                <w:color w:val="000000"/>
                <w:sz w:val="22"/>
                <w:szCs w:val="22"/>
              </w:rPr>
            </w:pPr>
            <w:r>
              <w:rPr>
                <w:rFonts w:hint="eastAsia"/>
                <w:color w:val="000000"/>
                <w:sz w:val="22"/>
                <w:szCs w:val="22"/>
              </w:rPr>
              <w:t>2021-05-26</w:t>
            </w:r>
          </w:p>
        </w:tc>
      </w:tr>
      <w:tr w:rsidR="00A6605D" w14:paraId="47FA72F3"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45EC727A" w14:textId="77777777" w:rsidR="00A6605D" w:rsidRDefault="00413D7E">
            <w:pPr>
              <w:jc w:val="left"/>
              <w:rPr>
                <w:szCs w:val="21"/>
              </w:rPr>
            </w:pPr>
            <w:r>
              <w:rPr>
                <w:rFonts w:hint="eastAsia"/>
                <w:szCs w:val="21"/>
              </w:rPr>
              <w:t>1</w:t>
            </w:r>
            <w:r>
              <w:rPr>
                <w:szCs w:val="21"/>
              </w:rPr>
              <w:t>3</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1AF09EBE" w14:textId="77777777" w:rsidR="00A6605D" w:rsidRDefault="00413D7E">
            <w:pPr>
              <w:jc w:val="left"/>
              <w:rPr>
                <w:color w:val="000000"/>
                <w:sz w:val="22"/>
                <w:szCs w:val="22"/>
              </w:rPr>
            </w:pPr>
            <w:r>
              <w:rPr>
                <w:rFonts w:hint="eastAsia"/>
                <w:color w:val="000000"/>
                <w:sz w:val="22"/>
                <w:szCs w:val="22"/>
              </w:rPr>
              <w:t>富荣富兴纯债债券型证券投资基金基金份额持有人大会表决结果暨决议生效的公告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C06B27F" w14:textId="77777777" w:rsidR="00A6605D" w:rsidRDefault="00413D7E">
            <w:pPr>
              <w:jc w:val="left"/>
              <w:rPr>
                <w:color w:val="000000"/>
                <w:sz w:val="22"/>
                <w:szCs w:val="22"/>
              </w:rPr>
            </w:pPr>
            <w:r>
              <w:rPr>
                <w:rFonts w:hint="eastAsia"/>
                <w:color w:val="000000"/>
                <w:sz w:val="22"/>
                <w:szCs w:val="22"/>
              </w:rPr>
              <w:t>2021-06-16</w:t>
            </w:r>
          </w:p>
        </w:tc>
      </w:tr>
      <w:tr w:rsidR="00A6605D" w14:paraId="789C0E6C"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6E18B2AF" w14:textId="77777777" w:rsidR="00A6605D" w:rsidRDefault="00413D7E">
            <w:pPr>
              <w:jc w:val="left"/>
              <w:rPr>
                <w:szCs w:val="21"/>
              </w:rPr>
            </w:pPr>
            <w:r>
              <w:rPr>
                <w:rFonts w:hint="eastAsia"/>
                <w:szCs w:val="21"/>
              </w:rPr>
              <w:t>1</w:t>
            </w:r>
            <w:r>
              <w:rPr>
                <w:szCs w:val="21"/>
              </w:rPr>
              <w:t>4</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448BDEAE" w14:textId="77777777" w:rsidR="00A6605D" w:rsidRDefault="00413D7E">
            <w:pPr>
              <w:jc w:val="left"/>
              <w:rPr>
                <w:color w:val="000000"/>
                <w:sz w:val="22"/>
                <w:szCs w:val="22"/>
              </w:rPr>
            </w:pPr>
            <w:r>
              <w:rPr>
                <w:rFonts w:hint="eastAsia"/>
                <w:color w:val="000000"/>
                <w:sz w:val="22"/>
                <w:szCs w:val="22"/>
              </w:rPr>
              <w:t>富荣基金管理有限公司基金行业高级管理人员变更公告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4EAA3D5" w14:textId="77777777" w:rsidR="00A6605D" w:rsidRDefault="00413D7E">
            <w:pPr>
              <w:jc w:val="left"/>
              <w:rPr>
                <w:color w:val="000000"/>
                <w:sz w:val="22"/>
                <w:szCs w:val="22"/>
              </w:rPr>
            </w:pPr>
            <w:r>
              <w:rPr>
                <w:rFonts w:hint="eastAsia"/>
                <w:color w:val="000000"/>
                <w:sz w:val="22"/>
                <w:szCs w:val="22"/>
              </w:rPr>
              <w:t>2021-06-24</w:t>
            </w:r>
          </w:p>
        </w:tc>
      </w:tr>
      <w:tr w:rsidR="00A6605D" w14:paraId="761A98F8"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15E24298" w14:textId="77777777" w:rsidR="00A6605D" w:rsidRDefault="00413D7E">
            <w:pPr>
              <w:jc w:val="left"/>
              <w:rPr>
                <w:szCs w:val="21"/>
              </w:rPr>
            </w:pPr>
            <w:r>
              <w:rPr>
                <w:rFonts w:hint="eastAsia"/>
                <w:szCs w:val="21"/>
              </w:rPr>
              <w:t>1</w:t>
            </w:r>
            <w:r>
              <w:rPr>
                <w:szCs w:val="21"/>
              </w:rPr>
              <w:t>5</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2421705A" w14:textId="77777777" w:rsidR="00A6605D" w:rsidRDefault="00413D7E">
            <w:pPr>
              <w:jc w:val="left"/>
              <w:rPr>
                <w:color w:val="000000"/>
                <w:sz w:val="22"/>
                <w:szCs w:val="22"/>
              </w:rPr>
            </w:pPr>
            <w:r>
              <w:rPr>
                <w:rFonts w:hint="eastAsia"/>
                <w:color w:val="000000"/>
                <w:sz w:val="22"/>
                <w:szCs w:val="22"/>
              </w:rPr>
              <w:t>富荣基金管理有限公司关于旗下部分基金新增北京度小满基金销售有限公司为销售机构并开通基金定期定额投资业务和基金转换业务的公告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1DFE9D7" w14:textId="77777777" w:rsidR="00A6605D" w:rsidRDefault="00413D7E">
            <w:pPr>
              <w:jc w:val="left"/>
              <w:rPr>
                <w:color w:val="000000"/>
                <w:sz w:val="22"/>
                <w:szCs w:val="22"/>
              </w:rPr>
            </w:pPr>
            <w:r>
              <w:rPr>
                <w:rFonts w:hint="eastAsia"/>
                <w:color w:val="000000"/>
                <w:sz w:val="22"/>
                <w:szCs w:val="22"/>
              </w:rPr>
              <w:t>2021-06-29</w:t>
            </w:r>
          </w:p>
        </w:tc>
      </w:tr>
      <w:tr w:rsidR="00A6605D" w14:paraId="543E3852"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756B6750" w14:textId="77777777" w:rsidR="00A6605D" w:rsidRDefault="00413D7E">
            <w:pPr>
              <w:jc w:val="left"/>
              <w:rPr>
                <w:szCs w:val="21"/>
              </w:rPr>
            </w:pPr>
            <w:r>
              <w:rPr>
                <w:rFonts w:hint="eastAsia"/>
                <w:szCs w:val="21"/>
              </w:rPr>
              <w:t>1</w:t>
            </w:r>
            <w:r>
              <w:rPr>
                <w:szCs w:val="21"/>
              </w:rPr>
              <w:t>6</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346766C4" w14:textId="77777777" w:rsidR="00A6605D" w:rsidRDefault="00413D7E">
            <w:pPr>
              <w:jc w:val="left"/>
              <w:rPr>
                <w:color w:val="000000"/>
                <w:sz w:val="22"/>
                <w:szCs w:val="22"/>
              </w:rPr>
            </w:pPr>
            <w:r>
              <w:rPr>
                <w:rFonts w:hint="eastAsia"/>
                <w:color w:val="000000"/>
                <w:sz w:val="22"/>
                <w:szCs w:val="22"/>
              </w:rPr>
              <w:t>富荣基金管理有限公司关于旗下部分基金参加北京度小满基金销售有限公司基金申购及定期定额投资申购费率优惠活动的公告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DDE4D08" w14:textId="77777777" w:rsidR="00A6605D" w:rsidRDefault="00413D7E">
            <w:pPr>
              <w:jc w:val="left"/>
              <w:rPr>
                <w:color w:val="000000"/>
                <w:sz w:val="22"/>
                <w:szCs w:val="22"/>
              </w:rPr>
            </w:pPr>
            <w:r>
              <w:rPr>
                <w:rFonts w:hint="eastAsia"/>
                <w:color w:val="000000"/>
                <w:sz w:val="22"/>
                <w:szCs w:val="22"/>
              </w:rPr>
              <w:t>2021-06-29</w:t>
            </w:r>
          </w:p>
        </w:tc>
      </w:tr>
      <w:tr w:rsidR="00A6605D" w14:paraId="5B5D16D9"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72038AE9" w14:textId="77777777" w:rsidR="00A6605D" w:rsidRDefault="00413D7E">
            <w:pPr>
              <w:jc w:val="left"/>
              <w:rPr>
                <w:szCs w:val="21"/>
              </w:rPr>
            </w:pPr>
            <w:r>
              <w:rPr>
                <w:rFonts w:hint="eastAsia"/>
                <w:szCs w:val="21"/>
              </w:rPr>
              <w:t>1</w:t>
            </w:r>
            <w:r>
              <w:rPr>
                <w:szCs w:val="21"/>
              </w:rPr>
              <w:t>7</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0CF506C8" w14:textId="77777777" w:rsidR="00A6605D" w:rsidRDefault="00413D7E">
            <w:pPr>
              <w:jc w:val="left"/>
              <w:rPr>
                <w:color w:val="000000"/>
                <w:sz w:val="22"/>
                <w:szCs w:val="22"/>
              </w:rPr>
            </w:pPr>
            <w:r>
              <w:rPr>
                <w:rFonts w:hint="eastAsia"/>
                <w:color w:val="000000"/>
                <w:sz w:val="22"/>
                <w:szCs w:val="22"/>
              </w:rPr>
              <w:t>富荣基金管理有限公司关于旗下部分基金新增通华财富（上海）基金销售有限公司为销售机构并开通基金定期定额投资业务和基金转换业务的公告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F11DD21" w14:textId="77777777" w:rsidR="00A6605D" w:rsidRDefault="00413D7E">
            <w:pPr>
              <w:jc w:val="left"/>
              <w:rPr>
                <w:color w:val="000000"/>
                <w:sz w:val="22"/>
                <w:szCs w:val="22"/>
              </w:rPr>
            </w:pPr>
            <w:r>
              <w:rPr>
                <w:rFonts w:hint="eastAsia"/>
                <w:color w:val="000000"/>
                <w:sz w:val="22"/>
                <w:szCs w:val="22"/>
              </w:rPr>
              <w:t>2021-07-02</w:t>
            </w:r>
          </w:p>
        </w:tc>
      </w:tr>
      <w:tr w:rsidR="00A6605D" w14:paraId="422A52BD"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1D427733" w14:textId="77777777" w:rsidR="00A6605D" w:rsidRDefault="00413D7E">
            <w:pPr>
              <w:jc w:val="left"/>
              <w:rPr>
                <w:szCs w:val="21"/>
              </w:rPr>
            </w:pPr>
            <w:r>
              <w:rPr>
                <w:rFonts w:hint="eastAsia"/>
                <w:szCs w:val="21"/>
              </w:rPr>
              <w:t>1</w:t>
            </w:r>
            <w:r>
              <w:rPr>
                <w:szCs w:val="21"/>
              </w:rPr>
              <w:t>8</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19E39661" w14:textId="77777777" w:rsidR="00A6605D" w:rsidRDefault="00413D7E">
            <w:pPr>
              <w:jc w:val="left"/>
              <w:rPr>
                <w:color w:val="000000"/>
                <w:sz w:val="22"/>
                <w:szCs w:val="22"/>
              </w:rPr>
            </w:pPr>
            <w:r>
              <w:rPr>
                <w:rFonts w:hint="eastAsia"/>
                <w:color w:val="000000"/>
                <w:sz w:val="22"/>
                <w:szCs w:val="22"/>
              </w:rPr>
              <w:t>富荣基金管理有限公司关于旗下部分基金参加通华财富（上海）基金销售有限公司基金申购及定期定额投资申购费率优惠活动的公告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B0CB937" w14:textId="77777777" w:rsidR="00A6605D" w:rsidRDefault="00413D7E">
            <w:pPr>
              <w:jc w:val="left"/>
              <w:rPr>
                <w:color w:val="000000"/>
                <w:sz w:val="22"/>
                <w:szCs w:val="22"/>
              </w:rPr>
            </w:pPr>
            <w:r>
              <w:rPr>
                <w:rFonts w:hint="eastAsia"/>
                <w:color w:val="000000"/>
                <w:sz w:val="22"/>
                <w:szCs w:val="22"/>
              </w:rPr>
              <w:t>2021-07-02</w:t>
            </w:r>
          </w:p>
        </w:tc>
      </w:tr>
      <w:tr w:rsidR="00A6605D" w14:paraId="68A7FA5E"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6CB4FBBE" w14:textId="77777777" w:rsidR="00A6605D" w:rsidRDefault="00413D7E">
            <w:pPr>
              <w:jc w:val="left"/>
              <w:rPr>
                <w:szCs w:val="21"/>
              </w:rPr>
            </w:pPr>
            <w:r>
              <w:rPr>
                <w:rFonts w:hint="eastAsia"/>
                <w:szCs w:val="21"/>
              </w:rPr>
              <w:t>1</w:t>
            </w:r>
            <w:r>
              <w:rPr>
                <w:szCs w:val="21"/>
              </w:rPr>
              <w:t>9</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762A951E" w14:textId="77777777" w:rsidR="00A6605D" w:rsidRDefault="00413D7E">
            <w:pPr>
              <w:jc w:val="left"/>
              <w:rPr>
                <w:color w:val="000000"/>
                <w:sz w:val="22"/>
                <w:szCs w:val="22"/>
              </w:rPr>
            </w:pPr>
            <w:r>
              <w:rPr>
                <w:rFonts w:hint="eastAsia"/>
                <w:color w:val="000000"/>
                <w:sz w:val="22"/>
                <w:szCs w:val="22"/>
              </w:rPr>
              <w:t>富荣基金管理有限公司关于旗下部分基金参加上海万得基金销售有限公司基金申购及定期定额投资申购费率优惠活动的公告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AA78BB8" w14:textId="77777777" w:rsidR="00A6605D" w:rsidRDefault="00413D7E">
            <w:pPr>
              <w:jc w:val="left"/>
              <w:rPr>
                <w:color w:val="000000"/>
                <w:sz w:val="22"/>
                <w:szCs w:val="22"/>
              </w:rPr>
            </w:pPr>
            <w:r>
              <w:rPr>
                <w:rFonts w:hint="eastAsia"/>
                <w:color w:val="000000"/>
                <w:sz w:val="22"/>
                <w:szCs w:val="22"/>
              </w:rPr>
              <w:t>2021-07-21</w:t>
            </w:r>
          </w:p>
        </w:tc>
      </w:tr>
      <w:tr w:rsidR="00A6605D" w14:paraId="69C405E4"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0F3CD0E7" w14:textId="77777777" w:rsidR="00A6605D" w:rsidRDefault="00413D7E">
            <w:pPr>
              <w:jc w:val="left"/>
              <w:rPr>
                <w:szCs w:val="21"/>
              </w:rPr>
            </w:pPr>
            <w:r>
              <w:rPr>
                <w:rFonts w:hint="eastAsia"/>
                <w:szCs w:val="21"/>
              </w:rPr>
              <w:t>2</w:t>
            </w:r>
            <w:r>
              <w:rPr>
                <w:szCs w:val="21"/>
              </w:rPr>
              <w:t>0</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2B26DED9" w14:textId="77777777" w:rsidR="00A6605D" w:rsidRDefault="00413D7E">
            <w:pPr>
              <w:jc w:val="left"/>
              <w:rPr>
                <w:color w:val="000000"/>
                <w:sz w:val="22"/>
                <w:szCs w:val="22"/>
              </w:rPr>
            </w:pPr>
            <w:r>
              <w:rPr>
                <w:rFonts w:hint="eastAsia"/>
                <w:color w:val="000000"/>
                <w:sz w:val="22"/>
                <w:szCs w:val="22"/>
              </w:rPr>
              <w:t>富荣基金管理有限公司关于旗下部分基金新增上海万得基金销售有限公司为销售机构并开通基金定期定额投资业务和基金转换业务的公告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D3FF5C4" w14:textId="77777777" w:rsidR="00A6605D" w:rsidRDefault="00413D7E">
            <w:pPr>
              <w:jc w:val="left"/>
              <w:rPr>
                <w:color w:val="000000"/>
                <w:sz w:val="22"/>
                <w:szCs w:val="22"/>
              </w:rPr>
            </w:pPr>
            <w:r>
              <w:rPr>
                <w:rFonts w:hint="eastAsia"/>
                <w:color w:val="000000"/>
                <w:sz w:val="22"/>
                <w:szCs w:val="22"/>
              </w:rPr>
              <w:t>2021-07-21</w:t>
            </w:r>
          </w:p>
        </w:tc>
      </w:tr>
      <w:tr w:rsidR="00A6605D" w14:paraId="367895DC"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2022E3AE" w14:textId="77777777" w:rsidR="00A6605D" w:rsidRDefault="00413D7E">
            <w:pPr>
              <w:jc w:val="left"/>
              <w:rPr>
                <w:szCs w:val="21"/>
              </w:rPr>
            </w:pPr>
            <w:r>
              <w:rPr>
                <w:rFonts w:hint="eastAsia"/>
                <w:szCs w:val="21"/>
              </w:rPr>
              <w:lastRenderedPageBreak/>
              <w:t>2</w:t>
            </w:r>
            <w:r>
              <w:rPr>
                <w:szCs w:val="21"/>
              </w:rPr>
              <w:t>1</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75855A9B" w14:textId="77777777" w:rsidR="00A6605D" w:rsidRDefault="00413D7E">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年第</w:t>
            </w:r>
            <w:r>
              <w:rPr>
                <w:rFonts w:hint="eastAsia"/>
                <w:color w:val="000000"/>
                <w:sz w:val="22"/>
                <w:szCs w:val="22"/>
              </w:rPr>
              <w:t>2</w:t>
            </w:r>
            <w:r>
              <w:rPr>
                <w:rFonts w:hint="eastAsia"/>
                <w:color w:val="000000"/>
                <w:sz w:val="22"/>
                <w:szCs w:val="22"/>
              </w:rPr>
              <w:t>季度报告提示性公告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7F1E8B1" w14:textId="77777777" w:rsidR="00A6605D" w:rsidRDefault="00413D7E">
            <w:pPr>
              <w:jc w:val="left"/>
              <w:rPr>
                <w:color w:val="000000"/>
                <w:sz w:val="22"/>
                <w:szCs w:val="22"/>
              </w:rPr>
            </w:pPr>
            <w:r>
              <w:rPr>
                <w:rFonts w:hint="eastAsia"/>
                <w:color w:val="000000"/>
                <w:sz w:val="22"/>
                <w:szCs w:val="22"/>
              </w:rPr>
              <w:t>2021-07-21</w:t>
            </w:r>
          </w:p>
        </w:tc>
      </w:tr>
      <w:tr w:rsidR="00A6605D" w14:paraId="49AECA0E"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4B19DE4E" w14:textId="77777777" w:rsidR="00A6605D" w:rsidRDefault="00413D7E">
            <w:pPr>
              <w:jc w:val="left"/>
              <w:rPr>
                <w:szCs w:val="21"/>
              </w:rPr>
            </w:pPr>
            <w:r>
              <w:rPr>
                <w:rFonts w:hint="eastAsia"/>
                <w:szCs w:val="21"/>
              </w:rPr>
              <w:t>2</w:t>
            </w:r>
            <w:r>
              <w:rPr>
                <w:szCs w:val="21"/>
              </w:rPr>
              <w:t>2</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3A7237D1" w14:textId="77777777" w:rsidR="00A6605D" w:rsidRDefault="00413D7E">
            <w:pPr>
              <w:jc w:val="left"/>
              <w:rPr>
                <w:color w:val="000000"/>
                <w:sz w:val="22"/>
                <w:szCs w:val="22"/>
              </w:rPr>
            </w:pPr>
            <w:r>
              <w:rPr>
                <w:rFonts w:hint="eastAsia"/>
                <w:color w:val="000000"/>
                <w:sz w:val="22"/>
                <w:szCs w:val="22"/>
              </w:rPr>
              <w:t>富荣基金管理有限公司关于旗下部分基金新增泛华普益基金销售有限公司为销售机构并开通基金定期定额投资业务和基金转换业务的公告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AD432D4" w14:textId="77777777" w:rsidR="00A6605D" w:rsidRDefault="00413D7E">
            <w:pPr>
              <w:jc w:val="left"/>
              <w:rPr>
                <w:color w:val="000000"/>
                <w:sz w:val="22"/>
                <w:szCs w:val="22"/>
              </w:rPr>
            </w:pPr>
            <w:r>
              <w:rPr>
                <w:rFonts w:hint="eastAsia"/>
                <w:color w:val="000000"/>
                <w:sz w:val="22"/>
                <w:szCs w:val="22"/>
              </w:rPr>
              <w:t>2021-07-23</w:t>
            </w:r>
          </w:p>
        </w:tc>
      </w:tr>
      <w:tr w:rsidR="00A6605D" w14:paraId="15C3DC66"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518A4929" w14:textId="77777777" w:rsidR="00A6605D" w:rsidRDefault="00413D7E">
            <w:pPr>
              <w:jc w:val="left"/>
              <w:rPr>
                <w:szCs w:val="21"/>
              </w:rPr>
            </w:pPr>
            <w:r>
              <w:rPr>
                <w:rFonts w:hint="eastAsia"/>
                <w:szCs w:val="21"/>
              </w:rPr>
              <w:t>2</w:t>
            </w:r>
            <w:r>
              <w:rPr>
                <w:szCs w:val="21"/>
              </w:rPr>
              <w:t>3</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41258E13" w14:textId="77777777" w:rsidR="00A6605D" w:rsidRDefault="00413D7E">
            <w:pPr>
              <w:jc w:val="left"/>
              <w:rPr>
                <w:color w:val="000000"/>
                <w:sz w:val="22"/>
                <w:szCs w:val="22"/>
              </w:rPr>
            </w:pPr>
            <w:r>
              <w:rPr>
                <w:rFonts w:hint="eastAsia"/>
                <w:color w:val="000000"/>
                <w:sz w:val="22"/>
                <w:szCs w:val="22"/>
              </w:rPr>
              <w:t>富荣基金管理有限公司关于旗下部分基金参加泛华普益基金销售有限公司基金申购及定期定额投资申购费率优惠活动的公告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8C8431F" w14:textId="77777777" w:rsidR="00A6605D" w:rsidRDefault="00413D7E">
            <w:pPr>
              <w:jc w:val="left"/>
              <w:rPr>
                <w:color w:val="000000"/>
                <w:sz w:val="22"/>
                <w:szCs w:val="22"/>
              </w:rPr>
            </w:pPr>
            <w:r>
              <w:rPr>
                <w:rFonts w:hint="eastAsia"/>
                <w:color w:val="000000"/>
                <w:sz w:val="22"/>
                <w:szCs w:val="22"/>
              </w:rPr>
              <w:t>2021-07-23</w:t>
            </w:r>
          </w:p>
        </w:tc>
      </w:tr>
      <w:tr w:rsidR="00A6605D" w14:paraId="1D613AEC"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15EAEA42" w14:textId="77777777" w:rsidR="00A6605D" w:rsidRDefault="00413D7E">
            <w:pPr>
              <w:jc w:val="left"/>
              <w:rPr>
                <w:szCs w:val="21"/>
              </w:rPr>
            </w:pPr>
            <w:r>
              <w:rPr>
                <w:rFonts w:hint="eastAsia"/>
                <w:szCs w:val="21"/>
              </w:rPr>
              <w:t>2</w:t>
            </w:r>
            <w:r>
              <w:rPr>
                <w:szCs w:val="21"/>
              </w:rPr>
              <w:t>4</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7029981A" w14:textId="77777777" w:rsidR="00A6605D" w:rsidRDefault="00413D7E">
            <w:pPr>
              <w:jc w:val="left"/>
              <w:rPr>
                <w:color w:val="000000"/>
                <w:sz w:val="22"/>
                <w:szCs w:val="22"/>
              </w:rPr>
            </w:pPr>
            <w:r>
              <w:rPr>
                <w:rFonts w:hint="eastAsia"/>
                <w:color w:val="000000"/>
                <w:sz w:val="22"/>
                <w:szCs w:val="22"/>
              </w:rPr>
              <w:t>富荣基金管理有限公司关于旗下部分基金参加招商证券股份有限公司基金申购及定期定额投资申购费率优惠活动的公告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6BD0B25" w14:textId="77777777" w:rsidR="00A6605D" w:rsidRDefault="00413D7E">
            <w:pPr>
              <w:jc w:val="left"/>
              <w:rPr>
                <w:color w:val="000000"/>
                <w:sz w:val="22"/>
                <w:szCs w:val="22"/>
              </w:rPr>
            </w:pPr>
            <w:r>
              <w:rPr>
                <w:rFonts w:hint="eastAsia"/>
                <w:color w:val="000000"/>
                <w:sz w:val="22"/>
                <w:szCs w:val="22"/>
              </w:rPr>
              <w:t>2021-07-30</w:t>
            </w:r>
          </w:p>
        </w:tc>
      </w:tr>
      <w:tr w:rsidR="00A6605D" w14:paraId="6E5FC1CA"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361E3738" w14:textId="77777777" w:rsidR="00A6605D" w:rsidRDefault="00413D7E">
            <w:pPr>
              <w:jc w:val="left"/>
              <w:rPr>
                <w:szCs w:val="21"/>
              </w:rPr>
            </w:pPr>
            <w:r>
              <w:rPr>
                <w:rFonts w:hint="eastAsia"/>
                <w:szCs w:val="21"/>
              </w:rPr>
              <w:t>2</w:t>
            </w:r>
            <w:r>
              <w:rPr>
                <w:szCs w:val="21"/>
              </w:rPr>
              <w:t>5</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40391DC2" w14:textId="77777777" w:rsidR="00A6605D" w:rsidRDefault="00413D7E">
            <w:pPr>
              <w:jc w:val="left"/>
              <w:rPr>
                <w:color w:val="000000"/>
                <w:sz w:val="22"/>
                <w:szCs w:val="22"/>
              </w:rPr>
            </w:pPr>
            <w:r>
              <w:rPr>
                <w:rFonts w:hint="eastAsia"/>
                <w:color w:val="000000"/>
                <w:sz w:val="22"/>
                <w:szCs w:val="22"/>
              </w:rPr>
              <w:t>富荣基金管理有限公司关于恢复泰信财富基金销售有限公司办理旗下基金相关销售业务的公告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A378114" w14:textId="77777777" w:rsidR="00A6605D" w:rsidRDefault="00413D7E">
            <w:pPr>
              <w:jc w:val="left"/>
              <w:rPr>
                <w:color w:val="000000"/>
                <w:sz w:val="22"/>
                <w:szCs w:val="22"/>
              </w:rPr>
            </w:pPr>
            <w:r>
              <w:rPr>
                <w:rFonts w:hint="eastAsia"/>
                <w:color w:val="000000"/>
                <w:sz w:val="22"/>
                <w:szCs w:val="22"/>
              </w:rPr>
              <w:t>2021-08-27</w:t>
            </w:r>
          </w:p>
        </w:tc>
      </w:tr>
      <w:tr w:rsidR="00A6605D" w14:paraId="7E2CE915"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6A9A674E" w14:textId="77777777" w:rsidR="00A6605D" w:rsidRDefault="00413D7E">
            <w:pPr>
              <w:jc w:val="left"/>
              <w:rPr>
                <w:szCs w:val="21"/>
              </w:rPr>
            </w:pPr>
            <w:r>
              <w:rPr>
                <w:rFonts w:hint="eastAsia"/>
                <w:szCs w:val="21"/>
              </w:rPr>
              <w:t>2</w:t>
            </w:r>
            <w:r>
              <w:rPr>
                <w:szCs w:val="21"/>
              </w:rPr>
              <w:t>6</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4079FE2B" w14:textId="77777777" w:rsidR="00A6605D" w:rsidRDefault="00413D7E">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年中期报告提示性公告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3188181" w14:textId="77777777" w:rsidR="00A6605D" w:rsidRDefault="00413D7E">
            <w:pPr>
              <w:jc w:val="left"/>
              <w:rPr>
                <w:color w:val="000000"/>
                <w:sz w:val="22"/>
                <w:szCs w:val="22"/>
              </w:rPr>
            </w:pPr>
            <w:r>
              <w:rPr>
                <w:rFonts w:hint="eastAsia"/>
                <w:color w:val="000000"/>
                <w:sz w:val="22"/>
                <w:szCs w:val="22"/>
              </w:rPr>
              <w:t>2021-08-31</w:t>
            </w:r>
          </w:p>
        </w:tc>
      </w:tr>
      <w:tr w:rsidR="00A6605D" w14:paraId="7D0B9C2C"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1BF6C5D0" w14:textId="77777777" w:rsidR="00A6605D" w:rsidRDefault="00413D7E">
            <w:pPr>
              <w:jc w:val="left"/>
              <w:rPr>
                <w:szCs w:val="21"/>
              </w:rPr>
            </w:pPr>
            <w:r>
              <w:rPr>
                <w:rFonts w:hint="eastAsia"/>
                <w:szCs w:val="21"/>
              </w:rPr>
              <w:t>2</w:t>
            </w:r>
            <w:r>
              <w:rPr>
                <w:szCs w:val="21"/>
              </w:rPr>
              <w:t>7</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650F87B7" w14:textId="77777777" w:rsidR="00A6605D" w:rsidRDefault="00413D7E">
            <w:pPr>
              <w:jc w:val="left"/>
              <w:rPr>
                <w:color w:val="000000"/>
                <w:sz w:val="22"/>
                <w:szCs w:val="22"/>
              </w:rPr>
            </w:pPr>
            <w:r>
              <w:rPr>
                <w:rFonts w:hint="eastAsia"/>
                <w:color w:val="000000"/>
                <w:sz w:val="22"/>
                <w:szCs w:val="22"/>
              </w:rPr>
              <w:t>富荣基金管理有限公司关于旗下部分基金参加众惠基金销售有限公司基金申购及定期定额投资申购费率优惠活动的公告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FD65871" w14:textId="77777777" w:rsidR="00A6605D" w:rsidRDefault="00413D7E">
            <w:pPr>
              <w:jc w:val="left"/>
              <w:rPr>
                <w:color w:val="000000"/>
                <w:sz w:val="22"/>
                <w:szCs w:val="22"/>
              </w:rPr>
            </w:pPr>
            <w:r>
              <w:rPr>
                <w:rFonts w:hint="eastAsia"/>
                <w:color w:val="000000"/>
                <w:sz w:val="22"/>
                <w:szCs w:val="22"/>
              </w:rPr>
              <w:t>2021-09-08</w:t>
            </w:r>
          </w:p>
        </w:tc>
      </w:tr>
      <w:tr w:rsidR="00A6605D" w14:paraId="302C4A2F"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41733BDF" w14:textId="77777777" w:rsidR="00A6605D" w:rsidRDefault="00413D7E">
            <w:pPr>
              <w:jc w:val="left"/>
              <w:rPr>
                <w:szCs w:val="21"/>
              </w:rPr>
            </w:pPr>
            <w:r>
              <w:rPr>
                <w:rFonts w:hint="eastAsia"/>
                <w:szCs w:val="21"/>
              </w:rPr>
              <w:t>2</w:t>
            </w:r>
            <w:r>
              <w:rPr>
                <w:szCs w:val="21"/>
              </w:rPr>
              <w:t>8</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7CCCA576" w14:textId="77777777" w:rsidR="00A6605D" w:rsidRDefault="00413D7E">
            <w:pPr>
              <w:jc w:val="left"/>
              <w:rPr>
                <w:color w:val="000000"/>
                <w:sz w:val="22"/>
                <w:szCs w:val="22"/>
              </w:rPr>
            </w:pPr>
            <w:r>
              <w:rPr>
                <w:rFonts w:hint="eastAsia"/>
                <w:color w:val="000000"/>
                <w:sz w:val="22"/>
                <w:szCs w:val="22"/>
              </w:rPr>
              <w:t>富荣基金管理有限公司关于旗下部分基金新增众惠基金销售有限公司为销售机构并开通基金定期定额投资业务和基金转换业务的公告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1F49CB2" w14:textId="77777777" w:rsidR="00A6605D" w:rsidRDefault="00413D7E">
            <w:pPr>
              <w:jc w:val="left"/>
              <w:rPr>
                <w:color w:val="000000"/>
                <w:sz w:val="22"/>
                <w:szCs w:val="22"/>
              </w:rPr>
            </w:pPr>
            <w:r>
              <w:rPr>
                <w:rFonts w:hint="eastAsia"/>
                <w:color w:val="000000"/>
                <w:sz w:val="22"/>
                <w:szCs w:val="22"/>
              </w:rPr>
              <w:t>2021-09-08</w:t>
            </w:r>
          </w:p>
        </w:tc>
      </w:tr>
      <w:tr w:rsidR="00A6605D" w14:paraId="13E5499F"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2E26A7AB" w14:textId="77777777" w:rsidR="00A6605D" w:rsidRDefault="00413D7E">
            <w:pPr>
              <w:jc w:val="left"/>
              <w:rPr>
                <w:szCs w:val="21"/>
              </w:rPr>
            </w:pPr>
            <w:r>
              <w:rPr>
                <w:rFonts w:hint="eastAsia"/>
                <w:szCs w:val="21"/>
              </w:rPr>
              <w:t>2</w:t>
            </w:r>
            <w:r>
              <w:rPr>
                <w:szCs w:val="21"/>
              </w:rPr>
              <w:t>9</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1BFB269C" w14:textId="77777777" w:rsidR="00A6605D" w:rsidRDefault="00413D7E">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年第</w:t>
            </w:r>
            <w:r>
              <w:rPr>
                <w:rFonts w:hint="eastAsia"/>
                <w:color w:val="000000"/>
                <w:sz w:val="22"/>
                <w:szCs w:val="22"/>
              </w:rPr>
              <w:t>3</w:t>
            </w:r>
            <w:r>
              <w:rPr>
                <w:rFonts w:hint="eastAsia"/>
                <w:color w:val="000000"/>
                <w:sz w:val="22"/>
                <w:szCs w:val="22"/>
              </w:rPr>
              <w:t>季度报告提示性公告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D050033" w14:textId="77777777" w:rsidR="00A6605D" w:rsidRDefault="00413D7E">
            <w:pPr>
              <w:jc w:val="left"/>
              <w:rPr>
                <w:color w:val="000000"/>
                <w:sz w:val="22"/>
                <w:szCs w:val="22"/>
              </w:rPr>
            </w:pPr>
            <w:r>
              <w:rPr>
                <w:rFonts w:hint="eastAsia"/>
                <w:color w:val="000000"/>
                <w:sz w:val="22"/>
                <w:szCs w:val="22"/>
              </w:rPr>
              <w:t>2021-10-27</w:t>
            </w:r>
          </w:p>
        </w:tc>
      </w:tr>
      <w:tr w:rsidR="00A6605D" w14:paraId="44F807AB"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5E4608DD" w14:textId="77777777" w:rsidR="00A6605D" w:rsidRDefault="00413D7E">
            <w:pPr>
              <w:jc w:val="left"/>
              <w:rPr>
                <w:szCs w:val="21"/>
              </w:rPr>
            </w:pPr>
            <w:r>
              <w:rPr>
                <w:rFonts w:hint="eastAsia"/>
                <w:szCs w:val="21"/>
              </w:rPr>
              <w:t>3</w:t>
            </w:r>
            <w:r>
              <w:rPr>
                <w:szCs w:val="21"/>
              </w:rPr>
              <w:t>0</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3FCEF7A7" w14:textId="77777777" w:rsidR="00A6605D" w:rsidRDefault="00413D7E">
            <w:pPr>
              <w:jc w:val="left"/>
              <w:rPr>
                <w:color w:val="000000"/>
                <w:sz w:val="22"/>
                <w:szCs w:val="22"/>
              </w:rPr>
            </w:pPr>
            <w:r>
              <w:rPr>
                <w:rFonts w:hint="eastAsia"/>
                <w:color w:val="000000"/>
                <w:sz w:val="22"/>
                <w:szCs w:val="22"/>
              </w:rPr>
              <w:t>富荣基金管理有限公司关于旗下部分基金新增宁波银行股份有限公司为销售机构并开通基金定期定额投资业务和基金转换业务的公告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1FF94B1" w14:textId="77777777" w:rsidR="00A6605D" w:rsidRDefault="00413D7E">
            <w:pPr>
              <w:jc w:val="left"/>
              <w:rPr>
                <w:color w:val="000000"/>
                <w:sz w:val="22"/>
                <w:szCs w:val="22"/>
              </w:rPr>
            </w:pPr>
            <w:r>
              <w:rPr>
                <w:rFonts w:hint="eastAsia"/>
                <w:color w:val="000000"/>
                <w:sz w:val="22"/>
                <w:szCs w:val="22"/>
              </w:rPr>
              <w:t>2021-11-26</w:t>
            </w:r>
          </w:p>
        </w:tc>
      </w:tr>
      <w:tr w:rsidR="00A6605D" w14:paraId="23A5984E"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7A4AFBE5" w14:textId="77777777" w:rsidR="00A6605D" w:rsidRDefault="00413D7E">
            <w:pPr>
              <w:jc w:val="left"/>
              <w:rPr>
                <w:szCs w:val="21"/>
              </w:rPr>
            </w:pPr>
            <w:r>
              <w:rPr>
                <w:rFonts w:hint="eastAsia"/>
                <w:szCs w:val="21"/>
              </w:rPr>
              <w:t>3</w:t>
            </w:r>
            <w:r>
              <w:rPr>
                <w:szCs w:val="21"/>
              </w:rPr>
              <w:t>1</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29AE69B1" w14:textId="77777777" w:rsidR="00A6605D" w:rsidRDefault="00413D7E">
            <w:pPr>
              <w:jc w:val="left"/>
              <w:rPr>
                <w:color w:val="000000"/>
                <w:sz w:val="22"/>
                <w:szCs w:val="22"/>
              </w:rPr>
            </w:pPr>
            <w:r>
              <w:rPr>
                <w:rFonts w:hint="eastAsia"/>
                <w:color w:val="000000"/>
                <w:sz w:val="22"/>
                <w:szCs w:val="22"/>
              </w:rPr>
              <w:t>富荣基金管理有限公司关于旗下部分基金参加宁波银行股份有限公司基金申购及定期定额投资申购费率优惠活动的公告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3197B8D" w14:textId="77777777" w:rsidR="00A6605D" w:rsidRDefault="00413D7E">
            <w:pPr>
              <w:jc w:val="left"/>
              <w:rPr>
                <w:color w:val="000000"/>
                <w:sz w:val="22"/>
                <w:szCs w:val="22"/>
              </w:rPr>
            </w:pPr>
            <w:r>
              <w:rPr>
                <w:rFonts w:hint="eastAsia"/>
                <w:color w:val="000000"/>
                <w:sz w:val="22"/>
                <w:szCs w:val="22"/>
              </w:rPr>
              <w:t>2021-11-26</w:t>
            </w:r>
          </w:p>
        </w:tc>
      </w:tr>
      <w:tr w:rsidR="00A6605D" w14:paraId="09193350"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22D0B823" w14:textId="77777777" w:rsidR="00A6605D" w:rsidRDefault="00413D7E">
            <w:pPr>
              <w:jc w:val="left"/>
              <w:rPr>
                <w:szCs w:val="21"/>
              </w:rPr>
            </w:pPr>
            <w:r>
              <w:rPr>
                <w:rFonts w:hint="eastAsia"/>
                <w:szCs w:val="21"/>
              </w:rPr>
              <w:t>3</w:t>
            </w:r>
            <w:r>
              <w:rPr>
                <w:szCs w:val="21"/>
              </w:rPr>
              <w:t>2</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3C34DB5A" w14:textId="77777777" w:rsidR="00A6605D" w:rsidRDefault="00413D7E">
            <w:pPr>
              <w:jc w:val="left"/>
              <w:rPr>
                <w:color w:val="000000"/>
                <w:sz w:val="22"/>
                <w:szCs w:val="22"/>
              </w:rPr>
            </w:pPr>
            <w:r>
              <w:rPr>
                <w:rFonts w:hint="eastAsia"/>
                <w:color w:val="000000"/>
                <w:sz w:val="22"/>
                <w:szCs w:val="22"/>
              </w:rPr>
              <w:t>富荣基金管理有限公司关于旗下部分基金新增平安银行股份有限公司为销售机构的公告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2CFCDDB" w14:textId="77777777" w:rsidR="00A6605D" w:rsidRDefault="00413D7E">
            <w:pPr>
              <w:jc w:val="left"/>
              <w:rPr>
                <w:color w:val="000000"/>
                <w:sz w:val="22"/>
                <w:szCs w:val="22"/>
              </w:rPr>
            </w:pPr>
            <w:r>
              <w:rPr>
                <w:rFonts w:hint="eastAsia"/>
                <w:color w:val="000000"/>
                <w:sz w:val="22"/>
                <w:szCs w:val="22"/>
              </w:rPr>
              <w:t>2021-12-20</w:t>
            </w:r>
          </w:p>
        </w:tc>
      </w:tr>
      <w:tr w:rsidR="00A6605D" w14:paraId="22477A67"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26D234FE" w14:textId="77777777" w:rsidR="00A6605D" w:rsidRDefault="00413D7E">
            <w:pPr>
              <w:jc w:val="left"/>
              <w:rPr>
                <w:szCs w:val="21"/>
              </w:rPr>
            </w:pPr>
            <w:r>
              <w:rPr>
                <w:rFonts w:hint="eastAsia"/>
                <w:szCs w:val="21"/>
              </w:rPr>
              <w:t>3</w:t>
            </w:r>
            <w:r>
              <w:rPr>
                <w:szCs w:val="21"/>
              </w:rPr>
              <w:t>3</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6947BF33" w14:textId="77777777" w:rsidR="00A6605D" w:rsidRDefault="00413D7E">
            <w:pPr>
              <w:jc w:val="left"/>
              <w:rPr>
                <w:color w:val="000000"/>
                <w:sz w:val="22"/>
                <w:szCs w:val="22"/>
              </w:rPr>
            </w:pPr>
            <w:r>
              <w:rPr>
                <w:rFonts w:hint="eastAsia"/>
                <w:color w:val="000000"/>
                <w:sz w:val="22"/>
                <w:szCs w:val="22"/>
              </w:rPr>
              <w:t>富荣基金管理有限公司关于旗下部分基金新增腾安基金销售（深圳）有限公司为销售机构并开通基金定期定额投资业务和基金转换业务的公告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07EF9F2" w14:textId="77777777" w:rsidR="00A6605D" w:rsidRDefault="00413D7E">
            <w:pPr>
              <w:jc w:val="left"/>
              <w:rPr>
                <w:color w:val="000000"/>
                <w:sz w:val="22"/>
                <w:szCs w:val="22"/>
              </w:rPr>
            </w:pPr>
            <w:r>
              <w:rPr>
                <w:rFonts w:hint="eastAsia"/>
                <w:color w:val="000000"/>
                <w:sz w:val="22"/>
                <w:szCs w:val="22"/>
              </w:rPr>
              <w:t>2021-12-31</w:t>
            </w:r>
          </w:p>
        </w:tc>
      </w:tr>
      <w:tr w:rsidR="00A6605D" w14:paraId="6E75D898"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2B2F91D2" w14:textId="77777777" w:rsidR="00A6605D" w:rsidRDefault="00413D7E">
            <w:pPr>
              <w:jc w:val="left"/>
              <w:rPr>
                <w:szCs w:val="21"/>
              </w:rPr>
            </w:pPr>
            <w:r>
              <w:rPr>
                <w:rFonts w:hint="eastAsia"/>
                <w:szCs w:val="21"/>
              </w:rPr>
              <w:t>3</w:t>
            </w:r>
            <w:r>
              <w:rPr>
                <w:szCs w:val="21"/>
              </w:rPr>
              <w:t>4</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5AF9E072" w14:textId="77777777" w:rsidR="00A6605D" w:rsidRDefault="00413D7E">
            <w:pPr>
              <w:jc w:val="left"/>
              <w:rPr>
                <w:color w:val="000000"/>
                <w:sz w:val="22"/>
                <w:szCs w:val="22"/>
              </w:rPr>
            </w:pPr>
            <w:r>
              <w:rPr>
                <w:rFonts w:hint="eastAsia"/>
                <w:color w:val="000000"/>
                <w:sz w:val="22"/>
                <w:szCs w:val="22"/>
              </w:rPr>
              <w:t>富荣基金管理有限公司关于旗下部分基金参加腾安基金销售（深圳）有限公司基金申购及定期定额投资申购费率优惠活动的公告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F244B9F" w14:textId="77777777" w:rsidR="00A6605D" w:rsidRDefault="00413D7E">
            <w:pPr>
              <w:jc w:val="left"/>
              <w:rPr>
                <w:color w:val="000000"/>
                <w:sz w:val="22"/>
                <w:szCs w:val="22"/>
              </w:rPr>
            </w:pPr>
            <w:r>
              <w:rPr>
                <w:rFonts w:hint="eastAsia"/>
                <w:color w:val="000000"/>
                <w:sz w:val="22"/>
                <w:szCs w:val="22"/>
              </w:rPr>
              <w:t>2021-12-31</w:t>
            </w:r>
          </w:p>
        </w:tc>
      </w:tr>
      <w:tr w:rsidR="00A6605D" w14:paraId="159238CC"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3A032426" w14:textId="77777777" w:rsidR="00A6605D" w:rsidRDefault="00413D7E">
            <w:pPr>
              <w:jc w:val="left"/>
              <w:rPr>
                <w:szCs w:val="21"/>
              </w:rPr>
            </w:pPr>
            <w:r>
              <w:rPr>
                <w:rFonts w:hint="eastAsia"/>
                <w:szCs w:val="21"/>
              </w:rPr>
              <w:t>3</w:t>
            </w:r>
            <w:r>
              <w:rPr>
                <w:szCs w:val="21"/>
              </w:rPr>
              <w:t>5</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258E930F" w14:textId="77777777" w:rsidR="00A6605D" w:rsidRDefault="00413D7E">
            <w:pPr>
              <w:jc w:val="left"/>
              <w:rPr>
                <w:color w:val="000000"/>
                <w:sz w:val="22"/>
                <w:szCs w:val="22"/>
              </w:rPr>
            </w:pPr>
            <w:r>
              <w:rPr>
                <w:rFonts w:hint="eastAsia"/>
                <w:color w:val="000000"/>
                <w:sz w:val="22"/>
                <w:szCs w:val="22"/>
              </w:rPr>
              <w:t>富荣基金管理有限公司关于旗下公开募集证券投资基金执行新金融工具相关会计准则的公告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9AC6456" w14:textId="77777777" w:rsidR="00A6605D" w:rsidRDefault="00413D7E">
            <w:pPr>
              <w:jc w:val="left"/>
              <w:rPr>
                <w:color w:val="000000"/>
                <w:sz w:val="22"/>
                <w:szCs w:val="22"/>
              </w:rPr>
            </w:pPr>
            <w:r>
              <w:rPr>
                <w:rFonts w:hint="eastAsia"/>
                <w:color w:val="000000"/>
                <w:sz w:val="22"/>
                <w:szCs w:val="22"/>
              </w:rPr>
              <w:t>2022-01-01</w:t>
            </w:r>
          </w:p>
        </w:tc>
      </w:tr>
      <w:tr w:rsidR="00A6605D" w14:paraId="5F919569" w14:textId="77777777" w:rsidTr="006B2775">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25999FC3" w14:textId="77777777" w:rsidR="00A6605D" w:rsidRDefault="00413D7E">
            <w:pPr>
              <w:jc w:val="left"/>
              <w:rPr>
                <w:szCs w:val="21"/>
              </w:rPr>
            </w:pPr>
            <w:r>
              <w:rPr>
                <w:rFonts w:hint="eastAsia"/>
                <w:szCs w:val="21"/>
              </w:rPr>
              <w:t>3</w:t>
            </w:r>
            <w:r>
              <w:rPr>
                <w:szCs w:val="21"/>
              </w:rPr>
              <w:t>6</w:t>
            </w:r>
          </w:p>
        </w:tc>
        <w:tc>
          <w:tcPr>
            <w:tcW w:w="6379" w:type="dxa"/>
            <w:tcBorders>
              <w:top w:val="single" w:sz="4" w:space="0" w:color="auto"/>
              <w:left w:val="single" w:sz="4" w:space="0" w:color="auto"/>
              <w:bottom w:val="single" w:sz="4" w:space="0" w:color="auto"/>
              <w:right w:val="single" w:sz="4" w:space="0" w:color="auto"/>
            </w:tcBorders>
            <w:shd w:val="clear" w:color="auto" w:fill="auto"/>
            <w:vAlign w:val="bottom"/>
          </w:tcPr>
          <w:p w14:paraId="1192B16B" w14:textId="77777777" w:rsidR="00A6605D" w:rsidRDefault="00413D7E">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年第</w:t>
            </w:r>
            <w:r>
              <w:rPr>
                <w:rFonts w:hint="eastAsia"/>
                <w:color w:val="000000"/>
                <w:sz w:val="22"/>
                <w:szCs w:val="22"/>
              </w:rPr>
              <w:t>4</w:t>
            </w:r>
            <w:r>
              <w:rPr>
                <w:rFonts w:hint="eastAsia"/>
                <w:color w:val="000000"/>
                <w:sz w:val="22"/>
                <w:szCs w:val="22"/>
              </w:rPr>
              <w:t>季度报告提示性公告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3AD047A" w14:textId="77777777" w:rsidR="00A6605D" w:rsidRDefault="00413D7E">
            <w:pPr>
              <w:jc w:val="left"/>
              <w:rPr>
                <w:color w:val="000000"/>
                <w:sz w:val="22"/>
                <w:szCs w:val="22"/>
              </w:rPr>
            </w:pPr>
            <w:r>
              <w:rPr>
                <w:rFonts w:hint="eastAsia"/>
                <w:color w:val="000000"/>
                <w:sz w:val="22"/>
                <w:szCs w:val="22"/>
              </w:rPr>
              <w:t>2022-01-24</w:t>
            </w:r>
          </w:p>
        </w:tc>
      </w:tr>
    </w:tbl>
    <w:p w14:paraId="72667B00" w14:textId="77777777" w:rsidR="00A6605D" w:rsidRDefault="00A6605D">
      <w:pPr>
        <w:ind w:firstLine="484"/>
        <w:jc w:val="left"/>
        <w:rPr>
          <w:b/>
          <w:bCs/>
          <w:kern w:val="44"/>
          <w:sz w:val="24"/>
          <w:szCs w:val="44"/>
        </w:rPr>
        <w:sectPr w:rsidR="00A6605D">
          <w:headerReference w:type="first" r:id="rId44"/>
          <w:pgSz w:w="11906" w:h="16838"/>
          <w:pgMar w:top="1440" w:right="1800" w:bottom="1440" w:left="1800" w:header="851" w:footer="992" w:gutter="0"/>
          <w:cols w:space="720"/>
          <w:titlePg/>
          <w:docGrid w:linePitch="312"/>
        </w:sectPr>
      </w:pPr>
    </w:p>
    <w:p w14:paraId="608992E1" w14:textId="77777777" w:rsidR="00A6605D" w:rsidRDefault="00413D7E">
      <w:pPr>
        <w:pStyle w:val="11"/>
        <w:snapToGrid w:val="0"/>
        <w:spacing w:before="0" w:after="0" w:line="360" w:lineRule="auto"/>
        <w:rPr>
          <w:rFonts w:ascii="Arial Unicode MS" w:eastAsia="宋体" w:hAnsi="Arial Unicode MS" w:cs="Arial"/>
          <w:b/>
          <w:bCs/>
          <w:sz w:val="28"/>
          <w:szCs w:val="28"/>
        </w:rPr>
      </w:pPr>
      <w:bookmarkStart w:id="169" w:name="_Toc63676458"/>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招募说明书</w:t>
      </w:r>
      <w:r>
        <w:rPr>
          <w:rFonts w:ascii="Arial Unicode MS" w:eastAsia="宋体" w:hAnsi="Arial Unicode MS" w:cs="Arial" w:hint="eastAsia"/>
          <w:b/>
          <w:bCs/>
          <w:sz w:val="28"/>
          <w:szCs w:val="28"/>
        </w:rPr>
        <w:t>的</w:t>
      </w:r>
      <w:r>
        <w:rPr>
          <w:rFonts w:ascii="Arial Unicode MS" w:eastAsia="宋体" w:hAnsi="Arial Unicode MS" w:cs="Arial"/>
          <w:b/>
          <w:bCs/>
          <w:sz w:val="28"/>
          <w:szCs w:val="28"/>
        </w:rPr>
        <w:t>存放及查阅方式</w:t>
      </w:r>
      <w:bookmarkEnd w:id="162"/>
      <w:bookmarkEnd w:id="163"/>
      <w:bookmarkEnd w:id="164"/>
      <w:bookmarkEnd w:id="165"/>
      <w:bookmarkEnd w:id="166"/>
      <w:bookmarkEnd w:id="167"/>
      <w:bookmarkEnd w:id="169"/>
    </w:p>
    <w:p w14:paraId="18D4A086" w14:textId="77777777" w:rsidR="00A6605D" w:rsidRDefault="00A6605D"/>
    <w:p w14:paraId="301F05E7" w14:textId="77777777" w:rsidR="00A6605D" w:rsidRDefault="00413D7E">
      <w:pPr>
        <w:widowControl/>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依法必须披露的信息发布后，基金管理人、基金托管人应当按照相关法律法规规定将信息置备于公司住所，供社会公众查阅、复制</w:t>
      </w:r>
      <w:r>
        <w:rPr>
          <w:rFonts w:ascii="Arial Unicode MS" w:hAnsi="Arial Unicode MS" w:cs="Arial"/>
          <w:kern w:val="0"/>
          <w:szCs w:val="21"/>
        </w:rPr>
        <w:t>；投资人在支付工本费后，可在合理时间内取得上述文件复制件或复印件。对投资人按此种方式所获得的文件及其复印件，基金管理人保证文本的内容与所公告的内容完全一致。</w:t>
      </w:r>
    </w:p>
    <w:p w14:paraId="313244DD" w14:textId="77777777" w:rsidR="00A6605D" w:rsidRDefault="00413D7E">
      <w:pPr>
        <w:widowControl/>
        <w:snapToGrid w:val="0"/>
        <w:spacing w:line="360" w:lineRule="auto"/>
        <w:ind w:firstLineChars="200" w:firstLine="420"/>
        <w:rPr>
          <w:rFonts w:ascii="Arial Unicode MS" w:hAnsi="Arial Unicode MS" w:cs="Arial"/>
          <w:kern w:val="0"/>
          <w:szCs w:val="21"/>
        </w:rPr>
        <w:sectPr w:rsidR="00A6605D">
          <w:pgSz w:w="11906" w:h="16838"/>
          <w:pgMar w:top="1440" w:right="1800" w:bottom="1440" w:left="1800" w:header="851" w:footer="992" w:gutter="0"/>
          <w:cols w:space="720"/>
          <w:titlePg/>
          <w:docGrid w:linePitch="312"/>
        </w:sectPr>
      </w:pPr>
      <w:r>
        <w:rPr>
          <w:rFonts w:ascii="Arial Unicode MS" w:hAnsi="Arial Unicode MS" w:cs="Arial"/>
          <w:kern w:val="0"/>
          <w:szCs w:val="21"/>
        </w:rPr>
        <w:t>投资人还可以直接登录基金管理人的网站（</w:t>
      </w:r>
      <w:r>
        <w:rPr>
          <w:rFonts w:ascii="Arial Unicode MS" w:hAnsi="Arial Unicode MS" w:cs="Arial"/>
          <w:kern w:val="0"/>
          <w:szCs w:val="21"/>
        </w:rPr>
        <w:t>www.furamc.com.cn</w:t>
      </w:r>
      <w:r>
        <w:rPr>
          <w:rFonts w:ascii="Arial Unicode MS" w:hAnsi="Arial Unicode MS" w:cs="Arial"/>
          <w:kern w:val="0"/>
          <w:szCs w:val="21"/>
        </w:rPr>
        <w:t>）查阅和下载招募说明书。</w:t>
      </w:r>
    </w:p>
    <w:p w14:paraId="708892DF" w14:textId="77777777" w:rsidR="00A6605D" w:rsidRDefault="00413D7E">
      <w:pPr>
        <w:pStyle w:val="11"/>
        <w:snapToGrid w:val="0"/>
        <w:spacing w:before="0" w:after="0" w:line="360" w:lineRule="auto"/>
        <w:ind w:firstLineChars="150" w:firstLine="422"/>
        <w:rPr>
          <w:rFonts w:ascii="Arial Unicode MS" w:eastAsia="宋体" w:hAnsi="Arial Unicode MS" w:cs="Arial"/>
          <w:b/>
          <w:bCs/>
          <w:sz w:val="28"/>
          <w:szCs w:val="28"/>
        </w:rPr>
      </w:pPr>
      <w:bookmarkStart w:id="170" w:name="_Toc335232710"/>
      <w:bookmarkStart w:id="171" w:name="_Toc214873623"/>
      <w:bookmarkStart w:id="172" w:name="_Toc317088167"/>
      <w:bookmarkStart w:id="173" w:name="_Toc317088556"/>
      <w:bookmarkStart w:id="174" w:name="_Toc63676459"/>
      <w:bookmarkStart w:id="175" w:name="_Toc530223199"/>
      <w:bookmarkStart w:id="176" w:name="_Toc320887661"/>
      <w:bookmarkEnd w:id="168"/>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备查文件</w:t>
      </w:r>
      <w:bookmarkEnd w:id="170"/>
      <w:bookmarkEnd w:id="171"/>
      <w:bookmarkEnd w:id="172"/>
      <w:bookmarkEnd w:id="173"/>
      <w:bookmarkEnd w:id="174"/>
      <w:bookmarkEnd w:id="175"/>
      <w:bookmarkEnd w:id="176"/>
    </w:p>
    <w:p w14:paraId="427764E1" w14:textId="77777777" w:rsidR="00A6605D" w:rsidRDefault="00A6605D">
      <w:pPr>
        <w:ind w:firstLine="315"/>
      </w:pPr>
    </w:p>
    <w:p w14:paraId="7965ECEB"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以下备查文件存放在基金管理人的办公场所，在办公时间可供免费查阅。</w:t>
      </w:r>
    </w:p>
    <w:p w14:paraId="563EE3C3"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（一）中国证监会</w:t>
      </w:r>
      <w:r>
        <w:rPr>
          <w:rFonts w:ascii="Arial Unicode MS" w:hAnsi="Arial Unicode MS" w:cs="Arial" w:hint="eastAsia"/>
          <w:szCs w:val="21"/>
        </w:rPr>
        <w:t>准予</w:t>
      </w:r>
      <w:r>
        <w:rPr>
          <w:rFonts w:ascii="Arial Unicode MS" w:hAnsi="Arial Unicode MS" w:cs="Arial"/>
          <w:szCs w:val="21"/>
        </w:rPr>
        <w:t>富荣富兴纯债债券型证券投资基金</w:t>
      </w:r>
      <w:r>
        <w:rPr>
          <w:rFonts w:ascii="Arial Unicode MS" w:hAnsi="Arial Unicode MS" w:cs="Arial" w:hint="eastAsia"/>
          <w:szCs w:val="21"/>
        </w:rPr>
        <w:t>变更注册</w:t>
      </w:r>
      <w:r>
        <w:rPr>
          <w:rFonts w:ascii="Arial Unicode MS" w:hAnsi="Arial Unicode MS" w:cs="Arial"/>
          <w:szCs w:val="21"/>
        </w:rPr>
        <w:t>的文件</w:t>
      </w:r>
    </w:p>
    <w:p w14:paraId="45B49B5D"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（二）《富荣富兴纯债债券型证券投资基金基金合同》</w:t>
      </w:r>
    </w:p>
    <w:p w14:paraId="3CB90B5D"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三</w:t>
      </w:r>
      <w:r>
        <w:rPr>
          <w:rFonts w:ascii="Arial Unicode MS" w:hAnsi="Arial Unicode MS" w:cs="Arial"/>
          <w:szCs w:val="21"/>
        </w:rPr>
        <w:t>）《富荣富兴纯债债券型证券投资基金托管协议》</w:t>
      </w:r>
    </w:p>
    <w:p w14:paraId="21F5BAB1"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四</w:t>
      </w:r>
      <w:r>
        <w:rPr>
          <w:rFonts w:ascii="Arial Unicode MS" w:hAnsi="Arial Unicode MS" w:cs="Arial"/>
          <w:szCs w:val="21"/>
        </w:rPr>
        <w:t>）基金管理人业务资格批件、营业执照</w:t>
      </w:r>
    </w:p>
    <w:p w14:paraId="6B07CBD9"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五</w:t>
      </w:r>
      <w:r>
        <w:rPr>
          <w:rFonts w:ascii="Arial Unicode MS" w:hAnsi="Arial Unicode MS" w:cs="Arial"/>
          <w:szCs w:val="21"/>
        </w:rPr>
        <w:t>）基金托管人业务资格批件、营业执照</w:t>
      </w:r>
    </w:p>
    <w:p w14:paraId="252442D6"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六</w:t>
      </w:r>
      <w:r>
        <w:rPr>
          <w:rFonts w:ascii="Arial Unicode MS" w:hAnsi="Arial Unicode MS" w:cs="Arial"/>
          <w:szCs w:val="21"/>
        </w:rPr>
        <w:t>）关于申请富荣富兴纯债债券型证券投资基金</w:t>
      </w:r>
      <w:r>
        <w:rPr>
          <w:rFonts w:ascii="Arial Unicode MS" w:hAnsi="Arial Unicode MS" w:cs="Arial" w:hint="eastAsia"/>
          <w:szCs w:val="21"/>
        </w:rPr>
        <w:t>变更注册</w:t>
      </w:r>
      <w:r>
        <w:rPr>
          <w:rFonts w:ascii="Arial Unicode MS" w:hAnsi="Arial Unicode MS" w:cs="Arial"/>
          <w:szCs w:val="21"/>
        </w:rPr>
        <w:t>之法律意见书</w:t>
      </w:r>
    </w:p>
    <w:p w14:paraId="7B24E115"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（七）中国证监会要求的其他文件</w:t>
      </w:r>
    </w:p>
    <w:p w14:paraId="50DBDE8F" w14:textId="77777777" w:rsidR="00A6605D" w:rsidRDefault="00413D7E">
      <w:pPr>
        <w:autoSpaceDE w:val="0"/>
        <w:autoSpaceDN w:val="0"/>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szCs w:val="21"/>
        </w:rPr>
        <w:t>查阅方式：投资者可在营业时间免费查阅，也可按工本费购买复印件。</w:t>
      </w:r>
    </w:p>
    <w:p w14:paraId="1DF5FE93" w14:textId="77777777" w:rsidR="00A6605D" w:rsidRDefault="00A6605D">
      <w:pPr>
        <w:spacing w:line="360" w:lineRule="auto"/>
        <w:jc w:val="right"/>
        <w:rPr>
          <w:rFonts w:ascii="Arial Unicode MS" w:hAnsi="Arial Unicode MS" w:cs="Arial"/>
          <w:b/>
          <w:szCs w:val="21"/>
        </w:rPr>
      </w:pPr>
    </w:p>
    <w:p w14:paraId="01341317" w14:textId="77777777" w:rsidR="00A6605D" w:rsidRDefault="00A6605D">
      <w:pPr>
        <w:spacing w:line="360" w:lineRule="auto"/>
        <w:jc w:val="right"/>
        <w:rPr>
          <w:rFonts w:ascii="Arial Unicode MS" w:hAnsi="Arial Unicode MS" w:cs="Arial"/>
          <w:b/>
          <w:szCs w:val="21"/>
        </w:rPr>
      </w:pPr>
    </w:p>
    <w:p w14:paraId="45CD09FC" w14:textId="77777777" w:rsidR="00A6605D" w:rsidRDefault="00A6605D">
      <w:pPr>
        <w:rPr>
          <w:rFonts w:ascii="Arial Unicode MS" w:hAnsi="Arial Unicode MS" w:cs="Arial"/>
          <w:szCs w:val="21"/>
        </w:rPr>
      </w:pPr>
    </w:p>
    <w:p w14:paraId="6604DDF7" w14:textId="77777777" w:rsidR="00A6605D" w:rsidRDefault="00A6605D">
      <w:pPr>
        <w:rPr>
          <w:rFonts w:ascii="Arial Unicode MS" w:hAnsi="Arial Unicode MS" w:cs="Arial"/>
          <w:szCs w:val="21"/>
        </w:rPr>
      </w:pPr>
    </w:p>
    <w:p w14:paraId="63C434BB" w14:textId="77777777" w:rsidR="00A6605D" w:rsidRDefault="00A6605D">
      <w:pPr>
        <w:rPr>
          <w:rFonts w:ascii="Arial Unicode MS" w:hAnsi="Arial Unicode MS" w:cs="Arial"/>
          <w:szCs w:val="21"/>
        </w:rPr>
      </w:pPr>
    </w:p>
    <w:p w14:paraId="7927C844" w14:textId="77777777" w:rsidR="00A6605D" w:rsidRDefault="00413D7E">
      <w:pPr>
        <w:tabs>
          <w:tab w:val="left" w:pos="5760"/>
        </w:tabs>
        <w:rPr>
          <w:rFonts w:ascii="宋体" w:hAnsi="宋体" w:cs="Arial"/>
          <w:szCs w:val="21"/>
        </w:rPr>
      </w:pPr>
      <w:r>
        <w:rPr>
          <w:rFonts w:ascii="Arial Unicode MS" w:hAnsi="Arial Unicode MS" w:cs="Arial"/>
          <w:szCs w:val="21"/>
        </w:rPr>
        <w:tab/>
      </w:r>
      <w:r>
        <w:rPr>
          <w:rFonts w:ascii="宋体" w:hAnsi="宋体" w:cs="Arial" w:hint="eastAsia"/>
          <w:szCs w:val="21"/>
        </w:rPr>
        <w:t>富荣基金管理有限公司</w:t>
      </w:r>
    </w:p>
    <w:p w14:paraId="063ACCD9" w14:textId="77777777" w:rsidR="00A6605D" w:rsidRDefault="00A6605D">
      <w:pPr>
        <w:tabs>
          <w:tab w:val="left" w:pos="5760"/>
        </w:tabs>
        <w:rPr>
          <w:rFonts w:ascii="宋体" w:hAnsi="宋体" w:cs="Arial"/>
          <w:szCs w:val="21"/>
        </w:rPr>
      </w:pPr>
    </w:p>
    <w:p w14:paraId="18D142ED" w14:textId="5298B466" w:rsidR="00A6605D" w:rsidRDefault="00413D7E">
      <w:pPr>
        <w:tabs>
          <w:tab w:val="left" w:pos="6045"/>
        </w:tabs>
        <w:ind w:firstLineChars="2850" w:firstLine="5985"/>
        <w:jc w:val="left"/>
        <w:rPr>
          <w:rFonts w:ascii="宋体" w:hAnsi="宋体" w:cs="Arial"/>
          <w:szCs w:val="21"/>
        </w:rPr>
      </w:pPr>
      <w:r>
        <w:rPr>
          <w:rFonts w:ascii="宋体" w:hAnsi="宋体" w:cs="Arial" w:hint="eastAsia"/>
          <w:szCs w:val="21"/>
        </w:rPr>
        <w:t>202</w:t>
      </w:r>
      <w:r>
        <w:rPr>
          <w:rFonts w:ascii="宋体" w:hAnsi="宋体" w:cs="Arial"/>
          <w:szCs w:val="21"/>
        </w:rPr>
        <w:t>2</w:t>
      </w:r>
      <w:r>
        <w:rPr>
          <w:rFonts w:ascii="宋体" w:hAnsi="宋体" w:cs="Arial" w:hint="eastAsia"/>
          <w:szCs w:val="21"/>
        </w:rPr>
        <w:t>年</w:t>
      </w:r>
      <w:r>
        <w:rPr>
          <w:rFonts w:ascii="宋体" w:hAnsi="宋体" w:cs="Arial"/>
          <w:szCs w:val="21"/>
        </w:rPr>
        <w:t>3</w:t>
      </w:r>
      <w:r>
        <w:rPr>
          <w:rFonts w:ascii="宋体" w:hAnsi="宋体" w:cs="Arial" w:hint="eastAsia"/>
          <w:szCs w:val="21"/>
        </w:rPr>
        <w:t>月</w:t>
      </w:r>
      <w:r w:rsidR="00460ACC">
        <w:rPr>
          <w:rFonts w:ascii="宋体" w:hAnsi="宋体" w:cs="Arial" w:hint="eastAsia"/>
          <w:szCs w:val="21"/>
        </w:rPr>
        <w:t>24</w:t>
      </w:r>
      <w:r>
        <w:rPr>
          <w:rFonts w:ascii="宋体" w:hAnsi="宋体" w:cs="Arial" w:hint="eastAsia"/>
          <w:szCs w:val="21"/>
        </w:rPr>
        <w:t>日</w:t>
      </w:r>
    </w:p>
    <w:sectPr w:rsidR="00A6605D">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C4A0E4" w14:textId="77777777" w:rsidR="00F35978" w:rsidRDefault="00F35978">
      <w:r>
        <w:separator/>
      </w:r>
    </w:p>
  </w:endnote>
  <w:endnote w:type="continuationSeparator" w:id="0">
    <w:p w14:paraId="6BEF67C9" w14:textId="77777777" w:rsidR="00F35978" w:rsidRDefault="00F359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楷体_GB2312">
    <w:altName w:val="楷体"/>
    <w:charset w:val="86"/>
    <w:family w:val="modern"/>
    <w:pitch w:val="default"/>
    <w:sig w:usb0="00000000" w:usb1="00000000" w:usb2="00000010" w:usb3="00000000" w:csb0="00040000" w:csb1="00000000"/>
  </w:font>
  <w:font w:name="@楷体_GB2312">
    <w:altName w:val="宋体"/>
    <w:charset w:val="86"/>
    <w:family w:val="modern"/>
    <w:pitch w:val="default"/>
    <w:sig w:usb0="00000000" w:usb1="0000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ˎ̥">
    <w:altName w:val="Times New Roman"/>
    <w:panose1 w:val="00000000000000000000"/>
    <w:charset w:val="00"/>
    <w:family w:val="roman"/>
    <w:notTrueType/>
    <w:pitch w:val="default"/>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B718C6" w14:textId="77777777" w:rsidR="00B56854" w:rsidRDefault="00B56854">
    <w:pPr>
      <w:pStyle w:val="af"/>
      <w:jc w:val="center"/>
      <w:rPr>
        <w:rFonts w:ascii="Arial" w:hAnsi="Arial" w:cs="Arial"/>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E3BA85" w14:textId="77777777" w:rsidR="00B56854" w:rsidRDefault="00B56854">
    <w:pPr>
      <w:pStyle w:val="af"/>
      <w:jc w:val="center"/>
    </w:pPr>
    <w:r>
      <w:fldChar w:fldCharType="begin"/>
    </w:r>
    <w:r>
      <w:instrText xml:space="preserve"> PAGE   \* MERGEFORMAT </w:instrText>
    </w:r>
    <w:r>
      <w:fldChar w:fldCharType="separate"/>
    </w:r>
    <w:r w:rsidR="001267BA" w:rsidRPr="001267BA">
      <w:rPr>
        <w:noProof/>
        <w:lang w:val="zh-CN"/>
      </w:rPr>
      <w:t>3</w:t>
    </w:r>
    <w:r>
      <w:fldChar w:fldCharType="end"/>
    </w:r>
  </w:p>
  <w:p w14:paraId="01777B6E" w14:textId="77777777" w:rsidR="00B56854" w:rsidRDefault="00B56854">
    <w:pPr>
      <w:pStyle w:val="af"/>
      <w:jc w:val="center"/>
      <w:rPr>
        <w:rFonts w:ascii="Arial" w:hAnsi="Arial" w:cs="Arial"/>
        <w:sz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DBBD1B" w14:textId="77777777" w:rsidR="00B56854" w:rsidRDefault="00B56854">
    <w:pPr>
      <w:pStyle w:val="af"/>
      <w:jc w:val="center"/>
    </w:pPr>
    <w:r>
      <w:fldChar w:fldCharType="begin"/>
    </w:r>
    <w:r>
      <w:instrText xml:space="preserve"> PAGE   \* MERGEFORMAT </w:instrText>
    </w:r>
    <w:r>
      <w:fldChar w:fldCharType="separate"/>
    </w:r>
    <w:r w:rsidR="001267BA" w:rsidRPr="001267BA">
      <w:rPr>
        <w:noProof/>
        <w:lang w:val="zh-CN"/>
      </w:rPr>
      <w:t>1</w:t>
    </w:r>
    <w:r>
      <w:fldChar w:fldCharType="end"/>
    </w:r>
  </w:p>
  <w:p w14:paraId="5CF2AEA4" w14:textId="77777777" w:rsidR="00B56854" w:rsidRDefault="00B56854">
    <w:pPr>
      <w:pStyle w:val="af"/>
      <w:jc w:val="center"/>
      <w:rPr>
        <w:rFonts w:ascii="Arial" w:hAnsi="Arial" w:cs="Arial"/>
        <w:sz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8CA24B" w14:textId="77777777" w:rsidR="00B56854" w:rsidRDefault="00B56854">
    <w:pPr>
      <w:pStyle w:val="af"/>
      <w:jc w:val="center"/>
    </w:pPr>
    <w:r>
      <w:fldChar w:fldCharType="begin"/>
    </w:r>
    <w:r>
      <w:instrText xml:space="preserve"> PAGE   \* MERGEFORMAT </w:instrText>
    </w:r>
    <w:r>
      <w:fldChar w:fldCharType="separate"/>
    </w:r>
    <w:r w:rsidR="001267BA" w:rsidRPr="001267BA">
      <w:rPr>
        <w:noProof/>
        <w:lang w:val="zh-CN"/>
      </w:rPr>
      <w:t>19</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3B95EA" w14:textId="77777777" w:rsidR="00B56854" w:rsidRDefault="00B56854">
    <w:pPr>
      <w:pStyle w:val="af"/>
      <w:jc w:val="center"/>
      <w:rPr>
        <w:rFonts w:ascii="Arial" w:hAnsi="Arial" w:cs="Arial"/>
        <w:sz w:val="21"/>
        <w:szCs w:val="21"/>
      </w:rPr>
    </w:pPr>
    <w:r>
      <w:rPr>
        <w:rStyle w:val="afa"/>
        <w:rFonts w:ascii="Arial" w:hAnsi="Arial" w:cs="Arial"/>
        <w:sz w:val="21"/>
        <w:szCs w:val="21"/>
      </w:rPr>
      <w:fldChar w:fldCharType="begin"/>
    </w:r>
    <w:r>
      <w:rPr>
        <w:rStyle w:val="afa"/>
        <w:rFonts w:ascii="Arial" w:hAnsi="Arial" w:cs="Arial"/>
        <w:sz w:val="21"/>
        <w:szCs w:val="21"/>
      </w:rPr>
      <w:instrText xml:space="preserve"> PAGE </w:instrText>
    </w:r>
    <w:r>
      <w:rPr>
        <w:rStyle w:val="afa"/>
        <w:rFonts w:ascii="Arial" w:hAnsi="Arial" w:cs="Arial"/>
        <w:sz w:val="21"/>
        <w:szCs w:val="21"/>
      </w:rPr>
      <w:fldChar w:fldCharType="separate"/>
    </w:r>
    <w:r>
      <w:rPr>
        <w:rStyle w:val="afa"/>
        <w:rFonts w:ascii="Arial" w:hAnsi="Arial" w:cs="Arial"/>
        <w:sz w:val="21"/>
        <w:szCs w:val="21"/>
      </w:rPr>
      <w:t>89</w:t>
    </w:r>
    <w:r>
      <w:rPr>
        <w:rStyle w:val="afa"/>
        <w:rFonts w:ascii="Arial" w:hAnsi="Arial" w:cs="Arial"/>
        <w:sz w:val="21"/>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2D23D2" w14:textId="77777777" w:rsidR="00B56854" w:rsidRDefault="00B56854">
    <w:pPr>
      <w:pStyle w:val="af"/>
      <w:jc w:val="center"/>
    </w:pPr>
    <w:r>
      <w:fldChar w:fldCharType="begin"/>
    </w:r>
    <w:r>
      <w:instrText xml:space="preserve"> PAGE   \* MERGEFORMAT </w:instrText>
    </w:r>
    <w:r>
      <w:fldChar w:fldCharType="separate"/>
    </w:r>
    <w:r w:rsidR="001267BA" w:rsidRPr="001267BA">
      <w:rPr>
        <w:noProof/>
        <w:lang w:val="zh-CN"/>
      </w:rPr>
      <w:t>4</w:t>
    </w:r>
    <w:r>
      <w:fldChar w:fldCharType="end"/>
    </w:r>
  </w:p>
  <w:p w14:paraId="4AC423A7" w14:textId="77777777" w:rsidR="00B56854" w:rsidRDefault="00B56854">
    <w:pPr>
      <w:pStyle w:val="af"/>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205402" w14:textId="77777777" w:rsidR="00B56854" w:rsidRDefault="00B56854">
    <w:pPr>
      <w:pStyle w:val="af"/>
      <w:jc w:val="center"/>
    </w:pPr>
    <w:r>
      <w:fldChar w:fldCharType="begin"/>
    </w:r>
    <w:r>
      <w:instrText xml:space="preserve"> PAGE   \* MERGEFORMAT </w:instrText>
    </w:r>
    <w:r>
      <w:fldChar w:fldCharType="separate"/>
    </w:r>
    <w:r w:rsidR="00916A83" w:rsidRPr="00916A83">
      <w:rPr>
        <w:noProof/>
        <w:lang w:val="zh-CN"/>
      </w:rPr>
      <w:t>105</w:t>
    </w:r>
    <w:r>
      <w:fldChar w:fldCharType="end"/>
    </w:r>
  </w:p>
  <w:p w14:paraId="2543B894" w14:textId="77777777" w:rsidR="00B56854" w:rsidRDefault="00B56854">
    <w:pPr>
      <w:pStyle w:val="af"/>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30C976" w14:textId="77777777" w:rsidR="00B56854" w:rsidRDefault="00B56854">
    <w:pPr>
      <w:pStyle w:val="af"/>
      <w:jc w:val="center"/>
    </w:pPr>
    <w:r>
      <w:fldChar w:fldCharType="begin"/>
    </w:r>
    <w:r>
      <w:instrText>PAGE   \* MERGEFORMAT</w:instrText>
    </w:r>
    <w:r>
      <w:fldChar w:fldCharType="separate"/>
    </w:r>
    <w:r w:rsidR="001267BA" w:rsidRPr="001267BA">
      <w:rPr>
        <w:noProof/>
        <w:lang w:val="zh-CN"/>
      </w:rPr>
      <w:t>109</w:t>
    </w:r>
    <w:r>
      <w:fldChar w:fldCharType="end"/>
    </w:r>
  </w:p>
  <w:p w14:paraId="7CAD8217" w14:textId="77777777" w:rsidR="00B56854" w:rsidRDefault="00B56854">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02DF3A" w14:textId="77777777" w:rsidR="00F35978" w:rsidRDefault="00F35978">
      <w:r>
        <w:separator/>
      </w:r>
    </w:p>
  </w:footnote>
  <w:footnote w:type="continuationSeparator" w:id="0">
    <w:p w14:paraId="0F0CE4B6" w14:textId="77777777" w:rsidR="00F35978" w:rsidRDefault="00F3597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596855" w14:textId="6916E9B0" w:rsidR="00B56854" w:rsidRDefault="00B56854">
    <w:pPr>
      <w:pStyle w:val="af0"/>
      <w:jc w:val="both"/>
    </w:pPr>
    <w:r>
      <w:rPr>
        <w:rFonts w:hint="eastAsia"/>
      </w:rPr>
      <w:t>富荣富兴纯债债券型证券投资基金更新的招募说明书（</w:t>
    </w:r>
    <w:r>
      <w:rPr>
        <w:rFonts w:hint="eastAsia"/>
      </w:rPr>
      <w:t>2022</w:t>
    </w:r>
    <w:r>
      <w:rPr>
        <w:rFonts w:hint="eastAsia"/>
      </w:rPr>
      <w:t>年第</w:t>
    </w:r>
    <w:r>
      <w:rPr>
        <w:rFonts w:hint="eastAsia"/>
      </w:rPr>
      <w:t>2</w:t>
    </w:r>
    <w:r>
      <w:rPr>
        <w:rFonts w:hint="eastAsia"/>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218120" w14:textId="77777777" w:rsidR="00B56854" w:rsidRDefault="00B56854">
    <w:pPr>
      <w:pStyle w:val="af0"/>
      <w:pBdr>
        <w:bottom w:val="none" w:sz="0" w:space="0" w:color="auto"/>
      </w:pBd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B67832" w14:textId="275E8635" w:rsidR="00B56854" w:rsidRDefault="00B56854">
    <w:pPr>
      <w:pStyle w:val="af0"/>
      <w:jc w:val="left"/>
    </w:pPr>
    <w:r>
      <w:rPr>
        <w:rFonts w:hint="eastAsia"/>
      </w:rPr>
      <w:t>富荣富兴纯债债券型证券投资基金更新的招募说明书（</w:t>
    </w:r>
    <w:r>
      <w:rPr>
        <w:rFonts w:hint="eastAsia"/>
      </w:rPr>
      <w:t>2022</w:t>
    </w:r>
    <w:r>
      <w:rPr>
        <w:rFonts w:hint="eastAsia"/>
      </w:rPr>
      <w:t>年第</w:t>
    </w:r>
    <w:r>
      <w:rPr>
        <w:rFonts w:hint="eastAsia"/>
      </w:rPr>
      <w:t>2</w:t>
    </w:r>
    <w:r>
      <w:rPr>
        <w:rFonts w:hint="eastAsia"/>
      </w:rPr>
      <w:t>号）</w:t>
    </w:r>
    <w:r>
      <w:rPr>
        <w:rFonts w:hint="eastAsia"/>
      </w:rPr>
      <w:t xml:space="preserve">             </w:t>
    </w:r>
    <w:r>
      <w:t xml:space="preserve">                              </w:t>
    </w:r>
  </w:p>
  <w:p w14:paraId="702DCAB0" w14:textId="77777777" w:rsidR="00B56854" w:rsidRDefault="00B56854"/>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AEEAE6" w14:textId="77777777" w:rsidR="00B56854" w:rsidRDefault="00B56854">
    <w:pPr>
      <w:pBdr>
        <w:bottom w:val="single" w:sz="4" w:space="1" w:color="auto"/>
      </w:pBdr>
      <w:rPr>
        <w:sz w:val="18"/>
        <w:szCs w:val="18"/>
      </w:rPr>
    </w:pPr>
    <w:r>
      <w:rPr>
        <w:rFonts w:hint="eastAsia"/>
        <w:sz w:val="18"/>
        <w:szCs w:val="18"/>
      </w:rPr>
      <w:t>富荣富兴纯债债券型证券投资基金招募说明书</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C05415" w14:textId="7A21C84A" w:rsidR="00B56854" w:rsidRDefault="00B56854">
    <w:pPr>
      <w:pBdr>
        <w:bottom w:val="single" w:sz="4" w:space="1" w:color="auto"/>
      </w:pBdr>
      <w:rPr>
        <w:sz w:val="18"/>
        <w:szCs w:val="18"/>
      </w:rPr>
    </w:pPr>
    <w:r>
      <w:rPr>
        <w:rFonts w:hint="eastAsia"/>
        <w:sz w:val="18"/>
        <w:szCs w:val="18"/>
      </w:rPr>
      <w:t>富荣富兴纯债债券型证券投资基金更新的招募说明书（</w:t>
    </w:r>
    <w:r>
      <w:rPr>
        <w:rFonts w:hint="eastAsia"/>
        <w:sz w:val="18"/>
        <w:szCs w:val="18"/>
      </w:rPr>
      <w:t>2022</w:t>
    </w:r>
    <w:r>
      <w:rPr>
        <w:rFonts w:hint="eastAsia"/>
        <w:sz w:val="18"/>
        <w:szCs w:val="18"/>
      </w:rPr>
      <w:t>年第</w:t>
    </w:r>
    <w:r>
      <w:rPr>
        <w:rFonts w:hint="eastAsia"/>
        <w:sz w:val="18"/>
        <w:szCs w:val="18"/>
      </w:rPr>
      <w:t>2</w:t>
    </w:r>
    <w:r>
      <w:rPr>
        <w:rFonts w:hint="eastAsia"/>
        <w:sz w:val="18"/>
        <w:szCs w:val="18"/>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ECD5C354"/>
    <w:multiLevelType w:val="singleLevel"/>
    <w:tmpl w:val="ECD5C354"/>
    <w:lvl w:ilvl="0">
      <w:start w:val="3"/>
      <w:numFmt w:val="chineseCounting"/>
      <w:suff w:val="nothing"/>
      <w:lvlText w:val="%1、"/>
      <w:lvlJc w:val="left"/>
      <w:rPr>
        <w:rFonts w:hint="eastAsia"/>
      </w:rPr>
    </w:lvl>
  </w:abstractNum>
  <w:abstractNum w:abstractNumId="1" w15:restartNumberingAfterBreak="0">
    <w:nsid w:val="0C931F6B"/>
    <w:multiLevelType w:val="multilevel"/>
    <w:tmpl w:val="0C931F6B"/>
    <w:lvl w:ilvl="0">
      <w:start w:val="1"/>
      <w:numFmt w:val="decimal"/>
      <w:pStyle w:val="1"/>
      <w:lvlText w:val="%1、"/>
      <w:lvlJc w:val="left"/>
      <w:pPr>
        <w:tabs>
          <w:tab w:val="left" w:pos="757"/>
        </w:tabs>
        <w:ind w:left="0" w:firstLine="397"/>
      </w:pPr>
      <w:rPr>
        <w:rFonts w:hint="default"/>
      </w:rPr>
    </w:lvl>
    <w:lvl w:ilvl="1">
      <w:start w:val="1"/>
      <w:numFmt w:val="bullet"/>
      <w:lvlText w:val=""/>
      <w:lvlJc w:val="left"/>
      <w:pPr>
        <w:tabs>
          <w:tab w:val="left" w:pos="840"/>
        </w:tabs>
        <w:ind w:left="840" w:hanging="420"/>
      </w:pPr>
      <w:rPr>
        <w:rFonts w:ascii="Wingdings" w:hAnsi="Wingdings" w:hint="default"/>
        <w:b w:val="0"/>
        <w:i w:val="0"/>
        <w:sz w:val="15"/>
        <w:szCs w:val="15"/>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1A4038FD"/>
    <w:multiLevelType w:val="multilevel"/>
    <w:tmpl w:val="1A4038FD"/>
    <w:lvl w:ilvl="0">
      <w:start w:val="1"/>
      <w:numFmt w:val="japaneseCounting"/>
      <w:pStyle w:val="10"/>
      <w:lvlText w:val="%1、"/>
      <w:lvlJc w:val="left"/>
      <w:pPr>
        <w:tabs>
          <w:tab w:val="left" w:pos="3243"/>
        </w:tabs>
        <w:ind w:left="3243"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3DAC2829"/>
    <w:multiLevelType w:val="singleLevel"/>
    <w:tmpl w:val="3DAC2829"/>
    <w:lvl w:ilvl="0">
      <w:start w:val="1"/>
      <w:numFmt w:val="decimal"/>
      <w:pStyle w:val="2"/>
      <w:lvlText w:val="(%1)"/>
      <w:lvlJc w:val="left"/>
      <w:pPr>
        <w:tabs>
          <w:tab w:val="left" w:pos="907"/>
        </w:tabs>
        <w:ind w:left="907" w:hanging="482"/>
      </w:pPr>
      <w:rPr>
        <w:rFonts w:hint="default"/>
      </w:rPr>
    </w:lvl>
  </w:abstractNum>
  <w:abstractNum w:abstractNumId="4" w15:restartNumberingAfterBreak="0">
    <w:nsid w:val="48DC602A"/>
    <w:multiLevelType w:val="multilevel"/>
    <w:tmpl w:val="48DC602A"/>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5" w15:restartNumberingAfterBreak="0">
    <w:nsid w:val="7F215802"/>
    <w:multiLevelType w:val="multilevel"/>
    <w:tmpl w:val="7F215802"/>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3"/>
  </w:num>
  <w:num w:numId="2">
    <w:abstractNumId w:val="1"/>
  </w:num>
  <w:num w:numId="3">
    <w:abstractNumId w:val="2"/>
  </w:num>
  <w:num w:numId="4">
    <w:abstractNumId w:val="4"/>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BE9"/>
    <w:rsid w:val="000009A3"/>
    <w:rsid w:val="00001115"/>
    <w:rsid w:val="000011E4"/>
    <w:rsid w:val="00004804"/>
    <w:rsid w:val="00005B19"/>
    <w:rsid w:val="00005F84"/>
    <w:rsid w:val="00005F8E"/>
    <w:rsid w:val="0000670B"/>
    <w:rsid w:val="00007741"/>
    <w:rsid w:val="00010FF4"/>
    <w:rsid w:val="000118B7"/>
    <w:rsid w:val="000124E4"/>
    <w:rsid w:val="00012F8D"/>
    <w:rsid w:val="00014B1E"/>
    <w:rsid w:val="00015648"/>
    <w:rsid w:val="00016241"/>
    <w:rsid w:val="00017120"/>
    <w:rsid w:val="00017691"/>
    <w:rsid w:val="000177F3"/>
    <w:rsid w:val="00017A0C"/>
    <w:rsid w:val="00020CDF"/>
    <w:rsid w:val="00021549"/>
    <w:rsid w:val="0002185B"/>
    <w:rsid w:val="000230D8"/>
    <w:rsid w:val="00023946"/>
    <w:rsid w:val="000248F5"/>
    <w:rsid w:val="00025B1A"/>
    <w:rsid w:val="000275A0"/>
    <w:rsid w:val="00027E1B"/>
    <w:rsid w:val="00030B33"/>
    <w:rsid w:val="00034BDA"/>
    <w:rsid w:val="00035603"/>
    <w:rsid w:val="0004048E"/>
    <w:rsid w:val="000410B3"/>
    <w:rsid w:val="00041294"/>
    <w:rsid w:val="0004334D"/>
    <w:rsid w:val="00044F2F"/>
    <w:rsid w:val="00045C27"/>
    <w:rsid w:val="00047255"/>
    <w:rsid w:val="00047BCA"/>
    <w:rsid w:val="0005125E"/>
    <w:rsid w:val="000530C8"/>
    <w:rsid w:val="000574F9"/>
    <w:rsid w:val="00057908"/>
    <w:rsid w:val="00060B21"/>
    <w:rsid w:val="00060F29"/>
    <w:rsid w:val="00061060"/>
    <w:rsid w:val="000613B4"/>
    <w:rsid w:val="00062602"/>
    <w:rsid w:val="0006296A"/>
    <w:rsid w:val="000635C2"/>
    <w:rsid w:val="00064807"/>
    <w:rsid w:val="000649CA"/>
    <w:rsid w:val="0006518B"/>
    <w:rsid w:val="000653BA"/>
    <w:rsid w:val="000656E0"/>
    <w:rsid w:val="00066685"/>
    <w:rsid w:val="00070220"/>
    <w:rsid w:val="00071D4E"/>
    <w:rsid w:val="000724FF"/>
    <w:rsid w:val="00072C64"/>
    <w:rsid w:val="000739FF"/>
    <w:rsid w:val="000767A0"/>
    <w:rsid w:val="00076FB8"/>
    <w:rsid w:val="00081796"/>
    <w:rsid w:val="0008195C"/>
    <w:rsid w:val="00082203"/>
    <w:rsid w:val="000823B6"/>
    <w:rsid w:val="00082507"/>
    <w:rsid w:val="00082F38"/>
    <w:rsid w:val="00086635"/>
    <w:rsid w:val="00086A37"/>
    <w:rsid w:val="00086E93"/>
    <w:rsid w:val="00090DEF"/>
    <w:rsid w:val="0009161B"/>
    <w:rsid w:val="0009175C"/>
    <w:rsid w:val="000925A8"/>
    <w:rsid w:val="000945FF"/>
    <w:rsid w:val="000959CB"/>
    <w:rsid w:val="0009748F"/>
    <w:rsid w:val="0009794A"/>
    <w:rsid w:val="00097DFC"/>
    <w:rsid w:val="000A11E3"/>
    <w:rsid w:val="000A13D2"/>
    <w:rsid w:val="000A19F0"/>
    <w:rsid w:val="000A27DB"/>
    <w:rsid w:val="000A2C3D"/>
    <w:rsid w:val="000A5C0A"/>
    <w:rsid w:val="000A62A4"/>
    <w:rsid w:val="000A688D"/>
    <w:rsid w:val="000A6EDE"/>
    <w:rsid w:val="000A7748"/>
    <w:rsid w:val="000A7D4A"/>
    <w:rsid w:val="000B00C6"/>
    <w:rsid w:val="000B0134"/>
    <w:rsid w:val="000B0408"/>
    <w:rsid w:val="000B1D0F"/>
    <w:rsid w:val="000B4FF9"/>
    <w:rsid w:val="000B5BAA"/>
    <w:rsid w:val="000B699E"/>
    <w:rsid w:val="000B69B6"/>
    <w:rsid w:val="000B743E"/>
    <w:rsid w:val="000B7D56"/>
    <w:rsid w:val="000C3479"/>
    <w:rsid w:val="000C35FD"/>
    <w:rsid w:val="000C361C"/>
    <w:rsid w:val="000C376A"/>
    <w:rsid w:val="000C46DF"/>
    <w:rsid w:val="000C4BFD"/>
    <w:rsid w:val="000C5118"/>
    <w:rsid w:val="000C59F0"/>
    <w:rsid w:val="000C78B5"/>
    <w:rsid w:val="000C7A58"/>
    <w:rsid w:val="000C7A9E"/>
    <w:rsid w:val="000C7BA8"/>
    <w:rsid w:val="000D0203"/>
    <w:rsid w:val="000D087F"/>
    <w:rsid w:val="000D0CF9"/>
    <w:rsid w:val="000D1F2C"/>
    <w:rsid w:val="000D27C6"/>
    <w:rsid w:val="000D3394"/>
    <w:rsid w:val="000D40D0"/>
    <w:rsid w:val="000D4F6A"/>
    <w:rsid w:val="000D53EF"/>
    <w:rsid w:val="000D5DC2"/>
    <w:rsid w:val="000D71DD"/>
    <w:rsid w:val="000D78D8"/>
    <w:rsid w:val="000E0060"/>
    <w:rsid w:val="000E05FF"/>
    <w:rsid w:val="000E1483"/>
    <w:rsid w:val="000E1A26"/>
    <w:rsid w:val="000E1DDF"/>
    <w:rsid w:val="000E2A1B"/>
    <w:rsid w:val="000E5258"/>
    <w:rsid w:val="000E6432"/>
    <w:rsid w:val="000E77F9"/>
    <w:rsid w:val="000E7D2F"/>
    <w:rsid w:val="000E7F29"/>
    <w:rsid w:val="000F0451"/>
    <w:rsid w:val="000F160B"/>
    <w:rsid w:val="000F1AB6"/>
    <w:rsid w:val="000F2902"/>
    <w:rsid w:val="000F4C02"/>
    <w:rsid w:val="000F552B"/>
    <w:rsid w:val="000F56D9"/>
    <w:rsid w:val="000F5AB5"/>
    <w:rsid w:val="000F62DC"/>
    <w:rsid w:val="00100D10"/>
    <w:rsid w:val="001013DC"/>
    <w:rsid w:val="001028C0"/>
    <w:rsid w:val="001034FE"/>
    <w:rsid w:val="00103958"/>
    <w:rsid w:val="00105770"/>
    <w:rsid w:val="00105ACE"/>
    <w:rsid w:val="00105E5F"/>
    <w:rsid w:val="00105EA2"/>
    <w:rsid w:val="00106937"/>
    <w:rsid w:val="00106A07"/>
    <w:rsid w:val="00107608"/>
    <w:rsid w:val="00110203"/>
    <w:rsid w:val="00110F71"/>
    <w:rsid w:val="0011138F"/>
    <w:rsid w:val="001113D8"/>
    <w:rsid w:val="00111506"/>
    <w:rsid w:val="00111C83"/>
    <w:rsid w:val="001126F5"/>
    <w:rsid w:val="001145B4"/>
    <w:rsid w:val="001159F7"/>
    <w:rsid w:val="00121044"/>
    <w:rsid w:val="00121A24"/>
    <w:rsid w:val="00121C44"/>
    <w:rsid w:val="00122F78"/>
    <w:rsid w:val="001250EA"/>
    <w:rsid w:val="00125CEE"/>
    <w:rsid w:val="001267BA"/>
    <w:rsid w:val="00126C62"/>
    <w:rsid w:val="001278E3"/>
    <w:rsid w:val="001305DF"/>
    <w:rsid w:val="00130A79"/>
    <w:rsid w:val="0013242A"/>
    <w:rsid w:val="001333C0"/>
    <w:rsid w:val="001348B3"/>
    <w:rsid w:val="00135E0F"/>
    <w:rsid w:val="00136938"/>
    <w:rsid w:val="001400DB"/>
    <w:rsid w:val="00145BD4"/>
    <w:rsid w:val="00146396"/>
    <w:rsid w:val="001500AE"/>
    <w:rsid w:val="001509AB"/>
    <w:rsid w:val="001509C3"/>
    <w:rsid w:val="0015142D"/>
    <w:rsid w:val="00152669"/>
    <w:rsid w:val="00152D78"/>
    <w:rsid w:val="0015364F"/>
    <w:rsid w:val="00154735"/>
    <w:rsid w:val="00154E5B"/>
    <w:rsid w:val="00157188"/>
    <w:rsid w:val="001628AF"/>
    <w:rsid w:val="00162F00"/>
    <w:rsid w:val="001648B4"/>
    <w:rsid w:val="0016630D"/>
    <w:rsid w:val="001665C7"/>
    <w:rsid w:val="00167621"/>
    <w:rsid w:val="00170A4E"/>
    <w:rsid w:val="00170CE8"/>
    <w:rsid w:val="00171C95"/>
    <w:rsid w:val="00171D69"/>
    <w:rsid w:val="00172158"/>
    <w:rsid w:val="0017297B"/>
    <w:rsid w:val="00173541"/>
    <w:rsid w:val="001737A0"/>
    <w:rsid w:val="00173F90"/>
    <w:rsid w:val="001754BD"/>
    <w:rsid w:val="00176AED"/>
    <w:rsid w:val="001773BF"/>
    <w:rsid w:val="001774EC"/>
    <w:rsid w:val="00180E22"/>
    <w:rsid w:val="00180EA6"/>
    <w:rsid w:val="00181904"/>
    <w:rsid w:val="0018336E"/>
    <w:rsid w:val="00183E84"/>
    <w:rsid w:val="0018538D"/>
    <w:rsid w:val="00185B77"/>
    <w:rsid w:val="0018608E"/>
    <w:rsid w:val="00186FFC"/>
    <w:rsid w:val="0019005D"/>
    <w:rsid w:val="001911A9"/>
    <w:rsid w:val="001913E3"/>
    <w:rsid w:val="0019160C"/>
    <w:rsid w:val="00191655"/>
    <w:rsid w:val="0019397A"/>
    <w:rsid w:val="001939F8"/>
    <w:rsid w:val="001949EB"/>
    <w:rsid w:val="00195224"/>
    <w:rsid w:val="00195511"/>
    <w:rsid w:val="00196047"/>
    <w:rsid w:val="0019671E"/>
    <w:rsid w:val="00196FBE"/>
    <w:rsid w:val="00197064"/>
    <w:rsid w:val="001975F2"/>
    <w:rsid w:val="001A0310"/>
    <w:rsid w:val="001A047C"/>
    <w:rsid w:val="001A0A48"/>
    <w:rsid w:val="001A158D"/>
    <w:rsid w:val="001A2001"/>
    <w:rsid w:val="001A2C46"/>
    <w:rsid w:val="001A3320"/>
    <w:rsid w:val="001A3560"/>
    <w:rsid w:val="001A3E92"/>
    <w:rsid w:val="001A5B53"/>
    <w:rsid w:val="001A5BF5"/>
    <w:rsid w:val="001A5D8E"/>
    <w:rsid w:val="001A728B"/>
    <w:rsid w:val="001A7ED4"/>
    <w:rsid w:val="001B18A6"/>
    <w:rsid w:val="001B1AFD"/>
    <w:rsid w:val="001B2BE1"/>
    <w:rsid w:val="001B4541"/>
    <w:rsid w:val="001B4FAD"/>
    <w:rsid w:val="001B5077"/>
    <w:rsid w:val="001B54E7"/>
    <w:rsid w:val="001B6291"/>
    <w:rsid w:val="001C2E5E"/>
    <w:rsid w:val="001C4B8E"/>
    <w:rsid w:val="001C4D51"/>
    <w:rsid w:val="001C54B9"/>
    <w:rsid w:val="001C634E"/>
    <w:rsid w:val="001C71C9"/>
    <w:rsid w:val="001C797A"/>
    <w:rsid w:val="001D083D"/>
    <w:rsid w:val="001D0B03"/>
    <w:rsid w:val="001D1997"/>
    <w:rsid w:val="001D1D1E"/>
    <w:rsid w:val="001D24D8"/>
    <w:rsid w:val="001D2FAD"/>
    <w:rsid w:val="001D4C4A"/>
    <w:rsid w:val="001D6C21"/>
    <w:rsid w:val="001E1153"/>
    <w:rsid w:val="001E1F17"/>
    <w:rsid w:val="001E22A5"/>
    <w:rsid w:val="001F07FE"/>
    <w:rsid w:val="001F2467"/>
    <w:rsid w:val="001F2953"/>
    <w:rsid w:val="001F37C4"/>
    <w:rsid w:val="001F56C7"/>
    <w:rsid w:val="001F6342"/>
    <w:rsid w:val="001F65D7"/>
    <w:rsid w:val="001F7E62"/>
    <w:rsid w:val="002009EC"/>
    <w:rsid w:val="002020EF"/>
    <w:rsid w:val="002021A7"/>
    <w:rsid w:val="00202250"/>
    <w:rsid w:val="002026FF"/>
    <w:rsid w:val="00202F67"/>
    <w:rsid w:val="00205673"/>
    <w:rsid w:val="002056FC"/>
    <w:rsid w:val="00205BE3"/>
    <w:rsid w:val="00212051"/>
    <w:rsid w:val="002125BF"/>
    <w:rsid w:val="0021267F"/>
    <w:rsid w:val="00212BCA"/>
    <w:rsid w:val="0021351B"/>
    <w:rsid w:val="00213977"/>
    <w:rsid w:val="00215426"/>
    <w:rsid w:val="00215434"/>
    <w:rsid w:val="00217DB3"/>
    <w:rsid w:val="00217ED0"/>
    <w:rsid w:val="00220DC5"/>
    <w:rsid w:val="002214FF"/>
    <w:rsid w:val="00221B33"/>
    <w:rsid w:val="00223D50"/>
    <w:rsid w:val="002246BF"/>
    <w:rsid w:val="00224E6D"/>
    <w:rsid w:val="00225865"/>
    <w:rsid w:val="00225CD1"/>
    <w:rsid w:val="00226DBA"/>
    <w:rsid w:val="00232621"/>
    <w:rsid w:val="002330BB"/>
    <w:rsid w:val="002349AC"/>
    <w:rsid w:val="00235796"/>
    <w:rsid w:val="00236A5F"/>
    <w:rsid w:val="00237009"/>
    <w:rsid w:val="002376B3"/>
    <w:rsid w:val="00240D4C"/>
    <w:rsid w:val="00241335"/>
    <w:rsid w:val="00241612"/>
    <w:rsid w:val="00245246"/>
    <w:rsid w:val="0024541D"/>
    <w:rsid w:val="00245B4A"/>
    <w:rsid w:val="002463A3"/>
    <w:rsid w:val="00247477"/>
    <w:rsid w:val="0025087F"/>
    <w:rsid w:val="00250A4F"/>
    <w:rsid w:val="00251860"/>
    <w:rsid w:val="00251C22"/>
    <w:rsid w:val="00251D29"/>
    <w:rsid w:val="00253DBB"/>
    <w:rsid w:val="00253FB9"/>
    <w:rsid w:val="0025462E"/>
    <w:rsid w:val="00254671"/>
    <w:rsid w:val="00254C0F"/>
    <w:rsid w:val="002550DF"/>
    <w:rsid w:val="002552CB"/>
    <w:rsid w:val="00256CE7"/>
    <w:rsid w:val="0026104F"/>
    <w:rsid w:val="002627F4"/>
    <w:rsid w:val="00263479"/>
    <w:rsid w:val="00263902"/>
    <w:rsid w:val="002642F6"/>
    <w:rsid w:val="002644DA"/>
    <w:rsid w:val="00264CE3"/>
    <w:rsid w:val="00264E0A"/>
    <w:rsid w:val="0026571B"/>
    <w:rsid w:val="00265E3D"/>
    <w:rsid w:val="00266799"/>
    <w:rsid w:val="0026714D"/>
    <w:rsid w:val="00267198"/>
    <w:rsid w:val="00270BD0"/>
    <w:rsid w:val="00270D38"/>
    <w:rsid w:val="0027208E"/>
    <w:rsid w:val="0027331C"/>
    <w:rsid w:val="0027449D"/>
    <w:rsid w:val="00274699"/>
    <w:rsid w:val="00274F0D"/>
    <w:rsid w:val="0028018C"/>
    <w:rsid w:val="002803F7"/>
    <w:rsid w:val="00283202"/>
    <w:rsid w:val="00283552"/>
    <w:rsid w:val="002840C3"/>
    <w:rsid w:val="00284369"/>
    <w:rsid w:val="002846D1"/>
    <w:rsid w:val="0028799D"/>
    <w:rsid w:val="00287B75"/>
    <w:rsid w:val="00290C74"/>
    <w:rsid w:val="00290FAA"/>
    <w:rsid w:val="00293F5B"/>
    <w:rsid w:val="00294301"/>
    <w:rsid w:val="002946EC"/>
    <w:rsid w:val="002950D6"/>
    <w:rsid w:val="0029529E"/>
    <w:rsid w:val="00295DCD"/>
    <w:rsid w:val="002978B9"/>
    <w:rsid w:val="00297916"/>
    <w:rsid w:val="002A1933"/>
    <w:rsid w:val="002A2EFD"/>
    <w:rsid w:val="002A39A3"/>
    <w:rsid w:val="002A4740"/>
    <w:rsid w:val="002A5D85"/>
    <w:rsid w:val="002A774A"/>
    <w:rsid w:val="002B0449"/>
    <w:rsid w:val="002B0463"/>
    <w:rsid w:val="002B070C"/>
    <w:rsid w:val="002B246B"/>
    <w:rsid w:val="002B258E"/>
    <w:rsid w:val="002B3E37"/>
    <w:rsid w:val="002B3F8C"/>
    <w:rsid w:val="002B4C0E"/>
    <w:rsid w:val="002B4D2F"/>
    <w:rsid w:val="002B5171"/>
    <w:rsid w:val="002B58EC"/>
    <w:rsid w:val="002B5FD1"/>
    <w:rsid w:val="002B68D4"/>
    <w:rsid w:val="002B75F2"/>
    <w:rsid w:val="002C0710"/>
    <w:rsid w:val="002C2B2E"/>
    <w:rsid w:val="002C3097"/>
    <w:rsid w:val="002C5822"/>
    <w:rsid w:val="002C63C9"/>
    <w:rsid w:val="002C6AB4"/>
    <w:rsid w:val="002C6DAB"/>
    <w:rsid w:val="002D0B16"/>
    <w:rsid w:val="002D0DC4"/>
    <w:rsid w:val="002D11EA"/>
    <w:rsid w:val="002D1F8B"/>
    <w:rsid w:val="002D4342"/>
    <w:rsid w:val="002D534E"/>
    <w:rsid w:val="002D53B4"/>
    <w:rsid w:val="002D53E4"/>
    <w:rsid w:val="002D553A"/>
    <w:rsid w:val="002E0549"/>
    <w:rsid w:val="002E10E4"/>
    <w:rsid w:val="002E39AF"/>
    <w:rsid w:val="002E49AC"/>
    <w:rsid w:val="002E53F9"/>
    <w:rsid w:val="002E5BE6"/>
    <w:rsid w:val="002E7B9F"/>
    <w:rsid w:val="002F0AAC"/>
    <w:rsid w:val="002F207D"/>
    <w:rsid w:val="002F38F8"/>
    <w:rsid w:val="002F46BA"/>
    <w:rsid w:val="002F6CD1"/>
    <w:rsid w:val="002F7487"/>
    <w:rsid w:val="002F771F"/>
    <w:rsid w:val="00302C06"/>
    <w:rsid w:val="00304633"/>
    <w:rsid w:val="00304714"/>
    <w:rsid w:val="003070EF"/>
    <w:rsid w:val="003105BD"/>
    <w:rsid w:val="0031377C"/>
    <w:rsid w:val="00316126"/>
    <w:rsid w:val="00317B96"/>
    <w:rsid w:val="00321B3D"/>
    <w:rsid w:val="00322AC5"/>
    <w:rsid w:val="00323478"/>
    <w:rsid w:val="003244D4"/>
    <w:rsid w:val="003245C1"/>
    <w:rsid w:val="00325CA3"/>
    <w:rsid w:val="00326E24"/>
    <w:rsid w:val="00327166"/>
    <w:rsid w:val="0033116B"/>
    <w:rsid w:val="00331A4D"/>
    <w:rsid w:val="00332CF5"/>
    <w:rsid w:val="0033359F"/>
    <w:rsid w:val="003339E1"/>
    <w:rsid w:val="00333C4B"/>
    <w:rsid w:val="00336BC6"/>
    <w:rsid w:val="003407D1"/>
    <w:rsid w:val="00340B29"/>
    <w:rsid w:val="00341DA2"/>
    <w:rsid w:val="003455CF"/>
    <w:rsid w:val="003464D7"/>
    <w:rsid w:val="003469A9"/>
    <w:rsid w:val="00347BC6"/>
    <w:rsid w:val="00350153"/>
    <w:rsid w:val="00350C38"/>
    <w:rsid w:val="00351124"/>
    <w:rsid w:val="00351DB0"/>
    <w:rsid w:val="00353399"/>
    <w:rsid w:val="00357495"/>
    <w:rsid w:val="003578C4"/>
    <w:rsid w:val="00360141"/>
    <w:rsid w:val="003606BC"/>
    <w:rsid w:val="00360E8F"/>
    <w:rsid w:val="0036178E"/>
    <w:rsid w:val="00361BE5"/>
    <w:rsid w:val="00362599"/>
    <w:rsid w:val="00363733"/>
    <w:rsid w:val="00364072"/>
    <w:rsid w:val="00364DE9"/>
    <w:rsid w:val="00365165"/>
    <w:rsid w:val="00366928"/>
    <w:rsid w:val="00371647"/>
    <w:rsid w:val="003720E3"/>
    <w:rsid w:val="003727FC"/>
    <w:rsid w:val="00372F95"/>
    <w:rsid w:val="00373467"/>
    <w:rsid w:val="003748C8"/>
    <w:rsid w:val="003748E6"/>
    <w:rsid w:val="00374F0E"/>
    <w:rsid w:val="00375262"/>
    <w:rsid w:val="00377F3F"/>
    <w:rsid w:val="00381328"/>
    <w:rsid w:val="00381786"/>
    <w:rsid w:val="00382EEF"/>
    <w:rsid w:val="00384A5F"/>
    <w:rsid w:val="003851B3"/>
    <w:rsid w:val="00385444"/>
    <w:rsid w:val="003874AC"/>
    <w:rsid w:val="003901AA"/>
    <w:rsid w:val="003909C4"/>
    <w:rsid w:val="00390C99"/>
    <w:rsid w:val="0039278F"/>
    <w:rsid w:val="00393395"/>
    <w:rsid w:val="00393F7D"/>
    <w:rsid w:val="00393F8E"/>
    <w:rsid w:val="003945A2"/>
    <w:rsid w:val="00395461"/>
    <w:rsid w:val="00395DCF"/>
    <w:rsid w:val="003A111B"/>
    <w:rsid w:val="003A11B8"/>
    <w:rsid w:val="003A2D38"/>
    <w:rsid w:val="003A4942"/>
    <w:rsid w:val="003A4CEC"/>
    <w:rsid w:val="003A51F6"/>
    <w:rsid w:val="003A564C"/>
    <w:rsid w:val="003A72E2"/>
    <w:rsid w:val="003B0189"/>
    <w:rsid w:val="003B01A4"/>
    <w:rsid w:val="003B11CE"/>
    <w:rsid w:val="003B166B"/>
    <w:rsid w:val="003B2190"/>
    <w:rsid w:val="003B330F"/>
    <w:rsid w:val="003B34A5"/>
    <w:rsid w:val="003B5571"/>
    <w:rsid w:val="003B5B6A"/>
    <w:rsid w:val="003B67E5"/>
    <w:rsid w:val="003B748B"/>
    <w:rsid w:val="003B752E"/>
    <w:rsid w:val="003B75A5"/>
    <w:rsid w:val="003C0526"/>
    <w:rsid w:val="003C07D1"/>
    <w:rsid w:val="003C0C7C"/>
    <w:rsid w:val="003C185C"/>
    <w:rsid w:val="003C3DE8"/>
    <w:rsid w:val="003C3FCC"/>
    <w:rsid w:val="003C4396"/>
    <w:rsid w:val="003C4743"/>
    <w:rsid w:val="003C5C83"/>
    <w:rsid w:val="003C62EB"/>
    <w:rsid w:val="003D059F"/>
    <w:rsid w:val="003D06F8"/>
    <w:rsid w:val="003D0F11"/>
    <w:rsid w:val="003D768C"/>
    <w:rsid w:val="003E1E24"/>
    <w:rsid w:val="003E395F"/>
    <w:rsid w:val="003E3A93"/>
    <w:rsid w:val="003E4D43"/>
    <w:rsid w:val="003F2662"/>
    <w:rsid w:val="003F7B71"/>
    <w:rsid w:val="00401D72"/>
    <w:rsid w:val="00403304"/>
    <w:rsid w:val="00407594"/>
    <w:rsid w:val="004077A8"/>
    <w:rsid w:val="004078AC"/>
    <w:rsid w:val="00407A0E"/>
    <w:rsid w:val="00411A60"/>
    <w:rsid w:val="004120C0"/>
    <w:rsid w:val="00413D7E"/>
    <w:rsid w:val="0041532B"/>
    <w:rsid w:val="00415424"/>
    <w:rsid w:val="004155D6"/>
    <w:rsid w:val="004158F4"/>
    <w:rsid w:val="004168BA"/>
    <w:rsid w:val="00417173"/>
    <w:rsid w:val="0041786D"/>
    <w:rsid w:val="0042072A"/>
    <w:rsid w:val="0042095D"/>
    <w:rsid w:val="00420982"/>
    <w:rsid w:val="004225D1"/>
    <w:rsid w:val="00423361"/>
    <w:rsid w:val="00424E70"/>
    <w:rsid w:val="00425B70"/>
    <w:rsid w:val="00425E89"/>
    <w:rsid w:val="004272A0"/>
    <w:rsid w:val="00427335"/>
    <w:rsid w:val="004304EC"/>
    <w:rsid w:val="00432314"/>
    <w:rsid w:val="0043510F"/>
    <w:rsid w:val="00436B26"/>
    <w:rsid w:val="00437238"/>
    <w:rsid w:val="004376C3"/>
    <w:rsid w:val="004404D5"/>
    <w:rsid w:val="004409C4"/>
    <w:rsid w:val="00440AC3"/>
    <w:rsid w:val="00440CD3"/>
    <w:rsid w:val="00443034"/>
    <w:rsid w:val="00443B4B"/>
    <w:rsid w:val="00443EF7"/>
    <w:rsid w:val="00445271"/>
    <w:rsid w:val="0044730D"/>
    <w:rsid w:val="004508AF"/>
    <w:rsid w:val="00450DA3"/>
    <w:rsid w:val="004511C2"/>
    <w:rsid w:val="00451FDC"/>
    <w:rsid w:val="004527DF"/>
    <w:rsid w:val="00453113"/>
    <w:rsid w:val="0045344B"/>
    <w:rsid w:val="00456225"/>
    <w:rsid w:val="004567D9"/>
    <w:rsid w:val="00457FC1"/>
    <w:rsid w:val="00460ACC"/>
    <w:rsid w:val="004628CF"/>
    <w:rsid w:val="00462C61"/>
    <w:rsid w:val="00462DE1"/>
    <w:rsid w:val="00464147"/>
    <w:rsid w:val="004645F4"/>
    <w:rsid w:val="0046658A"/>
    <w:rsid w:val="004676ED"/>
    <w:rsid w:val="004772D0"/>
    <w:rsid w:val="00477523"/>
    <w:rsid w:val="00481D46"/>
    <w:rsid w:val="00484811"/>
    <w:rsid w:val="00484CD7"/>
    <w:rsid w:val="004861B4"/>
    <w:rsid w:val="00487B59"/>
    <w:rsid w:val="00491F2E"/>
    <w:rsid w:val="00492608"/>
    <w:rsid w:val="00494084"/>
    <w:rsid w:val="00494834"/>
    <w:rsid w:val="004950AA"/>
    <w:rsid w:val="00496C01"/>
    <w:rsid w:val="004A37D9"/>
    <w:rsid w:val="004A4092"/>
    <w:rsid w:val="004A41F4"/>
    <w:rsid w:val="004A4EB2"/>
    <w:rsid w:val="004A54C0"/>
    <w:rsid w:val="004B2132"/>
    <w:rsid w:val="004B4490"/>
    <w:rsid w:val="004B50B2"/>
    <w:rsid w:val="004B5154"/>
    <w:rsid w:val="004B5BB5"/>
    <w:rsid w:val="004B7E6C"/>
    <w:rsid w:val="004B7EC2"/>
    <w:rsid w:val="004B7FC8"/>
    <w:rsid w:val="004C1520"/>
    <w:rsid w:val="004C22FD"/>
    <w:rsid w:val="004C4ED8"/>
    <w:rsid w:val="004C5082"/>
    <w:rsid w:val="004C6474"/>
    <w:rsid w:val="004C70C9"/>
    <w:rsid w:val="004C71F7"/>
    <w:rsid w:val="004C7C8A"/>
    <w:rsid w:val="004D101D"/>
    <w:rsid w:val="004D1FB8"/>
    <w:rsid w:val="004D236C"/>
    <w:rsid w:val="004D26D5"/>
    <w:rsid w:val="004D378B"/>
    <w:rsid w:val="004D6DD0"/>
    <w:rsid w:val="004E0A8B"/>
    <w:rsid w:val="004E15CD"/>
    <w:rsid w:val="004E1FBF"/>
    <w:rsid w:val="004E32A4"/>
    <w:rsid w:val="004E350F"/>
    <w:rsid w:val="004E5D54"/>
    <w:rsid w:val="004E5EB1"/>
    <w:rsid w:val="004E6C04"/>
    <w:rsid w:val="004E7060"/>
    <w:rsid w:val="004F004F"/>
    <w:rsid w:val="004F05E2"/>
    <w:rsid w:val="004F1824"/>
    <w:rsid w:val="004F1D8D"/>
    <w:rsid w:val="004F2450"/>
    <w:rsid w:val="004F3C21"/>
    <w:rsid w:val="004F432D"/>
    <w:rsid w:val="004F5102"/>
    <w:rsid w:val="004F5EFA"/>
    <w:rsid w:val="004F6180"/>
    <w:rsid w:val="004F6E5F"/>
    <w:rsid w:val="004F6EBB"/>
    <w:rsid w:val="004F768E"/>
    <w:rsid w:val="0050198D"/>
    <w:rsid w:val="00502F3F"/>
    <w:rsid w:val="00505125"/>
    <w:rsid w:val="00505440"/>
    <w:rsid w:val="0050592E"/>
    <w:rsid w:val="0050769F"/>
    <w:rsid w:val="005078EF"/>
    <w:rsid w:val="00510F8F"/>
    <w:rsid w:val="00511122"/>
    <w:rsid w:val="00512653"/>
    <w:rsid w:val="00512AF1"/>
    <w:rsid w:val="0051310F"/>
    <w:rsid w:val="0051350C"/>
    <w:rsid w:val="00514876"/>
    <w:rsid w:val="00515F2D"/>
    <w:rsid w:val="00517897"/>
    <w:rsid w:val="00520D5E"/>
    <w:rsid w:val="0052250D"/>
    <w:rsid w:val="00522BBC"/>
    <w:rsid w:val="0052367D"/>
    <w:rsid w:val="005243E7"/>
    <w:rsid w:val="00524472"/>
    <w:rsid w:val="0052461E"/>
    <w:rsid w:val="00525F31"/>
    <w:rsid w:val="005268DB"/>
    <w:rsid w:val="00527261"/>
    <w:rsid w:val="005315C9"/>
    <w:rsid w:val="00532E9B"/>
    <w:rsid w:val="00533C7B"/>
    <w:rsid w:val="0054176B"/>
    <w:rsid w:val="00543D73"/>
    <w:rsid w:val="0054420E"/>
    <w:rsid w:val="00545203"/>
    <w:rsid w:val="00546B4F"/>
    <w:rsid w:val="00546F04"/>
    <w:rsid w:val="00547D1F"/>
    <w:rsid w:val="005529CC"/>
    <w:rsid w:val="00552E0F"/>
    <w:rsid w:val="00555263"/>
    <w:rsid w:val="00555F1A"/>
    <w:rsid w:val="005560E0"/>
    <w:rsid w:val="00556F24"/>
    <w:rsid w:val="00560746"/>
    <w:rsid w:val="00560E93"/>
    <w:rsid w:val="0056112F"/>
    <w:rsid w:val="005617DF"/>
    <w:rsid w:val="00561CBE"/>
    <w:rsid w:val="00562072"/>
    <w:rsid w:val="00563C23"/>
    <w:rsid w:val="00564445"/>
    <w:rsid w:val="00564E5F"/>
    <w:rsid w:val="00566FBA"/>
    <w:rsid w:val="0056754C"/>
    <w:rsid w:val="00567A20"/>
    <w:rsid w:val="005706C1"/>
    <w:rsid w:val="00570AA4"/>
    <w:rsid w:val="00572C6E"/>
    <w:rsid w:val="0057361D"/>
    <w:rsid w:val="00574A0E"/>
    <w:rsid w:val="0057565A"/>
    <w:rsid w:val="00575AB2"/>
    <w:rsid w:val="00575ADA"/>
    <w:rsid w:val="0057731C"/>
    <w:rsid w:val="00577A88"/>
    <w:rsid w:val="005800FB"/>
    <w:rsid w:val="00580D74"/>
    <w:rsid w:val="00580E4D"/>
    <w:rsid w:val="00582714"/>
    <w:rsid w:val="0058368D"/>
    <w:rsid w:val="00584756"/>
    <w:rsid w:val="005849BB"/>
    <w:rsid w:val="005852CE"/>
    <w:rsid w:val="00590470"/>
    <w:rsid w:val="005906BA"/>
    <w:rsid w:val="00591268"/>
    <w:rsid w:val="005926DC"/>
    <w:rsid w:val="00596F98"/>
    <w:rsid w:val="005A0BD1"/>
    <w:rsid w:val="005A1AF6"/>
    <w:rsid w:val="005A4801"/>
    <w:rsid w:val="005A525D"/>
    <w:rsid w:val="005A6969"/>
    <w:rsid w:val="005A6C81"/>
    <w:rsid w:val="005A77E9"/>
    <w:rsid w:val="005A7918"/>
    <w:rsid w:val="005B0385"/>
    <w:rsid w:val="005B1CCC"/>
    <w:rsid w:val="005B2501"/>
    <w:rsid w:val="005B3325"/>
    <w:rsid w:val="005B5BA1"/>
    <w:rsid w:val="005B70B3"/>
    <w:rsid w:val="005B7730"/>
    <w:rsid w:val="005C0338"/>
    <w:rsid w:val="005C1985"/>
    <w:rsid w:val="005C2A9A"/>
    <w:rsid w:val="005C2EF6"/>
    <w:rsid w:val="005C4D83"/>
    <w:rsid w:val="005C7472"/>
    <w:rsid w:val="005C7637"/>
    <w:rsid w:val="005C7CD8"/>
    <w:rsid w:val="005D1600"/>
    <w:rsid w:val="005D250A"/>
    <w:rsid w:val="005D4375"/>
    <w:rsid w:val="005D6DD6"/>
    <w:rsid w:val="005D7D14"/>
    <w:rsid w:val="005E105C"/>
    <w:rsid w:val="005E1AB8"/>
    <w:rsid w:val="005E3972"/>
    <w:rsid w:val="005E43CE"/>
    <w:rsid w:val="005E52CE"/>
    <w:rsid w:val="005E6930"/>
    <w:rsid w:val="005E7DBF"/>
    <w:rsid w:val="005F1C46"/>
    <w:rsid w:val="005F4903"/>
    <w:rsid w:val="005F5483"/>
    <w:rsid w:val="005F7E1C"/>
    <w:rsid w:val="00601AAE"/>
    <w:rsid w:val="00603847"/>
    <w:rsid w:val="0060626F"/>
    <w:rsid w:val="006063AF"/>
    <w:rsid w:val="00606F94"/>
    <w:rsid w:val="00610687"/>
    <w:rsid w:val="006116E5"/>
    <w:rsid w:val="0061312B"/>
    <w:rsid w:val="00613600"/>
    <w:rsid w:val="006138A2"/>
    <w:rsid w:val="00613C83"/>
    <w:rsid w:val="00616063"/>
    <w:rsid w:val="00616D38"/>
    <w:rsid w:val="00617907"/>
    <w:rsid w:val="00622A51"/>
    <w:rsid w:val="00622BD5"/>
    <w:rsid w:val="006234FB"/>
    <w:rsid w:val="006245EA"/>
    <w:rsid w:val="006261B2"/>
    <w:rsid w:val="00627020"/>
    <w:rsid w:val="00627BAC"/>
    <w:rsid w:val="00630EAE"/>
    <w:rsid w:val="00633597"/>
    <w:rsid w:val="006359C2"/>
    <w:rsid w:val="00636906"/>
    <w:rsid w:val="00637644"/>
    <w:rsid w:val="0064004E"/>
    <w:rsid w:val="006410D4"/>
    <w:rsid w:val="006412AE"/>
    <w:rsid w:val="0064141B"/>
    <w:rsid w:val="006415F1"/>
    <w:rsid w:val="00642BEA"/>
    <w:rsid w:val="006446B6"/>
    <w:rsid w:val="00645764"/>
    <w:rsid w:val="006470CD"/>
    <w:rsid w:val="0064732A"/>
    <w:rsid w:val="00647F4B"/>
    <w:rsid w:val="00651534"/>
    <w:rsid w:val="00651788"/>
    <w:rsid w:val="00651D2F"/>
    <w:rsid w:val="0065445E"/>
    <w:rsid w:val="0065449A"/>
    <w:rsid w:val="00654A27"/>
    <w:rsid w:val="006554D7"/>
    <w:rsid w:val="00655C59"/>
    <w:rsid w:val="00655D42"/>
    <w:rsid w:val="006560A9"/>
    <w:rsid w:val="0066148F"/>
    <w:rsid w:val="00662937"/>
    <w:rsid w:val="00662940"/>
    <w:rsid w:val="00662B09"/>
    <w:rsid w:val="006637FB"/>
    <w:rsid w:val="00663F9F"/>
    <w:rsid w:val="00664B8D"/>
    <w:rsid w:val="006650B7"/>
    <w:rsid w:val="006650DC"/>
    <w:rsid w:val="00667995"/>
    <w:rsid w:val="00670187"/>
    <w:rsid w:val="00670566"/>
    <w:rsid w:val="00671A71"/>
    <w:rsid w:val="00672D0A"/>
    <w:rsid w:val="00674843"/>
    <w:rsid w:val="00675743"/>
    <w:rsid w:val="006759CA"/>
    <w:rsid w:val="00676461"/>
    <w:rsid w:val="00676D3F"/>
    <w:rsid w:val="00681309"/>
    <w:rsid w:val="006816AB"/>
    <w:rsid w:val="00681A31"/>
    <w:rsid w:val="00685AA5"/>
    <w:rsid w:val="00686D94"/>
    <w:rsid w:val="0068763B"/>
    <w:rsid w:val="00687E87"/>
    <w:rsid w:val="00687FC1"/>
    <w:rsid w:val="006920EC"/>
    <w:rsid w:val="00693364"/>
    <w:rsid w:val="0069394C"/>
    <w:rsid w:val="006954C0"/>
    <w:rsid w:val="00695754"/>
    <w:rsid w:val="0069694C"/>
    <w:rsid w:val="0069736B"/>
    <w:rsid w:val="006A043A"/>
    <w:rsid w:val="006A1B31"/>
    <w:rsid w:val="006A2360"/>
    <w:rsid w:val="006A457C"/>
    <w:rsid w:val="006A75BF"/>
    <w:rsid w:val="006A792A"/>
    <w:rsid w:val="006B1D92"/>
    <w:rsid w:val="006B2775"/>
    <w:rsid w:val="006B2E9C"/>
    <w:rsid w:val="006B518D"/>
    <w:rsid w:val="006B7087"/>
    <w:rsid w:val="006B7907"/>
    <w:rsid w:val="006C03CA"/>
    <w:rsid w:val="006C0490"/>
    <w:rsid w:val="006C1C9C"/>
    <w:rsid w:val="006C2CA0"/>
    <w:rsid w:val="006C2E1F"/>
    <w:rsid w:val="006C31C1"/>
    <w:rsid w:val="006C4271"/>
    <w:rsid w:val="006C5E7C"/>
    <w:rsid w:val="006D236F"/>
    <w:rsid w:val="006D4311"/>
    <w:rsid w:val="006D56A2"/>
    <w:rsid w:val="006D632C"/>
    <w:rsid w:val="006D7F11"/>
    <w:rsid w:val="006E0F70"/>
    <w:rsid w:val="006E1DCB"/>
    <w:rsid w:val="006E3DF3"/>
    <w:rsid w:val="006E3E3D"/>
    <w:rsid w:val="006E3E3E"/>
    <w:rsid w:val="006E4CA3"/>
    <w:rsid w:val="006E57B2"/>
    <w:rsid w:val="006E6711"/>
    <w:rsid w:val="006E755D"/>
    <w:rsid w:val="006E766F"/>
    <w:rsid w:val="006F130A"/>
    <w:rsid w:val="006F16A7"/>
    <w:rsid w:val="006F179D"/>
    <w:rsid w:val="006F1B5E"/>
    <w:rsid w:val="006F215F"/>
    <w:rsid w:val="006F2515"/>
    <w:rsid w:val="006F3104"/>
    <w:rsid w:val="006F7163"/>
    <w:rsid w:val="006F77A1"/>
    <w:rsid w:val="006F7F3B"/>
    <w:rsid w:val="00700BFB"/>
    <w:rsid w:val="00701F43"/>
    <w:rsid w:val="007036BC"/>
    <w:rsid w:val="00703730"/>
    <w:rsid w:val="007057C5"/>
    <w:rsid w:val="007057DF"/>
    <w:rsid w:val="00705F8E"/>
    <w:rsid w:val="007065AB"/>
    <w:rsid w:val="00706E86"/>
    <w:rsid w:val="0070710D"/>
    <w:rsid w:val="0071165D"/>
    <w:rsid w:val="007117B6"/>
    <w:rsid w:val="00711BD9"/>
    <w:rsid w:val="00711F19"/>
    <w:rsid w:val="00712D5B"/>
    <w:rsid w:val="00712E3A"/>
    <w:rsid w:val="007144E3"/>
    <w:rsid w:val="00714D72"/>
    <w:rsid w:val="0072239C"/>
    <w:rsid w:val="00722C4E"/>
    <w:rsid w:val="007246C3"/>
    <w:rsid w:val="007257EE"/>
    <w:rsid w:val="0072582D"/>
    <w:rsid w:val="007258CF"/>
    <w:rsid w:val="00726199"/>
    <w:rsid w:val="00726520"/>
    <w:rsid w:val="0072708B"/>
    <w:rsid w:val="007301B9"/>
    <w:rsid w:val="00731226"/>
    <w:rsid w:val="007314EC"/>
    <w:rsid w:val="00731E96"/>
    <w:rsid w:val="00731F99"/>
    <w:rsid w:val="007320DC"/>
    <w:rsid w:val="0073303E"/>
    <w:rsid w:val="007347C0"/>
    <w:rsid w:val="00735E81"/>
    <w:rsid w:val="007369FF"/>
    <w:rsid w:val="00736C96"/>
    <w:rsid w:val="00737BD0"/>
    <w:rsid w:val="00740225"/>
    <w:rsid w:val="00741079"/>
    <w:rsid w:val="00741DAC"/>
    <w:rsid w:val="007430E4"/>
    <w:rsid w:val="00744BBC"/>
    <w:rsid w:val="00746633"/>
    <w:rsid w:val="0074676B"/>
    <w:rsid w:val="007473AE"/>
    <w:rsid w:val="0074742D"/>
    <w:rsid w:val="00747D8C"/>
    <w:rsid w:val="0075017C"/>
    <w:rsid w:val="00750C91"/>
    <w:rsid w:val="00751CE2"/>
    <w:rsid w:val="00751D96"/>
    <w:rsid w:val="00753778"/>
    <w:rsid w:val="00754C20"/>
    <w:rsid w:val="00756648"/>
    <w:rsid w:val="0075683C"/>
    <w:rsid w:val="00756C2F"/>
    <w:rsid w:val="0075793D"/>
    <w:rsid w:val="007618B7"/>
    <w:rsid w:val="00762A01"/>
    <w:rsid w:val="007646FA"/>
    <w:rsid w:val="00765CEC"/>
    <w:rsid w:val="00765D11"/>
    <w:rsid w:val="00766295"/>
    <w:rsid w:val="00766598"/>
    <w:rsid w:val="00773F45"/>
    <w:rsid w:val="00774A7C"/>
    <w:rsid w:val="00774B11"/>
    <w:rsid w:val="00776C92"/>
    <w:rsid w:val="007776EB"/>
    <w:rsid w:val="00777F22"/>
    <w:rsid w:val="007804FD"/>
    <w:rsid w:val="00780AF1"/>
    <w:rsid w:val="007815B9"/>
    <w:rsid w:val="007825A3"/>
    <w:rsid w:val="00782AC1"/>
    <w:rsid w:val="00782D06"/>
    <w:rsid w:val="00782F98"/>
    <w:rsid w:val="007830F2"/>
    <w:rsid w:val="00783804"/>
    <w:rsid w:val="007851C3"/>
    <w:rsid w:val="0078565F"/>
    <w:rsid w:val="00787740"/>
    <w:rsid w:val="007902B6"/>
    <w:rsid w:val="007908E9"/>
    <w:rsid w:val="0079168E"/>
    <w:rsid w:val="00793917"/>
    <w:rsid w:val="00794E8C"/>
    <w:rsid w:val="00795BB8"/>
    <w:rsid w:val="0079693A"/>
    <w:rsid w:val="00796CB0"/>
    <w:rsid w:val="00796D36"/>
    <w:rsid w:val="007A2638"/>
    <w:rsid w:val="007A27B1"/>
    <w:rsid w:val="007A2BE9"/>
    <w:rsid w:val="007A3F97"/>
    <w:rsid w:val="007A401C"/>
    <w:rsid w:val="007A4C93"/>
    <w:rsid w:val="007A4DC9"/>
    <w:rsid w:val="007A4FBE"/>
    <w:rsid w:val="007A54EE"/>
    <w:rsid w:val="007A5BC8"/>
    <w:rsid w:val="007A668A"/>
    <w:rsid w:val="007B0F93"/>
    <w:rsid w:val="007B1673"/>
    <w:rsid w:val="007B1922"/>
    <w:rsid w:val="007B1AD2"/>
    <w:rsid w:val="007B1C48"/>
    <w:rsid w:val="007B1C62"/>
    <w:rsid w:val="007B2745"/>
    <w:rsid w:val="007B2913"/>
    <w:rsid w:val="007B2973"/>
    <w:rsid w:val="007B37E0"/>
    <w:rsid w:val="007B4526"/>
    <w:rsid w:val="007B48DC"/>
    <w:rsid w:val="007B58A1"/>
    <w:rsid w:val="007B6A02"/>
    <w:rsid w:val="007B6C1F"/>
    <w:rsid w:val="007C1232"/>
    <w:rsid w:val="007C5745"/>
    <w:rsid w:val="007C5CFB"/>
    <w:rsid w:val="007C6448"/>
    <w:rsid w:val="007C72B5"/>
    <w:rsid w:val="007D0270"/>
    <w:rsid w:val="007D20FF"/>
    <w:rsid w:val="007D26D7"/>
    <w:rsid w:val="007D4099"/>
    <w:rsid w:val="007D428C"/>
    <w:rsid w:val="007D5E6B"/>
    <w:rsid w:val="007D6B9A"/>
    <w:rsid w:val="007D6C8C"/>
    <w:rsid w:val="007D73DD"/>
    <w:rsid w:val="007D7AAB"/>
    <w:rsid w:val="007E0316"/>
    <w:rsid w:val="007E1220"/>
    <w:rsid w:val="007E3D6A"/>
    <w:rsid w:val="007E44BA"/>
    <w:rsid w:val="007E5F81"/>
    <w:rsid w:val="007E6B98"/>
    <w:rsid w:val="007F0055"/>
    <w:rsid w:val="007F0063"/>
    <w:rsid w:val="007F0E57"/>
    <w:rsid w:val="007F1E7B"/>
    <w:rsid w:val="007F355C"/>
    <w:rsid w:val="007F35E5"/>
    <w:rsid w:val="007F38F5"/>
    <w:rsid w:val="007F3CED"/>
    <w:rsid w:val="007F49AB"/>
    <w:rsid w:val="007F51D6"/>
    <w:rsid w:val="007F52C0"/>
    <w:rsid w:val="007F58D6"/>
    <w:rsid w:val="007F6471"/>
    <w:rsid w:val="007F67E4"/>
    <w:rsid w:val="007F7C2A"/>
    <w:rsid w:val="008000C2"/>
    <w:rsid w:val="00800277"/>
    <w:rsid w:val="00800754"/>
    <w:rsid w:val="00800A3D"/>
    <w:rsid w:val="00800B32"/>
    <w:rsid w:val="00800C75"/>
    <w:rsid w:val="00802EB9"/>
    <w:rsid w:val="00802EF3"/>
    <w:rsid w:val="00805B51"/>
    <w:rsid w:val="00805F4E"/>
    <w:rsid w:val="00807548"/>
    <w:rsid w:val="008078B5"/>
    <w:rsid w:val="00810AA3"/>
    <w:rsid w:val="008111E8"/>
    <w:rsid w:val="00811931"/>
    <w:rsid w:val="00812613"/>
    <w:rsid w:val="00814A07"/>
    <w:rsid w:val="0081515A"/>
    <w:rsid w:val="008166F2"/>
    <w:rsid w:val="008219B1"/>
    <w:rsid w:val="00823EFF"/>
    <w:rsid w:val="00824432"/>
    <w:rsid w:val="008245BA"/>
    <w:rsid w:val="008262B9"/>
    <w:rsid w:val="00830547"/>
    <w:rsid w:val="00832D4E"/>
    <w:rsid w:val="0083480D"/>
    <w:rsid w:val="00834EC2"/>
    <w:rsid w:val="00836195"/>
    <w:rsid w:val="008407DA"/>
    <w:rsid w:val="00840938"/>
    <w:rsid w:val="00840DFA"/>
    <w:rsid w:val="00841BAB"/>
    <w:rsid w:val="00844C0D"/>
    <w:rsid w:val="00845BEC"/>
    <w:rsid w:val="008463ED"/>
    <w:rsid w:val="00846A44"/>
    <w:rsid w:val="00846B97"/>
    <w:rsid w:val="00846DCD"/>
    <w:rsid w:val="00846E3A"/>
    <w:rsid w:val="00846E52"/>
    <w:rsid w:val="008477D7"/>
    <w:rsid w:val="0085160F"/>
    <w:rsid w:val="00856CB7"/>
    <w:rsid w:val="00857A66"/>
    <w:rsid w:val="00857B6B"/>
    <w:rsid w:val="0086002D"/>
    <w:rsid w:val="008624ED"/>
    <w:rsid w:val="008625F2"/>
    <w:rsid w:val="00863E7D"/>
    <w:rsid w:val="00866B20"/>
    <w:rsid w:val="0086761C"/>
    <w:rsid w:val="008679A0"/>
    <w:rsid w:val="00871EB4"/>
    <w:rsid w:val="00873618"/>
    <w:rsid w:val="0087368E"/>
    <w:rsid w:val="00874191"/>
    <w:rsid w:val="008749D8"/>
    <w:rsid w:val="00874B94"/>
    <w:rsid w:val="00874E7F"/>
    <w:rsid w:val="008754E6"/>
    <w:rsid w:val="00876B28"/>
    <w:rsid w:val="00880FDD"/>
    <w:rsid w:val="0088109E"/>
    <w:rsid w:val="00882ECA"/>
    <w:rsid w:val="00882F12"/>
    <w:rsid w:val="00883215"/>
    <w:rsid w:val="00883B57"/>
    <w:rsid w:val="008849CD"/>
    <w:rsid w:val="00886B20"/>
    <w:rsid w:val="00886B73"/>
    <w:rsid w:val="00887A3D"/>
    <w:rsid w:val="008900A9"/>
    <w:rsid w:val="00890807"/>
    <w:rsid w:val="00893604"/>
    <w:rsid w:val="008957A7"/>
    <w:rsid w:val="00895EA3"/>
    <w:rsid w:val="00896239"/>
    <w:rsid w:val="0089775D"/>
    <w:rsid w:val="008979BF"/>
    <w:rsid w:val="00897D29"/>
    <w:rsid w:val="008A004A"/>
    <w:rsid w:val="008A0242"/>
    <w:rsid w:val="008A533B"/>
    <w:rsid w:val="008A579D"/>
    <w:rsid w:val="008A6289"/>
    <w:rsid w:val="008A7021"/>
    <w:rsid w:val="008A7BBE"/>
    <w:rsid w:val="008B029F"/>
    <w:rsid w:val="008B0BF0"/>
    <w:rsid w:val="008B347C"/>
    <w:rsid w:val="008B4208"/>
    <w:rsid w:val="008B577A"/>
    <w:rsid w:val="008B7A0D"/>
    <w:rsid w:val="008B7D69"/>
    <w:rsid w:val="008C01BD"/>
    <w:rsid w:val="008C2EBF"/>
    <w:rsid w:val="008C35BF"/>
    <w:rsid w:val="008C55FB"/>
    <w:rsid w:val="008C6195"/>
    <w:rsid w:val="008C6812"/>
    <w:rsid w:val="008C7734"/>
    <w:rsid w:val="008D0A33"/>
    <w:rsid w:val="008D11EF"/>
    <w:rsid w:val="008D1D2E"/>
    <w:rsid w:val="008D3435"/>
    <w:rsid w:val="008D4E5C"/>
    <w:rsid w:val="008D5931"/>
    <w:rsid w:val="008D7539"/>
    <w:rsid w:val="008E0618"/>
    <w:rsid w:val="008E073C"/>
    <w:rsid w:val="008E491E"/>
    <w:rsid w:val="008E527A"/>
    <w:rsid w:val="008E5F33"/>
    <w:rsid w:val="008E7728"/>
    <w:rsid w:val="008F0FC8"/>
    <w:rsid w:val="008F1BD4"/>
    <w:rsid w:val="008F25C3"/>
    <w:rsid w:val="008F2CF1"/>
    <w:rsid w:val="008F36FC"/>
    <w:rsid w:val="008F3C26"/>
    <w:rsid w:val="008F425C"/>
    <w:rsid w:val="008F557A"/>
    <w:rsid w:val="008F6DC6"/>
    <w:rsid w:val="008F740F"/>
    <w:rsid w:val="00901244"/>
    <w:rsid w:val="009045FD"/>
    <w:rsid w:val="00904918"/>
    <w:rsid w:val="00904BD0"/>
    <w:rsid w:val="009060AB"/>
    <w:rsid w:val="0090649B"/>
    <w:rsid w:val="00906EC5"/>
    <w:rsid w:val="00907434"/>
    <w:rsid w:val="009076E3"/>
    <w:rsid w:val="00910886"/>
    <w:rsid w:val="00911DD9"/>
    <w:rsid w:val="00913175"/>
    <w:rsid w:val="009131FF"/>
    <w:rsid w:val="009137F7"/>
    <w:rsid w:val="0091383B"/>
    <w:rsid w:val="00916A83"/>
    <w:rsid w:val="00920874"/>
    <w:rsid w:val="00920C7B"/>
    <w:rsid w:val="009222B2"/>
    <w:rsid w:val="0092268D"/>
    <w:rsid w:val="009226FB"/>
    <w:rsid w:val="009235BC"/>
    <w:rsid w:val="00923943"/>
    <w:rsid w:val="00923B1C"/>
    <w:rsid w:val="00923B6D"/>
    <w:rsid w:val="0092551C"/>
    <w:rsid w:val="00926F3D"/>
    <w:rsid w:val="00930634"/>
    <w:rsid w:val="00931E3C"/>
    <w:rsid w:val="00932612"/>
    <w:rsid w:val="0093341A"/>
    <w:rsid w:val="00935959"/>
    <w:rsid w:val="009360A4"/>
    <w:rsid w:val="00941F56"/>
    <w:rsid w:val="00943CD7"/>
    <w:rsid w:val="00943FD1"/>
    <w:rsid w:val="0094421B"/>
    <w:rsid w:val="009464F5"/>
    <w:rsid w:val="009465EB"/>
    <w:rsid w:val="0094663D"/>
    <w:rsid w:val="00946E44"/>
    <w:rsid w:val="009513CF"/>
    <w:rsid w:val="009546D1"/>
    <w:rsid w:val="009547BA"/>
    <w:rsid w:val="00955621"/>
    <w:rsid w:val="00956674"/>
    <w:rsid w:val="0095668A"/>
    <w:rsid w:val="009575A6"/>
    <w:rsid w:val="00957650"/>
    <w:rsid w:val="00957658"/>
    <w:rsid w:val="00961EC0"/>
    <w:rsid w:val="00962187"/>
    <w:rsid w:val="00962658"/>
    <w:rsid w:val="009629A2"/>
    <w:rsid w:val="0096318E"/>
    <w:rsid w:val="00963924"/>
    <w:rsid w:val="00964604"/>
    <w:rsid w:val="009649CB"/>
    <w:rsid w:val="00970C42"/>
    <w:rsid w:val="00971660"/>
    <w:rsid w:val="0097180B"/>
    <w:rsid w:val="00972A7A"/>
    <w:rsid w:val="00975F1C"/>
    <w:rsid w:val="00977079"/>
    <w:rsid w:val="00980698"/>
    <w:rsid w:val="00981B98"/>
    <w:rsid w:val="0098201B"/>
    <w:rsid w:val="00982F57"/>
    <w:rsid w:val="009830B4"/>
    <w:rsid w:val="00984A20"/>
    <w:rsid w:val="00984A3A"/>
    <w:rsid w:val="009862C7"/>
    <w:rsid w:val="00986847"/>
    <w:rsid w:val="009875A4"/>
    <w:rsid w:val="00990F7B"/>
    <w:rsid w:val="00990F95"/>
    <w:rsid w:val="00991EC0"/>
    <w:rsid w:val="00992154"/>
    <w:rsid w:val="00993F74"/>
    <w:rsid w:val="00994CDE"/>
    <w:rsid w:val="009951EE"/>
    <w:rsid w:val="0099579D"/>
    <w:rsid w:val="009969AD"/>
    <w:rsid w:val="00997D1D"/>
    <w:rsid w:val="00997E4E"/>
    <w:rsid w:val="009A00D4"/>
    <w:rsid w:val="009A2F4A"/>
    <w:rsid w:val="009A30B1"/>
    <w:rsid w:val="009A349F"/>
    <w:rsid w:val="009A4346"/>
    <w:rsid w:val="009A4E46"/>
    <w:rsid w:val="009A4ED4"/>
    <w:rsid w:val="009A549A"/>
    <w:rsid w:val="009A5CFE"/>
    <w:rsid w:val="009A5FDE"/>
    <w:rsid w:val="009A63D9"/>
    <w:rsid w:val="009B0A40"/>
    <w:rsid w:val="009B106D"/>
    <w:rsid w:val="009B1812"/>
    <w:rsid w:val="009B1CA4"/>
    <w:rsid w:val="009B2463"/>
    <w:rsid w:val="009B3B51"/>
    <w:rsid w:val="009B436D"/>
    <w:rsid w:val="009B5657"/>
    <w:rsid w:val="009B72CE"/>
    <w:rsid w:val="009B79AA"/>
    <w:rsid w:val="009C0580"/>
    <w:rsid w:val="009C3853"/>
    <w:rsid w:val="009C3D94"/>
    <w:rsid w:val="009C6C09"/>
    <w:rsid w:val="009D0CE5"/>
    <w:rsid w:val="009D0D39"/>
    <w:rsid w:val="009D1098"/>
    <w:rsid w:val="009D3AE8"/>
    <w:rsid w:val="009D3F89"/>
    <w:rsid w:val="009D6EC0"/>
    <w:rsid w:val="009D7218"/>
    <w:rsid w:val="009E37B5"/>
    <w:rsid w:val="009E449C"/>
    <w:rsid w:val="009E64D1"/>
    <w:rsid w:val="009E702D"/>
    <w:rsid w:val="009F033C"/>
    <w:rsid w:val="009F17D3"/>
    <w:rsid w:val="009F1DA1"/>
    <w:rsid w:val="009F26D8"/>
    <w:rsid w:val="009F4135"/>
    <w:rsid w:val="009F6138"/>
    <w:rsid w:val="009F677C"/>
    <w:rsid w:val="009F76C0"/>
    <w:rsid w:val="00A003D2"/>
    <w:rsid w:val="00A00E22"/>
    <w:rsid w:val="00A01050"/>
    <w:rsid w:val="00A025D8"/>
    <w:rsid w:val="00A02EF9"/>
    <w:rsid w:val="00A03175"/>
    <w:rsid w:val="00A03C23"/>
    <w:rsid w:val="00A06211"/>
    <w:rsid w:val="00A06EFA"/>
    <w:rsid w:val="00A070A4"/>
    <w:rsid w:val="00A1072F"/>
    <w:rsid w:val="00A12A29"/>
    <w:rsid w:val="00A12DB8"/>
    <w:rsid w:val="00A166E6"/>
    <w:rsid w:val="00A1717F"/>
    <w:rsid w:val="00A201E1"/>
    <w:rsid w:val="00A21490"/>
    <w:rsid w:val="00A2192E"/>
    <w:rsid w:val="00A23400"/>
    <w:rsid w:val="00A23B5F"/>
    <w:rsid w:val="00A23D7E"/>
    <w:rsid w:val="00A2416A"/>
    <w:rsid w:val="00A26D1A"/>
    <w:rsid w:val="00A304EF"/>
    <w:rsid w:val="00A310A3"/>
    <w:rsid w:val="00A31433"/>
    <w:rsid w:val="00A31B4E"/>
    <w:rsid w:val="00A33EE1"/>
    <w:rsid w:val="00A34AAD"/>
    <w:rsid w:val="00A352E5"/>
    <w:rsid w:val="00A35D56"/>
    <w:rsid w:val="00A36AD7"/>
    <w:rsid w:val="00A4036B"/>
    <w:rsid w:val="00A40836"/>
    <w:rsid w:val="00A4140B"/>
    <w:rsid w:val="00A417E3"/>
    <w:rsid w:val="00A418D1"/>
    <w:rsid w:val="00A43F68"/>
    <w:rsid w:val="00A45294"/>
    <w:rsid w:val="00A46BDF"/>
    <w:rsid w:val="00A47350"/>
    <w:rsid w:val="00A501D9"/>
    <w:rsid w:val="00A502B6"/>
    <w:rsid w:val="00A51CAF"/>
    <w:rsid w:val="00A51F43"/>
    <w:rsid w:val="00A52480"/>
    <w:rsid w:val="00A5376B"/>
    <w:rsid w:val="00A54C46"/>
    <w:rsid w:val="00A553F2"/>
    <w:rsid w:val="00A560B1"/>
    <w:rsid w:val="00A566F4"/>
    <w:rsid w:val="00A56AB9"/>
    <w:rsid w:val="00A56B67"/>
    <w:rsid w:val="00A61E73"/>
    <w:rsid w:val="00A62DA3"/>
    <w:rsid w:val="00A64A8A"/>
    <w:rsid w:val="00A64F64"/>
    <w:rsid w:val="00A64F7C"/>
    <w:rsid w:val="00A65428"/>
    <w:rsid w:val="00A6605D"/>
    <w:rsid w:val="00A669AA"/>
    <w:rsid w:val="00A67312"/>
    <w:rsid w:val="00A7181D"/>
    <w:rsid w:val="00A725C1"/>
    <w:rsid w:val="00A7264B"/>
    <w:rsid w:val="00A73D4F"/>
    <w:rsid w:val="00A741E7"/>
    <w:rsid w:val="00A75BDF"/>
    <w:rsid w:val="00A75CEC"/>
    <w:rsid w:val="00A7610B"/>
    <w:rsid w:val="00A7640C"/>
    <w:rsid w:val="00A7760D"/>
    <w:rsid w:val="00A77C50"/>
    <w:rsid w:val="00A77D9D"/>
    <w:rsid w:val="00A83B38"/>
    <w:rsid w:val="00A85495"/>
    <w:rsid w:val="00A859AF"/>
    <w:rsid w:val="00A86DE3"/>
    <w:rsid w:val="00A9029A"/>
    <w:rsid w:val="00A90C0D"/>
    <w:rsid w:val="00A92D8C"/>
    <w:rsid w:val="00A92F1B"/>
    <w:rsid w:val="00A934A5"/>
    <w:rsid w:val="00A95573"/>
    <w:rsid w:val="00A96139"/>
    <w:rsid w:val="00A9680F"/>
    <w:rsid w:val="00A96BD9"/>
    <w:rsid w:val="00A97ED3"/>
    <w:rsid w:val="00AA0B2B"/>
    <w:rsid w:val="00AA1774"/>
    <w:rsid w:val="00AA1F8E"/>
    <w:rsid w:val="00AA208C"/>
    <w:rsid w:val="00AA2462"/>
    <w:rsid w:val="00AA25E7"/>
    <w:rsid w:val="00AA2EFF"/>
    <w:rsid w:val="00AA3652"/>
    <w:rsid w:val="00AA3F28"/>
    <w:rsid w:val="00AA51CC"/>
    <w:rsid w:val="00AA56EB"/>
    <w:rsid w:val="00AA5AD2"/>
    <w:rsid w:val="00AA5D91"/>
    <w:rsid w:val="00AA6948"/>
    <w:rsid w:val="00AA6C33"/>
    <w:rsid w:val="00AA7603"/>
    <w:rsid w:val="00AB0928"/>
    <w:rsid w:val="00AB1187"/>
    <w:rsid w:val="00AB127D"/>
    <w:rsid w:val="00AB2458"/>
    <w:rsid w:val="00AB29C7"/>
    <w:rsid w:val="00AB3DAE"/>
    <w:rsid w:val="00AB4B1A"/>
    <w:rsid w:val="00AB4BB3"/>
    <w:rsid w:val="00AB4E43"/>
    <w:rsid w:val="00AB5472"/>
    <w:rsid w:val="00AB5748"/>
    <w:rsid w:val="00AB789F"/>
    <w:rsid w:val="00AC051B"/>
    <w:rsid w:val="00AC09F5"/>
    <w:rsid w:val="00AC0C60"/>
    <w:rsid w:val="00AC13F8"/>
    <w:rsid w:val="00AC225F"/>
    <w:rsid w:val="00AC31EC"/>
    <w:rsid w:val="00AC4F67"/>
    <w:rsid w:val="00AC51BF"/>
    <w:rsid w:val="00AC5278"/>
    <w:rsid w:val="00AC7D3E"/>
    <w:rsid w:val="00AD0931"/>
    <w:rsid w:val="00AD175D"/>
    <w:rsid w:val="00AD17BA"/>
    <w:rsid w:val="00AD219E"/>
    <w:rsid w:val="00AD4F9D"/>
    <w:rsid w:val="00AD5D81"/>
    <w:rsid w:val="00AD5ECF"/>
    <w:rsid w:val="00AD5F74"/>
    <w:rsid w:val="00AD6B25"/>
    <w:rsid w:val="00AD7B66"/>
    <w:rsid w:val="00AE4C2A"/>
    <w:rsid w:val="00AE5706"/>
    <w:rsid w:val="00AE61C3"/>
    <w:rsid w:val="00AE6F73"/>
    <w:rsid w:val="00AE73C2"/>
    <w:rsid w:val="00AE7F31"/>
    <w:rsid w:val="00AF06E5"/>
    <w:rsid w:val="00AF0CF8"/>
    <w:rsid w:val="00AF0E0F"/>
    <w:rsid w:val="00AF25F4"/>
    <w:rsid w:val="00AF2738"/>
    <w:rsid w:val="00AF2819"/>
    <w:rsid w:val="00AF57FB"/>
    <w:rsid w:val="00AF5C50"/>
    <w:rsid w:val="00AF621B"/>
    <w:rsid w:val="00AF6922"/>
    <w:rsid w:val="00B00F02"/>
    <w:rsid w:val="00B00F36"/>
    <w:rsid w:val="00B01BBE"/>
    <w:rsid w:val="00B01D70"/>
    <w:rsid w:val="00B02B78"/>
    <w:rsid w:val="00B02D6B"/>
    <w:rsid w:val="00B07CA4"/>
    <w:rsid w:val="00B102E8"/>
    <w:rsid w:val="00B12FED"/>
    <w:rsid w:val="00B13C1F"/>
    <w:rsid w:val="00B146DC"/>
    <w:rsid w:val="00B149C3"/>
    <w:rsid w:val="00B14C44"/>
    <w:rsid w:val="00B14FD9"/>
    <w:rsid w:val="00B16DB9"/>
    <w:rsid w:val="00B170A4"/>
    <w:rsid w:val="00B17232"/>
    <w:rsid w:val="00B17497"/>
    <w:rsid w:val="00B1768D"/>
    <w:rsid w:val="00B20F1A"/>
    <w:rsid w:val="00B225A9"/>
    <w:rsid w:val="00B231CC"/>
    <w:rsid w:val="00B237E6"/>
    <w:rsid w:val="00B25766"/>
    <w:rsid w:val="00B26ADA"/>
    <w:rsid w:val="00B274F5"/>
    <w:rsid w:val="00B3070F"/>
    <w:rsid w:val="00B30811"/>
    <w:rsid w:val="00B324ED"/>
    <w:rsid w:val="00B35885"/>
    <w:rsid w:val="00B35E82"/>
    <w:rsid w:val="00B36404"/>
    <w:rsid w:val="00B364D1"/>
    <w:rsid w:val="00B36827"/>
    <w:rsid w:val="00B3792D"/>
    <w:rsid w:val="00B40E79"/>
    <w:rsid w:val="00B41E5A"/>
    <w:rsid w:val="00B4217C"/>
    <w:rsid w:val="00B42A97"/>
    <w:rsid w:val="00B43269"/>
    <w:rsid w:val="00B46191"/>
    <w:rsid w:val="00B47762"/>
    <w:rsid w:val="00B54B0D"/>
    <w:rsid w:val="00B56854"/>
    <w:rsid w:val="00B57F00"/>
    <w:rsid w:val="00B6009F"/>
    <w:rsid w:val="00B6477D"/>
    <w:rsid w:val="00B65FF2"/>
    <w:rsid w:val="00B675DD"/>
    <w:rsid w:val="00B67BA2"/>
    <w:rsid w:val="00B703C3"/>
    <w:rsid w:val="00B71203"/>
    <w:rsid w:val="00B7225C"/>
    <w:rsid w:val="00B73216"/>
    <w:rsid w:val="00B7424B"/>
    <w:rsid w:val="00B74A8D"/>
    <w:rsid w:val="00B74ABD"/>
    <w:rsid w:val="00B754FE"/>
    <w:rsid w:val="00B75D33"/>
    <w:rsid w:val="00B76180"/>
    <w:rsid w:val="00B76341"/>
    <w:rsid w:val="00B77FAA"/>
    <w:rsid w:val="00B81292"/>
    <w:rsid w:val="00B826AB"/>
    <w:rsid w:val="00B8276E"/>
    <w:rsid w:val="00B83096"/>
    <w:rsid w:val="00B83F19"/>
    <w:rsid w:val="00B8450C"/>
    <w:rsid w:val="00B87CC6"/>
    <w:rsid w:val="00B91455"/>
    <w:rsid w:val="00B91B67"/>
    <w:rsid w:val="00B9218E"/>
    <w:rsid w:val="00B944EF"/>
    <w:rsid w:val="00B94EA0"/>
    <w:rsid w:val="00B97216"/>
    <w:rsid w:val="00B9796F"/>
    <w:rsid w:val="00BA01CD"/>
    <w:rsid w:val="00BA0520"/>
    <w:rsid w:val="00BA36EF"/>
    <w:rsid w:val="00BA43FB"/>
    <w:rsid w:val="00BA642D"/>
    <w:rsid w:val="00BB086F"/>
    <w:rsid w:val="00BB149D"/>
    <w:rsid w:val="00BB31F9"/>
    <w:rsid w:val="00BB3B37"/>
    <w:rsid w:val="00BB48BB"/>
    <w:rsid w:val="00BB4A73"/>
    <w:rsid w:val="00BB6D06"/>
    <w:rsid w:val="00BB7B2D"/>
    <w:rsid w:val="00BC1694"/>
    <w:rsid w:val="00BC2134"/>
    <w:rsid w:val="00BC2B83"/>
    <w:rsid w:val="00BC3073"/>
    <w:rsid w:val="00BC332F"/>
    <w:rsid w:val="00BC34E4"/>
    <w:rsid w:val="00BC3D82"/>
    <w:rsid w:val="00BC3ECE"/>
    <w:rsid w:val="00BC5563"/>
    <w:rsid w:val="00BC5AB2"/>
    <w:rsid w:val="00BC6003"/>
    <w:rsid w:val="00BC6FD4"/>
    <w:rsid w:val="00BC75F6"/>
    <w:rsid w:val="00BD0436"/>
    <w:rsid w:val="00BD597E"/>
    <w:rsid w:val="00BE3173"/>
    <w:rsid w:val="00BE3A3B"/>
    <w:rsid w:val="00BE4DA4"/>
    <w:rsid w:val="00BE6733"/>
    <w:rsid w:val="00BE71F3"/>
    <w:rsid w:val="00BE774A"/>
    <w:rsid w:val="00BE7B78"/>
    <w:rsid w:val="00BE7C89"/>
    <w:rsid w:val="00BF04F7"/>
    <w:rsid w:val="00BF0641"/>
    <w:rsid w:val="00BF37A8"/>
    <w:rsid w:val="00BF4B52"/>
    <w:rsid w:val="00BF5B4A"/>
    <w:rsid w:val="00BF67FD"/>
    <w:rsid w:val="00C00D52"/>
    <w:rsid w:val="00C0162A"/>
    <w:rsid w:val="00C01FBA"/>
    <w:rsid w:val="00C02B69"/>
    <w:rsid w:val="00C034E4"/>
    <w:rsid w:val="00C03902"/>
    <w:rsid w:val="00C03F94"/>
    <w:rsid w:val="00C05F18"/>
    <w:rsid w:val="00C066E2"/>
    <w:rsid w:val="00C07799"/>
    <w:rsid w:val="00C10A47"/>
    <w:rsid w:val="00C10A9C"/>
    <w:rsid w:val="00C1108C"/>
    <w:rsid w:val="00C12814"/>
    <w:rsid w:val="00C14120"/>
    <w:rsid w:val="00C1427D"/>
    <w:rsid w:val="00C15F0E"/>
    <w:rsid w:val="00C166CB"/>
    <w:rsid w:val="00C1693A"/>
    <w:rsid w:val="00C20DB5"/>
    <w:rsid w:val="00C23E3F"/>
    <w:rsid w:val="00C25490"/>
    <w:rsid w:val="00C2553C"/>
    <w:rsid w:val="00C25573"/>
    <w:rsid w:val="00C255E5"/>
    <w:rsid w:val="00C27548"/>
    <w:rsid w:val="00C276B4"/>
    <w:rsid w:val="00C302AF"/>
    <w:rsid w:val="00C309FE"/>
    <w:rsid w:val="00C30C47"/>
    <w:rsid w:val="00C30CCD"/>
    <w:rsid w:val="00C3148D"/>
    <w:rsid w:val="00C32BD7"/>
    <w:rsid w:val="00C330A1"/>
    <w:rsid w:val="00C33ADB"/>
    <w:rsid w:val="00C33BB9"/>
    <w:rsid w:val="00C3426E"/>
    <w:rsid w:val="00C34C17"/>
    <w:rsid w:val="00C34E3A"/>
    <w:rsid w:val="00C35C5B"/>
    <w:rsid w:val="00C362C2"/>
    <w:rsid w:val="00C37EAA"/>
    <w:rsid w:val="00C403B9"/>
    <w:rsid w:val="00C41690"/>
    <w:rsid w:val="00C41EAA"/>
    <w:rsid w:val="00C448A7"/>
    <w:rsid w:val="00C4692F"/>
    <w:rsid w:val="00C47473"/>
    <w:rsid w:val="00C474B4"/>
    <w:rsid w:val="00C519A1"/>
    <w:rsid w:val="00C5377F"/>
    <w:rsid w:val="00C53DFF"/>
    <w:rsid w:val="00C53FC5"/>
    <w:rsid w:val="00C55CC1"/>
    <w:rsid w:val="00C56103"/>
    <w:rsid w:val="00C57906"/>
    <w:rsid w:val="00C6074F"/>
    <w:rsid w:val="00C609E6"/>
    <w:rsid w:val="00C61C1C"/>
    <w:rsid w:val="00C62562"/>
    <w:rsid w:val="00C644FE"/>
    <w:rsid w:val="00C64F22"/>
    <w:rsid w:val="00C6540E"/>
    <w:rsid w:val="00C65E4E"/>
    <w:rsid w:val="00C65EAC"/>
    <w:rsid w:val="00C70302"/>
    <w:rsid w:val="00C70493"/>
    <w:rsid w:val="00C720F8"/>
    <w:rsid w:val="00C766FF"/>
    <w:rsid w:val="00C771E0"/>
    <w:rsid w:val="00C771FD"/>
    <w:rsid w:val="00C772A3"/>
    <w:rsid w:val="00C773CB"/>
    <w:rsid w:val="00C80B18"/>
    <w:rsid w:val="00C81570"/>
    <w:rsid w:val="00C81792"/>
    <w:rsid w:val="00C817F5"/>
    <w:rsid w:val="00C81800"/>
    <w:rsid w:val="00C824FB"/>
    <w:rsid w:val="00C8421A"/>
    <w:rsid w:val="00C84ED4"/>
    <w:rsid w:val="00C85B68"/>
    <w:rsid w:val="00C85F32"/>
    <w:rsid w:val="00C877FF"/>
    <w:rsid w:val="00C903F7"/>
    <w:rsid w:val="00C91133"/>
    <w:rsid w:val="00C921B0"/>
    <w:rsid w:val="00C95CCD"/>
    <w:rsid w:val="00C9653A"/>
    <w:rsid w:val="00C97541"/>
    <w:rsid w:val="00C977DB"/>
    <w:rsid w:val="00C97D24"/>
    <w:rsid w:val="00CA0C53"/>
    <w:rsid w:val="00CA2294"/>
    <w:rsid w:val="00CA26C8"/>
    <w:rsid w:val="00CA27FF"/>
    <w:rsid w:val="00CA2B32"/>
    <w:rsid w:val="00CA2F84"/>
    <w:rsid w:val="00CA3271"/>
    <w:rsid w:val="00CA3B16"/>
    <w:rsid w:val="00CA4917"/>
    <w:rsid w:val="00CA4930"/>
    <w:rsid w:val="00CA52DF"/>
    <w:rsid w:val="00CA5619"/>
    <w:rsid w:val="00CA5973"/>
    <w:rsid w:val="00CA5D52"/>
    <w:rsid w:val="00CA611A"/>
    <w:rsid w:val="00CA64E7"/>
    <w:rsid w:val="00CA73C5"/>
    <w:rsid w:val="00CA7626"/>
    <w:rsid w:val="00CB002A"/>
    <w:rsid w:val="00CB0A98"/>
    <w:rsid w:val="00CB154E"/>
    <w:rsid w:val="00CB390B"/>
    <w:rsid w:val="00CB4D12"/>
    <w:rsid w:val="00CB63A2"/>
    <w:rsid w:val="00CB6B0D"/>
    <w:rsid w:val="00CC000C"/>
    <w:rsid w:val="00CC0E40"/>
    <w:rsid w:val="00CC1539"/>
    <w:rsid w:val="00CC1B92"/>
    <w:rsid w:val="00CC2276"/>
    <w:rsid w:val="00CC24EB"/>
    <w:rsid w:val="00CC3CB0"/>
    <w:rsid w:val="00CC453A"/>
    <w:rsid w:val="00CC4F16"/>
    <w:rsid w:val="00CC5122"/>
    <w:rsid w:val="00CC6072"/>
    <w:rsid w:val="00CC69B1"/>
    <w:rsid w:val="00CD1C48"/>
    <w:rsid w:val="00CD1F48"/>
    <w:rsid w:val="00CD3890"/>
    <w:rsid w:val="00CD5DDA"/>
    <w:rsid w:val="00CD5F35"/>
    <w:rsid w:val="00CD6154"/>
    <w:rsid w:val="00CD7A4B"/>
    <w:rsid w:val="00CE006C"/>
    <w:rsid w:val="00CE0F6B"/>
    <w:rsid w:val="00CE1437"/>
    <w:rsid w:val="00CE14AF"/>
    <w:rsid w:val="00CE1620"/>
    <w:rsid w:val="00CE2199"/>
    <w:rsid w:val="00CE3746"/>
    <w:rsid w:val="00CF1132"/>
    <w:rsid w:val="00CF1646"/>
    <w:rsid w:val="00CF2E5F"/>
    <w:rsid w:val="00CF30D4"/>
    <w:rsid w:val="00CF5545"/>
    <w:rsid w:val="00CF7103"/>
    <w:rsid w:val="00CF7ED3"/>
    <w:rsid w:val="00D024AE"/>
    <w:rsid w:val="00D04B64"/>
    <w:rsid w:val="00D04FE7"/>
    <w:rsid w:val="00D05052"/>
    <w:rsid w:val="00D051DE"/>
    <w:rsid w:val="00D05CFD"/>
    <w:rsid w:val="00D07C90"/>
    <w:rsid w:val="00D11318"/>
    <w:rsid w:val="00D122BA"/>
    <w:rsid w:val="00D13371"/>
    <w:rsid w:val="00D14D84"/>
    <w:rsid w:val="00D15820"/>
    <w:rsid w:val="00D16267"/>
    <w:rsid w:val="00D17C12"/>
    <w:rsid w:val="00D2328D"/>
    <w:rsid w:val="00D24430"/>
    <w:rsid w:val="00D246E9"/>
    <w:rsid w:val="00D26E67"/>
    <w:rsid w:val="00D2777E"/>
    <w:rsid w:val="00D27A2F"/>
    <w:rsid w:val="00D3023A"/>
    <w:rsid w:val="00D31329"/>
    <w:rsid w:val="00D315B3"/>
    <w:rsid w:val="00D31830"/>
    <w:rsid w:val="00D35521"/>
    <w:rsid w:val="00D36CE2"/>
    <w:rsid w:val="00D401A7"/>
    <w:rsid w:val="00D40235"/>
    <w:rsid w:val="00D41F84"/>
    <w:rsid w:val="00D456D2"/>
    <w:rsid w:val="00D459B2"/>
    <w:rsid w:val="00D4640B"/>
    <w:rsid w:val="00D514B8"/>
    <w:rsid w:val="00D5268C"/>
    <w:rsid w:val="00D52D5A"/>
    <w:rsid w:val="00D54D3A"/>
    <w:rsid w:val="00D55208"/>
    <w:rsid w:val="00D569FD"/>
    <w:rsid w:val="00D5752B"/>
    <w:rsid w:val="00D57D3D"/>
    <w:rsid w:val="00D60141"/>
    <w:rsid w:val="00D60A5E"/>
    <w:rsid w:val="00D612BD"/>
    <w:rsid w:val="00D61908"/>
    <w:rsid w:val="00D61F02"/>
    <w:rsid w:val="00D620F8"/>
    <w:rsid w:val="00D63D1E"/>
    <w:rsid w:val="00D667D4"/>
    <w:rsid w:val="00D67AA1"/>
    <w:rsid w:val="00D67BE3"/>
    <w:rsid w:val="00D70646"/>
    <w:rsid w:val="00D717DA"/>
    <w:rsid w:val="00D72AD3"/>
    <w:rsid w:val="00D72E0E"/>
    <w:rsid w:val="00D72FCB"/>
    <w:rsid w:val="00D77FC2"/>
    <w:rsid w:val="00D80832"/>
    <w:rsid w:val="00D81642"/>
    <w:rsid w:val="00D86849"/>
    <w:rsid w:val="00D87503"/>
    <w:rsid w:val="00D919F1"/>
    <w:rsid w:val="00D92DC8"/>
    <w:rsid w:val="00D92FC4"/>
    <w:rsid w:val="00D9365E"/>
    <w:rsid w:val="00D9424D"/>
    <w:rsid w:val="00D94AA5"/>
    <w:rsid w:val="00D95BA8"/>
    <w:rsid w:val="00D97058"/>
    <w:rsid w:val="00DA0594"/>
    <w:rsid w:val="00DA0662"/>
    <w:rsid w:val="00DA0A6C"/>
    <w:rsid w:val="00DA136A"/>
    <w:rsid w:val="00DA229B"/>
    <w:rsid w:val="00DA2CC3"/>
    <w:rsid w:val="00DA40C8"/>
    <w:rsid w:val="00DA4EFF"/>
    <w:rsid w:val="00DA5A43"/>
    <w:rsid w:val="00DA5F04"/>
    <w:rsid w:val="00DA750B"/>
    <w:rsid w:val="00DA7F70"/>
    <w:rsid w:val="00DB0B62"/>
    <w:rsid w:val="00DB174E"/>
    <w:rsid w:val="00DB1BFE"/>
    <w:rsid w:val="00DB3B57"/>
    <w:rsid w:val="00DB406D"/>
    <w:rsid w:val="00DB52EF"/>
    <w:rsid w:val="00DB543B"/>
    <w:rsid w:val="00DB55E2"/>
    <w:rsid w:val="00DB6D28"/>
    <w:rsid w:val="00DC0DD5"/>
    <w:rsid w:val="00DC3C8E"/>
    <w:rsid w:val="00DC524D"/>
    <w:rsid w:val="00DC56B6"/>
    <w:rsid w:val="00DC5CCA"/>
    <w:rsid w:val="00DC6047"/>
    <w:rsid w:val="00DC7CCC"/>
    <w:rsid w:val="00DD38AB"/>
    <w:rsid w:val="00DD48A0"/>
    <w:rsid w:val="00DD6935"/>
    <w:rsid w:val="00DE001A"/>
    <w:rsid w:val="00DE0ABE"/>
    <w:rsid w:val="00DE0E10"/>
    <w:rsid w:val="00DE1B39"/>
    <w:rsid w:val="00DE2135"/>
    <w:rsid w:val="00DE3321"/>
    <w:rsid w:val="00DE4EED"/>
    <w:rsid w:val="00DE7A74"/>
    <w:rsid w:val="00DE7C2D"/>
    <w:rsid w:val="00DE7C60"/>
    <w:rsid w:val="00DF15E1"/>
    <w:rsid w:val="00DF1A62"/>
    <w:rsid w:val="00DF24F6"/>
    <w:rsid w:val="00DF317D"/>
    <w:rsid w:val="00DF5758"/>
    <w:rsid w:val="00DF68E3"/>
    <w:rsid w:val="00DF7DB3"/>
    <w:rsid w:val="00E00106"/>
    <w:rsid w:val="00E01113"/>
    <w:rsid w:val="00E0199B"/>
    <w:rsid w:val="00E0491C"/>
    <w:rsid w:val="00E04A36"/>
    <w:rsid w:val="00E06C6A"/>
    <w:rsid w:val="00E11E75"/>
    <w:rsid w:val="00E122B2"/>
    <w:rsid w:val="00E12F57"/>
    <w:rsid w:val="00E13265"/>
    <w:rsid w:val="00E158F2"/>
    <w:rsid w:val="00E15FCC"/>
    <w:rsid w:val="00E1690D"/>
    <w:rsid w:val="00E16AB9"/>
    <w:rsid w:val="00E16E3F"/>
    <w:rsid w:val="00E170FE"/>
    <w:rsid w:val="00E17F01"/>
    <w:rsid w:val="00E20159"/>
    <w:rsid w:val="00E20DE3"/>
    <w:rsid w:val="00E21510"/>
    <w:rsid w:val="00E21867"/>
    <w:rsid w:val="00E22677"/>
    <w:rsid w:val="00E22E7A"/>
    <w:rsid w:val="00E23AF0"/>
    <w:rsid w:val="00E24AB3"/>
    <w:rsid w:val="00E24D88"/>
    <w:rsid w:val="00E252D0"/>
    <w:rsid w:val="00E2555F"/>
    <w:rsid w:val="00E277F2"/>
    <w:rsid w:val="00E3019A"/>
    <w:rsid w:val="00E3205C"/>
    <w:rsid w:val="00E338E8"/>
    <w:rsid w:val="00E3399F"/>
    <w:rsid w:val="00E35E69"/>
    <w:rsid w:val="00E367B4"/>
    <w:rsid w:val="00E36CCD"/>
    <w:rsid w:val="00E376A3"/>
    <w:rsid w:val="00E40473"/>
    <w:rsid w:val="00E40573"/>
    <w:rsid w:val="00E4184F"/>
    <w:rsid w:val="00E41976"/>
    <w:rsid w:val="00E427F5"/>
    <w:rsid w:val="00E42B4B"/>
    <w:rsid w:val="00E44076"/>
    <w:rsid w:val="00E4472E"/>
    <w:rsid w:val="00E44A65"/>
    <w:rsid w:val="00E45452"/>
    <w:rsid w:val="00E460A7"/>
    <w:rsid w:val="00E464AC"/>
    <w:rsid w:val="00E5074C"/>
    <w:rsid w:val="00E51218"/>
    <w:rsid w:val="00E52161"/>
    <w:rsid w:val="00E52976"/>
    <w:rsid w:val="00E5319E"/>
    <w:rsid w:val="00E531AD"/>
    <w:rsid w:val="00E55256"/>
    <w:rsid w:val="00E55A83"/>
    <w:rsid w:val="00E55E9A"/>
    <w:rsid w:val="00E56AF6"/>
    <w:rsid w:val="00E5756F"/>
    <w:rsid w:val="00E60466"/>
    <w:rsid w:val="00E62201"/>
    <w:rsid w:val="00E63C66"/>
    <w:rsid w:val="00E64712"/>
    <w:rsid w:val="00E64954"/>
    <w:rsid w:val="00E65267"/>
    <w:rsid w:val="00E65CF7"/>
    <w:rsid w:val="00E66093"/>
    <w:rsid w:val="00E66704"/>
    <w:rsid w:val="00E67B88"/>
    <w:rsid w:val="00E711FE"/>
    <w:rsid w:val="00E715E0"/>
    <w:rsid w:val="00E72500"/>
    <w:rsid w:val="00E7255F"/>
    <w:rsid w:val="00E7368D"/>
    <w:rsid w:val="00E738BB"/>
    <w:rsid w:val="00E73958"/>
    <w:rsid w:val="00E73D5E"/>
    <w:rsid w:val="00E74069"/>
    <w:rsid w:val="00E76497"/>
    <w:rsid w:val="00E77C27"/>
    <w:rsid w:val="00E80C55"/>
    <w:rsid w:val="00E81247"/>
    <w:rsid w:val="00E81F49"/>
    <w:rsid w:val="00E832D6"/>
    <w:rsid w:val="00E83BD5"/>
    <w:rsid w:val="00E83FA9"/>
    <w:rsid w:val="00E87A0A"/>
    <w:rsid w:val="00E90B0D"/>
    <w:rsid w:val="00E91A1B"/>
    <w:rsid w:val="00E931C0"/>
    <w:rsid w:val="00E95D3C"/>
    <w:rsid w:val="00E96FCE"/>
    <w:rsid w:val="00E976CC"/>
    <w:rsid w:val="00EA0CC3"/>
    <w:rsid w:val="00EA2766"/>
    <w:rsid w:val="00EA44C7"/>
    <w:rsid w:val="00EA5C26"/>
    <w:rsid w:val="00EA6D18"/>
    <w:rsid w:val="00EA7457"/>
    <w:rsid w:val="00EA75AF"/>
    <w:rsid w:val="00EA7775"/>
    <w:rsid w:val="00EB1505"/>
    <w:rsid w:val="00EB3807"/>
    <w:rsid w:val="00EB6EA4"/>
    <w:rsid w:val="00EB76EB"/>
    <w:rsid w:val="00EC0258"/>
    <w:rsid w:val="00EC0A75"/>
    <w:rsid w:val="00EC1D26"/>
    <w:rsid w:val="00EC3837"/>
    <w:rsid w:val="00EC3AC4"/>
    <w:rsid w:val="00EC5699"/>
    <w:rsid w:val="00EC650E"/>
    <w:rsid w:val="00ED0F59"/>
    <w:rsid w:val="00ED12F1"/>
    <w:rsid w:val="00ED1E97"/>
    <w:rsid w:val="00ED4C19"/>
    <w:rsid w:val="00ED4C46"/>
    <w:rsid w:val="00EE031D"/>
    <w:rsid w:val="00EE1CE3"/>
    <w:rsid w:val="00EE2E2A"/>
    <w:rsid w:val="00EE3D1D"/>
    <w:rsid w:val="00EE48F3"/>
    <w:rsid w:val="00EE4D21"/>
    <w:rsid w:val="00EE66DA"/>
    <w:rsid w:val="00EE67FB"/>
    <w:rsid w:val="00EF0115"/>
    <w:rsid w:val="00EF01FB"/>
    <w:rsid w:val="00EF0286"/>
    <w:rsid w:val="00EF2469"/>
    <w:rsid w:val="00EF31C2"/>
    <w:rsid w:val="00EF5D8B"/>
    <w:rsid w:val="00EF6616"/>
    <w:rsid w:val="00EF690A"/>
    <w:rsid w:val="00EF6F8A"/>
    <w:rsid w:val="00EF6FFF"/>
    <w:rsid w:val="00F0058A"/>
    <w:rsid w:val="00F00E9F"/>
    <w:rsid w:val="00F015C0"/>
    <w:rsid w:val="00F01EEE"/>
    <w:rsid w:val="00F021DD"/>
    <w:rsid w:val="00F029BA"/>
    <w:rsid w:val="00F02C65"/>
    <w:rsid w:val="00F0389F"/>
    <w:rsid w:val="00F04990"/>
    <w:rsid w:val="00F04999"/>
    <w:rsid w:val="00F04B33"/>
    <w:rsid w:val="00F04BCF"/>
    <w:rsid w:val="00F04D0C"/>
    <w:rsid w:val="00F05925"/>
    <w:rsid w:val="00F06218"/>
    <w:rsid w:val="00F06C6C"/>
    <w:rsid w:val="00F120B8"/>
    <w:rsid w:val="00F1235B"/>
    <w:rsid w:val="00F132B7"/>
    <w:rsid w:val="00F13A49"/>
    <w:rsid w:val="00F14F5A"/>
    <w:rsid w:val="00F15A9A"/>
    <w:rsid w:val="00F16B90"/>
    <w:rsid w:val="00F17836"/>
    <w:rsid w:val="00F17CDF"/>
    <w:rsid w:val="00F213E4"/>
    <w:rsid w:val="00F23148"/>
    <w:rsid w:val="00F241E3"/>
    <w:rsid w:val="00F25AD9"/>
    <w:rsid w:val="00F26096"/>
    <w:rsid w:val="00F27219"/>
    <w:rsid w:val="00F2731D"/>
    <w:rsid w:val="00F27B93"/>
    <w:rsid w:val="00F308C9"/>
    <w:rsid w:val="00F311DE"/>
    <w:rsid w:val="00F3132D"/>
    <w:rsid w:val="00F3137C"/>
    <w:rsid w:val="00F32562"/>
    <w:rsid w:val="00F32F20"/>
    <w:rsid w:val="00F35978"/>
    <w:rsid w:val="00F35E27"/>
    <w:rsid w:val="00F36748"/>
    <w:rsid w:val="00F36C6B"/>
    <w:rsid w:val="00F36DDA"/>
    <w:rsid w:val="00F37075"/>
    <w:rsid w:val="00F41215"/>
    <w:rsid w:val="00F42E31"/>
    <w:rsid w:val="00F43BE9"/>
    <w:rsid w:val="00F44581"/>
    <w:rsid w:val="00F4462F"/>
    <w:rsid w:val="00F45171"/>
    <w:rsid w:val="00F454C0"/>
    <w:rsid w:val="00F472D5"/>
    <w:rsid w:val="00F52CE4"/>
    <w:rsid w:val="00F539D4"/>
    <w:rsid w:val="00F53FD4"/>
    <w:rsid w:val="00F541FB"/>
    <w:rsid w:val="00F54B3E"/>
    <w:rsid w:val="00F54BA4"/>
    <w:rsid w:val="00F54FCD"/>
    <w:rsid w:val="00F56A53"/>
    <w:rsid w:val="00F56BB6"/>
    <w:rsid w:val="00F603F7"/>
    <w:rsid w:val="00F60756"/>
    <w:rsid w:val="00F61123"/>
    <w:rsid w:val="00F61E4A"/>
    <w:rsid w:val="00F632D5"/>
    <w:rsid w:val="00F63CBC"/>
    <w:rsid w:val="00F64A5D"/>
    <w:rsid w:val="00F64F6B"/>
    <w:rsid w:val="00F70BB1"/>
    <w:rsid w:val="00F71044"/>
    <w:rsid w:val="00F71240"/>
    <w:rsid w:val="00F71500"/>
    <w:rsid w:val="00F716E2"/>
    <w:rsid w:val="00F726AC"/>
    <w:rsid w:val="00F7324C"/>
    <w:rsid w:val="00F741D9"/>
    <w:rsid w:val="00F75E50"/>
    <w:rsid w:val="00F76EA2"/>
    <w:rsid w:val="00F80066"/>
    <w:rsid w:val="00F80F69"/>
    <w:rsid w:val="00F818A7"/>
    <w:rsid w:val="00F832BB"/>
    <w:rsid w:val="00F84CF3"/>
    <w:rsid w:val="00F8512B"/>
    <w:rsid w:val="00F86E57"/>
    <w:rsid w:val="00F87D43"/>
    <w:rsid w:val="00F87F74"/>
    <w:rsid w:val="00F91F6C"/>
    <w:rsid w:val="00F923F2"/>
    <w:rsid w:val="00F92AB2"/>
    <w:rsid w:val="00F92AFC"/>
    <w:rsid w:val="00F943D4"/>
    <w:rsid w:val="00FA0315"/>
    <w:rsid w:val="00FA0B19"/>
    <w:rsid w:val="00FA1424"/>
    <w:rsid w:val="00FA5717"/>
    <w:rsid w:val="00FA5959"/>
    <w:rsid w:val="00FA6396"/>
    <w:rsid w:val="00FA6DD8"/>
    <w:rsid w:val="00FA777E"/>
    <w:rsid w:val="00FB1A67"/>
    <w:rsid w:val="00FB1C38"/>
    <w:rsid w:val="00FB382C"/>
    <w:rsid w:val="00FB470F"/>
    <w:rsid w:val="00FB5F80"/>
    <w:rsid w:val="00FB658F"/>
    <w:rsid w:val="00FB6693"/>
    <w:rsid w:val="00FB7F33"/>
    <w:rsid w:val="00FC2D9B"/>
    <w:rsid w:val="00FC4441"/>
    <w:rsid w:val="00FC5520"/>
    <w:rsid w:val="00FC5AAD"/>
    <w:rsid w:val="00FC709B"/>
    <w:rsid w:val="00FD2655"/>
    <w:rsid w:val="00FD388A"/>
    <w:rsid w:val="00FE0B75"/>
    <w:rsid w:val="00FE1166"/>
    <w:rsid w:val="00FE5DAD"/>
    <w:rsid w:val="00FE5DD9"/>
    <w:rsid w:val="00FE6980"/>
    <w:rsid w:val="00FF00EE"/>
    <w:rsid w:val="00FF2CFA"/>
    <w:rsid w:val="00FF3AFC"/>
    <w:rsid w:val="00FF41E2"/>
    <w:rsid w:val="00FF473C"/>
    <w:rsid w:val="00FF5AA1"/>
    <w:rsid w:val="00FF73AC"/>
    <w:rsid w:val="0B0E2745"/>
    <w:rsid w:val="35291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B01BC8E-EFE4-4DA9-873A-384C100EC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0"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uiPriority="0" w:qFormat="1"/>
    <w:lsdException w:name="footnote text" w:uiPriority="0" w:qFormat="1"/>
    <w:lsdException w:name="annotation text" w:qFormat="1"/>
    <w:lsdException w:name="header" w:qFormat="1"/>
    <w:lsdException w:name="footer" w:qFormat="1"/>
    <w:lsdException w:name="index heading" w:semiHidden="1" w:unhideWhenUsed="1"/>
    <w:lsdException w:name="caption" w:uiPriority="0"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qFormat="1"/>
    <w:lsdException w:name="line number" w:semiHidden="1" w:unhideWhenUsed="1"/>
    <w:lsdException w:name="page number" w:uiPriority="0" w:qFormat="1"/>
    <w:lsdException w:name="endnote reference" w:uiPriority="0" w:qFormat="1"/>
    <w:lsdException w:name="endnote text"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22"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39" w:qFormat="1"/>
    <w:lsdException w:name="Table Theme" w:semiHidden="1" w:uiPriority="0" w:unhideWhenUsed="1" w:qFormat="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jc w:val="both"/>
    </w:pPr>
    <w:rPr>
      <w:rFonts w:ascii="Times New Roman" w:hAnsi="Times New Roman"/>
      <w:kern w:val="2"/>
      <w:sz w:val="21"/>
      <w:szCs w:val="24"/>
    </w:rPr>
  </w:style>
  <w:style w:type="paragraph" w:styleId="11">
    <w:name w:val="heading 1"/>
    <w:basedOn w:val="a0"/>
    <w:next w:val="a0"/>
    <w:link w:val="1Char"/>
    <w:qFormat/>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basedOn w:val="a0"/>
    <w:next w:val="a0"/>
    <w:link w:val="2Char"/>
    <w:uiPriority w:val="9"/>
    <w:qFormat/>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basedOn w:val="a0"/>
    <w:next w:val="a0"/>
    <w:link w:val="3Char"/>
    <w:qFormat/>
    <w:pPr>
      <w:keepNext/>
      <w:keepLines/>
      <w:spacing w:before="260" w:after="260" w:line="416" w:lineRule="auto"/>
      <w:outlineLvl w:val="2"/>
    </w:pPr>
    <w:rPr>
      <w:b/>
      <w:bCs/>
      <w:kern w:val="0"/>
      <w:sz w:val="20"/>
      <w:szCs w:val="32"/>
    </w:rPr>
  </w:style>
  <w:style w:type="paragraph" w:styleId="4">
    <w:name w:val="heading 4"/>
    <w:basedOn w:val="a0"/>
    <w:next w:val="a0"/>
    <w:link w:val="4Char"/>
    <w:qFormat/>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Char"/>
    <w:qFormat/>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Char"/>
    <w:qFormat/>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Char"/>
    <w:qFormat/>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Char"/>
    <w:qFormat/>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Char"/>
    <w:qFormat/>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70">
    <w:name w:val="toc 7"/>
    <w:basedOn w:val="a0"/>
    <w:next w:val="a0"/>
    <w:qFormat/>
    <w:pPr>
      <w:spacing w:after="120" w:line="360" w:lineRule="auto"/>
      <w:ind w:left="2520" w:firstLine="480"/>
    </w:pPr>
    <w:rPr>
      <w:rFonts w:ascii="宋体" w:hAnsi="宋体" w:cs="Arial"/>
      <w:bCs/>
      <w:color w:val="000000"/>
      <w:kern w:val="0"/>
      <w:szCs w:val="21"/>
      <w:lang w:val="zh-CN"/>
    </w:rPr>
  </w:style>
  <w:style w:type="paragraph" w:styleId="a4">
    <w:name w:val="Normal Indent"/>
    <w:basedOn w:val="a0"/>
    <w:qFormat/>
    <w:pPr>
      <w:ind w:firstLine="420"/>
    </w:pPr>
    <w:rPr>
      <w:szCs w:val="20"/>
    </w:rPr>
  </w:style>
  <w:style w:type="paragraph" w:styleId="a5">
    <w:name w:val="caption"/>
    <w:basedOn w:val="a0"/>
    <w:next w:val="a0"/>
    <w:unhideWhenUsed/>
    <w:qFormat/>
    <w:pPr>
      <w:spacing w:line="360" w:lineRule="auto"/>
      <w:ind w:firstLineChars="200" w:firstLine="200"/>
    </w:pPr>
    <w:rPr>
      <w:rFonts w:ascii="Cambria" w:eastAsia="黑体" w:hAnsi="Cambria"/>
      <w:sz w:val="20"/>
      <w:szCs w:val="20"/>
    </w:rPr>
  </w:style>
  <w:style w:type="paragraph" w:styleId="a6">
    <w:name w:val="List Bullet"/>
    <w:basedOn w:val="a0"/>
    <w:pPr>
      <w:tabs>
        <w:tab w:val="left" w:pos="360"/>
      </w:tabs>
      <w:autoSpaceDE w:val="0"/>
      <w:autoSpaceDN w:val="0"/>
      <w:adjustRightInd w:val="0"/>
      <w:spacing w:after="120"/>
      <w:ind w:left="360" w:hangingChars="200" w:hanging="360"/>
      <w:textAlignment w:val="baseline"/>
    </w:pPr>
    <w:rPr>
      <w:rFonts w:ascii="宋体"/>
      <w:kern w:val="0"/>
      <w:sz w:val="28"/>
      <w:szCs w:val="20"/>
    </w:rPr>
  </w:style>
  <w:style w:type="paragraph" w:styleId="a7">
    <w:name w:val="Document Map"/>
    <w:basedOn w:val="a0"/>
    <w:link w:val="Char"/>
    <w:qFormat/>
    <w:pPr>
      <w:shd w:val="clear" w:color="auto" w:fill="000080"/>
      <w:spacing w:after="120" w:line="360" w:lineRule="auto"/>
      <w:ind w:firstLine="480"/>
    </w:pPr>
    <w:rPr>
      <w:rFonts w:ascii="宋体" w:hAnsi="宋体"/>
      <w:bCs/>
      <w:color w:val="000000"/>
      <w:kern w:val="0"/>
      <w:sz w:val="20"/>
      <w:szCs w:val="21"/>
      <w:lang w:val="zh-CN"/>
    </w:rPr>
  </w:style>
  <w:style w:type="paragraph" w:styleId="a8">
    <w:name w:val="annotation text"/>
    <w:basedOn w:val="a0"/>
    <w:link w:val="Char0"/>
    <w:uiPriority w:val="99"/>
    <w:qFormat/>
    <w:pPr>
      <w:jc w:val="left"/>
    </w:pPr>
    <w:rPr>
      <w:kern w:val="0"/>
      <w:sz w:val="20"/>
    </w:rPr>
  </w:style>
  <w:style w:type="paragraph" w:styleId="a9">
    <w:name w:val="Body Text"/>
    <w:basedOn w:val="a0"/>
    <w:link w:val="Char1"/>
    <w:qFormat/>
    <w:rPr>
      <w:rFonts w:ascii="宋体" w:hAnsi="宋体"/>
      <w:kern w:val="0"/>
      <w:sz w:val="24"/>
      <w:szCs w:val="21"/>
    </w:rPr>
  </w:style>
  <w:style w:type="paragraph" w:styleId="aa">
    <w:name w:val="Body Text Indent"/>
    <w:basedOn w:val="a0"/>
    <w:link w:val="Char2"/>
    <w:qFormat/>
    <w:pPr>
      <w:ind w:firstLine="540"/>
    </w:pPr>
    <w:rPr>
      <w:kern w:val="0"/>
      <w:sz w:val="24"/>
      <w:szCs w:val="20"/>
    </w:rPr>
  </w:style>
  <w:style w:type="paragraph" w:styleId="50">
    <w:name w:val="toc 5"/>
    <w:basedOn w:val="a0"/>
    <w:next w:val="a0"/>
    <w:qFormat/>
    <w:pPr>
      <w:spacing w:after="120" w:line="360" w:lineRule="auto"/>
      <w:ind w:left="1680" w:firstLine="480"/>
    </w:pPr>
    <w:rPr>
      <w:rFonts w:ascii="宋体" w:hAnsi="宋体" w:cs="Arial"/>
      <w:bCs/>
      <w:color w:val="000000"/>
      <w:kern w:val="0"/>
      <w:szCs w:val="21"/>
      <w:lang w:val="zh-CN"/>
    </w:rPr>
  </w:style>
  <w:style w:type="paragraph" w:styleId="30">
    <w:name w:val="toc 3"/>
    <w:basedOn w:val="a0"/>
    <w:next w:val="a0"/>
    <w:qFormat/>
    <w:pPr>
      <w:spacing w:after="120" w:line="360" w:lineRule="auto"/>
      <w:ind w:left="840" w:firstLine="480"/>
    </w:pPr>
    <w:rPr>
      <w:rFonts w:ascii="宋体" w:hAnsi="宋体" w:cs="Arial"/>
      <w:bCs/>
      <w:color w:val="000000"/>
      <w:kern w:val="0"/>
      <w:szCs w:val="21"/>
      <w:lang w:val="zh-CN"/>
    </w:rPr>
  </w:style>
  <w:style w:type="paragraph" w:styleId="ab">
    <w:name w:val="Plain Text"/>
    <w:basedOn w:val="a0"/>
    <w:link w:val="Char3"/>
    <w:qFormat/>
    <w:pPr>
      <w:widowControl/>
      <w:spacing w:before="100" w:beforeAutospacing="1" w:after="100" w:afterAutospacing="1"/>
      <w:jc w:val="left"/>
    </w:pPr>
    <w:rPr>
      <w:rFonts w:ascii="Arial Unicode MS" w:eastAsia="Arial Unicode MS" w:hAnsi="Arial Unicode MS"/>
      <w:kern w:val="0"/>
      <w:sz w:val="24"/>
    </w:rPr>
  </w:style>
  <w:style w:type="paragraph" w:styleId="80">
    <w:name w:val="toc 8"/>
    <w:basedOn w:val="a0"/>
    <w:next w:val="a0"/>
    <w:qFormat/>
    <w:pPr>
      <w:spacing w:after="120" w:line="360" w:lineRule="auto"/>
      <w:ind w:left="2940" w:firstLine="480"/>
    </w:pPr>
    <w:rPr>
      <w:rFonts w:ascii="宋体" w:hAnsi="宋体" w:cs="Arial"/>
      <w:bCs/>
      <w:color w:val="000000"/>
      <w:kern w:val="0"/>
      <w:szCs w:val="21"/>
      <w:lang w:val="zh-CN"/>
    </w:rPr>
  </w:style>
  <w:style w:type="paragraph" w:styleId="ac">
    <w:name w:val="Date"/>
    <w:basedOn w:val="a0"/>
    <w:next w:val="a0"/>
    <w:link w:val="Char4"/>
    <w:qFormat/>
    <w:pPr>
      <w:ind w:leftChars="2500" w:left="100"/>
    </w:pPr>
    <w:rPr>
      <w:rFonts w:ascii="宋体" w:hAnsi="宋体"/>
      <w:kern w:val="0"/>
      <w:sz w:val="24"/>
      <w:szCs w:val="21"/>
    </w:rPr>
  </w:style>
  <w:style w:type="paragraph" w:styleId="21">
    <w:name w:val="Body Text Indent 2"/>
    <w:basedOn w:val="a0"/>
    <w:link w:val="2Char0"/>
    <w:qFormat/>
    <w:pPr>
      <w:tabs>
        <w:tab w:val="left" w:pos="1110"/>
      </w:tabs>
      <w:spacing w:line="360" w:lineRule="auto"/>
      <w:ind w:firstLineChars="200" w:firstLine="420"/>
    </w:pPr>
    <w:rPr>
      <w:rFonts w:ascii="宋体" w:hAnsi="宋体"/>
      <w:color w:val="FF0000"/>
      <w:kern w:val="0"/>
      <w:sz w:val="20"/>
    </w:rPr>
  </w:style>
  <w:style w:type="paragraph" w:styleId="ad">
    <w:name w:val="endnote text"/>
    <w:basedOn w:val="a0"/>
    <w:link w:val="Char5"/>
    <w:qFormat/>
    <w:pPr>
      <w:snapToGrid w:val="0"/>
      <w:jc w:val="left"/>
    </w:pPr>
    <w:rPr>
      <w:kern w:val="0"/>
      <w:sz w:val="20"/>
      <w:szCs w:val="20"/>
    </w:rPr>
  </w:style>
  <w:style w:type="paragraph" w:styleId="ae">
    <w:name w:val="Balloon Text"/>
    <w:basedOn w:val="a0"/>
    <w:link w:val="Char6"/>
    <w:semiHidden/>
    <w:qFormat/>
    <w:rPr>
      <w:kern w:val="0"/>
      <w:sz w:val="18"/>
      <w:szCs w:val="18"/>
    </w:rPr>
  </w:style>
  <w:style w:type="paragraph" w:styleId="af">
    <w:name w:val="footer"/>
    <w:basedOn w:val="a0"/>
    <w:link w:val="Char7"/>
    <w:uiPriority w:val="99"/>
    <w:qFormat/>
    <w:pPr>
      <w:tabs>
        <w:tab w:val="center" w:pos="4153"/>
        <w:tab w:val="right" w:pos="8306"/>
      </w:tabs>
      <w:snapToGrid w:val="0"/>
      <w:jc w:val="left"/>
    </w:pPr>
    <w:rPr>
      <w:kern w:val="0"/>
      <w:sz w:val="18"/>
      <w:szCs w:val="18"/>
    </w:rPr>
  </w:style>
  <w:style w:type="paragraph" w:styleId="af0">
    <w:name w:val="header"/>
    <w:basedOn w:val="a0"/>
    <w:link w:val="Char8"/>
    <w:uiPriority w:val="99"/>
    <w:qFormat/>
    <w:pPr>
      <w:pBdr>
        <w:bottom w:val="single" w:sz="6" w:space="1" w:color="auto"/>
      </w:pBdr>
      <w:tabs>
        <w:tab w:val="center" w:pos="4153"/>
        <w:tab w:val="right" w:pos="8306"/>
      </w:tabs>
      <w:snapToGrid w:val="0"/>
      <w:jc w:val="center"/>
    </w:pPr>
    <w:rPr>
      <w:kern w:val="0"/>
      <w:sz w:val="18"/>
      <w:szCs w:val="18"/>
    </w:rPr>
  </w:style>
  <w:style w:type="paragraph" w:styleId="12">
    <w:name w:val="toc 1"/>
    <w:basedOn w:val="a0"/>
    <w:next w:val="a0"/>
    <w:uiPriority w:val="39"/>
    <w:qFormat/>
    <w:pPr>
      <w:tabs>
        <w:tab w:val="right" w:leader="dot" w:pos="8295"/>
      </w:tabs>
      <w:snapToGrid w:val="0"/>
      <w:spacing w:line="360" w:lineRule="auto"/>
    </w:pPr>
    <w:rPr>
      <w:rFonts w:ascii="宋体" w:hAnsi="宋体"/>
      <w:caps/>
      <w:sz w:val="24"/>
    </w:rPr>
  </w:style>
  <w:style w:type="paragraph" w:styleId="40">
    <w:name w:val="toc 4"/>
    <w:basedOn w:val="a0"/>
    <w:next w:val="a0"/>
    <w:qFormat/>
    <w:pPr>
      <w:spacing w:after="120" w:line="360" w:lineRule="auto"/>
      <w:ind w:left="1260" w:firstLine="480"/>
    </w:pPr>
    <w:rPr>
      <w:rFonts w:ascii="宋体" w:hAnsi="宋体" w:cs="Arial"/>
      <w:bCs/>
      <w:color w:val="000000"/>
      <w:kern w:val="0"/>
      <w:szCs w:val="21"/>
      <w:lang w:val="zh-CN"/>
    </w:rPr>
  </w:style>
  <w:style w:type="paragraph" w:styleId="af1">
    <w:name w:val="footnote text"/>
    <w:basedOn w:val="a0"/>
    <w:link w:val="Char9"/>
    <w:qFormat/>
    <w:pPr>
      <w:snapToGrid w:val="0"/>
      <w:jc w:val="left"/>
    </w:pPr>
    <w:rPr>
      <w:kern w:val="0"/>
      <w:sz w:val="18"/>
      <w:szCs w:val="18"/>
    </w:rPr>
  </w:style>
  <w:style w:type="paragraph" w:styleId="60">
    <w:name w:val="toc 6"/>
    <w:basedOn w:val="a0"/>
    <w:next w:val="a0"/>
    <w:qFormat/>
    <w:pPr>
      <w:spacing w:after="120" w:line="360" w:lineRule="auto"/>
      <w:ind w:left="2100" w:firstLine="480"/>
    </w:pPr>
    <w:rPr>
      <w:rFonts w:ascii="宋体" w:hAnsi="宋体" w:cs="Arial"/>
      <w:bCs/>
      <w:color w:val="000000"/>
      <w:kern w:val="0"/>
      <w:szCs w:val="21"/>
      <w:lang w:val="zh-CN"/>
    </w:rPr>
  </w:style>
  <w:style w:type="paragraph" w:styleId="31">
    <w:name w:val="Body Text Indent 3"/>
    <w:basedOn w:val="a0"/>
    <w:link w:val="3Char0"/>
    <w:qFormat/>
    <w:pPr>
      <w:spacing w:line="360" w:lineRule="auto"/>
      <w:ind w:firstLine="425"/>
    </w:pPr>
    <w:rPr>
      <w:rFonts w:ascii="宋体"/>
      <w:kern w:val="0"/>
      <w:sz w:val="20"/>
    </w:rPr>
  </w:style>
  <w:style w:type="paragraph" w:styleId="22">
    <w:name w:val="toc 2"/>
    <w:basedOn w:val="a0"/>
    <w:next w:val="a0"/>
    <w:qFormat/>
    <w:pPr>
      <w:spacing w:after="120" w:line="360" w:lineRule="auto"/>
      <w:ind w:left="420" w:firstLine="480"/>
    </w:pPr>
    <w:rPr>
      <w:rFonts w:ascii="宋体" w:hAnsi="宋体" w:cs="Arial"/>
      <w:bCs/>
      <w:color w:val="000000"/>
      <w:kern w:val="0"/>
      <w:szCs w:val="21"/>
      <w:lang w:val="zh-CN"/>
    </w:rPr>
  </w:style>
  <w:style w:type="paragraph" w:styleId="90">
    <w:name w:val="toc 9"/>
    <w:basedOn w:val="a0"/>
    <w:next w:val="a0"/>
    <w:qFormat/>
    <w:pPr>
      <w:spacing w:after="120" w:line="360" w:lineRule="auto"/>
      <w:ind w:left="3360" w:firstLine="480"/>
    </w:pPr>
    <w:rPr>
      <w:rFonts w:ascii="宋体" w:hAnsi="宋体" w:cs="Arial"/>
      <w:bCs/>
      <w:color w:val="000000"/>
      <w:kern w:val="0"/>
      <w:szCs w:val="21"/>
      <w:lang w:val="zh-CN"/>
    </w:rPr>
  </w:style>
  <w:style w:type="paragraph" w:styleId="23">
    <w:name w:val="Body Text 2"/>
    <w:basedOn w:val="a0"/>
    <w:link w:val="2Char1"/>
    <w:qFormat/>
    <w:rPr>
      <w:kern w:val="0"/>
      <w:sz w:val="28"/>
      <w:szCs w:val="20"/>
    </w:rPr>
  </w:style>
  <w:style w:type="paragraph" w:styleId="af2">
    <w:name w:val="Normal (Web)"/>
    <w:basedOn w:val="a0"/>
    <w:uiPriority w:val="99"/>
    <w:qFormat/>
    <w:pPr>
      <w:widowControl/>
      <w:spacing w:before="100" w:beforeAutospacing="1" w:after="100" w:afterAutospacing="1"/>
      <w:jc w:val="left"/>
    </w:pPr>
    <w:rPr>
      <w:rFonts w:ascii="宋体" w:hAnsi="宋体"/>
      <w:kern w:val="0"/>
      <w:sz w:val="24"/>
    </w:rPr>
  </w:style>
  <w:style w:type="paragraph" w:styleId="af3">
    <w:name w:val="Title"/>
    <w:basedOn w:val="a0"/>
    <w:link w:val="Chara"/>
    <w:qFormat/>
    <w:pPr>
      <w:autoSpaceDE w:val="0"/>
      <w:autoSpaceDN w:val="0"/>
      <w:adjustRightInd w:val="0"/>
      <w:spacing w:before="240" w:after="60"/>
      <w:jc w:val="center"/>
      <w:textAlignment w:val="baseline"/>
      <w:outlineLvl w:val="0"/>
    </w:pPr>
    <w:rPr>
      <w:rFonts w:ascii="Arial" w:hAnsi="Arial"/>
      <w:b/>
      <w:bCs/>
      <w:kern w:val="0"/>
      <w:sz w:val="32"/>
      <w:szCs w:val="32"/>
    </w:rPr>
  </w:style>
  <w:style w:type="paragraph" w:styleId="af4">
    <w:name w:val="annotation subject"/>
    <w:basedOn w:val="a8"/>
    <w:next w:val="a8"/>
    <w:link w:val="Charb"/>
    <w:qFormat/>
    <w:rPr>
      <w:b/>
      <w:bCs/>
    </w:rPr>
  </w:style>
  <w:style w:type="paragraph" w:styleId="af5">
    <w:name w:val="Body Text First Indent"/>
    <w:basedOn w:val="a9"/>
    <w:link w:val="Charc"/>
    <w:qFormat/>
    <w:pPr>
      <w:spacing w:after="120"/>
      <w:ind w:firstLineChars="100" w:firstLine="420"/>
    </w:pPr>
    <w:rPr>
      <w:rFonts w:ascii="Times New Roman" w:hAnsi="Times New Roman"/>
      <w:szCs w:val="24"/>
    </w:rPr>
  </w:style>
  <w:style w:type="table" w:styleId="af6">
    <w:name w:val="Table Grid"/>
    <w:basedOn w:val="a2"/>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7">
    <w:name w:val="Table Theme"/>
    <w:basedOn w:val="a2"/>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character" w:styleId="af8">
    <w:name w:val="Strong"/>
    <w:uiPriority w:val="22"/>
    <w:qFormat/>
    <w:rPr>
      <w:b/>
      <w:bCs/>
    </w:rPr>
  </w:style>
  <w:style w:type="character" w:styleId="af9">
    <w:name w:val="endnote reference"/>
    <w:qFormat/>
    <w:rPr>
      <w:vertAlign w:val="superscript"/>
    </w:rPr>
  </w:style>
  <w:style w:type="character" w:styleId="afa">
    <w:name w:val="page number"/>
    <w:basedOn w:val="a1"/>
    <w:qFormat/>
  </w:style>
  <w:style w:type="character" w:styleId="afb">
    <w:name w:val="FollowedHyperlink"/>
    <w:qFormat/>
    <w:rPr>
      <w:color w:val="800080"/>
      <w:u w:val="single"/>
    </w:rPr>
  </w:style>
  <w:style w:type="character" w:styleId="afc">
    <w:name w:val="Emphasis"/>
    <w:uiPriority w:val="20"/>
    <w:qFormat/>
    <w:rPr>
      <w:i/>
      <w:iCs/>
    </w:rPr>
  </w:style>
  <w:style w:type="character" w:styleId="afd">
    <w:name w:val="Hyperlink"/>
    <w:uiPriority w:val="99"/>
    <w:qFormat/>
    <w:rPr>
      <w:color w:val="0000FF"/>
      <w:u w:val="single"/>
    </w:rPr>
  </w:style>
  <w:style w:type="character" w:styleId="afe">
    <w:name w:val="annotation reference"/>
    <w:uiPriority w:val="99"/>
    <w:qFormat/>
    <w:rPr>
      <w:sz w:val="21"/>
      <w:szCs w:val="21"/>
    </w:rPr>
  </w:style>
  <w:style w:type="character" w:styleId="aff">
    <w:name w:val="footnote reference"/>
    <w:qFormat/>
    <w:rPr>
      <w:vertAlign w:val="superscript"/>
    </w:rPr>
  </w:style>
  <w:style w:type="character" w:customStyle="1" w:styleId="1Char">
    <w:name w:val="标题 1 Char"/>
    <w:link w:val="11"/>
    <w:qFormat/>
    <w:rPr>
      <w:rFonts w:ascii="宋体" w:eastAsia="黑体" w:hAnsi="Times New Roman" w:cs="Times New Roman"/>
      <w:kern w:val="0"/>
      <w:sz w:val="24"/>
      <w:szCs w:val="20"/>
    </w:rPr>
  </w:style>
  <w:style w:type="character" w:customStyle="1" w:styleId="2Char">
    <w:name w:val="标题 2 Char"/>
    <w:link w:val="20"/>
    <w:uiPriority w:val="9"/>
    <w:qFormat/>
    <w:rPr>
      <w:rFonts w:ascii="Arial" w:eastAsia="黑体" w:hAnsi="Arial" w:cs="Times New Roman"/>
      <w:b/>
      <w:kern w:val="0"/>
      <w:sz w:val="32"/>
      <w:szCs w:val="20"/>
    </w:rPr>
  </w:style>
  <w:style w:type="character" w:customStyle="1" w:styleId="3Char">
    <w:name w:val="标题 3 Char"/>
    <w:link w:val="3"/>
    <w:qFormat/>
    <w:rPr>
      <w:rFonts w:ascii="Times New Roman" w:hAnsi="Times New Roman"/>
      <w:b/>
      <w:bCs/>
      <w:szCs w:val="32"/>
    </w:rPr>
  </w:style>
  <w:style w:type="character" w:customStyle="1" w:styleId="4Char">
    <w:name w:val="标题 4 Char"/>
    <w:link w:val="4"/>
    <w:qFormat/>
    <w:rPr>
      <w:rFonts w:ascii="Arial" w:eastAsia="黑体" w:hAnsi="Arial" w:cs="Times New Roman"/>
      <w:b/>
      <w:kern w:val="0"/>
      <w:sz w:val="28"/>
      <w:szCs w:val="20"/>
    </w:rPr>
  </w:style>
  <w:style w:type="character" w:customStyle="1" w:styleId="5Char">
    <w:name w:val="标题 5 Char"/>
    <w:link w:val="5"/>
    <w:qFormat/>
    <w:rPr>
      <w:rFonts w:ascii="宋体" w:eastAsia="宋体" w:hAnsi="Times New Roman" w:cs="Times New Roman"/>
      <w:b/>
      <w:kern w:val="0"/>
      <w:sz w:val="28"/>
      <w:szCs w:val="20"/>
    </w:rPr>
  </w:style>
  <w:style w:type="character" w:customStyle="1" w:styleId="6Char">
    <w:name w:val="标题 6 Char"/>
    <w:link w:val="6"/>
    <w:qFormat/>
    <w:rPr>
      <w:rFonts w:ascii="Arial" w:eastAsia="黑体" w:hAnsi="Arial" w:cs="Times New Roman"/>
      <w:b/>
      <w:kern w:val="0"/>
      <w:sz w:val="24"/>
      <w:szCs w:val="20"/>
    </w:rPr>
  </w:style>
  <w:style w:type="character" w:customStyle="1" w:styleId="7Char">
    <w:name w:val="标题 7 Char"/>
    <w:link w:val="7"/>
    <w:qFormat/>
    <w:rPr>
      <w:rFonts w:ascii="宋体" w:eastAsia="宋体" w:hAnsi="Times New Roman" w:cs="Times New Roman"/>
      <w:b/>
      <w:kern w:val="0"/>
      <w:sz w:val="24"/>
      <w:szCs w:val="20"/>
    </w:rPr>
  </w:style>
  <w:style w:type="character" w:customStyle="1" w:styleId="8Char">
    <w:name w:val="标题 8 Char"/>
    <w:link w:val="8"/>
    <w:qFormat/>
    <w:rPr>
      <w:rFonts w:ascii="Arial" w:eastAsia="黑体" w:hAnsi="Arial" w:cs="Times New Roman"/>
      <w:kern w:val="0"/>
      <w:sz w:val="24"/>
      <w:szCs w:val="20"/>
    </w:rPr>
  </w:style>
  <w:style w:type="character" w:customStyle="1" w:styleId="9Char">
    <w:name w:val="标题 9 Char"/>
    <w:link w:val="9"/>
    <w:qFormat/>
    <w:rPr>
      <w:rFonts w:ascii="Arial" w:eastAsia="黑体" w:hAnsi="Arial"/>
    </w:rPr>
  </w:style>
  <w:style w:type="paragraph" w:customStyle="1" w:styleId="Chard">
    <w:name w:val="Char"/>
    <w:basedOn w:val="a0"/>
    <w:qFormat/>
    <w:pPr>
      <w:widowControl/>
      <w:spacing w:after="160" w:line="240" w:lineRule="exact"/>
      <w:jc w:val="left"/>
    </w:pPr>
    <w:rPr>
      <w:rFonts w:ascii="Verdana" w:hAnsi="Verdana"/>
      <w:kern w:val="0"/>
      <w:sz w:val="20"/>
      <w:szCs w:val="20"/>
      <w:lang w:eastAsia="en-US"/>
    </w:rPr>
  </w:style>
  <w:style w:type="character" w:customStyle="1" w:styleId="Char8">
    <w:name w:val="页眉 Char"/>
    <w:link w:val="af0"/>
    <w:uiPriority w:val="99"/>
    <w:qFormat/>
    <w:rPr>
      <w:rFonts w:ascii="Times New Roman" w:hAnsi="Times New Roman"/>
      <w:sz w:val="18"/>
      <w:szCs w:val="18"/>
    </w:rPr>
  </w:style>
  <w:style w:type="character" w:customStyle="1" w:styleId="Char7">
    <w:name w:val="页脚 Char"/>
    <w:link w:val="af"/>
    <w:uiPriority w:val="99"/>
    <w:qFormat/>
    <w:rPr>
      <w:rFonts w:ascii="Times New Roman" w:hAnsi="Times New Roman"/>
      <w:sz w:val="18"/>
      <w:szCs w:val="18"/>
    </w:rPr>
  </w:style>
  <w:style w:type="character" w:customStyle="1" w:styleId="Char4">
    <w:name w:val="日期 Char"/>
    <w:link w:val="ac"/>
    <w:qFormat/>
    <w:rPr>
      <w:rFonts w:ascii="宋体" w:eastAsia="宋体" w:hAnsi="宋体" w:cs="Times New Roman"/>
      <w:kern w:val="0"/>
      <w:sz w:val="24"/>
      <w:szCs w:val="21"/>
    </w:rPr>
  </w:style>
  <w:style w:type="character" w:customStyle="1" w:styleId="Char1">
    <w:name w:val="正文文本 Char"/>
    <w:link w:val="a9"/>
    <w:qFormat/>
    <w:rPr>
      <w:rFonts w:ascii="宋体" w:eastAsia="宋体" w:hAnsi="宋体" w:cs="Times New Roman"/>
      <w:kern w:val="0"/>
      <w:sz w:val="24"/>
      <w:szCs w:val="21"/>
    </w:rPr>
  </w:style>
  <w:style w:type="character" w:customStyle="1" w:styleId="Char2">
    <w:name w:val="正文文本缩进 Char"/>
    <w:link w:val="aa"/>
    <w:qFormat/>
    <w:rPr>
      <w:rFonts w:ascii="Times New Roman" w:hAnsi="Times New Roman"/>
      <w:sz w:val="24"/>
    </w:rPr>
  </w:style>
  <w:style w:type="character" w:customStyle="1" w:styleId="2Char1">
    <w:name w:val="正文文本 2 Char"/>
    <w:link w:val="23"/>
    <w:qFormat/>
    <w:rPr>
      <w:rFonts w:ascii="Times New Roman" w:hAnsi="Times New Roman"/>
      <w:sz w:val="28"/>
    </w:rPr>
  </w:style>
  <w:style w:type="character" w:customStyle="1" w:styleId="tt11">
    <w:name w:val="tt11"/>
    <w:qFormat/>
    <w:rPr>
      <w:spacing w:val="400"/>
      <w:sz w:val="22"/>
      <w:szCs w:val="22"/>
    </w:rPr>
  </w:style>
  <w:style w:type="character" w:customStyle="1" w:styleId="2Char0">
    <w:name w:val="正文文本缩进 2 Char"/>
    <w:link w:val="21"/>
    <w:qFormat/>
    <w:rPr>
      <w:rFonts w:ascii="宋体" w:hAnsi="宋体"/>
      <w:color w:val="FF0000"/>
      <w:szCs w:val="24"/>
    </w:rPr>
  </w:style>
  <w:style w:type="character" w:customStyle="1" w:styleId="c">
    <w:name w:val="c"/>
    <w:basedOn w:val="a1"/>
    <w:qFormat/>
  </w:style>
  <w:style w:type="character" w:customStyle="1" w:styleId="3Char0">
    <w:name w:val="正文文本缩进 3 Char"/>
    <w:link w:val="31"/>
    <w:qFormat/>
    <w:rPr>
      <w:rFonts w:ascii="宋体" w:hAnsi="Times New Roman"/>
      <w:szCs w:val="24"/>
    </w:rPr>
  </w:style>
  <w:style w:type="character" w:customStyle="1" w:styleId="read">
    <w:name w:val="read"/>
    <w:basedOn w:val="a1"/>
    <w:qFormat/>
  </w:style>
  <w:style w:type="character" w:customStyle="1" w:styleId="read1">
    <w:name w:val="read1"/>
    <w:qFormat/>
    <w:rPr>
      <w:rFonts w:hint="default"/>
      <w:color w:val="000000"/>
      <w:spacing w:val="450"/>
      <w:u w:val="none"/>
    </w:rPr>
  </w:style>
  <w:style w:type="paragraph" w:customStyle="1" w:styleId="2">
    <w:name w:val="列表2"/>
    <w:basedOn w:val="a0"/>
    <w:next w:val="af3"/>
    <w:qFormat/>
    <w:pPr>
      <w:numPr>
        <w:numId w:val="1"/>
      </w:numPr>
      <w:spacing w:line="360" w:lineRule="auto"/>
    </w:pPr>
    <w:rPr>
      <w:rFonts w:ascii="宋体"/>
      <w:szCs w:val="20"/>
    </w:rPr>
  </w:style>
  <w:style w:type="character" w:customStyle="1" w:styleId="Chara">
    <w:name w:val="标题 Char"/>
    <w:link w:val="af3"/>
    <w:qFormat/>
    <w:rPr>
      <w:rFonts w:ascii="Arial" w:eastAsia="宋体" w:hAnsi="Arial" w:cs="Arial"/>
      <w:b/>
      <w:bCs/>
      <w:kern w:val="0"/>
      <w:sz w:val="32"/>
      <w:szCs w:val="32"/>
    </w:rPr>
  </w:style>
  <w:style w:type="paragraph" w:customStyle="1" w:styleId="1">
    <w:name w:val="列表1"/>
    <w:basedOn w:val="a0"/>
    <w:next w:val="a0"/>
    <w:qFormat/>
    <w:pPr>
      <w:numPr>
        <w:numId w:val="2"/>
      </w:numPr>
      <w:spacing w:line="360" w:lineRule="auto"/>
    </w:pPr>
    <w:rPr>
      <w:szCs w:val="20"/>
    </w:rPr>
  </w:style>
  <w:style w:type="paragraph" w:customStyle="1" w:styleId="Default">
    <w:name w:val="Default"/>
    <w:pPr>
      <w:widowControl w:val="0"/>
      <w:autoSpaceDE w:val="0"/>
      <w:autoSpaceDN w:val="0"/>
      <w:adjustRightInd w:val="0"/>
    </w:pPr>
    <w:rPr>
      <w:rFonts w:ascii="宋体" w:hAnsi="Times New Roman"/>
      <w:color w:val="000000"/>
      <w:sz w:val="24"/>
      <w:szCs w:val="24"/>
    </w:rPr>
  </w:style>
  <w:style w:type="character" w:customStyle="1" w:styleId="font21">
    <w:name w:val="font21"/>
    <w:rPr>
      <w:color w:val="CC6600"/>
      <w:sz w:val="20"/>
      <w:szCs w:val="20"/>
    </w:rPr>
  </w:style>
  <w:style w:type="character" w:customStyle="1" w:styleId="big1">
    <w:name w:val="big1"/>
    <w:rPr>
      <w:spacing w:val="360"/>
      <w:sz w:val="25"/>
      <w:szCs w:val="25"/>
    </w:rPr>
  </w:style>
  <w:style w:type="paragraph" w:customStyle="1" w:styleId="content">
    <w:name w:val="content"/>
    <w:basedOn w:val="a0"/>
    <w:qFormat/>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a"/>
    <w:pPr>
      <w:spacing w:line="360" w:lineRule="auto"/>
      <w:ind w:firstLine="0"/>
    </w:pPr>
    <w:rPr>
      <w:szCs w:val="24"/>
    </w:rPr>
  </w:style>
  <w:style w:type="character" w:customStyle="1" w:styleId="Char3">
    <w:name w:val="纯文本 Char"/>
    <w:link w:val="ab"/>
    <w:qFormat/>
    <w:rPr>
      <w:rFonts w:ascii="Arial Unicode MS" w:eastAsia="Arial Unicode MS" w:hAnsi="Arial Unicode MS" w:cs="Arial Unicode MS"/>
      <w:kern w:val="0"/>
      <w:sz w:val="24"/>
      <w:szCs w:val="24"/>
    </w:rPr>
  </w:style>
  <w:style w:type="paragraph" w:customStyle="1" w:styleId="2211">
    <w:name w:val="样式 标题 2 + 首行缩进:  2 字符 段前: 1 行 段后: 1 行"/>
    <w:basedOn w:val="20"/>
    <w:qFormat/>
    <w:pPr>
      <w:tabs>
        <w:tab w:val="left"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qFormat/>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qFormat/>
    <w:pPr>
      <w:spacing w:line="360" w:lineRule="auto"/>
    </w:pPr>
    <w:rPr>
      <w:rFonts w:ascii="宋体" w:hAnsi="宋体"/>
      <w:sz w:val="24"/>
      <w:szCs w:val="20"/>
    </w:rPr>
  </w:style>
  <w:style w:type="paragraph" w:customStyle="1" w:styleId="aff0">
    <w:name w:val="正文所"/>
    <w:basedOn w:val="a0"/>
    <w:pPr>
      <w:spacing w:line="360" w:lineRule="auto"/>
      <w:ind w:firstLineChars="200" w:firstLine="420"/>
    </w:pPr>
    <w:rPr>
      <w:rFonts w:ascii="宋体"/>
      <w:szCs w:val="20"/>
    </w:rPr>
  </w:style>
  <w:style w:type="paragraph" w:customStyle="1" w:styleId="aff1">
    <w:name w:val="正文正文"/>
    <w:basedOn w:val="a0"/>
    <w:pPr>
      <w:spacing w:afterLines="25" w:line="360" w:lineRule="auto"/>
      <w:ind w:firstLineChars="200" w:firstLine="200"/>
    </w:pPr>
    <w:rPr>
      <w:sz w:val="24"/>
    </w:rPr>
  </w:style>
  <w:style w:type="paragraph" w:customStyle="1" w:styleId="CharCharCharChar">
    <w:name w:val="Char Char Char Char"/>
    <w:basedOn w:val="a0"/>
    <w:qFormat/>
    <w:pPr>
      <w:tabs>
        <w:tab w:val="left" w:pos="360"/>
      </w:tabs>
    </w:pPr>
    <w:rPr>
      <w:sz w:val="24"/>
    </w:rPr>
  </w:style>
  <w:style w:type="character" w:customStyle="1" w:styleId="Char9">
    <w:name w:val="脚注文本 Char"/>
    <w:link w:val="af1"/>
    <w:rPr>
      <w:rFonts w:ascii="Times New Roman" w:hAnsi="Times New Roman"/>
      <w:sz w:val="18"/>
      <w:szCs w:val="18"/>
    </w:rPr>
  </w:style>
  <w:style w:type="paragraph" w:customStyle="1" w:styleId="Char20">
    <w:name w:val="Char2"/>
    <w:basedOn w:val="a0"/>
    <w:qFormat/>
  </w:style>
  <w:style w:type="paragraph" w:customStyle="1" w:styleId="Char1CharCharCharChar">
    <w:name w:val="Char1 Char Char Char Char"/>
    <w:basedOn w:val="a0"/>
    <w:qFormat/>
    <w:pPr>
      <w:widowControl/>
      <w:spacing w:after="160" w:line="240" w:lineRule="exact"/>
      <w:jc w:val="left"/>
    </w:pPr>
    <w:rPr>
      <w:rFonts w:ascii="Verdana" w:hAnsi="Verdana" w:cs="Verdana"/>
      <w:kern w:val="0"/>
      <w:sz w:val="20"/>
      <w:szCs w:val="20"/>
      <w:lang w:eastAsia="en-US"/>
    </w:rPr>
  </w:style>
  <w:style w:type="character" w:customStyle="1" w:styleId="Char6">
    <w:name w:val="批注框文本 Char"/>
    <w:link w:val="ae"/>
    <w:semiHidden/>
    <w:qFormat/>
    <w:rPr>
      <w:rFonts w:ascii="Times New Roman" w:hAnsi="Times New Roman"/>
      <w:sz w:val="18"/>
      <w:szCs w:val="18"/>
    </w:rPr>
  </w:style>
  <w:style w:type="paragraph" w:customStyle="1" w:styleId="ParaChar">
    <w:name w:val="默认段落字体 Para Char"/>
    <w:basedOn w:val="a0"/>
    <w:qFormat/>
    <w:pPr>
      <w:tabs>
        <w:tab w:val="left" w:pos="757"/>
      </w:tabs>
      <w:ind w:firstLine="397"/>
    </w:pPr>
    <w:rPr>
      <w:sz w:val="24"/>
    </w:rPr>
  </w:style>
  <w:style w:type="character" w:customStyle="1" w:styleId="msoins0">
    <w:name w:val="msoins"/>
    <w:basedOn w:val="a1"/>
    <w:qFormat/>
  </w:style>
  <w:style w:type="character" w:customStyle="1" w:styleId="Char0">
    <w:name w:val="批注文字 Char"/>
    <w:link w:val="a8"/>
    <w:uiPriority w:val="99"/>
    <w:qFormat/>
    <w:rPr>
      <w:rFonts w:ascii="Times New Roman" w:hAnsi="Times New Roman"/>
      <w:szCs w:val="24"/>
    </w:rPr>
  </w:style>
  <w:style w:type="character" w:customStyle="1" w:styleId="Charb">
    <w:name w:val="批注主题 Char"/>
    <w:link w:val="af4"/>
    <w:qFormat/>
    <w:rPr>
      <w:rFonts w:ascii="Times New Roman" w:hAnsi="Times New Roman"/>
      <w:b/>
      <w:bCs/>
      <w:szCs w:val="24"/>
    </w:rPr>
  </w:style>
  <w:style w:type="character" w:customStyle="1" w:styleId="unnamed11">
    <w:name w:val="unnamed11"/>
    <w:qFormat/>
    <w:rPr>
      <w:rFonts w:ascii="宋体" w:eastAsia="宋体" w:hAnsi="宋体" w:hint="eastAsia"/>
      <w:sz w:val="18"/>
      <w:szCs w:val="18"/>
    </w:rPr>
  </w:style>
  <w:style w:type="character" w:customStyle="1" w:styleId="Charc">
    <w:name w:val="正文首行缩进 Char"/>
    <w:link w:val="af5"/>
    <w:qFormat/>
    <w:rPr>
      <w:rFonts w:ascii="Times New Roman" w:hAnsi="Times New Roman"/>
      <w:sz w:val="24"/>
      <w:szCs w:val="24"/>
    </w:rPr>
  </w:style>
  <w:style w:type="paragraph" w:customStyle="1" w:styleId="BS8">
    <w:name w:val="BS标题8"/>
    <w:basedOn w:val="20"/>
    <w:link w:val="BS8Char"/>
    <w:qFormat/>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qFormat/>
    <w:rPr>
      <w:rFonts w:ascii="Times New Roman" w:hAnsi="Times New Roman"/>
      <w:szCs w:val="32"/>
    </w:rPr>
  </w:style>
  <w:style w:type="paragraph" w:customStyle="1" w:styleId="14">
    <w:name w:val="修订1"/>
    <w:hidden/>
    <w:uiPriority w:val="99"/>
    <w:semiHidden/>
    <w:qFormat/>
    <w:rPr>
      <w:rFonts w:ascii="Times New Roman" w:hAnsi="Times New Roman"/>
      <w:kern w:val="2"/>
      <w:sz w:val="21"/>
      <w:szCs w:val="24"/>
    </w:rPr>
  </w:style>
  <w:style w:type="character" w:customStyle="1" w:styleId="Char">
    <w:name w:val="文档结构图 Char"/>
    <w:link w:val="a7"/>
    <w:qFormat/>
    <w:rPr>
      <w:rFonts w:ascii="宋体" w:hAnsi="宋体"/>
      <w:bCs/>
      <w:color w:val="000000"/>
      <w:szCs w:val="21"/>
      <w:shd w:val="clear" w:color="auto" w:fill="000080"/>
      <w:lang w:val="zh-CN"/>
    </w:rPr>
  </w:style>
  <w:style w:type="paragraph" w:customStyle="1" w:styleId="24">
    <w:name w:val="编号正文2"/>
    <w:basedOn w:val="a0"/>
    <w:qFormat/>
    <w:pPr>
      <w:autoSpaceDE w:val="0"/>
      <w:autoSpaceDN w:val="0"/>
      <w:adjustRightInd w:val="0"/>
      <w:spacing w:after="120" w:line="300" w:lineRule="auto"/>
      <w:ind w:firstLine="480"/>
      <w:textAlignment w:val="baseline"/>
    </w:pPr>
    <w:rPr>
      <w:rFonts w:ascii="宋体"/>
      <w:color w:val="000000"/>
      <w:kern w:val="0"/>
      <w:szCs w:val="21"/>
      <w:lang w:val="zh-CN"/>
    </w:rPr>
  </w:style>
  <w:style w:type="paragraph" w:customStyle="1" w:styleId="a">
    <w:name w:val="项目"/>
    <w:basedOn w:val="4"/>
    <w:qFormat/>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qFormat/>
    <w:rPr>
      <w:rFonts w:ascii="ˎ̥" w:hAnsi="ˎ̥" w:hint="default"/>
      <w:color w:val="000000"/>
      <w:sz w:val="21"/>
      <w:szCs w:val="21"/>
    </w:rPr>
  </w:style>
  <w:style w:type="paragraph" w:styleId="aff2">
    <w:name w:val="List Paragraph"/>
    <w:basedOn w:val="a0"/>
    <w:uiPriority w:val="34"/>
    <w:qFormat/>
    <w:pPr>
      <w:spacing w:after="120" w:line="360" w:lineRule="auto"/>
      <w:ind w:firstLineChars="200" w:firstLine="420"/>
    </w:pPr>
    <w:rPr>
      <w:rFonts w:ascii="宋体" w:hAnsi="宋体" w:cs="Arial"/>
      <w:bCs/>
      <w:color w:val="000000"/>
      <w:kern w:val="0"/>
      <w:szCs w:val="21"/>
      <w:lang w:val="zh-CN"/>
    </w:rPr>
  </w:style>
  <w:style w:type="character" w:customStyle="1" w:styleId="c1">
    <w:name w:val="c1"/>
    <w:qFormat/>
    <w:rPr>
      <w:color w:val="000000"/>
      <w:spacing w:val="257"/>
      <w:sz w:val="15"/>
      <w:szCs w:val="15"/>
    </w:rPr>
  </w:style>
  <w:style w:type="character" w:customStyle="1" w:styleId="Char5">
    <w:name w:val="尾注文本 Char"/>
    <w:link w:val="ad"/>
    <w:qFormat/>
    <w:rPr>
      <w:rFonts w:ascii="Times New Roman" w:hAnsi="Times New Roman"/>
    </w:rPr>
  </w:style>
  <w:style w:type="paragraph" w:customStyle="1" w:styleId="CharCharCharCharChar1Char">
    <w:name w:val="Char Char Char Char Char1 Char"/>
    <w:basedOn w:val="a0"/>
    <w:qFormat/>
  </w:style>
  <w:style w:type="paragraph" w:customStyle="1" w:styleId="CharCharCharChar1">
    <w:name w:val="Char Char Char Char1"/>
    <w:basedOn w:val="a0"/>
    <w:qFormat/>
    <w:pPr>
      <w:tabs>
        <w:tab w:val="left" w:pos="360"/>
      </w:tabs>
      <w:spacing w:before="312" w:after="312" w:line="360" w:lineRule="auto"/>
    </w:pPr>
    <w:rPr>
      <w:sz w:val="24"/>
    </w:rPr>
  </w:style>
  <w:style w:type="paragraph" w:customStyle="1" w:styleId="16">
    <w:name w:val="列出段落1"/>
    <w:basedOn w:val="a0"/>
    <w:qFormat/>
    <w:pPr>
      <w:ind w:firstLineChars="200" w:firstLine="420"/>
    </w:pPr>
    <w:rPr>
      <w:rFonts w:ascii="Calibri" w:hAnsi="Calibri"/>
      <w:szCs w:val="22"/>
    </w:rPr>
  </w:style>
  <w:style w:type="paragraph" w:customStyle="1" w:styleId="Char10">
    <w:name w:val="Char1"/>
    <w:basedOn w:val="a0"/>
    <w:qFormat/>
    <w:pPr>
      <w:tabs>
        <w:tab w:val="left" w:pos="360"/>
      </w:tabs>
    </w:pPr>
    <w:rPr>
      <w:sz w:val="24"/>
    </w:rPr>
  </w:style>
  <w:style w:type="paragraph" w:customStyle="1" w:styleId="ParaCharCharCharCharCharCharChar">
    <w:name w:val="默认段落字体 Para Char Char Char Char Char Char Char"/>
    <w:basedOn w:val="a0"/>
    <w:qFormat/>
    <w:pPr>
      <w:widowControl/>
      <w:jc w:val="left"/>
    </w:pPr>
    <w:rPr>
      <w:sz w:val="24"/>
    </w:rPr>
  </w:style>
  <w:style w:type="paragraph" w:customStyle="1" w:styleId="CharCharCharChar11">
    <w:name w:val="Char Char Char Char11"/>
    <w:basedOn w:val="a0"/>
    <w:qFormat/>
    <w:rPr>
      <w:szCs w:val="20"/>
    </w:rPr>
  </w:style>
  <w:style w:type="character" w:customStyle="1" w:styleId="apple-style-span">
    <w:name w:val="apple-style-span"/>
    <w:basedOn w:val="a1"/>
    <w:qFormat/>
  </w:style>
  <w:style w:type="paragraph" w:customStyle="1" w:styleId="Char30">
    <w:name w:val="Char3"/>
    <w:basedOn w:val="a0"/>
    <w:qFormat/>
    <w:pPr>
      <w:tabs>
        <w:tab w:val="left" w:pos="360"/>
      </w:tabs>
    </w:pPr>
    <w:rPr>
      <w:sz w:val="24"/>
    </w:rPr>
  </w:style>
  <w:style w:type="paragraph" w:customStyle="1" w:styleId="CharCharCharChar12">
    <w:name w:val="Char Char Char Char12"/>
    <w:basedOn w:val="a0"/>
    <w:qFormat/>
    <w:rPr>
      <w:szCs w:val="20"/>
    </w:rPr>
  </w:style>
  <w:style w:type="paragraph" w:customStyle="1" w:styleId="zhangjiep">
    <w:name w:val="zhangjie_p"/>
    <w:basedOn w:val="a0"/>
    <w:qFormat/>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qFormat/>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qFormat/>
    <w:pPr>
      <w:widowControl/>
      <w:spacing w:before="100" w:beforeAutospacing="1" w:after="100" w:afterAutospacing="1"/>
      <w:jc w:val="left"/>
    </w:pPr>
    <w:rPr>
      <w:rFonts w:ascii="宋体" w:hAnsi="宋体" w:cs="宋体"/>
      <w:vanish/>
      <w:kern w:val="0"/>
      <w:sz w:val="24"/>
    </w:rPr>
  </w:style>
  <w:style w:type="paragraph" w:customStyle="1" w:styleId="25">
    <w:name w:val="修订2"/>
    <w:hidden/>
    <w:uiPriority w:val="99"/>
    <w:semiHidden/>
    <w:qFormat/>
    <w:rPr>
      <w:rFonts w:ascii="Times New Roman" w:hAnsi="Times New Roman"/>
      <w:kern w:val="2"/>
      <w:sz w:val="21"/>
      <w:szCs w:val="24"/>
    </w:rPr>
  </w:style>
  <w:style w:type="table" w:customStyle="1" w:styleId="17">
    <w:name w:val="网格型1"/>
    <w:basedOn w:val="a2"/>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settings" Target="settings.xml"/><Relationship Id="rId26" Type="http://schemas.openxmlformats.org/officeDocument/2006/relationships/header" Target="header3.xml"/><Relationship Id="rId39" Type="http://schemas.openxmlformats.org/officeDocument/2006/relationships/footer" Target="footer6.xml"/><Relationship Id="rId21" Type="http://schemas.openxmlformats.org/officeDocument/2006/relationships/endnotes" Target="endnotes.xml"/><Relationship Id="rId34" Type="http://schemas.openxmlformats.org/officeDocument/2006/relationships/hyperlink" Target="http://www.jianfortune.com" TargetMode="External"/><Relationship Id="rId42" Type="http://schemas.openxmlformats.org/officeDocument/2006/relationships/footer" Target="footer8.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numbering" Target="numbering.xm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1.xml"/><Relationship Id="rId32" Type="http://schemas.openxmlformats.org/officeDocument/2006/relationships/hyperlink" Target="http://www.5ifund.com" TargetMode="External"/><Relationship Id="rId37" Type="http://schemas.openxmlformats.org/officeDocument/2006/relationships/hyperlink" Target="http://danjuanapp.com/" TargetMode="External"/><Relationship Id="rId40" Type="http://schemas.openxmlformats.org/officeDocument/2006/relationships/footer" Target="footer7.xml"/><Relationship Id="rId45"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header" Target="header2.xml"/><Relationship Id="rId28" Type="http://schemas.openxmlformats.org/officeDocument/2006/relationships/footer" Target="footer4.xml"/><Relationship Id="rId36" Type="http://schemas.openxmlformats.org/officeDocument/2006/relationships/hyperlink" Target="http://www.jjmmw.com" TargetMode="External"/><Relationship Id="rId10" Type="http://schemas.openxmlformats.org/officeDocument/2006/relationships/customXml" Target="../customXml/item10.xml"/><Relationship Id="rId19" Type="http://schemas.openxmlformats.org/officeDocument/2006/relationships/webSettings" Target="webSettings.xml"/><Relationship Id="rId31" Type="http://schemas.openxmlformats.org/officeDocument/2006/relationships/hyperlink" Target="http://www.fund123.cn" TargetMode="External"/><Relationship Id="rId44"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hyperlink" Target="http://www.csco.com.cn" TargetMode="External"/><Relationship Id="rId35" Type="http://schemas.openxmlformats.org/officeDocument/2006/relationships/hyperlink" Target="http://www.zlfund.cn" TargetMode="External"/><Relationship Id="rId43" Type="http://schemas.openxmlformats.org/officeDocument/2006/relationships/image" Target="media/image1.jpeg"/><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styles" Target="styles.xml"/><Relationship Id="rId25" Type="http://schemas.openxmlformats.org/officeDocument/2006/relationships/footer" Target="footer2.xml"/><Relationship Id="rId33" Type="http://schemas.openxmlformats.org/officeDocument/2006/relationships/hyperlink" Target="http://www.yingmi.cn" TargetMode="External"/><Relationship Id="rId38" Type="http://schemas.openxmlformats.org/officeDocument/2006/relationships/hyperlink" Target="http://www.wacaijijin.com" TargetMode="External"/><Relationship Id="rId46" Type="http://schemas.openxmlformats.org/officeDocument/2006/relationships/theme" Target="theme/theme1.xml"/><Relationship Id="rId20" Type="http://schemas.openxmlformats.org/officeDocument/2006/relationships/footnotes" Target="footnotes.xml"/><Relationship Id="rId41"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3305F8-E175-4B5C-AEF7-27E883FD30A7}">
  <ds:schemaRefs>
    <ds:schemaRef ds:uri="http://schemas.openxmlformats.org/officeDocument/2006/bibliography"/>
  </ds:schemaRefs>
</ds:datastoreItem>
</file>

<file path=customXml/itemProps3.xml><?xml version="1.0" encoding="utf-8"?>
<ds:datastoreItem xmlns:ds="http://schemas.openxmlformats.org/officeDocument/2006/customXml" ds:itemID="{24DC5008-3340-47D5-B8D9-51CC7F6F1F9A}">
  <ds:schemaRefs>
    <ds:schemaRef ds:uri="http://schemas.openxmlformats.org/officeDocument/2006/bibliography"/>
  </ds:schemaRefs>
</ds:datastoreItem>
</file>

<file path=customXml/itemProps4.xml><?xml version="1.0" encoding="utf-8"?>
<ds:datastoreItem xmlns:ds="http://schemas.openxmlformats.org/officeDocument/2006/customXml" ds:itemID="{EFC6DA7B-28D2-4968-928E-98F07322ABD7}">
  <ds:schemaRefs>
    <ds:schemaRef ds:uri="http://schemas.openxmlformats.org/officeDocument/2006/bibliography"/>
  </ds:schemaRefs>
</ds:datastoreItem>
</file>

<file path=customXml/itemProps5.xml><?xml version="1.0" encoding="utf-8"?>
<ds:datastoreItem xmlns:ds="http://schemas.openxmlformats.org/officeDocument/2006/customXml" ds:itemID="{EBD08823-BCC8-4431-9FCA-D98D478B736C}">
  <ds:schemaRefs>
    <ds:schemaRef ds:uri="http://schemas.openxmlformats.org/officeDocument/2006/bibliography"/>
  </ds:schemaRefs>
</ds:datastoreItem>
</file>

<file path=customXml/itemProps6.xml><?xml version="1.0" encoding="utf-8"?>
<ds:datastoreItem xmlns:ds="http://schemas.openxmlformats.org/officeDocument/2006/customXml" ds:itemID="{D0648134-A01E-42E0-8532-F209E393530C}">
  <ds:schemaRefs>
    <ds:schemaRef ds:uri="http://schemas.openxmlformats.org/officeDocument/2006/bibliography"/>
  </ds:schemaRefs>
</ds:datastoreItem>
</file>

<file path=customXml/itemProps7.xml><?xml version="1.0" encoding="utf-8"?>
<ds:datastoreItem xmlns:ds="http://schemas.openxmlformats.org/officeDocument/2006/customXml" ds:itemID="{39BFE3E4-D0AF-4860-9672-107EFEEB9EA9}">
  <ds:schemaRefs>
    <ds:schemaRef ds:uri="http://schemas.openxmlformats.org/officeDocument/2006/bibliography"/>
  </ds:schemaRefs>
</ds:datastoreItem>
</file>

<file path=customXml/itemProps8.xml><?xml version="1.0" encoding="utf-8"?>
<ds:datastoreItem xmlns:ds="http://schemas.openxmlformats.org/officeDocument/2006/customXml" ds:itemID="{19720BAC-9287-4FC5-8AEB-312EC0D83ABE}">
  <ds:schemaRefs>
    <ds:schemaRef ds:uri="http://schemas.openxmlformats.org/officeDocument/2006/bibliography"/>
  </ds:schemaRefs>
</ds:datastoreItem>
</file>

<file path=customXml/itemProps9.xml><?xml version="1.0" encoding="utf-8"?>
<ds:datastoreItem xmlns:ds="http://schemas.openxmlformats.org/officeDocument/2006/customXml" ds:itemID="{985B26BB-BEB4-4832-821D-2C7A3770ABF0}">
  <ds:schemaRefs>
    <ds:schemaRef ds:uri="http://schemas.openxmlformats.org/officeDocument/2006/bibliography"/>
  </ds:schemaRefs>
</ds:datastoreItem>
</file>

<file path=customXml/itemProps10.xml><?xml version="1.0" encoding="utf-8"?>
<ds:datastoreItem xmlns:ds="http://schemas.openxmlformats.org/officeDocument/2006/customXml" ds:itemID="{409F50D3-3C8F-4F92-9904-5E67BC10109A}">
  <ds:schemaRefs>
    <ds:schemaRef ds:uri="http://schemas.openxmlformats.org/officeDocument/2006/bibliography"/>
  </ds:schemaRefs>
</ds:datastoreItem>
</file>

<file path=customXml/itemProps11.xml><?xml version="1.0" encoding="utf-8"?>
<ds:datastoreItem xmlns:ds="http://schemas.openxmlformats.org/officeDocument/2006/customXml" ds:itemID="{1591E928-ED25-4801-AF68-C8EB32AE665F}">
  <ds:schemaRefs>
    <ds:schemaRef ds:uri="http://schemas.openxmlformats.org/officeDocument/2006/bibliography"/>
  </ds:schemaRefs>
</ds:datastoreItem>
</file>

<file path=customXml/itemProps12.xml><?xml version="1.0" encoding="utf-8"?>
<ds:datastoreItem xmlns:ds="http://schemas.openxmlformats.org/officeDocument/2006/customXml" ds:itemID="{EA2F5F29-88B5-4572-BD9B-25E50B13ED40}">
  <ds:schemaRefs>
    <ds:schemaRef ds:uri="http://schemas.openxmlformats.org/officeDocument/2006/bibliography"/>
  </ds:schemaRefs>
</ds:datastoreItem>
</file>

<file path=customXml/itemProps13.xml><?xml version="1.0" encoding="utf-8"?>
<ds:datastoreItem xmlns:ds="http://schemas.openxmlformats.org/officeDocument/2006/customXml" ds:itemID="{462EBB29-D1D5-4764-88D4-CDE85F1872A8}">
  <ds:schemaRefs>
    <ds:schemaRef ds:uri="http://schemas.openxmlformats.org/officeDocument/2006/bibliography"/>
  </ds:schemaRefs>
</ds:datastoreItem>
</file>

<file path=customXml/itemProps14.xml><?xml version="1.0" encoding="utf-8"?>
<ds:datastoreItem xmlns:ds="http://schemas.openxmlformats.org/officeDocument/2006/customXml" ds:itemID="{07E0A5E9-DD77-4932-AB27-4CCCB1EF3C22}">
  <ds:schemaRefs>
    <ds:schemaRef ds:uri="http://schemas.openxmlformats.org/officeDocument/2006/bibliography"/>
  </ds:schemaRefs>
</ds:datastoreItem>
</file>

<file path=customXml/itemProps15.xml><?xml version="1.0" encoding="utf-8"?>
<ds:datastoreItem xmlns:ds="http://schemas.openxmlformats.org/officeDocument/2006/customXml" ds:itemID="{1D5EC950-AE4A-49AA-8477-2B108D581C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1</Pages>
  <Words>12865</Words>
  <Characters>73332</Characters>
  <Application>Microsoft Office Word</Application>
  <DocSecurity>0</DocSecurity>
  <Lines>611</Lines>
  <Paragraphs>172</Paragraphs>
  <ScaleCrop>false</ScaleCrop>
  <LinksUpToDate>false</LinksUpToDate>
  <CharactersWithSpaces>86025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xuzheng</cp:lastModifiedBy>
  <cp:lastPrinted>2016-09-23T01:23:00Z</cp:lastPrinted>
  <dcterms:created xsi:type="dcterms:W3CDTF">2021-03-26T08:07:00Z</dcterms:created>
  <dcterms:modified xsi:type="dcterms:W3CDTF">2022-03-22T02:46:00Z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F07FDB65FF394849BB5DE00809701268</vt:lpwstr>
  </property>
</Properties>
</file>