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45" w:after="100" w:afterAutospacing="1"/>
        <w:jc w:val="center"/>
        <w:outlineLvl w:val="1"/>
        <w:rPr>
          <w:rFonts w:ascii="Verdana" w:hAnsi="Verdana" w:eastAsia="宋体" w:cs="宋体"/>
          <w:b/>
          <w:bCs/>
          <w:kern w:val="36"/>
          <w:sz w:val="36"/>
          <w:szCs w:val="36"/>
        </w:rPr>
      </w:pPr>
      <w:r>
        <w:rPr>
          <w:rFonts w:hint="eastAsia" w:ascii="Verdana" w:hAnsi="Verdana" w:eastAsia="宋体" w:cs="宋体"/>
          <w:b/>
          <w:bCs/>
          <w:kern w:val="36"/>
          <w:sz w:val="36"/>
          <w:szCs w:val="36"/>
        </w:rPr>
        <w:t>富荣</w:t>
      </w:r>
      <w:r>
        <w:rPr>
          <w:rFonts w:ascii="Verdana" w:hAnsi="Verdana" w:eastAsia="宋体" w:cs="宋体"/>
          <w:b/>
          <w:bCs/>
          <w:kern w:val="36"/>
          <w:sz w:val="36"/>
          <w:szCs w:val="36"/>
        </w:rPr>
        <w:t>基金管理有限公司关于旗下部分基金参加</w:t>
      </w:r>
      <w:r>
        <w:rPr>
          <w:rFonts w:hint="eastAsia" w:ascii="Verdana" w:hAnsi="Verdana" w:eastAsia="宋体" w:cs="宋体"/>
          <w:b/>
          <w:bCs/>
          <w:kern w:val="36"/>
          <w:sz w:val="36"/>
          <w:szCs w:val="36"/>
        </w:rPr>
        <w:t>万联证券股份有限公司</w:t>
      </w:r>
      <w:r>
        <w:rPr>
          <w:rFonts w:ascii="Verdana" w:hAnsi="Verdana" w:eastAsia="宋体" w:cs="宋体"/>
          <w:b/>
          <w:bCs/>
          <w:kern w:val="36"/>
          <w:sz w:val="36"/>
          <w:szCs w:val="36"/>
        </w:rPr>
        <w:t>基金认购、申购及定期定额投资申购费率优惠活动的公告</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为更好地满足广大投资者的理财需求，经富荣基金管理有限公司（以下简称“本公司”）与</w:t>
      </w:r>
      <w:r>
        <w:rPr>
          <w:rFonts w:hint="eastAsia" w:ascii="宋体" w:hAnsi="宋体" w:eastAsia="宋体" w:cs="Calibri"/>
          <w:bCs/>
          <w:color w:val="000000"/>
          <w:kern w:val="0"/>
          <w:sz w:val="24"/>
          <w:szCs w:val="24"/>
        </w:rPr>
        <w:t>万联证券股份有限公司</w:t>
      </w:r>
      <w:r>
        <w:rPr>
          <w:rFonts w:hint="eastAsia" w:ascii="宋体" w:hAnsi="宋体" w:eastAsia="宋体" w:cs="Calibri"/>
          <w:color w:val="000000"/>
          <w:kern w:val="0"/>
          <w:sz w:val="24"/>
          <w:szCs w:val="24"/>
        </w:rPr>
        <w:t>（以下简称“</w:t>
      </w:r>
      <w:r>
        <w:rPr>
          <w:rFonts w:hint="eastAsia" w:ascii="宋体" w:hAnsi="宋体" w:eastAsia="宋体" w:cs="Calibri"/>
          <w:bCs/>
          <w:color w:val="000000"/>
          <w:kern w:val="0"/>
          <w:sz w:val="24"/>
          <w:szCs w:val="24"/>
        </w:rPr>
        <w:t>万联证券</w:t>
      </w:r>
      <w:r>
        <w:rPr>
          <w:rFonts w:hint="eastAsia" w:ascii="宋体" w:hAnsi="宋体" w:eastAsia="宋体" w:cs="Calibri"/>
          <w:color w:val="000000"/>
          <w:kern w:val="0"/>
          <w:sz w:val="24"/>
          <w:szCs w:val="24"/>
        </w:rPr>
        <w:t>”）协商一致，自</w:t>
      </w:r>
      <w:r>
        <w:rPr>
          <w:rFonts w:ascii="宋体" w:hAnsi="宋体" w:eastAsia="宋体" w:cs="Calibri"/>
          <w:color w:val="000000"/>
          <w:kern w:val="0"/>
          <w:sz w:val="24"/>
          <w:szCs w:val="24"/>
        </w:rPr>
        <w:t>20</w:t>
      </w:r>
      <w:r>
        <w:rPr>
          <w:rFonts w:hint="eastAsia" w:ascii="宋体" w:hAnsi="宋体" w:eastAsia="宋体" w:cs="Calibri"/>
          <w:color w:val="000000"/>
          <w:kern w:val="0"/>
          <w:sz w:val="24"/>
          <w:szCs w:val="24"/>
        </w:rPr>
        <w:t>22年4月29日起，本公司旗下部分基金参加</w:t>
      </w:r>
      <w:r>
        <w:rPr>
          <w:rFonts w:hint="eastAsia" w:ascii="宋体" w:hAnsi="宋体" w:eastAsia="宋体" w:cs="Calibri"/>
          <w:bCs/>
          <w:color w:val="000000"/>
          <w:kern w:val="0"/>
          <w:sz w:val="24"/>
          <w:szCs w:val="24"/>
        </w:rPr>
        <w:t>万联证券</w:t>
      </w:r>
      <w:r>
        <w:rPr>
          <w:rFonts w:hint="eastAsia" w:ascii="宋体" w:hAnsi="宋体" w:eastAsia="宋体" w:cs="Calibri"/>
          <w:color w:val="000000"/>
          <w:kern w:val="0"/>
          <w:sz w:val="24"/>
          <w:szCs w:val="24"/>
        </w:rPr>
        <w:t>开展的基金认购、申购及定期定额投资申购费率优惠活动，具体的活动时间、优惠费率以</w:t>
      </w:r>
      <w:r>
        <w:rPr>
          <w:rFonts w:hint="eastAsia" w:ascii="宋体" w:hAnsi="宋体" w:eastAsia="宋体" w:cs="Calibri"/>
          <w:bCs/>
          <w:color w:val="000000"/>
          <w:kern w:val="0"/>
          <w:sz w:val="24"/>
          <w:szCs w:val="24"/>
        </w:rPr>
        <w:t>万联证券</w:t>
      </w:r>
      <w:r>
        <w:rPr>
          <w:rFonts w:hint="eastAsia" w:ascii="宋体" w:hAnsi="宋体" w:eastAsia="宋体" w:cs="Calibri"/>
          <w:color w:val="000000"/>
          <w:kern w:val="0"/>
          <w:sz w:val="24"/>
          <w:szCs w:val="24"/>
        </w:rPr>
        <w:t>的规定为准。相关优惠方案公告如下：</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一、适用基金</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（1）富荣信息技术混合型证券投资基金A类（基金代码：013345）；</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（2）富荣富乾债券型证券投资基金A类（基金代码：004792）；</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（3）富荣福锦混合型证券投资基金A类（基金代码：005164）；</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（4）富荣福耀混合型证券投资基金A类（基金代码：012876）；</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（5）富荣沪深300指数增强型证券投资基金A类（基金代码：004788）；</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（6）富荣福鑫灵活配置混合型证券投资基金A类（基金代码：004794）；</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（7）富荣富兴纯债债券型证券投资基金（基金代码：004441）；</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（8）富荣富祥纯债债券型证券投资基金（基金代码：003999）；</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w:t>
      </w:r>
      <w:r>
        <w:rPr>
          <w:rFonts w:hint="eastAsia" w:ascii="宋体" w:hAnsi="宋体" w:eastAsia="宋体" w:cs="Calibri"/>
          <w:color w:val="000000"/>
          <w:kern w:val="0"/>
          <w:sz w:val="24"/>
          <w:szCs w:val="24"/>
          <w:lang w:val="en-US" w:eastAsia="zh-CN"/>
        </w:rPr>
        <w:t>9</w:t>
      </w:r>
      <w:r>
        <w:rPr>
          <w:rFonts w:hint="eastAsia" w:ascii="宋体" w:hAnsi="宋体" w:eastAsia="宋体" w:cs="Calibri"/>
          <w:color w:val="000000"/>
          <w:kern w:val="0"/>
          <w:sz w:val="24"/>
          <w:szCs w:val="24"/>
        </w:rPr>
        <w:t>）富荣福康混合型证券投资基金A类（基金代码：005104）；</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w:t>
      </w:r>
      <w:r>
        <w:rPr>
          <w:rFonts w:hint="eastAsia" w:ascii="宋体" w:hAnsi="宋体" w:eastAsia="宋体" w:cs="Calibri"/>
          <w:color w:val="000000"/>
          <w:kern w:val="0"/>
          <w:sz w:val="24"/>
          <w:szCs w:val="24"/>
          <w:lang w:val="en-US" w:eastAsia="zh-CN"/>
        </w:rPr>
        <w:t>0</w:t>
      </w:r>
      <w:r>
        <w:rPr>
          <w:rFonts w:hint="eastAsia" w:ascii="宋体" w:hAnsi="宋体" w:eastAsia="宋体" w:cs="Calibri"/>
          <w:color w:val="000000"/>
          <w:kern w:val="0"/>
          <w:sz w:val="24"/>
          <w:szCs w:val="24"/>
        </w:rPr>
        <w:t>）富荣价值精选灵活配置混合型发起式证券投资基金A类（基金代码：006109）；</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w:t>
      </w:r>
      <w:r>
        <w:rPr>
          <w:rFonts w:hint="eastAsia" w:ascii="宋体" w:hAnsi="宋体" w:eastAsia="宋体" w:cs="Calibri"/>
          <w:color w:val="000000"/>
          <w:kern w:val="0"/>
          <w:sz w:val="24"/>
          <w:szCs w:val="24"/>
          <w:lang w:val="en-US" w:eastAsia="zh-CN"/>
        </w:rPr>
        <w:t>1</w:t>
      </w:r>
      <w:r>
        <w:rPr>
          <w:rFonts w:hint="eastAsia" w:ascii="宋体" w:hAnsi="宋体" w:eastAsia="宋体" w:cs="Calibri"/>
          <w:color w:val="000000"/>
          <w:kern w:val="0"/>
          <w:sz w:val="24"/>
          <w:szCs w:val="24"/>
        </w:rPr>
        <w:t>）富荣富开1-3年国开债纯债债券型证券投资基金A类（基金代码：006488）；</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w:t>
      </w:r>
      <w:r>
        <w:rPr>
          <w:rFonts w:hint="eastAsia" w:ascii="宋体" w:hAnsi="宋体" w:eastAsia="宋体" w:cs="Calibri"/>
          <w:color w:val="000000"/>
          <w:kern w:val="0"/>
          <w:sz w:val="24"/>
          <w:szCs w:val="24"/>
          <w:lang w:val="en-US" w:eastAsia="zh-CN"/>
        </w:rPr>
        <w:t>2）</w:t>
      </w:r>
      <w:r>
        <w:rPr>
          <w:rFonts w:hint="eastAsia" w:ascii="宋体" w:hAnsi="宋体" w:eastAsia="宋体" w:cs="Calibri"/>
          <w:color w:val="000000"/>
          <w:kern w:val="0"/>
          <w:sz w:val="24"/>
          <w:szCs w:val="24"/>
        </w:rPr>
        <w:t>富荣福银混合型证券投资基金A类（基金代码：012545）；</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w:t>
      </w:r>
      <w:r>
        <w:rPr>
          <w:rFonts w:hint="eastAsia" w:ascii="宋体" w:hAnsi="宋体" w:eastAsia="宋体" w:cs="Calibri"/>
          <w:color w:val="000000"/>
          <w:kern w:val="0"/>
          <w:sz w:val="24"/>
          <w:szCs w:val="24"/>
          <w:lang w:val="en-US" w:eastAsia="zh-CN"/>
        </w:rPr>
        <w:t>3</w:t>
      </w:r>
      <w:r>
        <w:rPr>
          <w:rFonts w:hint="eastAsia" w:ascii="宋体" w:hAnsi="宋体" w:eastAsia="宋体" w:cs="Calibri"/>
          <w:color w:val="000000"/>
          <w:kern w:val="0"/>
          <w:sz w:val="24"/>
          <w:szCs w:val="24"/>
        </w:rPr>
        <w:t>）富荣量化精选混合型发起式证券投资基金A类（基金代码：014556）；</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w:t>
      </w:r>
      <w:r>
        <w:rPr>
          <w:rFonts w:hint="eastAsia" w:ascii="宋体" w:hAnsi="宋体" w:eastAsia="宋体" w:cs="Calibri"/>
          <w:color w:val="000000"/>
          <w:kern w:val="0"/>
          <w:sz w:val="24"/>
          <w:szCs w:val="24"/>
          <w:lang w:val="en-US" w:eastAsia="zh-CN"/>
        </w:rPr>
        <w:t>4</w:t>
      </w:r>
      <w:r>
        <w:rPr>
          <w:rFonts w:hint="eastAsia" w:ascii="宋体" w:hAnsi="宋体" w:eastAsia="宋体" w:cs="Calibri"/>
          <w:color w:val="000000"/>
          <w:kern w:val="0"/>
          <w:sz w:val="24"/>
          <w:szCs w:val="24"/>
        </w:rPr>
        <w:t>）富荣富恒两年定期开放债券型证券投资基金（基金代码：009506）；</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（1</w:t>
      </w:r>
      <w:r>
        <w:rPr>
          <w:rFonts w:hint="eastAsia" w:ascii="宋体" w:hAnsi="宋体" w:eastAsia="宋体" w:cs="Calibri"/>
          <w:color w:val="000000"/>
          <w:kern w:val="0"/>
          <w:sz w:val="24"/>
          <w:szCs w:val="24"/>
          <w:lang w:val="en-US" w:eastAsia="zh-CN"/>
        </w:rPr>
        <w:t>5</w:t>
      </w:r>
      <w:r>
        <w:rPr>
          <w:rFonts w:hint="eastAsia" w:ascii="宋体" w:hAnsi="宋体" w:eastAsia="宋体" w:cs="Calibri"/>
          <w:color w:val="000000"/>
          <w:kern w:val="0"/>
          <w:sz w:val="24"/>
          <w:szCs w:val="24"/>
        </w:rPr>
        <w:t>）富荣中短债债券型证券投资基金A类</w:t>
      </w:r>
      <w:bookmarkStart w:id="0" w:name="_GoBack"/>
      <w:bookmarkEnd w:id="0"/>
      <w:r>
        <w:rPr>
          <w:rFonts w:hint="eastAsia" w:ascii="宋体" w:hAnsi="宋体" w:eastAsia="宋体" w:cs="Calibri"/>
          <w:color w:val="000000"/>
          <w:kern w:val="0"/>
          <w:sz w:val="24"/>
          <w:szCs w:val="24"/>
        </w:rPr>
        <w:t>（基金代码：013520）。</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二、优惠活动内容</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活动期间，投资者通过</w:t>
      </w:r>
      <w:r>
        <w:rPr>
          <w:rFonts w:hint="eastAsia" w:ascii="宋体" w:hAnsi="宋体" w:eastAsia="宋体" w:cs="Calibri"/>
          <w:bCs/>
          <w:color w:val="000000"/>
          <w:kern w:val="0"/>
          <w:sz w:val="24"/>
          <w:szCs w:val="24"/>
        </w:rPr>
        <w:t>万联证券</w:t>
      </w:r>
      <w:r>
        <w:rPr>
          <w:rFonts w:hint="eastAsia" w:ascii="宋体" w:hAnsi="宋体" w:eastAsia="宋体" w:cs="Calibri"/>
          <w:color w:val="000000"/>
          <w:kern w:val="0"/>
          <w:sz w:val="24"/>
          <w:szCs w:val="24"/>
        </w:rPr>
        <w:t>一次性认购、申购或定期定额投资申购本公司上述基金（限前端收费模式），享有费率折扣优惠。本次费率优惠活动如有展期、终止或调整，费率优惠规则如有变更，均以万联证券的安排和规定为准。</w:t>
      </w:r>
    </w:p>
    <w:p>
      <w:pPr>
        <w:widowControl/>
        <w:shd w:val="clear" w:color="auto" w:fill="FFFFFF"/>
        <w:spacing w:line="360" w:lineRule="auto"/>
        <w:ind w:firstLine="420"/>
        <w:jc w:val="left"/>
        <w:rPr>
          <w:rFonts w:ascii="宋体" w:hAnsi="宋体" w:eastAsia="宋体" w:cs="Calibri"/>
          <w:color w:val="000000"/>
          <w:kern w:val="0"/>
          <w:sz w:val="24"/>
          <w:szCs w:val="24"/>
        </w:rPr>
      </w:pP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三、重要提示</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1</w:t>
      </w:r>
      <w:r>
        <w:rPr>
          <w:rFonts w:hint="eastAsia" w:ascii="宋体" w:hAnsi="宋体" w:eastAsia="宋体" w:cs="Calibri"/>
          <w:color w:val="000000"/>
          <w:kern w:val="0"/>
          <w:sz w:val="24"/>
          <w:szCs w:val="24"/>
        </w:rPr>
        <w:t>、本优惠活动仅适用于处于正常认购、申购期的基金的一次性认购、申购手续费和定期定额投资申购手续费，不包括上述基金的后端收费模式的申购手续费，也不包括基金转换业务的申购补差费,对于大额申购采用固定费用方式收费的基金不参与折扣活动。</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2</w:t>
      </w:r>
      <w:r>
        <w:rPr>
          <w:rFonts w:hint="eastAsia" w:ascii="宋体" w:hAnsi="宋体" w:eastAsia="宋体" w:cs="Calibri"/>
          <w:color w:val="000000"/>
          <w:kern w:val="0"/>
          <w:sz w:val="24"/>
          <w:szCs w:val="24"/>
        </w:rPr>
        <w:t>、上述基金原认购、申购费率标准请详见上述基金相关法律文件及本公司发布的最新业务公告。</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3</w:t>
      </w:r>
      <w:r>
        <w:rPr>
          <w:rFonts w:hint="eastAsia" w:ascii="宋体" w:hAnsi="宋体" w:eastAsia="宋体" w:cs="Calibri"/>
          <w:color w:val="000000"/>
          <w:kern w:val="0"/>
          <w:sz w:val="24"/>
          <w:szCs w:val="24"/>
        </w:rPr>
        <w:t>、此次公告的优惠活动内容或业务规则如与之前公告信息不同，请以本次公告信息为准。</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四、投资者可通过以下途径了解或咨询相关情况</w:t>
      </w:r>
    </w:p>
    <w:p>
      <w:pPr>
        <w:spacing w:line="360" w:lineRule="auto"/>
        <w:ind w:firstLine="480"/>
        <w:rPr>
          <w:rFonts w:eastAsia="Times New Roman"/>
          <w:sz w:val="24"/>
          <w:szCs w:val="24"/>
        </w:rPr>
      </w:pPr>
      <w:r>
        <w:rPr>
          <w:rFonts w:ascii="宋体" w:hAnsi="宋体" w:cs="宋体"/>
          <w:bCs/>
          <w:sz w:val="24"/>
          <w:szCs w:val="24"/>
        </w:rPr>
        <w:t>1</w:t>
      </w:r>
      <w:r>
        <w:rPr>
          <w:rFonts w:hint="eastAsia" w:ascii="宋体" w:hAnsi="宋体" w:cs="宋体"/>
          <w:bCs/>
          <w:sz w:val="24"/>
          <w:szCs w:val="24"/>
        </w:rPr>
        <w:t>、万联证券</w:t>
      </w:r>
      <w:r>
        <w:rPr>
          <w:rFonts w:ascii="宋体" w:hAnsi="宋体" w:cs="宋体"/>
          <w:bCs/>
          <w:sz w:val="24"/>
          <w:szCs w:val="24"/>
        </w:rPr>
        <w:t>股份有限公司</w:t>
      </w:r>
    </w:p>
    <w:p>
      <w:pPr>
        <w:widowControl/>
        <w:spacing w:line="360" w:lineRule="auto"/>
        <w:ind w:firstLine="480" w:firstLineChars="20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客服服务电话：95</w:t>
      </w:r>
      <w:r>
        <w:rPr>
          <w:rFonts w:hint="eastAsia" w:ascii="宋体" w:hAnsi="宋体" w:cs="Calibri"/>
          <w:color w:val="000000"/>
          <w:kern w:val="0"/>
          <w:sz w:val="24"/>
          <w:szCs w:val="24"/>
        </w:rPr>
        <w:t>322</w:t>
      </w:r>
    </w:p>
    <w:p>
      <w:pPr>
        <w:widowControl/>
        <w:spacing w:line="360" w:lineRule="auto"/>
        <w:ind w:left="420" w:leftChars="20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公司网站：www.wlzq.cn</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2</w:t>
      </w:r>
      <w:r>
        <w:rPr>
          <w:rFonts w:hint="eastAsia" w:ascii="宋体" w:hAnsi="宋体" w:eastAsia="宋体" w:cs="Calibri"/>
          <w:color w:val="000000"/>
          <w:kern w:val="0"/>
          <w:sz w:val="24"/>
          <w:szCs w:val="24"/>
        </w:rPr>
        <w:t>、富荣基金管理有限公司</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客户服务电话：</w:t>
      </w:r>
      <w:r>
        <w:rPr>
          <w:rFonts w:ascii="宋体" w:hAnsi="宋体" w:eastAsia="宋体" w:cs="Calibri"/>
          <w:color w:val="000000"/>
          <w:kern w:val="0"/>
          <w:sz w:val="24"/>
          <w:szCs w:val="24"/>
        </w:rPr>
        <w:t>400</w:t>
      </w:r>
      <w:r>
        <w:rPr>
          <w:rFonts w:hint="eastAsia" w:ascii="宋体" w:hAnsi="宋体" w:eastAsia="宋体" w:cs="Calibri"/>
          <w:color w:val="000000"/>
          <w:kern w:val="0"/>
          <w:sz w:val="24"/>
          <w:szCs w:val="24"/>
        </w:rPr>
        <w:t>-685-5</w:t>
      </w:r>
      <w:r>
        <w:rPr>
          <w:rFonts w:ascii="宋体" w:hAnsi="宋体" w:eastAsia="宋体" w:cs="Calibri"/>
          <w:color w:val="000000"/>
          <w:kern w:val="0"/>
          <w:sz w:val="24"/>
          <w:szCs w:val="24"/>
        </w:rPr>
        <w:t>60</w:t>
      </w:r>
      <w:r>
        <w:rPr>
          <w:rFonts w:hint="eastAsia" w:ascii="宋体" w:hAnsi="宋体" w:eastAsia="宋体" w:cs="Calibri"/>
          <w:color w:val="000000"/>
          <w:kern w:val="0"/>
          <w:sz w:val="24"/>
          <w:szCs w:val="24"/>
        </w:rPr>
        <w:t>0</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网址：</w:t>
      </w:r>
      <w:r>
        <w:rPr>
          <w:rFonts w:ascii="宋体" w:hAnsi="宋体" w:eastAsia="宋体" w:cs="Calibri"/>
          <w:color w:val="000000"/>
          <w:kern w:val="0"/>
          <w:sz w:val="24"/>
          <w:szCs w:val="24"/>
        </w:rPr>
        <w:t>www.</w:t>
      </w:r>
      <w:r>
        <w:rPr>
          <w:rFonts w:hint="eastAsia" w:ascii="宋体" w:hAnsi="宋体" w:eastAsia="宋体" w:cs="Calibri"/>
          <w:color w:val="000000"/>
          <w:kern w:val="0"/>
          <w:sz w:val="24"/>
          <w:szCs w:val="24"/>
        </w:rPr>
        <w:t>furamc</w:t>
      </w:r>
      <w:r>
        <w:rPr>
          <w:rFonts w:ascii="宋体" w:hAnsi="宋体" w:eastAsia="宋体" w:cs="Calibri"/>
          <w:color w:val="000000"/>
          <w:kern w:val="0"/>
          <w:sz w:val="24"/>
          <w:szCs w:val="24"/>
        </w:rPr>
        <w:t>.com</w:t>
      </w:r>
      <w:r>
        <w:rPr>
          <w:rFonts w:hint="eastAsia" w:ascii="宋体" w:hAnsi="宋体" w:eastAsia="宋体" w:cs="Calibri"/>
          <w:color w:val="000000"/>
          <w:kern w:val="0"/>
          <w:sz w:val="24"/>
          <w:szCs w:val="24"/>
        </w:rPr>
        <w:t>.cn</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本次优惠活动解释权归</w:t>
      </w:r>
      <w:r>
        <w:rPr>
          <w:rFonts w:hint="eastAsia" w:ascii="宋体" w:hAnsi="宋体" w:eastAsia="宋体" w:cs="Calibri"/>
          <w:bCs/>
          <w:color w:val="000000"/>
          <w:kern w:val="0"/>
          <w:sz w:val="24"/>
          <w:szCs w:val="24"/>
        </w:rPr>
        <w:t>万联证券股份有限公司</w:t>
      </w:r>
      <w:r>
        <w:rPr>
          <w:rFonts w:hint="eastAsia" w:ascii="宋体" w:hAnsi="宋体" w:eastAsia="宋体" w:cs="Calibri"/>
          <w:color w:val="000000"/>
          <w:kern w:val="0"/>
          <w:sz w:val="24"/>
          <w:szCs w:val="24"/>
        </w:rPr>
        <w:t>所有，有关本次活动的具体事宜，敬请投资者留意</w:t>
      </w:r>
      <w:r>
        <w:rPr>
          <w:rFonts w:hint="eastAsia" w:ascii="宋体" w:hAnsi="宋体" w:eastAsia="宋体" w:cs="Calibri"/>
          <w:bCs/>
          <w:color w:val="000000"/>
          <w:kern w:val="0"/>
          <w:sz w:val="24"/>
          <w:szCs w:val="24"/>
        </w:rPr>
        <w:t>万联证券股份有限公司</w:t>
      </w:r>
      <w:r>
        <w:rPr>
          <w:rFonts w:hint="eastAsia" w:ascii="宋体" w:hAnsi="宋体" w:eastAsia="宋体" w:cs="Calibri"/>
          <w:color w:val="000000"/>
          <w:kern w:val="0"/>
          <w:sz w:val="24"/>
          <w:szCs w:val="24"/>
        </w:rPr>
        <w:t>的有关公告。</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风险提示：</w:t>
      </w:r>
    </w:p>
    <w:p>
      <w:pPr>
        <w:widowControl/>
        <w:shd w:val="clear" w:color="auto" w:fill="FFFFFF"/>
        <w:spacing w:line="360" w:lineRule="auto"/>
        <w:ind w:firstLine="480" w:firstLineChars="200"/>
        <w:jc w:val="left"/>
        <w:rPr>
          <w:rFonts w:ascii="宋体" w:hAnsi="宋体" w:eastAsia="宋体" w:cs="Calibri"/>
          <w:color w:val="000000"/>
          <w:kern w:val="0"/>
          <w:sz w:val="24"/>
          <w:szCs w:val="24"/>
        </w:rPr>
      </w:pPr>
      <w:r>
        <w:rPr>
          <w:rFonts w:hint="eastAsia" w:ascii="宋体" w:hAnsi="宋体" w:eastAsia="宋体" w:cs="Calibri"/>
          <w:color w:val="000000"/>
          <w:kern w:val="0"/>
          <w:sz w:val="24"/>
          <w:szCs w:val="24"/>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pPr>
        <w:widowControl/>
        <w:shd w:val="clear" w:color="auto" w:fill="FFFFFF"/>
        <w:spacing w:line="360" w:lineRule="auto"/>
        <w:ind w:firstLine="420"/>
        <w:jc w:val="left"/>
        <w:rPr>
          <w:rFonts w:ascii="宋体" w:hAnsi="宋体" w:eastAsia="宋体" w:cs="Calibri"/>
          <w:color w:val="000000"/>
          <w:kern w:val="0"/>
          <w:sz w:val="24"/>
          <w:szCs w:val="24"/>
        </w:rPr>
      </w:pPr>
      <w:r>
        <w:rPr>
          <w:rFonts w:ascii="宋体" w:hAnsi="宋体" w:eastAsia="宋体" w:cs="Calibri"/>
          <w:color w:val="000000"/>
          <w:kern w:val="0"/>
          <w:sz w:val="24"/>
          <w:szCs w:val="24"/>
        </w:rPr>
        <w:t> </w:t>
      </w:r>
      <w:r>
        <w:rPr>
          <w:rFonts w:hint="eastAsia" w:ascii="宋体" w:hAnsi="宋体" w:eastAsia="宋体" w:cs="Calibri"/>
          <w:color w:val="000000"/>
          <w:kern w:val="0"/>
          <w:sz w:val="24"/>
          <w:szCs w:val="24"/>
        </w:rPr>
        <w:t>特此公告。</w:t>
      </w:r>
    </w:p>
    <w:p>
      <w:pPr>
        <w:widowControl/>
        <w:shd w:val="clear" w:color="auto" w:fill="FFFFFF"/>
        <w:spacing w:line="360" w:lineRule="auto"/>
        <w:ind w:firstLine="420"/>
        <w:jc w:val="right"/>
        <w:rPr>
          <w:rFonts w:ascii="宋体" w:hAnsi="宋体" w:eastAsia="宋体" w:cs="Calibri"/>
          <w:color w:val="000000"/>
          <w:kern w:val="0"/>
          <w:sz w:val="24"/>
          <w:szCs w:val="24"/>
        </w:rPr>
      </w:pPr>
      <w:r>
        <w:rPr>
          <w:rFonts w:ascii="宋体" w:hAnsi="宋体" w:eastAsia="宋体" w:cs="Calibri"/>
          <w:color w:val="000000"/>
          <w:kern w:val="0"/>
          <w:sz w:val="24"/>
          <w:szCs w:val="24"/>
        </w:rPr>
        <w:t> </w:t>
      </w:r>
    </w:p>
    <w:p>
      <w:pPr>
        <w:widowControl/>
        <w:shd w:val="clear" w:color="auto" w:fill="FFFFFF"/>
        <w:spacing w:line="360" w:lineRule="auto"/>
        <w:ind w:firstLine="420"/>
        <w:jc w:val="right"/>
        <w:rPr>
          <w:rFonts w:ascii="宋体" w:hAnsi="宋体" w:eastAsia="宋体" w:cs="Calibri"/>
          <w:color w:val="000000"/>
          <w:kern w:val="0"/>
          <w:sz w:val="24"/>
          <w:szCs w:val="24"/>
        </w:rPr>
      </w:pPr>
      <w:r>
        <w:rPr>
          <w:rFonts w:hint="eastAsia" w:ascii="宋体" w:hAnsi="宋体" w:eastAsia="宋体" w:cs="Calibri"/>
          <w:color w:val="000000"/>
          <w:kern w:val="0"/>
          <w:sz w:val="24"/>
          <w:szCs w:val="24"/>
        </w:rPr>
        <w:t>富荣基金管理有限公司</w:t>
      </w:r>
    </w:p>
    <w:p>
      <w:pPr>
        <w:widowControl/>
        <w:shd w:val="clear" w:color="auto" w:fill="FFFFFF"/>
        <w:wordWrap w:val="0"/>
        <w:spacing w:line="360" w:lineRule="auto"/>
        <w:jc w:val="right"/>
        <w:rPr>
          <w:rFonts w:ascii="宋体" w:hAnsi="宋体" w:eastAsia="宋体" w:cs="Calibri"/>
          <w:color w:val="000000"/>
          <w:kern w:val="0"/>
          <w:sz w:val="24"/>
          <w:szCs w:val="24"/>
        </w:rPr>
      </w:pPr>
      <w:r>
        <w:rPr>
          <w:rFonts w:hint="eastAsia" w:ascii="宋体" w:hAnsi="宋体" w:eastAsia="宋体" w:cs="Calibri"/>
          <w:color w:val="000000"/>
          <w:kern w:val="0"/>
          <w:sz w:val="24"/>
          <w:szCs w:val="24"/>
        </w:rPr>
        <w:t>二○二二年四月二十九日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D15090"/>
    <w:rsid w:val="0002768B"/>
    <w:rsid w:val="00030D26"/>
    <w:rsid w:val="00031B50"/>
    <w:rsid w:val="00031C38"/>
    <w:rsid w:val="000342E9"/>
    <w:rsid w:val="00036567"/>
    <w:rsid w:val="00037A2C"/>
    <w:rsid w:val="00041E1B"/>
    <w:rsid w:val="000427CC"/>
    <w:rsid w:val="00045576"/>
    <w:rsid w:val="00055E9B"/>
    <w:rsid w:val="000663A6"/>
    <w:rsid w:val="00081AFC"/>
    <w:rsid w:val="00085095"/>
    <w:rsid w:val="00093921"/>
    <w:rsid w:val="00094911"/>
    <w:rsid w:val="000A2AB2"/>
    <w:rsid w:val="000A50A6"/>
    <w:rsid w:val="000B0AB4"/>
    <w:rsid w:val="000B12C5"/>
    <w:rsid w:val="000C31DF"/>
    <w:rsid w:val="000C35C8"/>
    <w:rsid w:val="000F4BD9"/>
    <w:rsid w:val="000F5C3C"/>
    <w:rsid w:val="000F64E1"/>
    <w:rsid w:val="000F7228"/>
    <w:rsid w:val="00104820"/>
    <w:rsid w:val="00107AB4"/>
    <w:rsid w:val="00126BFF"/>
    <w:rsid w:val="001415EC"/>
    <w:rsid w:val="00142582"/>
    <w:rsid w:val="00143336"/>
    <w:rsid w:val="001441A2"/>
    <w:rsid w:val="001524BA"/>
    <w:rsid w:val="00155770"/>
    <w:rsid w:val="0016118C"/>
    <w:rsid w:val="00166E88"/>
    <w:rsid w:val="00175F27"/>
    <w:rsid w:val="00197394"/>
    <w:rsid w:val="001B2A8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2E2F63"/>
    <w:rsid w:val="002E3118"/>
    <w:rsid w:val="002E60AF"/>
    <w:rsid w:val="003036B6"/>
    <w:rsid w:val="00321BC6"/>
    <w:rsid w:val="00325DB7"/>
    <w:rsid w:val="003366A9"/>
    <w:rsid w:val="00343F75"/>
    <w:rsid w:val="00347BB5"/>
    <w:rsid w:val="00350CE4"/>
    <w:rsid w:val="00391B1F"/>
    <w:rsid w:val="00397460"/>
    <w:rsid w:val="003B597D"/>
    <w:rsid w:val="003B5B93"/>
    <w:rsid w:val="003B7BED"/>
    <w:rsid w:val="003C3E45"/>
    <w:rsid w:val="003C4A89"/>
    <w:rsid w:val="003D5D05"/>
    <w:rsid w:val="003F03A5"/>
    <w:rsid w:val="0042750B"/>
    <w:rsid w:val="00453D94"/>
    <w:rsid w:val="00456D6F"/>
    <w:rsid w:val="004704F7"/>
    <w:rsid w:val="00472DF5"/>
    <w:rsid w:val="004740BA"/>
    <w:rsid w:val="0047627C"/>
    <w:rsid w:val="00482C0D"/>
    <w:rsid w:val="00485D9B"/>
    <w:rsid w:val="0049464A"/>
    <w:rsid w:val="004A09F4"/>
    <w:rsid w:val="004B7B90"/>
    <w:rsid w:val="004E445A"/>
    <w:rsid w:val="004E550C"/>
    <w:rsid w:val="004F5625"/>
    <w:rsid w:val="004F6334"/>
    <w:rsid w:val="00515C1A"/>
    <w:rsid w:val="00517C93"/>
    <w:rsid w:val="005309B5"/>
    <w:rsid w:val="005347F4"/>
    <w:rsid w:val="0054035C"/>
    <w:rsid w:val="00545490"/>
    <w:rsid w:val="005516F0"/>
    <w:rsid w:val="0057218F"/>
    <w:rsid w:val="00577F95"/>
    <w:rsid w:val="0059687B"/>
    <w:rsid w:val="005A243A"/>
    <w:rsid w:val="005C1A6E"/>
    <w:rsid w:val="005C1D5E"/>
    <w:rsid w:val="005C368D"/>
    <w:rsid w:val="005D608B"/>
    <w:rsid w:val="005F1E0D"/>
    <w:rsid w:val="005F3E3C"/>
    <w:rsid w:val="00605B10"/>
    <w:rsid w:val="00607759"/>
    <w:rsid w:val="00613044"/>
    <w:rsid w:val="0061327A"/>
    <w:rsid w:val="0061697B"/>
    <w:rsid w:val="006215F6"/>
    <w:rsid w:val="00621E76"/>
    <w:rsid w:val="00633A66"/>
    <w:rsid w:val="0064072C"/>
    <w:rsid w:val="006530BB"/>
    <w:rsid w:val="00653CA6"/>
    <w:rsid w:val="00656695"/>
    <w:rsid w:val="00656789"/>
    <w:rsid w:val="006613C2"/>
    <w:rsid w:val="00665D32"/>
    <w:rsid w:val="006779EE"/>
    <w:rsid w:val="00691478"/>
    <w:rsid w:val="006A2C70"/>
    <w:rsid w:val="006A542F"/>
    <w:rsid w:val="006B4739"/>
    <w:rsid w:val="006C31BD"/>
    <w:rsid w:val="006D024D"/>
    <w:rsid w:val="0070351F"/>
    <w:rsid w:val="00707589"/>
    <w:rsid w:val="00715E92"/>
    <w:rsid w:val="00730A30"/>
    <w:rsid w:val="00746115"/>
    <w:rsid w:val="00752171"/>
    <w:rsid w:val="00791BD8"/>
    <w:rsid w:val="007A00AD"/>
    <w:rsid w:val="007A1D96"/>
    <w:rsid w:val="007A6C75"/>
    <w:rsid w:val="007C354A"/>
    <w:rsid w:val="007C7406"/>
    <w:rsid w:val="007D562D"/>
    <w:rsid w:val="008007FF"/>
    <w:rsid w:val="00813400"/>
    <w:rsid w:val="00816116"/>
    <w:rsid w:val="00820D91"/>
    <w:rsid w:val="00827730"/>
    <w:rsid w:val="008558B0"/>
    <w:rsid w:val="00895D3C"/>
    <w:rsid w:val="008A7BAD"/>
    <w:rsid w:val="008B7132"/>
    <w:rsid w:val="008C3AC4"/>
    <w:rsid w:val="008C75E7"/>
    <w:rsid w:val="008D17A4"/>
    <w:rsid w:val="008E520F"/>
    <w:rsid w:val="008F03F2"/>
    <w:rsid w:val="009138A6"/>
    <w:rsid w:val="00913E01"/>
    <w:rsid w:val="0092465D"/>
    <w:rsid w:val="00925FF5"/>
    <w:rsid w:val="00944A4E"/>
    <w:rsid w:val="00944BC6"/>
    <w:rsid w:val="0094691A"/>
    <w:rsid w:val="009522BE"/>
    <w:rsid w:val="00962153"/>
    <w:rsid w:val="00964AF5"/>
    <w:rsid w:val="00972D6A"/>
    <w:rsid w:val="00974FB8"/>
    <w:rsid w:val="00992181"/>
    <w:rsid w:val="009A106A"/>
    <w:rsid w:val="009A593A"/>
    <w:rsid w:val="009B00C1"/>
    <w:rsid w:val="009B123C"/>
    <w:rsid w:val="009D7093"/>
    <w:rsid w:val="009E5533"/>
    <w:rsid w:val="009E770F"/>
    <w:rsid w:val="00A0687A"/>
    <w:rsid w:val="00A143FB"/>
    <w:rsid w:val="00A22062"/>
    <w:rsid w:val="00A2763A"/>
    <w:rsid w:val="00A3391F"/>
    <w:rsid w:val="00A344CE"/>
    <w:rsid w:val="00A46596"/>
    <w:rsid w:val="00A54C77"/>
    <w:rsid w:val="00A67217"/>
    <w:rsid w:val="00A8137C"/>
    <w:rsid w:val="00A95621"/>
    <w:rsid w:val="00A95A93"/>
    <w:rsid w:val="00AA7C73"/>
    <w:rsid w:val="00AB4EA6"/>
    <w:rsid w:val="00AC10CA"/>
    <w:rsid w:val="00AC355D"/>
    <w:rsid w:val="00AD168A"/>
    <w:rsid w:val="00AD3041"/>
    <w:rsid w:val="00AD613F"/>
    <w:rsid w:val="00B05CF5"/>
    <w:rsid w:val="00B243EE"/>
    <w:rsid w:val="00B4549F"/>
    <w:rsid w:val="00B56F83"/>
    <w:rsid w:val="00B65D1F"/>
    <w:rsid w:val="00B663A7"/>
    <w:rsid w:val="00B875B4"/>
    <w:rsid w:val="00BA5B39"/>
    <w:rsid w:val="00BB1EE0"/>
    <w:rsid w:val="00BC6742"/>
    <w:rsid w:val="00BD41AD"/>
    <w:rsid w:val="00BE05A8"/>
    <w:rsid w:val="00BE1682"/>
    <w:rsid w:val="00BE4440"/>
    <w:rsid w:val="00BE453D"/>
    <w:rsid w:val="00BE5706"/>
    <w:rsid w:val="00BE60F1"/>
    <w:rsid w:val="00C34187"/>
    <w:rsid w:val="00C34610"/>
    <w:rsid w:val="00C44168"/>
    <w:rsid w:val="00C528A4"/>
    <w:rsid w:val="00C6701B"/>
    <w:rsid w:val="00C9634C"/>
    <w:rsid w:val="00CA790E"/>
    <w:rsid w:val="00CB49E7"/>
    <w:rsid w:val="00CC2CC9"/>
    <w:rsid w:val="00CC79B6"/>
    <w:rsid w:val="00CE4521"/>
    <w:rsid w:val="00D0079C"/>
    <w:rsid w:val="00D0236A"/>
    <w:rsid w:val="00D14EFD"/>
    <w:rsid w:val="00D15090"/>
    <w:rsid w:val="00D231C5"/>
    <w:rsid w:val="00D3035F"/>
    <w:rsid w:val="00D40A6C"/>
    <w:rsid w:val="00D42444"/>
    <w:rsid w:val="00D47B23"/>
    <w:rsid w:val="00D61534"/>
    <w:rsid w:val="00D628E9"/>
    <w:rsid w:val="00D67A65"/>
    <w:rsid w:val="00D700AE"/>
    <w:rsid w:val="00D75831"/>
    <w:rsid w:val="00D83FBF"/>
    <w:rsid w:val="00D87074"/>
    <w:rsid w:val="00D9025A"/>
    <w:rsid w:val="00DB3A5E"/>
    <w:rsid w:val="00DC3508"/>
    <w:rsid w:val="00DC51B9"/>
    <w:rsid w:val="00DD2B22"/>
    <w:rsid w:val="00DE6A20"/>
    <w:rsid w:val="00DF12BB"/>
    <w:rsid w:val="00E01CFF"/>
    <w:rsid w:val="00E0613C"/>
    <w:rsid w:val="00E12D24"/>
    <w:rsid w:val="00E160BE"/>
    <w:rsid w:val="00E31580"/>
    <w:rsid w:val="00E36A47"/>
    <w:rsid w:val="00E668F7"/>
    <w:rsid w:val="00E83D5E"/>
    <w:rsid w:val="00E83F05"/>
    <w:rsid w:val="00E872BE"/>
    <w:rsid w:val="00ED035B"/>
    <w:rsid w:val="00ED329E"/>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08E"/>
    <w:rsid w:val="00F86814"/>
    <w:rsid w:val="00FB137F"/>
    <w:rsid w:val="00FB679E"/>
    <w:rsid w:val="00FE2039"/>
    <w:rsid w:val="00FE3CF6"/>
    <w:rsid w:val="00FF2297"/>
    <w:rsid w:val="00FF7A28"/>
    <w:rsid w:val="09C71C33"/>
    <w:rsid w:val="13C84EF1"/>
    <w:rsid w:val="24462E73"/>
    <w:rsid w:val="266372EB"/>
    <w:rsid w:val="2BCB1E2D"/>
    <w:rsid w:val="2F165067"/>
    <w:rsid w:val="3A2862F4"/>
    <w:rsid w:val="43254284"/>
    <w:rsid w:val="59F24B86"/>
    <w:rsid w:val="5F3C6F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6"/>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7"/>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页眉 Char"/>
    <w:basedOn w:val="10"/>
    <w:link w:val="6"/>
    <w:qFormat/>
    <w:uiPriority w:val="99"/>
    <w:rPr>
      <w:sz w:val="18"/>
      <w:szCs w:val="18"/>
    </w:rPr>
  </w:style>
  <w:style w:type="character" w:customStyle="1" w:styleId="15">
    <w:name w:val="页脚 Char"/>
    <w:basedOn w:val="10"/>
    <w:link w:val="5"/>
    <w:qFormat/>
    <w:uiPriority w:val="99"/>
    <w:rPr>
      <w:sz w:val="18"/>
      <w:szCs w:val="18"/>
    </w:rPr>
  </w:style>
  <w:style w:type="character" w:customStyle="1" w:styleId="16">
    <w:name w:val="批注文字 Char"/>
    <w:basedOn w:val="10"/>
    <w:link w:val="3"/>
    <w:semiHidden/>
    <w:qFormat/>
    <w:uiPriority w:val="99"/>
  </w:style>
  <w:style w:type="character" w:customStyle="1" w:styleId="17">
    <w:name w:val="批注主题 Char"/>
    <w:basedOn w:val="16"/>
    <w:link w:val="8"/>
    <w:semiHidden/>
    <w:qFormat/>
    <w:uiPriority w:val="99"/>
    <w:rPr>
      <w:b/>
      <w:bCs/>
    </w:rPr>
  </w:style>
  <w:style w:type="character" w:customStyle="1" w:styleId="18">
    <w:name w:val="批注框文本 Char"/>
    <w:basedOn w:val="10"/>
    <w:link w:val="4"/>
    <w:semiHidden/>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70FA8C-CB88-4B41-8381-94D26360AF53}">
  <ds:schemaRefs/>
</ds:datastoreItem>
</file>

<file path=docProps/app.xml><?xml version="1.0" encoding="utf-8"?>
<Properties xmlns="http://schemas.openxmlformats.org/officeDocument/2006/extended-properties" xmlns:vt="http://schemas.openxmlformats.org/officeDocument/2006/docPropsVTypes">
  <Template>Normal</Template>
  <Pages>3</Pages>
  <Words>1365</Words>
  <Characters>1495</Characters>
  <Lines>11</Lines>
  <Paragraphs>3</Paragraphs>
  <TotalTime>6</TotalTime>
  <ScaleCrop>false</ScaleCrop>
  <LinksUpToDate>false</LinksUpToDate>
  <CharactersWithSpaces>1513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廉欣媛</cp:lastModifiedBy>
  <dcterms:created xsi:type="dcterms:W3CDTF">2021-11-23T06:40:00Z</dcterms:created>
  <dcterms:modified xsi:type="dcterms:W3CDTF">2022-04-27T05:35:18Z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3A0899539E994C92A13341377206198A</vt:lpwstr>
  </property>
  <property fmtid="{D5CDD505-2E9C-101B-9397-08002B2CF9AE}" pid="4" name="commondata">
    <vt:lpwstr>eyJoZGlkIjoiNzk1ZDdmZTkxYTc4Njg1OTczNGFlZDIwMDVlZGYwMjEifQ==</vt:lpwstr>
  </property>
</Properties>
</file>